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5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SEC Form 3</w:t>
            </w:r>
          </w:p>
        </w:tc>
        <w:tc>
          <w:tcPr>
            <w:tcW w:w="6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4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FORM 3</w:t>
            </w:r>
          </w:p>
        </w:tc>
        <w:tc>
          <w:tcPr>
            <w:tcW w:w="6800" w:type="dxa"/>
            <w:vAlign w:val="bottom"/>
          </w:tcPr>
          <w:p>
            <w:pPr>
              <w:jc w:val="center"/>
              <w:ind w:left="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0" w:type="dxa"/>
            <w:vAlign w:val="bottom"/>
            <w:vMerge w:val="restart"/>
          </w:tcPr>
          <w:p>
            <w:pPr>
              <w:jc w:val="center"/>
              <w:ind w:left="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0" w:type="dxa"/>
            <w:vAlign w:val="bottom"/>
            <w:vMerge w:val="restart"/>
          </w:tcPr>
          <w:p>
            <w:pPr>
              <w:jc w:val="center"/>
              <w:ind w:left="47"/>
              <w:spacing w:after="0" w:line="16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INITIAL STATEMENT OF BENEFICIAL OWNERSHIP OF SECURITIES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OMB Number: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3235-0104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Estimated average burden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hours per response: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6908165</wp:posOffset>
            </wp:positionH>
            <wp:positionV relativeFrom="paragraph">
              <wp:posOffset>-550545</wp:posOffset>
            </wp:positionV>
            <wp:extent cx="53975" cy="5638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75" cy="563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5601970</wp:posOffset>
            </wp:positionH>
            <wp:positionV relativeFrom="paragraph">
              <wp:posOffset>-550545</wp:posOffset>
            </wp:positionV>
            <wp:extent cx="53975" cy="5638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75" cy="563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-18415</wp:posOffset>
            </wp:positionH>
            <wp:positionV relativeFrom="paragraph">
              <wp:posOffset>21590</wp:posOffset>
            </wp:positionV>
            <wp:extent cx="7009765" cy="48494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09765" cy="4849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80"/>
          </w:cols>
          <w:pgMar w:left="460" w:top="207" w:right="459" w:bottom="1440" w:gutter="0" w:footer="0" w:header="0"/>
        </w:sectPr>
      </w:pPr>
    </w:p>
    <w:p>
      <w:pPr>
        <w:spacing w:after="0" w:line="50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31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8"/>
                <w:szCs w:val="18"/>
                <w:color w:val="auto"/>
                <w:vertAlign w:val="superscript"/>
              </w:rPr>
              <w:t>*</w:t>
            </w:r>
          </w:p>
        </w:tc>
        <w:tc>
          <w:tcPr>
            <w:tcW w:w="1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2. Date of Event Requiring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18"/>
                <w:szCs w:val="18"/>
                <w:color w:val="0000EE"/>
                <w:w w:val="96"/>
              </w:rPr>
            </w:pPr>
            <w:hyperlink r:id="rId11">
              <w:r>
                <w:rPr>
                  <w:rFonts w:ascii="Times New Roman" w:cs="Times New Roman" w:eastAsia="Times New Roman" w:hAnsi="Times New Roman"/>
                  <w:sz w:val="18"/>
                  <w:szCs w:val="18"/>
                  <w:color w:val="0000EE"/>
                  <w:w w:val="96"/>
                </w:rPr>
                <w:t>Templin Barry L</w:t>
              </w:r>
            </w:hyperlink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12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Statement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04/16/2026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(Last)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(First)</w:t>
            </w:r>
          </w:p>
        </w:tc>
        <w:tc>
          <w:tcPr>
            <w:tcW w:w="13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(Middle)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150 BAYTECH DR.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9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(Street)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SAN JOSE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CA</w:t>
            </w:r>
          </w:p>
        </w:tc>
        <w:tc>
          <w:tcPr>
            <w:tcW w:w="13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95134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(City)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(State)</w:t>
            </w:r>
          </w:p>
        </w:tc>
        <w:tc>
          <w:tcPr>
            <w:tcW w:w="13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(Zip)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3. Issuer Name </w:t>
      </w:r>
      <w:r>
        <w:rPr>
          <w:rFonts w:ascii="Arial" w:cs="Arial" w:eastAsia="Arial" w:hAnsi="Arial"/>
          <w:sz w:val="11"/>
          <w:szCs w:val="11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18"/>
          <w:szCs w:val="18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18"/>
            <w:szCs w:val="18"/>
            <w:u w:val="single" w:color="auto"/>
            <w:color w:val="0000EE"/>
          </w:rPr>
          <w:t>PROCEPT BioRobotics Corp</w:t>
        </w:r>
        <w:r>
          <w:rPr>
            <w:rFonts w:ascii="Times New Roman" w:cs="Times New Roman" w:eastAsia="Times New Roman" w:hAnsi="Times New Roman"/>
            <w:sz w:val="18"/>
            <w:szCs w:val="18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[</w:t>
      </w:r>
      <w:r>
        <w:rPr>
          <w:rFonts w:ascii="Times New Roman" w:cs="Times New Roman" w:eastAsia="Times New Roman" w:hAnsi="Times New Roman"/>
          <w:sz w:val="18"/>
          <w:szCs w:val="18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4"/>
          <w:szCs w:val="14"/>
          <w:color w:val="0000FF"/>
        </w:rPr>
        <w:t>PRCT</w:t>
      </w:r>
      <w:r>
        <w:rPr>
          <w:rFonts w:ascii="Times New Roman" w:cs="Times New Roman" w:eastAsia="Times New Roman" w:hAnsi="Times New Roman"/>
          <w:sz w:val="18"/>
          <w:szCs w:val="18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]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3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Relationship of Reporting Person(s) to Issuer</w:t>
            </w:r>
          </w:p>
        </w:tc>
        <w:tc>
          <w:tcPr>
            <w:tcW w:w="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86"/>
              </w:rPr>
              <w:t>5.</w:t>
            </w:r>
          </w:p>
        </w:tc>
        <w:tc>
          <w:tcPr>
            <w:tcW w:w="2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If Amendment, Date of Original Filed</w:t>
            </w:r>
          </w:p>
        </w:tc>
      </w:tr>
      <w:tr>
        <w:trPr>
          <w:trHeight w:val="148"/>
        </w:trPr>
        <w:tc>
          <w:tcPr>
            <w:tcW w:w="1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(Check all applicable)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(Month/Day/Year)</w:t>
            </w:r>
          </w:p>
        </w:tc>
      </w:tr>
      <w:tr>
        <w:trPr>
          <w:trHeight w:val="147"/>
        </w:trPr>
        <w:tc>
          <w:tcPr>
            <w:tcW w:w="172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Director</w:t>
            </w:r>
          </w:p>
        </w:tc>
        <w:tc>
          <w:tcPr>
            <w:tcW w:w="15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10% Owner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47"/>
        </w:trPr>
        <w:tc>
          <w:tcPr>
            <w:tcW w:w="172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Officer (give title</w:t>
            </w:r>
          </w:p>
        </w:tc>
        <w:tc>
          <w:tcPr>
            <w:tcW w:w="15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Other (specify</w:t>
            </w:r>
          </w:p>
        </w:tc>
        <w:tc>
          <w:tcPr>
            <w:tcW w:w="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86"/>
              </w:rPr>
              <w:t>6.</w:t>
            </w:r>
          </w:p>
        </w:tc>
        <w:tc>
          <w:tcPr>
            <w:tcW w:w="2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Individual or Joint/Group Filing (Check Applicable</w:t>
            </w:r>
          </w:p>
        </w:tc>
      </w:tr>
      <w:tr>
        <w:trPr>
          <w:trHeight w:val="160"/>
        </w:trPr>
        <w:tc>
          <w:tcPr>
            <w:tcW w:w="172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15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2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Line)</w:t>
            </w:r>
          </w:p>
        </w:tc>
      </w:tr>
    </w:tbl>
    <w:p>
      <w:pPr>
        <w:ind w:left="6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 xml:space="preserve">EVP, Chief Technology Officer            </w:t>
      </w:r>
      <w:r>
        <w:rPr>
          <w:sz w:val="1"/>
          <w:szCs w:val="1"/>
          <w:color w:val="auto"/>
        </w:rPr>
        <w:drawing>
          <wp:inline distT="0" distB="0" distL="0" distR="0">
            <wp:extent cx="107950" cy="9525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950" cy="95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1"/>
          <w:szCs w:val="11"/>
          <w:color w:val="auto"/>
        </w:rPr>
        <w:t xml:space="preserve">   Form filed by One Reporting Person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3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Form filed by More than One Reporting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3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Person</w:t>
      </w:r>
    </w:p>
    <w:p>
      <w:pPr>
        <w:spacing w:after="0" w:line="42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80" w:space="200"/>
            <w:col w:w="6000"/>
          </w:cols>
          <w:pgMar w:left="460" w:top="207" w:right="45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Table I - Non-Derivative Securities Beneficially Owned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2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Amount of Securities Beneficially</w:t>
            </w:r>
          </w:p>
        </w:tc>
        <w:tc>
          <w:tcPr>
            <w:tcW w:w="408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Ownership Form:  4. Nature of Indirect Beneficial 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  <w:gridSpan w:val="2"/>
          </w:tcPr>
          <w:p>
            <w:pPr>
              <w:ind w:left="5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(Instr. 4)</w:t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ind w:right="54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 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 (I) (Instr. 5)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4"/>
        </w:trPr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6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69,311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8000"/>
                <w:vertAlign w:val="superscript"/>
              </w:rPr>
              <w:t>(1)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Barry L Templin and Katrina L. Templin,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jc w:val="right"/>
              <w:ind w:right="7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56,457</w:t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ind w:right="1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I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Trustees of the Templin Trust dated February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3, 2020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160" w:type="dxa"/>
            <w:vAlign w:val="bottom"/>
            <w:gridSpan w:val="4"/>
          </w:tcPr>
          <w:p>
            <w:pPr>
              <w:jc w:val="right"/>
              <w:ind w:right="4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0" w:type="dxa"/>
            <w:vAlign w:val="bottom"/>
            <w:gridSpan w:val="5"/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Title and Amount of Securities Underlying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Ownership</w:t>
            </w:r>
          </w:p>
        </w:tc>
        <w:tc>
          <w:tcPr>
            <w:tcW w:w="1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88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 (Instr. 4)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60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60" w:type="dxa"/>
            <w:vAlign w:val="bottom"/>
          </w:tcPr>
          <w:p>
            <w:pPr>
              <w:jc w:val="center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60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Stock Option (Right to Buy)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jc w:val="right"/>
              <w:ind w:right="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08/09/2030</w:t>
            </w:r>
          </w:p>
        </w:tc>
        <w:tc>
          <w:tcPr>
            <w:tcW w:w="188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Common Stock</w:t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34,591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  <w:w w:val="98"/>
              </w:rPr>
              <w:t>5.18</w:t>
            </w:r>
          </w:p>
        </w:tc>
        <w:tc>
          <w:tcPr>
            <w:tcW w:w="8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D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Stock Option (Right to Buy)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jc w:val="right"/>
              <w:ind w:right="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06/21/2031</w:t>
            </w:r>
          </w:p>
        </w:tc>
        <w:tc>
          <w:tcPr>
            <w:tcW w:w="188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Common Stock</w:t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19,999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  <w:w w:val="98"/>
              </w:rPr>
              <w:t>7.27</w:t>
            </w:r>
          </w:p>
        </w:tc>
        <w:tc>
          <w:tcPr>
            <w:tcW w:w="8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D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Stock Option (Right to Buy)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jc w:val="right"/>
              <w:ind w:right="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03/30/2032</w:t>
            </w:r>
          </w:p>
        </w:tc>
        <w:tc>
          <w:tcPr>
            <w:tcW w:w="188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Common Stock</w:t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19,982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34.99</w:t>
            </w:r>
          </w:p>
        </w:tc>
        <w:tc>
          <w:tcPr>
            <w:tcW w:w="8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D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Stock Option (Right to Buy)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jc w:val="right"/>
              <w:ind w:right="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(3)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02/15/2033</w:t>
            </w:r>
          </w:p>
        </w:tc>
        <w:tc>
          <w:tcPr>
            <w:tcW w:w="188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Common Stock</w:t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26,253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37.02</w:t>
            </w:r>
          </w:p>
        </w:tc>
        <w:tc>
          <w:tcPr>
            <w:tcW w:w="8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D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Stock Option (Right to Buy)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jc w:val="right"/>
              <w:ind w:right="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(4)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03/05/2034</w:t>
            </w:r>
          </w:p>
        </w:tc>
        <w:tc>
          <w:tcPr>
            <w:tcW w:w="188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Common Stock</w:t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16,835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47.17</w:t>
            </w:r>
          </w:p>
        </w:tc>
        <w:tc>
          <w:tcPr>
            <w:tcW w:w="8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D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Stock Option (Right to Buy)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jc w:val="right"/>
              <w:ind w:right="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(5)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03/02/2035</w:t>
            </w:r>
          </w:p>
        </w:tc>
        <w:tc>
          <w:tcPr>
            <w:tcW w:w="188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Common Stock</w:t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14,388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  <w:w w:val="98"/>
              </w:rPr>
              <w:t>60.6</w:t>
            </w:r>
          </w:p>
        </w:tc>
        <w:tc>
          <w:tcPr>
            <w:tcW w:w="8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D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Stock Option (Right to Buy)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jc w:val="right"/>
              <w:ind w:right="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(6)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03/04/2036</w:t>
            </w:r>
          </w:p>
        </w:tc>
        <w:tc>
          <w:tcPr>
            <w:tcW w:w="188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Common Stock</w:t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29,615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25.35</w:t>
            </w:r>
          </w:p>
        </w:tc>
        <w:tc>
          <w:tcPr>
            <w:tcW w:w="8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D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20" w:right="440" w:firstLine="4"/>
        <w:spacing w:after="0" w:line="274" w:lineRule="auto"/>
        <w:tabs>
          <w:tab w:leader="none" w:pos="13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1"/>
          <w:szCs w:val="11"/>
          <w:color w:val="008000"/>
        </w:rPr>
      </w:pPr>
      <w:r>
        <w:rPr>
          <w:rFonts w:ascii="Times New Roman" w:cs="Times New Roman" w:eastAsia="Times New Roman" w:hAnsi="Times New Roman"/>
          <w:sz w:val="11"/>
          <w:szCs w:val="11"/>
          <w:color w:val="008000"/>
        </w:rPr>
        <w:t>These securities include restricted stock units (RSUs). Each RSU represents a contingent right to receive one share of Common Stock. One-quarter of the RSUs shall vest on the anniversary of the grant date, with one-twelfth of the remaining RSUs shall vest on each quarter thereafter, subject to the Reporting Person continuing as a service provider through such date.</w:t>
      </w:r>
    </w:p>
    <w:p>
      <w:pPr>
        <w:spacing w:after="0" w:line="5" w:lineRule="exact"/>
        <w:rPr>
          <w:rFonts w:ascii="Times New Roman" w:cs="Times New Roman" w:eastAsia="Times New Roman" w:hAnsi="Times New Roman"/>
          <w:sz w:val="11"/>
          <w:szCs w:val="11"/>
          <w:color w:val="008000"/>
        </w:rPr>
      </w:pPr>
    </w:p>
    <w:p>
      <w:pPr>
        <w:ind w:left="140" w:hanging="116"/>
        <w:spacing w:after="0"/>
        <w:tabs>
          <w:tab w:leader="none" w:pos="14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1"/>
          <w:szCs w:val="11"/>
          <w:color w:val="008000"/>
        </w:rPr>
      </w:pPr>
      <w:r>
        <w:rPr>
          <w:rFonts w:ascii="Times New Roman" w:cs="Times New Roman" w:eastAsia="Times New Roman" w:hAnsi="Times New Roman"/>
          <w:sz w:val="11"/>
          <w:szCs w:val="11"/>
          <w:color w:val="008000"/>
        </w:rPr>
        <w:t>The Stock Option is fully vested and exercisable.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1"/>
          <w:szCs w:val="11"/>
          <w:color w:val="008000"/>
        </w:rPr>
      </w:pPr>
    </w:p>
    <w:p>
      <w:pPr>
        <w:ind w:left="20" w:right="40" w:firstLine="4"/>
        <w:spacing w:after="0" w:line="274" w:lineRule="auto"/>
        <w:tabs>
          <w:tab w:leader="none" w:pos="13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1"/>
          <w:szCs w:val="11"/>
          <w:color w:val="008000"/>
        </w:rPr>
      </w:pPr>
      <w:r>
        <w:rPr>
          <w:rFonts w:ascii="Times New Roman" w:cs="Times New Roman" w:eastAsia="Times New Roman" w:hAnsi="Times New Roman"/>
          <w:sz w:val="11"/>
          <w:szCs w:val="11"/>
          <w:color w:val="008000"/>
        </w:rPr>
        <w:t>The Stock Option was granted on 2/16/2023, and 1/48th of the shares subject to the Stock Option shall vest monthly from the vesting commencement date of March 5, 2023, over a four year period, subject continued employment or service by the Reporting Person to the Issuer through the applicable vesting date</w:t>
      </w:r>
    </w:p>
    <w:p>
      <w:pPr>
        <w:spacing w:after="0" w:line="5" w:lineRule="exact"/>
        <w:rPr>
          <w:rFonts w:ascii="Times New Roman" w:cs="Times New Roman" w:eastAsia="Times New Roman" w:hAnsi="Times New Roman"/>
          <w:sz w:val="11"/>
          <w:szCs w:val="11"/>
          <w:color w:val="008000"/>
        </w:rPr>
      </w:pPr>
    </w:p>
    <w:p>
      <w:pPr>
        <w:ind w:left="20" w:right="200" w:firstLine="4"/>
        <w:spacing w:after="0" w:line="274" w:lineRule="auto"/>
        <w:tabs>
          <w:tab w:leader="none" w:pos="13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1"/>
          <w:szCs w:val="11"/>
          <w:color w:val="008000"/>
        </w:rPr>
      </w:pPr>
      <w:r>
        <w:rPr>
          <w:rFonts w:ascii="Times New Roman" w:cs="Times New Roman" w:eastAsia="Times New Roman" w:hAnsi="Times New Roman"/>
          <w:sz w:val="11"/>
          <w:szCs w:val="11"/>
          <w:color w:val="008000"/>
        </w:rPr>
        <w:t>The Stock Option was granted on March 6, 2024 and 1/48th of the shares subject to the Stock Option shall vest monthly from the vesting commencement date of March 5, 2024, over a four year period, subject continued employment or service by the Reporting Person to the Issuer through the applicable vesting date</w:t>
      </w:r>
    </w:p>
    <w:p>
      <w:pPr>
        <w:spacing w:after="0" w:line="5" w:lineRule="exact"/>
        <w:rPr>
          <w:rFonts w:ascii="Times New Roman" w:cs="Times New Roman" w:eastAsia="Times New Roman" w:hAnsi="Times New Roman"/>
          <w:sz w:val="11"/>
          <w:szCs w:val="11"/>
          <w:color w:val="008000"/>
        </w:rPr>
      </w:pPr>
    </w:p>
    <w:p>
      <w:pPr>
        <w:ind w:left="20" w:right="180" w:firstLine="4"/>
        <w:spacing w:after="0" w:line="274" w:lineRule="auto"/>
        <w:tabs>
          <w:tab w:leader="none" w:pos="13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1"/>
          <w:szCs w:val="11"/>
          <w:color w:val="008000"/>
        </w:rPr>
      </w:pPr>
      <w:r>
        <w:rPr>
          <w:rFonts w:ascii="Times New Roman" w:cs="Times New Roman" w:eastAsia="Times New Roman" w:hAnsi="Times New Roman"/>
          <w:sz w:val="11"/>
          <w:szCs w:val="11"/>
          <w:color w:val="008000"/>
        </w:rPr>
        <w:t>The Stock Option was granted on March 3, 2025, and 1/48th of the shares subject to the Stock Option shall vest monthly from the vesting commencement date of March 5, 2025, over a four year period, subject continued employment or service by the Reporting Person to the Issuer through the applicable vesting date</w:t>
      </w:r>
    </w:p>
    <w:p>
      <w:pPr>
        <w:spacing w:after="0" w:line="5" w:lineRule="exact"/>
        <w:rPr>
          <w:rFonts w:ascii="Times New Roman" w:cs="Times New Roman" w:eastAsia="Times New Roman" w:hAnsi="Times New Roman"/>
          <w:sz w:val="11"/>
          <w:szCs w:val="11"/>
          <w:color w:val="008000"/>
        </w:rPr>
      </w:pPr>
    </w:p>
    <w:p>
      <w:pPr>
        <w:ind w:left="20" w:right="180" w:firstLine="4"/>
        <w:spacing w:after="0" w:line="274" w:lineRule="auto"/>
        <w:tabs>
          <w:tab w:leader="none" w:pos="13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1"/>
          <w:szCs w:val="11"/>
          <w:color w:val="008000"/>
        </w:rPr>
      </w:pPr>
      <w:r>
        <w:rPr>
          <w:rFonts w:ascii="Times New Roman" w:cs="Times New Roman" w:eastAsia="Times New Roman" w:hAnsi="Times New Roman"/>
          <w:sz w:val="11"/>
          <w:szCs w:val="11"/>
          <w:color w:val="008000"/>
        </w:rPr>
        <w:t>The Stock Option was granted on March 5, 2026, and 1/48th of the shares subject to the Stock Option shall vest monthly from the vesting commencement date of March 5, 2026, over a four year period, subject continued employment or service by the Reporting Person to the Issuer through the applicable vesting date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Remarks:</w:t>
      </w:r>
    </w:p>
    <w:p>
      <w:pPr>
        <w:ind w:left="6600"/>
        <w:spacing w:after="0" w:line="22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 xml:space="preserve">/s/ Jonathan Stone, Attorney-in-Fact </w:t>
      </w:r>
      <w:r>
        <w:rPr>
          <w:rFonts w:ascii="Times New Roman" w:cs="Times New Roman" w:eastAsia="Times New Roman" w:hAnsi="Times New Roman"/>
          <w:sz w:val="29"/>
          <w:szCs w:val="29"/>
          <w:color w:val="0000FF"/>
          <w:vertAlign w:val="subscript"/>
        </w:rPr>
        <w:t>04/30/2026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4185920</wp:posOffset>
            </wp:positionH>
            <wp:positionV relativeFrom="paragraph">
              <wp:posOffset>-22860</wp:posOffset>
            </wp:positionV>
            <wp:extent cx="1352550" cy="698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6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for Barry Templin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4185920</wp:posOffset>
            </wp:positionH>
            <wp:positionV relativeFrom="paragraph">
              <wp:posOffset>-18415</wp:posOffset>
            </wp:positionV>
            <wp:extent cx="677545" cy="698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7545" cy="6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5586095</wp:posOffset>
            </wp:positionH>
            <wp:positionV relativeFrom="paragraph">
              <wp:posOffset>-76200</wp:posOffset>
            </wp:positionV>
            <wp:extent cx="424815" cy="698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4815" cy="6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1"/>
          <w:szCs w:val="11"/>
          <w:color w:val="auto"/>
        </w:rPr>
        <w:t>Date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Reminder: Report on a separate line for each class of securities beneficially owned directly or indirectly.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5 (b)(v).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jc w:val="both"/>
        <w:ind w:left="20" w:right="4440" w:firstLine="4"/>
        <w:spacing w:after="0" w:line="321" w:lineRule="auto"/>
        <w:tabs>
          <w:tab w:leader="none" w:pos="139" w:val="left"/>
        </w:tabs>
        <w:numPr>
          <w:ilvl w:val="0"/>
          <w:numId w:val="2"/>
        </w:numPr>
        <w:rPr>
          <w:rFonts w:ascii="Arial" w:cs="Arial" w:eastAsia="Arial" w:hAnsi="Arial"/>
          <w:sz w:val="11"/>
          <w:szCs w:val="11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6 for procedure.</w:t>
      </w:r>
    </w:p>
    <w:p>
      <w:pPr>
        <w:ind w:left="20"/>
        <w:spacing w:after="0"/>
        <w:rPr>
          <w:rFonts w:ascii="Arial" w:cs="Arial" w:eastAsia="Arial" w:hAnsi="Arial"/>
          <w:sz w:val="11"/>
          <w:szCs w:val="11"/>
          <w:color w:val="auto"/>
        </w:rPr>
      </w:pPr>
      <w:r>
        <w:rPr>
          <w:rFonts w:ascii="Arial" w:cs="Arial" w:eastAsia="Arial" w:hAnsi="Arial"/>
          <w:sz w:val="11"/>
          <w:szCs w:val="11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0980"/>
          </w:cols>
          <w:pgMar w:left="460" w:top="207" w:right="45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398145</wp:posOffset>
            </wp:positionH>
            <wp:positionV relativeFrom="page">
              <wp:posOffset>318770</wp:posOffset>
            </wp:positionV>
            <wp:extent cx="6929755" cy="993013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9755" cy="9930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398145</wp:posOffset>
            </wp:positionH>
            <wp:positionV relativeFrom="page">
              <wp:posOffset>447675</wp:posOffset>
            </wp:positionV>
            <wp:extent cx="6929755" cy="993013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9755" cy="9930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398145</wp:posOffset>
            </wp:positionH>
            <wp:positionV relativeFrom="page">
              <wp:posOffset>447675</wp:posOffset>
            </wp:positionV>
            <wp:extent cx="6929755" cy="993013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9755" cy="9930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" w:name="page5"/>
    <w:bookmarkEnd w:id="4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3" Type="http://schemas.openxmlformats.org/officeDocument/2006/relationships/image" Target="media/image4.jpe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1" Type="http://schemas.openxmlformats.org/officeDocument/2006/relationships/hyperlink" Target="http://www.sec.gov/cgi-bin/browse-edgar?action=getcompany&amp;CIK=0002132820" TargetMode="External"/><Relationship Id="rId12" Type="http://schemas.openxmlformats.org/officeDocument/2006/relationships/hyperlink" Target="http://www.sec.gov/cgi-bin/browse-edgar?action=getcompany&amp;CIK=000158897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2026-04-30T16:35:32Z</dcterms:created>
  <dcterms:modified xsi:type="dcterms:W3CDTF">2026-04-30T16:35:32Z</dcterms:modified>
</cp:coreProperties>
</file>