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001-04321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before="180" w:after="283"/>
        <w:ind w:left="0" w:right="0" w:firstLine="360"/>
        <w:jc w:val="center"/>
        <w:rPr/>
      </w:pPr>
      <w:r>
        <w:rPr/>
        <w:drawing>
          <wp:inline distT="0" distB="0" distL="0" distR="0">
            <wp:extent cx="19621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523875"/>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PROCEPT BIOROBOTICS CORPORATION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tbl>
      <w:tblPr>
        <w:tblW w:w="10205" w:type="dxa"/>
        <w:jc w:val="left"/>
        <w:tblInd w:w="0" w:type="dxa"/>
        <w:tblLayout w:type="fixed"/>
        <w:tblCellMar>
          <w:top w:w="28" w:type="dxa"/>
          <w:left w:w="28" w:type="dxa"/>
          <w:bottom w:w="28" w:type="dxa"/>
          <w:right w:w="28" w:type="dxa"/>
        </w:tblCellMar>
      </w:tblPr>
      <w:tblGrid>
        <w:gridCol w:w="1411"/>
        <w:gridCol w:w="1239"/>
        <w:gridCol w:w="1252"/>
        <w:gridCol w:w="1254"/>
        <w:gridCol w:w="1254"/>
        <w:gridCol w:w="1266"/>
        <w:gridCol w:w="737"/>
        <w:gridCol w:w="737"/>
        <w:gridCol w:w="1055"/>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3841</w:t>
            </w:r>
          </w:p>
        </w:tc>
        <w:tc>
          <w:tcPr>
            <w:tcW w:w="2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26-0199180</w:t>
            </w:r>
          </w:p>
        </w:tc>
      </w:tr>
      <w:tr>
        <w:trPr/>
        <w:tc>
          <w:tcPr>
            <w:tcW w:w="39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7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(Primary Standard Industrial Classification Code Number)</w:t>
            </w:r>
          </w:p>
        </w:tc>
        <w:tc>
          <w:tcPr>
            <w:tcW w:w="25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150 Baytech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Jose, CA</w:t>
            </w:r>
          </w:p>
        </w:tc>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95134</w:t>
            </w:r>
          </w:p>
        </w:tc>
      </w:tr>
      <w:tr>
        <w:trPr/>
        <w:tc>
          <w:tcPr>
            <w:tcW w:w="3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(650) 232-7200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104" w:type="dxa"/>
        <w:jc w:val="left"/>
        <w:tblInd w:w="0" w:type="dxa"/>
        <w:tblLayout w:type="fixed"/>
        <w:tblCellMar>
          <w:top w:w="28" w:type="dxa"/>
          <w:left w:w="28" w:type="dxa"/>
          <w:bottom w:w="28" w:type="dxa"/>
          <w:right w:w="28" w:type="dxa"/>
        </w:tblCellMar>
      </w:tblPr>
      <w:tblGrid>
        <w:gridCol w:w="1369"/>
        <w:gridCol w:w="1198"/>
        <w:gridCol w:w="1213"/>
        <w:gridCol w:w="539"/>
        <w:gridCol w:w="539"/>
        <w:gridCol w:w="541"/>
        <w:gridCol w:w="1085"/>
        <w:gridCol w:w="1085"/>
        <w:gridCol w:w="1535"/>
      </w:tblGrid>
      <w:tr>
        <w:trPr/>
        <w:tc>
          <w:tcPr>
            <w:tcW w:w="13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PRCT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12(g) of the Act: None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011"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784"/>
        <w:gridCol w:w="784"/>
        <w:gridCol w:w="787"/>
        <w:gridCol w:w="110"/>
        <w:gridCol w:w="110"/>
        <w:gridCol w:w="15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6"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6"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45"/>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r>
        <w:rPr>
          <w:rFonts w:ascii="Wingdings;sans-serif" w:hAnsi="Wingdings;sans-serif"/>
          <w:b w:val="false"/>
          <w:color w:val="000000"/>
          <w:sz w:val="20"/>
        </w:rPr>
        <w:t>x</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aggregate market value of shares held by non-affiliates of the Registrant (based upon the closing sale prices of such shares on the Nasdaq Global Market on June 30, 2024) was approximately $3.1 billion.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54,818,700 shares of common stock as of February 20, 2025.</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the registrant’s definitive Proxy Statement for its 2025 Annual Stockholders’ Meeting, to be filed within 120 days of the registrant’s fiscal year ended December 31, 2024, are incorporated by reference into Part III of this Annual Report on Form 10-K,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3027"/>
        <w:gridCol w:w="2983"/>
        <w:gridCol w:w="2997"/>
        <w:gridCol w:w="158"/>
        <w:gridCol w:w="158"/>
        <w:gridCol w:w="229"/>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0">
              <w:r>
                <w:rPr>
                  <w:rStyle w:val="InternetLink"/>
                  <w:rFonts w:ascii="Times New Roman;sans-serif" w:hAnsi="Times New Roman;sans-serif"/>
                  <w:b w:val="false"/>
                  <w:strike w:val="false"/>
                  <w:dstrike w:val="false"/>
                  <w:color w:val="000000"/>
                  <w:sz w:val="20"/>
                  <w:u w:val="none"/>
                  <w:effect w:val="none"/>
                </w:rPr>
                <w:t>Part I</w:t>
              </w:r>
            </w:hyperlink>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3">
              <w:r>
                <w:rPr>
                  <w:rStyle w:val="InternetLink"/>
                  <w:rFonts w:ascii="Times New Roman;sans-serif" w:hAnsi="Times New Roman;sans-serif"/>
                  <w:b w:val="false"/>
                  <w:strike w:val="false"/>
                  <w:dstrike w:val="false"/>
                  <w:color w:val="000000"/>
                  <w:sz w:val="20"/>
                  <w:u w:val="none"/>
                  <w:effect w:val="none"/>
                </w:rPr>
                <w:t>Item 1. Business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3">
              <w:r>
                <w:rPr>
                  <w:rStyle w:val="InternetLink"/>
                  <w:rFonts w:ascii="Times New Roman;sans-serif" w:hAnsi="Times New Roman;sans-serif"/>
                  <w:b w:val="false"/>
                  <w:strike w:val="false"/>
                  <w:dstrike w:val="false"/>
                  <w:color w:val="000000"/>
                  <w:sz w:val="20"/>
                  <w:u w:val="none"/>
                  <w:effect w:val="none"/>
                </w:rPr>
                <w:t>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6">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6">
              <w:r>
                <w:rPr>
                  <w:rStyle w:val="InternetLink"/>
                  <w:rFonts w:ascii="Times New Roman;sans-serif" w:hAnsi="Times New Roman;sans-serif"/>
                  <w:b w:val="false"/>
                  <w:strike w:val="false"/>
                  <w:dstrike w:val="false"/>
                  <w:color w:val="000000"/>
                  <w:sz w:val="20"/>
                  <w:u w:val="none"/>
                  <w:effect w:val="none"/>
                </w:rPr>
                <w:t>28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9">
              <w:r>
                <w:rPr>
                  <w:rStyle w:val="InternetLink"/>
                  <w:rFonts w:ascii="Times New Roman;sans-serif" w:hAnsi="Times New Roman;sans-serif"/>
                  <w:b w:val="false"/>
                  <w:strike w:val="false"/>
                  <w:dstrike w:val="false"/>
                  <w:color w:val="000000"/>
                  <w:sz w:val="20"/>
                  <w:u w:val="none"/>
                  <w:effect w:val="none"/>
                </w:rPr>
                <w:t>Item 1B. Unresolved Staff Comments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9">
              <w:r>
                <w:rPr>
                  <w:rStyle w:val="InternetLink"/>
                  <w:rFonts w:ascii="Times New Roman;sans-serif" w:hAnsi="Times New Roman;sans-serif"/>
                  <w:b w:val="false"/>
                  <w:strike w:val="false"/>
                  <w:dstrike w:val="false"/>
                  <w:color w:val="000000"/>
                  <w:sz w:val="20"/>
                  <w:u w:val="none"/>
                  <w:effect w:val="none"/>
                </w:rPr>
                <w:t>76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Item 1C.</w:t>
            </w:r>
            <w:hyperlink w:anchor="i8875a55826e64dbab54bf460461a3a62_22">
              <w:r>
                <w:rPr>
                  <w:rStyle w:val="InternetLink"/>
                  <w:rFonts w:ascii="Times New Roman;sans-serif" w:hAnsi="Times New Roman;sans-serif"/>
                  <w:b w:val="false"/>
                  <w:strike w:val="false"/>
                  <w:dstrike w:val="false"/>
                  <w:color w:val="000000"/>
                  <w:sz w:val="20"/>
                  <w:u w:val="none"/>
                  <w:effect w:val="none"/>
                </w:rPr>
                <w:t xml:space="preserve"> Cybersecurity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22">
              <w:r>
                <w:rPr>
                  <w:rStyle w:val="InternetLink"/>
                  <w:rFonts w:ascii="Times New Roman;sans-serif" w:hAnsi="Times New Roman;sans-serif"/>
                  <w:b w:val="false"/>
                  <w:strike w:val="false"/>
                  <w:dstrike w:val="false"/>
                  <w:color w:val="000000"/>
                  <w:sz w:val="20"/>
                  <w:u w:val="none"/>
                  <w:effect w:val="none"/>
                </w:rPr>
                <w:t>76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25">
              <w:r>
                <w:rPr>
                  <w:rStyle w:val="InternetLink"/>
                  <w:rFonts w:ascii="Times New Roman;sans-serif" w:hAnsi="Times New Roman;sans-serif"/>
                  <w:b w:val="false"/>
                  <w:strike w:val="false"/>
                  <w:dstrike w:val="false"/>
                  <w:color w:val="000000"/>
                  <w:sz w:val="20"/>
                  <w:u w:val="none"/>
                  <w:effect w:val="none"/>
                </w:rPr>
                <w:t>Item 2. Properties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25">
              <w:r>
                <w:rPr>
                  <w:rStyle w:val="InternetLink"/>
                  <w:rFonts w:ascii="Times New Roman;sans-serif" w:hAnsi="Times New Roman;sans-serif"/>
                  <w:b w:val="false"/>
                  <w:strike w:val="false"/>
                  <w:dstrike w:val="false"/>
                  <w:color w:val="000000"/>
                  <w:sz w:val="20"/>
                  <w:u w:val="none"/>
                  <w:effect w:val="none"/>
                </w:rPr>
                <w:t>77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28">
              <w:r>
                <w:rPr>
                  <w:rStyle w:val="InternetLink"/>
                  <w:rFonts w:ascii="Times New Roman;sans-serif" w:hAnsi="Times New Roman;sans-serif"/>
                  <w:b w:val="false"/>
                  <w:strike w:val="false"/>
                  <w:dstrike w:val="false"/>
                  <w:color w:val="000000"/>
                  <w:sz w:val="20"/>
                  <w:u w:val="none"/>
                  <w:effect w:val="none"/>
                </w:rPr>
                <w:t>Item 3. Legal Matters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28">
              <w:r>
                <w:rPr>
                  <w:rStyle w:val="InternetLink"/>
                  <w:rFonts w:ascii="Times New Roman;sans-serif" w:hAnsi="Times New Roman;sans-serif"/>
                  <w:b w:val="false"/>
                  <w:strike w:val="false"/>
                  <w:dstrike w:val="false"/>
                  <w:color w:val="000000"/>
                  <w:sz w:val="20"/>
                  <w:u w:val="none"/>
                  <w:effect w:val="none"/>
                </w:rPr>
                <w:t>77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31">
              <w:r>
                <w:rPr>
                  <w:rStyle w:val="InternetLink"/>
                  <w:rFonts w:ascii="Times New Roman;sans-serif" w:hAnsi="Times New Roman;sans-serif"/>
                  <w:b w:val="false"/>
                  <w:strike w:val="false"/>
                  <w:dstrike w:val="false"/>
                  <w:color w:val="000000"/>
                  <w:sz w:val="20"/>
                  <w:u w:val="none"/>
                  <w:effect w:val="none"/>
                </w:rPr>
                <w:t>Item 4. 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31">
              <w:r>
                <w:rPr>
                  <w:rStyle w:val="InternetLink"/>
                  <w:rFonts w:ascii="Times New Roman;sans-serif" w:hAnsi="Times New Roman;sans-serif"/>
                  <w:b w:val="false"/>
                  <w:strike w:val="false"/>
                  <w:dstrike w:val="false"/>
                  <w:color w:val="000000"/>
                  <w:sz w:val="20"/>
                  <w:u w:val="none"/>
                  <w:effect w:val="none"/>
                </w:rPr>
                <w:t>77</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34">
              <w:r>
                <w:rPr>
                  <w:rStyle w:val="InternetLink"/>
                  <w:rFonts w:ascii="Times New Roman;sans-serif" w:hAnsi="Times New Roman;sans-serif"/>
                  <w:b w:val="false"/>
                  <w:strike w:val="false"/>
                  <w:dstrike w:val="false"/>
                  <w:color w:val="000000"/>
                  <w:sz w:val="20"/>
                  <w:u w:val="none"/>
                  <w:effect w:val="none"/>
                </w:rPr>
                <w:t>Part II</w:t>
              </w:r>
            </w:hyperlink>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37">
              <w:r>
                <w:rPr>
                  <w:rStyle w:val="InternetLink"/>
                  <w:rFonts w:ascii="Times New Roman;sans-serif" w:hAnsi="Times New Roman;sans-serif"/>
                  <w:b w:val="false"/>
                  <w:strike w:val="false"/>
                  <w:dstrike w:val="false"/>
                  <w:color w:val="000000"/>
                  <w:sz w:val="20"/>
                  <w:u w:val="none"/>
                  <w:effect w:val="none"/>
                </w:rPr>
                <w:t>Item 5. Market for Registrant’s Common Equity, Related Stockholder Matters and Issuer Purchases of Equity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37">
              <w:r>
                <w:rPr>
                  <w:rStyle w:val="InternetLink"/>
                  <w:rFonts w:ascii="Times New Roman;sans-serif" w:hAnsi="Times New Roman;sans-serif"/>
                  <w:b w:val="false"/>
                  <w:strike w:val="false"/>
                  <w:dstrike w:val="false"/>
                  <w:color w:val="000000"/>
                  <w:sz w:val="20"/>
                  <w:u w:val="none"/>
                  <w:effect w:val="none"/>
                </w:rPr>
                <w:t>78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875a55826e64dbab54bf460461a3a62_40">
              <w:r>
                <w:rPr>
                  <w:rStyle w:val="InternetLink"/>
                  <w:rFonts w:ascii="Times New Roman;sans-serif" w:hAnsi="Times New Roman;sans-serif"/>
                  <w:b w:val="false"/>
                  <w:strike w:val="false"/>
                  <w:dstrike w:val="false"/>
                  <w:color w:val="000000"/>
                  <w:sz w:val="20"/>
                  <w:u w:val="none"/>
                  <w:effect w:val="none"/>
                </w:rPr>
                <w:t xml:space="preserve">Item 6. </w:t>
              </w:r>
            </w:hyperlink>
            <w:r>
              <w:rPr>
                <w:rFonts w:ascii="Times New Roman;sans-serif" w:hAnsi="Times New Roman;sans-serif"/>
                <w:b w:val="false"/>
                <w:color w:val="000000"/>
                <w:sz w:val="20"/>
              </w:rPr>
              <w:t>[Reserved]</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40">
              <w:r>
                <w:rPr>
                  <w:rStyle w:val="InternetLink"/>
                  <w:rFonts w:ascii="Times New Roman;sans-serif" w:hAnsi="Times New Roman;sans-serif"/>
                  <w:b w:val="false"/>
                  <w:strike w:val="false"/>
                  <w:dstrike w:val="false"/>
                  <w:color w:val="000000"/>
                  <w:sz w:val="20"/>
                  <w:u w:val="none"/>
                  <w:effect w:val="none"/>
                </w:rPr>
                <w:t>79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43">
              <w:r>
                <w:rPr>
                  <w:rStyle w:val="InternetLink"/>
                  <w:rFonts w:ascii="Times New Roman;sans-serif" w:hAnsi="Times New Roman;sans-serif"/>
                  <w:b w:val="false"/>
                  <w:strike w:val="false"/>
                  <w:dstrike w:val="false"/>
                  <w:color w:val="000000"/>
                  <w:sz w:val="20"/>
                  <w:u w:val="none"/>
                  <w:effect w:val="none"/>
                </w:rPr>
                <w:t>Item 7. 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43">
              <w:r>
                <w:rPr>
                  <w:rStyle w:val="InternetLink"/>
                  <w:rFonts w:ascii="Times New Roman;sans-serif" w:hAnsi="Times New Roman;sans-serif"/>
                  <w:b w:val="false"/>
                  <w:strike w:val="false"/>
                  <w:dstrike w:val="false"/>
                  <w:color w:val="000000"/>
                  <w:sz w:val="20"/>
                  <w:u w:val="none"/>
                  <w:effect w:val="none"/>
                </w:rPr>
                <w:t>80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76">
              <w:r>
                <w:rPr>
                  <w:rStyle w:val="InternetLink"/>
                  <w:rFonts w:ascii="Times New Roman;sans-serif" w:hAnsi="Times New Roman;sans-serif"/>
                  <w:b w:val="false"/>
                  <w:strike w:val="false"/>
                  <w:dstrike w:val="false"/>
                  <w:color w:val="000000"/>
                  <w:sz w:val="20"/>
                  <w:u w:val="none"/>
                  <w:effect w:val="none"/>
                </w:rPr>
                <w:t>Item 7A. 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76">
              <w:r>
                <w:rPr>
                  <w:rStyle w:val="InternetLink"/>
                  <w:rFonts w:ascii="Times New Roman;sans-serif" w:hAnsi="Times New Roman;sans-serif"/>
                  <w:b w:val="false"/>
                  <w:strike w:val="false"/>
                  <w:dstrike w:val="false"/>
                  <w:color w:val="000000"/>
                  <w:sz w:val="20"/>
                  <w:u w:val="none"/>
                  <w:effect w:val="none"/>
                </w:rPr>
                <w:t>89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79">
              <w:r>
                <w:rPr>
                  <w:rStyle w:val="InternetLink"/>
                  <w:rFonts w:ascii="Times New Roman;sans-serif" w:hAnsi="Times New Roman;sans-serif"/>
                  <w:b w:val="false"/>
                  <w:strike w:val="false"/>
                  <w:dstrike w:val="false"/>
                  <w:color w:val="000000"/>
                  <w:sz w:val="20"/>
                  <w:u w:val="none"/>
                  <w:effect w:val="none"/>
                </w:rPr>
                <w:t>Item 8. Financial Statements and Supplementary Data</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8875a55826e64dbab54bf460461a3a62_79">
              <w:r>
                <w:rPr>
                  <w:rStyle w:val="InternetLink"/>
                  <w:rFonts w:ascii="Times New Roman;sans-serif" w:hAnsi="Times New Roman;sans-serif"/>
                  <w:b w:val="false"/>
                  <w:strike w:val="false"/>
                  <w:dstrike w:val="false"/>
                  <w:color w:val="000000"/>
                  <w:sz w:val="20"/>
                  <w:u w:val="none"/>
                  <w:effect w:val="none"/>
                </w:rPr>
                <w:t>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45">
              <w:r>
                <w:rPr>
                  <w:rStyle w:val="InternetLink"/>
                  <w:rFonts w:ascii="Times New Roman;sans-serif" w:hAnsi="Times New Roman;sans-serif"/>
                  <w:b w:val="false"/>
                  <w:strike w:val="false"/>
                  <w:dstrike w:val="false"/>
                  <w:color w:val="000000"/>
                  <w:sz w:val="20"/>
                  <w:u w:val="none"/>
                  <w:effect w:val="none"/>
                </w:rPr>
                <w:t>Item 9. Changes in and Disagreements with Accountants on Accounting and Financial Disclosure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45">
              <w:r>
                <w:rPr>
                  <w:rStyle w:val="InternetLink"/>
                  <w:rFonts w:ascii="Times New Roman;sans-serif" w:hAnsi="Times New Roman;sans-serif"/>
                  <w:b w:val="false"/>
                  <w:strike w:val="false"/>
                  <w:dstrike w:val="false"/>
                  <w:color w:val="000000"/>
                  <w:sz w:val="20"/>
                  <w:u w:val="none"/>
                  <w:effect w:val="none"/>
                </w:rPr>
                <w:t>108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48">
              <w:r>
                <w:rPr>
                  <w:rStyle w:val="InternetLink"/>
                  <w:rFonts w:ascii="Times New Roman;sans-serif" w:hAnsi="Times New Roman;sans-serif"/>
                  <w:b w:val="false"/>
                  <w:strike w:val="false"/>
                  <w:dstrike w:val="false"/>
                  <w:color w:val="000000"/>
                  <w:sz w:val="20"/>
                  <w:u w:val="none"/>
                  <w:effect w:val="none"/>
                </w:rPr>
                <w:t>Item 9A. 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48">
              <w:r>
                <w:rPr>
                  <w:rStyle w:val="InternetLink"/>
                  <w:rFonts w:ascii="Times New Roman;sans-serif" w:hAnsi="Times New Roman;sans-serif"/>
                  <w:b w:val="false"/>
                  <w:strike w:val="false"/>
                  <w:dstrike w:val="false"/>
                  <w:color w:val="000000"/>
                  <w:sz w:val="20"/>
                  <w:u w:val="none"/>
                  <w:effect w:val="none"/>
                </w:rPr>
                <w:t>108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51">
              <w:r>
                <w:rPr>
                  <w:rStyle w:val="InternetLink"/>
                  <w:rFonts w:ascii="Times New Roman;sans-serif" w:hAnsi="Times New Roman;sans-serif"/>
                  <w:b w:val="false"/>
                  <w:strike w:val="false"/>
                  <w:dstrike w:val="false"/>
                  <w:color w:val="000000"/>
                  <w:sz w:val="20"/>
                  <w:u w:val="none"/>
                  <w:effect w:val="none"/>
                </w:rPr>
                <w:t>Item 9B. 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51">
              <w:r>
                <w:rPr>
                  <w:rStyle w:val="InternetLink"/>
                  <w:rFonts w:ascii="Times New Roman;sans-serif" w:hAnsi="Times New Roman;sans-serif"/>
                  <w:b w:val="false"/>
                  <w:strike w:val="false"/>
                  <w:dstrike w:val="false"/>
                  <w:color w:val="000000"/>
                  <w:sz w:val="20"/>
                  <w:u w:val="none"/>
                  <w:effect w:val="none"/>
                </w:rPr>
                <w:t>108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51">
              <w:r>
                <w:rPr>
                  <w:rStyle w:val="InternetLink"/>
                  <w:rFonts w:ascii="Times New Roman;sans-serif" w:hAnsi="Times New Roman;sans-serif"/>
                  <w:b w:val="false"/>
                  <w:strike w:val="false"/>
                  <w:dstrike w:val="false"/>
                  <w:color w:val="000080"/>
                  <w:sz w:val="20"/>
                  <w:u w:val="single"/>
                  <w:effect w:val="none"/>
                </w:rPr>
                <w:t>Item 9</w:t>
              </w:r>
            </w:hyperlink>
            <w:hyperlink w:anchor="i8875a55826e64dbab54bf460461a3a62_151">
              <w:r>
                <w:rPr>
                  <w:rStyle w:val="InternetLink"/>
                  <w:rFonts w:ascii="Times New Roman;sans-serif" w:hAnsi="Times New Roman;sans-serif"/>
                  <w:b w:val="false"/>
                  <w:strike w:val="false"/>
                  <w:dstrike w:val="false"/>
                  <w:color w:val="000080"/>
                  <w:sz w:val="20"/>
                  <w:u w:val="single"/>
                  <w:effect w:val="none"/>
                </w:rPr>
                <w:t>C</w:t>
              </w:r>
            </w:hyperlink>
            <w:hyperlink w:anchor="i8875a55826e64dbab54bf460461a3a62_151">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Disclosure Regarding Foreign Jurisdictions that Prevent Inspections</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51">
              <w:r>
                <w:rPr>
                  <w:rStyle w:val="InternetLink"/>
                  <w:rFonts w:ascii="Times New Roman;sans-serif" w:hAnsi="Times New Roman;sans-serif"/>
                  <w:b w:val="false"/>
                  <w:strike w:val="false"/>
                  <w:dstrike w:val="false"/>
                  <w:color w:val="000000"/>
                  <w:sz w:val="20"/>
                  <w:u w:val="none"/>
                  <w:effect w:val="none"/>
                </w:rPr>
                <w:t>108</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60">
              <w:r>
                <w:rPr>
                  <w:rStyle w:val="InternetLink"/>
                  <w:rFonts w:ascii="Times New Roman;sans-serif" w:hAnsi="Times New Roman;sans-serif"/>
                  <w:b w:val="false"/>
                  <w:strike w:val="false"/>
                  <w:dstrike w:val="false"/>
                  <w:color w:val="000000"/>
                  <w:sz w:val="20"/>
                  <w:u w:val="none"/>
                  <w:effect w:val="none"/>
                </w:rPr>
                <w:t>Part III</w:t>
              </w:r>
            </w:hyperlink>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63">
              <w:r>
                <w:rPr>
                  <w:rStyle w:val="InternetLink"/>
                  <w:rFonts w:ascii="Times New Roman;sans-serif" w:hAnsi="Times New Roman;sans-serif"/>
                  <w:b w:val="false"/>
                  <w:strike w:val="false"/>
                  <w:dstrike w:val="false"/>
                  <w:color w:val="000000"/>
                  <w:sz w:val="20"/>
                  <w:u w:val="none"/>
                  <w:effect w:val="none"/>
                </w:rPr>
                <w:t>Item 10. Directors, Executive Officers and Corporate Governance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63">
              <w:r>
                <w:rPr>
                  <w:rStyle w:val="InternetLink"/>
                  <w:rFonts w:ascii="Times New Roman;sans-serif" w:hAnsi="Times New Roman;sans-serif"/>
                  <w:b w:val="false"/>
                  <w:strike w:val="false"/>
                  <w:dstrike w:val="false"/>
                  <w:color w:val="000000"/>
                  <w:sz w:val="20"/>
                  <w:u w:val="none"/>
                  <w:effect w:val="none"/>
                </w:rPr>
                <w:t>110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66">
              <w:r>
                <w:rPr>
                  <w:rStyle w:val="InternetLink"/>
                  <w:rFonts w:ascii="Times New Roman;sans-serif" w:hAnsi="Times New Roman;sans-serif"/>
                  <w:b w:val="false"/>
                  <w:strike w:val="false"/>
                  <w:dstrike w:val="false"/>
                  <w:color w:val="000000"/>
                  <w:sz w:val="20"/>
                  <w:u w:val="none"/>
                  <w:effect w:val="none"/>
                </w:rPr>
                <w:t>Item 11. Executive Compensation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66">
              <w:r>
                <w:rPr>
                  <w:rStyle w:val="InternetLink"/>
                  <w:rFonts w:ascii="Times New Roman;sans-serif" w:hAnsi="Times New Roman;sans-serif"/>
                  <w:b w:val="false"/>
                  <w:strike w:val="false"/>
                  <w:dstrike w:val="false"/>
                  <w:color w:val="000000"/>
                  <w:sz w:val="20"/>
                  <w:u w:val="none"/>
                  <w:effect w:val="none"/>
                </w:rPr>
                <w:t>110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69">
              <w:r>
                <w:rPr>
                  <w:rStyle w:val="InternetLink"/>
                  <w:rFonts w:ascii="Times New Roman;sans-serif" w:hAnsi="Times New Roman;sans-serif"/>
                  <w:b w:val="false"/>
                  <w:strike w:val="false"/>
                  <w:dstrike w:val="false"/>
                  <w:color w:val="000000"/>
                  <w:sz w:val="20"/>
                  <w:u w:val="none"/>
                  <w:effect w:val="none"/>
                </w:rPr>
                <w:t>Item 12. Security Ownership of Certain Beneficial Owners and Management and Related Stockholder Matters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69">
              <w:r>
                <w:rPr>
                  <w:rStyle w:val="InternetLink"/>
                  <w:rFonts w:ascii="Times New Roman;sans-serif" w:hAnsi="Times New Roman;sans-serif"/>
                  <w:b w:val="false"/>
                  <w:strike w:val="false"/>
                  <w:dstrike w:val="false"/>
                  <w:color w:val="000000"/>
                  <w:sz w:val="20"/>
                  <w:u w:val="none"/>
                  <w:effect w:val="none"/>
                </w:rPr>
                <w:t>110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72">
              <w:r>
                <w:rPr>
                  <w:rStyle w:val="InternetLink"/>
                  <w:rFonts w:ascii="Times New Roman;sans-serif" w:hAnsi="Times New Roman;sans-serif"/>
                  <w:b w:val="false"/>
                  <w:strike w:val="false"/>
                  <w:dstrike w:val="false"/>
                  <w:color w:val="000000"/>
                  <w:sz w:val="20"/>
                  <w:u w:val="none"/>
                  <w:effect w:val="none"/>
                </w:rPr>
                <w:t>Item 13. Certain Relationships and Related Transactions, and Director Independence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72">
              <w:r>
                <w:rPr>
                  <w:rStyle w:val="InternetLink"/>
                  <w:rFonts w:ascii="Times New Roman;sans-serif" w:hAnsi="Times New Roman;sans-serif"/>
                  <w:b w:val="false"/>
                  <w:strike w:val="false"/>
                  <w:dstrike w:val="false"/>
                  <w:color w:val="000000"/>
                  <w:sz w:val="20"/>
                  <w:u w:val="none"/>
                  <w:effect w:val="none"/>
                </w:rPr>
                <w:t>110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75">
              <w:r>
                <w:rPr>
                  <w:rStyle w:val="InternetLink"/>
                  <w:rFonts w:ascii="Times New Roman;sans-serif" w:hAnsi="Times New Roman;sans-serif"/>
                  <w:b w:val="false"/>
                  <w:strike w:val="false"/>
                  <w:dstrike w:val="false"/>
                  <w:color w:val="000000"/>
                  <w:sz w:val="20"/>
                  <w:u w:val="none"/>
                  <w:effect w:val="none"/>
                </w:rPr>
                <w:t>Item 14. Principal Accountant Fees and Services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75">
              <w:r>
                <w:rPr>
                  <w:rStyle w:val="InternetLink"/>
                  <w:rFonts w:ascii="Times New Roman;sans-serif" w:hAnsi="Times New Roman;sans-serif"/>
                  <w:b w:val="false"/>
                  <w:strike w:val="false"/>
                  <w:dstrike w:val="false"/>
                  <w:color w:val="000000"/>
                  <w:sz w:val="20"/>
                  <w:u w:val="none"/>
                  <w:effect w:val="none"/>
                </w:rPr>
                <w:t>110</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78">
              <w:r>
                <w:rPr>
                  <w:rStyle w:val="InternetLink"/>
                  <w:rFonts w:ascii="Times New Roman;sans-serif" w:hAnsi="Times New Roman;sans-serif"/>
                  <w:b w:val="false"/>
                  <w:strike w:val="false"/>
                  <w:dstrike w:val="false"/>
                  <w:color w:val="000000"/>
                  <w:sz w:val="20"/>
                  <w:u w:val="none"/>
                  <w:effect w:val="none"/>
                </w:rPr>
                <w:t>Part IV</w:t>
              </w:r>
            </w:hyperlink>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81">
              <w:r>
                <w:rPr>
                  <w:rStyle w:val="InternetLink"/>
                  <w:rFonts w:ascii="Times New Roman;sans-serif" w:hAnsi="Times New Roman;sans-serif"/>
                  <w:b w:val="false"/>
                  <w:strike w:val="false"/>
                  <w:dstrike w:val="false"/>
                  <w:color w:val="000000"/>
                  <w:sz w:val="20"/>
                  <w:u w:val="none"/>
                  <w:effect w:val="none"/>
                </w:rPr>
                <w:t>Item 15. Exhibits and Financial Statement Schedules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81">
              <w:r>
                <w:rPr>
                  <w:rStyle w:val="InternetLink"/>
                  <w:rFonts w:ascii="Times New Roman;sans-serif" w:hAnsi="Times New Roman;sans-serif"/>
                  <w:b w:val="false"/>
                  <w:strike w:val="false"/>
                  <w:dstrike w:val="false"/>
                  <w:color w:val="000000"/>
                  <w:sz w:val="20"/>
                  <w:u w:val="none"/>
                  <w:effect w:val="none"/>
                </w:rPr>
                <w:t>111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84">
              <w:r>
                <w:rPr>
                  <w:rStyle w:val="InternetLink"/>
                  <w:rFonts w:ascii="Times New Roman;sans-serif" w:hAnsi="Times New Roman;sans-serif"/>
                  <w:b w:val="false"/>
                  <w:strike w:val="false"/>
                  <w:dstrike w:val="false"/>
                  <w:color w:val="000000"/>
                  <w:sz w:val="20"/>
                  <w:u w:val="none"/>
                  <w:effect w:val="none"/>
                </w:rPr>
                <w:t>Item 16. Form 10-K Summary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84">
              <w:r>
                <w:rPr>
                  <w:rStyle w:val="InternetLink"/>
                  <w:rFonts w:ascii="Times New Roman;sans-serif" w:hAnsi="Times New Roman;sans-serif"/>
                  <w:b w:val="false"/>
                  <w:strike w:val="false"/>
                  <w:dstrike w:val="false"/>
                  <w:color w:val="000000"/>
                  <w:sz w:val="20"/>
                  <w:u w:val="none"/>
                  <w:effect w:val="none"/>
                </w:rPr>
                <w:t>113</w:t>
              </w:r>
            </w:hyperlink>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87">
              <w:r>
                <w:rPr>
                  <w:rStyle w:val="InternetLink"/>
                  <w:rFonts w:ascii="Times New Roman;sans-serif" w:hAnsi="Times New Roman;sans-serif"/>
                  <w:b w:val="false"/>
                  <w:strike w:val="false"/>
                  <w:dstrike w:val="false"/>
                  <w:color w:val="000000"/>
                  <w:sz w:val="20"/>
                  <w:u w:val="none"/>
                  <w:effect w:val="none"/>
                </w:rPr>
                <w:t>Signatures</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All statements other than statements of historical facts contained in this Annual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business model and strategic plans for our products, technologies and business, including our implementation thereof, the impact on our business, financial condition and results of operations from any global pandemic, epidemic or outbreak of an infectious disease in the United States or worldwide, the timing of and our ability to obtain and maintain regulatory approvals, our commercialization, marketing and manufacturing capabilities and strategy, our expectations about the commercial success and market acceptance of our products, the sufficiency of our cash and cash equivalents, and the plans and objectives of management for future operations and capital expenditures are forward-looking statements.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Annual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Annual Report and are subject to a number of known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0985"/>
                <wp:effectExtent l="0" t="0" r="0" b="0"/>
                <wp:wrapNone/>
                <wp:docPr id="3" name="Frame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unknown risks, uncertainties, and assumptions, including those described under the sections in this Annual Report entitled “Risk Factors” and “Management’s Discussion and Analysis of Financial Condition and Results of Operations” and elsewhere in this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180" w:after="283"/>
        <w:ind w:left="0" w:right="0" w:firstLine="36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a history of significant net losses, we expect to continue to incur operating losses for the foreseeable future and we may not be able to achieve or sustain profitability.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revenue is primarily generated from sales of our robotic systems and the accompanying single-use disposable handpieces, and we are therefore highly dependent on the success of those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commercial success of our products and Aquablation therapy will depend upon the degree of market acceptance of our products among hospitals, surgeons and patients.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limited experience in training and marketing and selling our products and we may provide inadequate training, fail to increase our sales and marketing capabilities or fail to develop and maintain broad brand awareness in a cost-effective manner.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not be able to maintain adequate levels of third-party coverage and reimbursement, and third parties may rescind or modify their coverage or delay payments related to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face competition from many sources, including larger companies, and we may be unable to compete successfully.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limited experience manufacturing our products in large-scale commercial quantities, and we face a number of manufacturing risks that may adversely affect our manufacturing abilities which could delay, prevent or impair our growth.</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depend upon third-party suppliers, including contract manufacturers and single source suppliers, making us vulnerable to supply shortages and price fluctuations that could negatively affect our business, financial condition and results of operations.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information technology systems, or those used by our contractors or consultants, may fail or suffer security breaches, and such failure could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60985"/>
                <wp:effectExtent l="0" t="0" r="0" b="0"/>
                <wp:wrapNone/>
                <wp:docPr id="4"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Cost-containment efforts of our customers, purchasing groups and governmental organizations could have a material adverse effect on our sales and profitability.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are highly dependent on our senior management team and key personnel, and our business could be harmed if we are unable to attract and retain personnel necessary for our success.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Changes to the reimbursement rates for BPH treatments and measures to reduce healthcare costs may adversely impact our business.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robotic systems and our operations are subject to extensive government regulation and oversight in the United States. If we fail to maintain necessary marketing authorizations for our robotic systems, or if approvals or clearances for future products or modifications to existing products are delayed or not issued, it will negatively affect our business, financial condition and results of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Even though we have obtained marketing authorization for our AquaBeam Robotic System and HYDROS Robotic System, we are subject to ongoing regulatory review and scrutiny. Failure to comply with post-marketing regulatory requirements could subject us to enforcement actions, including substantial penalties, and might require us to recall or withdraw a product from the market.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have to obtain, maintain and protect our intellectual property and failure to do so may adversely impact our competitive position.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become a party to intellectual property litigation or administrative proceedings that could be expensive, time-consuming, unsuccessful, and could interfere with our ability to sell and market our products or services.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AquaBeam Robotic System and HYDROS Robotic System and our other current and future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Patents covering our products could be found invalid or unenforceable if challenged in court or before administrative bodies globally.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market price of our common stock may be volatile or may decline steeply or suddenly regardless of our operating performance, which could result in substantial losses for purchasers of our common stock, and we may not be able to meet investor or analyst expectations.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Future securities issuances could result in significant dilution to our stockholders and impair the market price of our common stock.</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0985"/>
                <wp:effectExtent l="0" t="0" r="0" b="0"/>
                <wp:wrapNone/>
                <wp:docPr id="5" name="Frame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surgical robotics company focused on advancing patient care by developing transformative solutions in urology. We develop, manufacture and sell the AquaBeam Robotic System and HYDROS Robotic System, which are advanced, image-guided, surgical robotic systems for use in minimally invasive urologic surgery, with an initial focus on treating benign prostatic hyperplasia, or BPH. BPH is the most common prostate disease and impacts approximately 40 million men in the United States. Each of our robotic systems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robotic systems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over 150 peer-reviewed publications, supporting the benefits and clinical advantages of Aquablation therapy. As of December 31, 2024, we had an install base of 647 AquaBeam Robotic Systems and HYDROS Robotic Systems globally, including 505 in the United States.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BPH refers to the non-malignant enlargement of the prostate gland, a small gland in the male reproductive system. The prostate sits underneath the bladder and surrounds the top part of the urethra, which carries urine from the bladder.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it is estimated that approximately 40 million men are impacted by BPH. Of these men, approximately 12 million are being managed by a physician for symptoms related to their disease. Our total addressable patient population in the United States includes approximately 8.2 million patients, comprising of 6.7 million receiving drug therapy, 1.1 million who have tried but failed drug therapy and 400,000 undergoing surgical intervention each year. By 2060, it is expected that the number of men over 65 years old in the United States will double and include a corresponding increase in the number of men with enlarged prostates. Based on the average selling price of our single-use disposable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main goal of BPH treatment is to alleviate the symptoms associated with the disease and improve the patient’s quality of life. While drug therapy is typically a first line treatment option, limited efficacy and negative side effects contribute to low compliance and high failure rates and drop outs. On the other hand, surgical intervention is proven to provide effective and durable symptom relief compared to drug therapy, but the use of surgery is significantly under-penetrated. This is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developing our proprietary AquaBeam Robotic System in 2009 to address many of the shortcomings of alternative surgical interventions by delivering our Aquablation therapy, the first and only image-guided robotic therapy for the treatment of BPH. We believe our Aquablation therapy provides the following unique combination of benefits: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Significant and durable symptom relief.</w:t>
      </w:r>
      <w:r>
        <w:rPr>
          <w:color w:val="000000"/>
        </w:rPr>
        <w:t xml:space="preserve"> </w:t>
      </w:r>
      <w:r>
        <w:rPr>
          <w:rFonts w:ascii="Times New Roman;sans-serif" w:hAnsi="Times New Roman;sans-serif"/>
          <w:b w:val="false"/>
          <w:color w:val="000000"/>
          <w:sz w:val="20"/>
        </w:rPr>
        <w:t xml:space="preserve">Given obstructive prostate tissue is removed during the procedure, Aquablation therapy has demonstrated significant and long-lasting levels of symptom relief similar to those of alternative resective procedures. In our U.S. pivotal trial, Waterjet Ablation Therapy for Endoscopic Resection of prostate tissue, or the WATER study, Aquablation therapy demonstrated superior safety and non-inferior efficacy results compared to transurethral resection of the prostate, or TURP, the historical standard of care for the surgical treatment of BPH. In the WATER and WATER II studies, surgical retreatment rates were only 5.2% at five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0985"/>
                <wp:effectExtent l="0" t="0" r="0" b="0"/>
                <wp:wrapNone/>
                <wp:docPr id="6" name="Frame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3.0% at five years, respectively. In the OPEN WATER study, there were no surgical retreatments at one year. The retreatment rates in the WATER and WATER II studies compare favorably to surgical retreatment rates observed for alternative treatments for BPH. One study published in the BJU International Journal reported on 52,748 men undergoing TURP or photoselective vaporation of the prostate or PVP, with an approximated three-year freedom from surgical retreatment of 92% and 89%, respectively. A second study published in the Journal of Urology reported on 43,041 men undergoing TURP, PVP, enucleation, or open simple prostatectomy with an approximated three-year freedom from surgical retreatment of 93%, 89%, 94%, and 96%, respectively.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Favorable safety profile.</w:t>
      </w:r>
      <w:r>
        <w:rPr>
          <w:color w:val="000000"/>
        </w:rPr>
        <w:t xml:space="preserve"> </w:t>
      </w:r>
      <w:r>
        <w:rPr>
          <w:rFonts w:ascii="Times New Roman;sans-serif" w:hAnsi="Times New Roman;sans-serif"/>
          <w:b w:val="false"/>
          <w:color w:val="000000"/>
          <w:sz w:val="20"/>
        </w:rPr>
        <w:t>Aquablation therapy has demonstrated low rates of irreversible complications, including urinary incontinence, erectile dysfunction and ejaculatory dysfunction, compared to published rates observed for other resective surgeries. In our WATER study, patients who underwent Aquablation therapy maintained a significantly higher level of sexual function compared to those who underwent TURP.</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Resection independent of prostate size and shape and surgeon experience.</w:t>
      </w:r>
      <w:r>
        <w:rPr>
          <w:color w:val="000000"/>
        </w:rPr>
        <w:t xml:space="preserve"> </w:t>
      </w:r>
      <w:r>
        <w:rPr>
          <w:rFonts w:ascii="Times New Roman;sans-serif" w:hAnsi="Times New Roman;sans-serif"/>
          <w:b w:val="false"/>
          <w:color w:val="000000"/>
          <w:sz w:val="20"/>
        </w:rPr>
        <w:t>We designed Aquablation therapy to deliver outcomes that are effective, safe and durable for males suffering from LUTS due to BPH across all prostate sizes and shapes.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user interface of the conformal planning unit, or CPU, and automated robotic resection, and delivers resection that is independent of surgeon experience.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Personalized treatment planning and improved decision-making.</w:t>
      </w:r>
      <w:r>
        <w:rPr>
          <w:color w:val="000000"/>
        </w:rPr>
        <w:t xml:space="preserve"> </w:t>
      </w:r>
      <w:r>
        <w:rPr>
          <w:rFonts w:ascii="Times New Roman;sans-serif" w:hAnsi="Times New Roman;sans-serif"/>
          <w:b w:val="false"/>
          <w:color w:val="000000"/>
          <w:sz w:val="20"/>
        </w:rPr>
        <w:t>Aquablation therapy combines cystoscopic visualization, which uses a camera attached to a hollow tube, along with ultrasound imaging and advanced planning software to provide the surgeon with a multidimensional view of the treatment area and enables personalized treatment planning for the patient’s unique anatomy, improved decision-making and real-time monitoring during the procedure.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Targeted and controlled resection with consistent resection times.</w:t>
      </w:r>
      <w:r>
        <w:rPr>
          <w:color w:val="000000"/>
        </w:rPr>
        <w:t xml:space="preserve"> </w:t>
      </w:r>
      <w:r>
        <w:rPr>
          <w:rFonts w:ascii="Times New Roman;sans-serif" w:hAnsi="Times New Roman;sans-serif"/>
          <w:b w:val="false"/>
          <w:color w:val="000000"/>
          <w:sz w:val="20"/>
        </w:rPr>
        <w:t xml:space="preserve">Aquablation therapy utilizes automated robotic resection to remove prostate tissue using a precise, heat-free waterjet. These features enable targeted and controlled tissue removal with rapid resection times that are highly consistent across prostate sizes and shapes and surgeon experience.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 significant and growing body of clinical data that demonstrate the efficacy, safety and durability of Aquablation therapy, with resection that is independent of prostate size and shape and surgeon experience. Our robust body of clinical evidence includes nine clinical studies and over 150 peer-reviewed publications. Our WATER study is the only FDA pivotal study randomized against TURP.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We believe that as a result of our strong KOL network and our compelling clinical evidence, Aquablation therapy has been added to clinical guidelines of various professional associations, including the American Urological Association, European Association of Urology, Canadian Urological Association, German Urology Society, and National Institute for Health and Care Excellence.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Currently, in the United States, we primarily sell our products to hospitals, or end customers, and to a lesser extent, distribution partners, ambulatory surgery centers and leasing companies. The end customers in turn bill various third-party payors, such as commercial payors and government agencies, for reimbursement for the procedures using our products. Effective in 2021, all local Medicare Administrative Contractors, or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 We believe that our strong body of clinical evidence and support from key societies, supplemented by the momentum from Medicare coverage, have led to favorable coverage decisions from many large commercial payors, which we estimate allows access to Aquablation therapy to approximately 95% of all men in the United States. Outside of the United States, we have ongoing efforts in key markets to expand established coverage and improve payment which we believe will expand patient access to Aquablation therapy.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sell our products through our direct sales organization in the United States, which targets urologists across the United States, who we believe represent the primary physician specialty managing the care of patients with BPH. We target approximately 2,700 hospitals that perform resective BPH procedures in the United States. We estimate that approximately 50% of BPH patients who are on drug therapy as well as 50% who have failed drug therapy are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985"/>
                <wp:effectExtent l="0" t="0" r="0" b="0"/>
                <wp:wrapNone/>
                <wp:docPr id="7" name="Frame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care of a urologist, equating to approximately 3.9 million men. We believe we can reach these patients by continuing to educate our network of urologists about the clinical benefits of Aquablation therapy, provide comprehensive training programs and deepen our relationships with key urologists and various medical societies. Outside the United States, we sell our products using both our direct sales organization and, in certain regions, our network of distribution partners.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revenue of $224.5 million and $136.2 million for the years ended December 31, 2024 and 2023, respectively, and incurred a net loss of $91.4 million and $105.9 million for the years ended December 31, 2024 and 2023, respectively. As of December 31, 2024, we had an accumulated deficit of $546.0 million.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Our Growth Strategies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revolutionize BPH treatment globally in partnership with urologists by delivering best-in-class robotic solutions that positively impact patients and drive value. The key elements of our growth strategy are: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Grow our install base of robotic systems by driving adoption of Aquablation therapy among urologists.</w:t>
      </w:r>
      <w:r>
        <w:rPr>
          <w:color w:val="000000"/>
        </w:rPr>
        <w:t xml:space="preserve"> </w:t>
      </w:r>
      <w:r>
        <w:rPr>
          <w:rFonts w:ascii="Times New Roman;sans-serif" w:hAnsi="Times New Roman;sans-serif"/>
          <w:b w:val="false"/>
          <w:color w:val="000000"/>
          <w:sz w:val="20"/>
        </w:rPr>
        <w:t xml:space="preserve">In the United States, we are focused on driving adoption of Aquablation therapy among urologists that perform hospital-based resective BPH surgery. We estimate that approximately 290,000 of the 400,000 annual BPH surgeries are resective procedures performed across approximately 2,700 hospitals.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We have also established a strategic accounts team, to build relationships and sell to integrated delivery networks, or group purchasing organizations, among other strategic accounts. We also intend to increase awareness of Aquablation therapy by continuing to publish clinical data in various industry and scientific journals, present our clinical data at various industry conferences and sponsor peer-to-peer education programs and workshops.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Increase system utilization by establishing Aquablation therapy as the surgical treatment of choice for BPH.</w:t>
      </w:r>
      <w:r>
        <w:rPr>
          <w:color w:val="000000"/>
        </w:rPr>
        <w:t xml:space="preserve"> </w:t>
      </w:r>
      <w:r>
        <w:rPr>
          <w:rFonts w:ascii="Times New Roman;sans-serif" w:hAnsi="Times New Roman;sans-serif"/>
          <w:b w:val="false"/>
          <w:color w:val="000000"/>
          <w:sz w:val="20"/>
        </w:rPr>
        <w:t xml:space="preserve">Once we place a system within a customer, our objective is to establish Aquablation therapy as the surgical treatment of choice for BPH. Within each customer site,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 Over time, we intend to leverage our relationships with urologists to drive utilization of Aquablation therapy beyond the current surgical market.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of the clinical benefits of Aquablation therapy, provide comprehensive training programs and deepen our relationships with key urologists and various medical societies.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Continue to broaden private payor coverage.</w:t>
      </w:r>
      <w:r>
        <w:rPr>
          <w:color w:val="000000"/>
        </w:rPr>
        <w:t xml:space="preserve"> </w:t>
      </w:r>
      <w:r>
        <w:rPr>
          <w:rFonts w:ascii="Times New Roman;sans-serif" w:hAnsi="Times New Roman;sans-serif"/>
          <w:b w:val="false"/>
          <w:color w:val="000000"/>
          <w:sz w:val="20"/>
        </w:rPr>
        <w:t>Since the addition of Aquablation therapy to AUA clinical guidelines in May 2019, we have significantly grown coverage for Aquablation therapy in the United States. Effective in 2021, all local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determinations. We believe that these favorable coverage decisions have been a catalyst for adoption of our robotic systems. Our strong body of clinical evidence and support from key societies, supplemented by the momentum from Medicare coverage, have led to favorable coverage decisions from most large private payors, which we estimate allows access to Aquablation therapy for approximately 95% of all men in the United States. We plan to leverage these successes in our active discussions with private payors to establish additional positive national and regional coverage policies. Outside of the United States, we have ongoing efforts in key markets to expand established coverage and further improve patient access to Aquablation therapy.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Build upon our strong base of clinical evidence.</w:t>
      </w:r>
      <w:r>
        <w:rPr>
          <w:color w:val="000000"/>
        </w:rPr>
        <w:t xml:space="preserve"> </w:t>
      </w:r>
      <w:r>
        <w:rPr>
          <w:rFonts w:ascii="Times New Roman;sans-serif" w:hAnsi="Times New Roman;sans-serif"/>
          <w:b w:val="false"/>
          <w:color w:val="000000"/>
          <w:sz w:val="20"/>
        </w:rPr>
        <w:t>We are committed to continuing to build upon our foundation of clinical evidence, which we believe will help drive increased awareness and adoption of our products. To further strengthen this base, we plan to support new clinical studies aimed at advancing our commercial, regulatory, and reimbursement efforts. For example, we are supporting an investigator-initiated clinical study, called WATER III, which is a randomized controlled trial evaluating Aquablation therapy against laser enucleation in treating BPH patients with large prostate sizes.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0985"/>
                <wp:effectExtent l="0" t="0" r="0" b="0"/>
                <wp:wrapNone/>
                <wp:docPr id="8" name="Frame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 xml:space="preserve">Invest in high quality clinical research to support the use of Aquablation therapy for prostate cancer. </w:t>
      </w:r>
      <w:r>
        <w:rPr>
          <w:rFonts w:ascii="Times New Roman;sans-serif" w:hAnsi="Times New Roman;sans-serif"/>
          <w:b w:val="false"/>
          <w:color w:val="000000"/>
          <w:sz w:val="20"/>
        </w:rPr>
        <w:t>Currently, we are investing in two single arm prostate cancer clinical trials (PRCT001 (BPH+PCa) and PRCT002 (feasibility IDE for PCa)) and one randomized FDA approved pivotal Investigational Device Exemption, or IDE, clinical trial. This pivotal IDE clinical trial, known as WATER IV PCa, is a global multi-center, prospective, randomized clinical study designed to assess the safety and efficacy of Aquablation therapy compared to radical prostatectomy in men with Grade Group 1 to 3 localized prostate cancer. We believe our investment in level one clinical research will support future commercial, regulatory and reimbursement efforts to drive growth.</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Invest in research and development to drive continuous improvements and innovation.</w:t>
      </w:r>
      <w:r>
        <w:rPr>
          <w:color w:val="000000"/>
        </w:rPr>
        <w:t xml:space="preserve"> </w:t>
      </w:r>
      <w:r>
        <w:rPr>
          <w:rFonts w:ascii="Times New Roman;sans-serif" w:hAnsi="Times New Roman;sans-serif"/>
          <w:b w:val="false"/>
          <w:color w:val="000000"/>
          <w:sz w:val="20"/>
        </w:rPr>
        <w:t>We are currently developing additional and next generation technologies to support and improve Aquablation therapy to further satisfy the evolving needs of surgeons and their patients as well as to further enhance the usability and scalability of our products. We also plan to leverage our treatment data and software development capabilities to further integrate and advance artificial intelligence and machine learning.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 xml:space="preserve">Drive increased awareness of Aquablation therapy beyond the urology community. </w:t>
      </w:r>
      <w:r>
        <w:rPr>
          <w:rFonts w:ascii="Times New Roman;sans-serif" w:hAnsi="Times New Roman;sans-serif"/>
          <w:b w:val="false"/>
          <w:color w:val="000000"/>
          <w:sz w:val="20"/>
        </w:rPr>
        <w:t>As we expand our network of urologists and grow our install base, we intend to increase awareness and brand recognition of Aquablation therapy beyond urologists, primarily among primary care physicians who manage BPH patients. We estimate that approximately 3.9 million men, including approximately 3.3 million patients who are on drug therapy and 600,000 who have failed drug therapy, are under the care of a primary care physician. To achieve this objective, we will invest in marketing initiatives directed at primary care physicians in order to expand networks for BPH patients to visit a urologist. Once we have established a broader install base of systems, we may seek to further increase patient awareness through various direct-to-patient marketing initiatives.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Further penetrate and expand into existing and new international markets.</w:t>
      </w:r>
      <w:r>
        <w:rPr>
          <w:color w:val="000000"/>
        </w:rPr>
        <w:t xml:space="preserve"> </w:t>
      </w:r>
      <w:r>
        <w:rPr>
          <w:rFonts w:ascii="Times New Roman;sans-serif" w:hAnsi="Times New Roman;sans-serif"/>
          <w:b w:val="false"/>
          <w:color w:val="000000"/>
          <w:sz w:val="20"/>
        </w:rPr>
        <w:t>We plan to establish and strengthen our presence internationally. While the United States remains our primary focus in the near-term, we are growing our existing presence in other markets by continuing to promote the clinical benefits of Aquablation therapy, supporting investments in clinical studies to improve coverage and reimbursement and fostering relationships with KOLs. We plan to strategically invest in new markets based on our assessment of market size and opportunity and prospects for compelling reimbursement.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Market Overview</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Addressable Market Opportunity in BPH</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BPH is the number one reason men visit a urologist. BPH is estimated to occur in more than 50% of men in their 50s, growing to 70% of men in their 60s, and is the fourth most common diagnosed disease in men above 50 years old, ranking behind coronary artery disease, hypertension and type 2 diabetes. BPH often results in uncomfortable LUTS, which can have a significant impact on quality of life. If left untreated, BPH may eventually lead to more serious complications.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we estimate that approximately 40 million men are impacted by symptoms of BPH, with aging demographics expected to drive future growth. By 2060,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8.2 million patients, comprised of 6.7 million receiving drug therapy, 1.1 million who have tried but failed drug therapy and 400,000 undergoing surgical intervention each year. Based on the average selling price of our single-use disposable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Overview of the Prostate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prostate is a small gland in the male reproductive system. The prostate sits underneath the bladder and surrounds the top part of the urethra, which carries urine from the bladder.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985"/>
                <wp:effectExtent l="0" t="0" r="0" b="0"/>
                <wp:wrapNone/>
                <wp:docPr id="9" name="Frame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prostate is approximately the size of a walnut in men younger than 30 years old; as men age, the prostate grows larger. At puberty, testosterone levels in boys start to increase and the prostate grows to about eight times its size. The prostate continues to grow, doubling in size between the ages of 21 and 50 years, and almost doubles again in size between the ages of 50 and 80 years. Prostate size is generally measured in volume using milliliters, or ml.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BPH Disease Overview and Diagnosis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BPH refers to the non-malignant enlargement of the prostate gland.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the AUA guidelines, it is estimated that 90% of men between the ages of 45 and 80 will experience LUTS, and 50% of them will experience moderate-to-severe symptoms by the eighth decade of life, which we believe are predominantly caused by BPH. Furthermore, 50% of men between the ages of 51-60 have BPH pathology. According to our internal marketing survey, 99% of men diagnosed with BPH say symptoms impact their quality of life.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diagnosis of BPH typically involves a number of tests that are used to assess the degree of LUTS and determine whether the symptoms are caused by BPH or another condition. LUTS are classified as either mild, moderate or severe. Patients suffering from symptoms of BPH are typically first seen by a primary care physician, who may diagnose and manage the patient, or refer the patient to a urologist. Urologists are trained to perform surgery for various types of urologic conditions, including BPH.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BPH Treatment Options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main goal of BPH treatment is to alleviate the symptoms associated with the disease and improve the patient’s quality of life. As such, a patient’s recommended course of treatment is largely based on the patient’s degree of symptoms. Patients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Drug Therapy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Drug therapy is often the first step in actively treating mild-to-moderate symptoms of BPH. While there is no pharmacological cure for BPH, drugs may be used to manage symptoms. Without surgical intervention, most men with BPH who start drug therapy will need to continue it indefinitely in order to relieve symptoms. While drug therapy can provide relief for some men, two out of three patients are not satisfied with the effectiveness of their medication.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Surgical Intervention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Surgical intervention is recommended for patients who have failed or are unwilling to consider drug therapy, or are suffering from complications due to their BPH. Although more invasive than drug therapy, surgical intervention generally provides more significant, longer-lasting symptom relief.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two categories of surgical intervention, resective, where obstructive tissue is removed at the time of intervention, and non-resective, where obstructive tissue is not removed, but rather the prostatic urethra is re-shaped.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Resective Procedures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Resective prostate procedures generally provide more significant and longer-lasting symptom relief than non-resective procedures, but may result in a higher incidence of irreversible complications, including urinary incontinence, erectile dysfunction and ejaculatory dysfunction.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0985"/>
                <wp:effectExtent l="0" t="0" r="0" b="0"/>
                <wp:wrapNone/>
                <wp:docPr id="10" name="Frame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Resective surgeries may be performed endoscopically, allowing the procedure to be completed through a tubular instrument, or via an open or a laparoscopic procedure, called a simple prostatectomy.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Endoscopic procedures access the prostate through the urethra, so no incisions are made in the patient’s abdomen. Common alternative endoscopic resective procedures include: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Transurethral Resection of the Prostate.</w:t>
      </w:r>
      <w:r>
        <w:rPr>
          <w:color w:val="000000"/>
        </w:rPr>
        <w:t xml:space="preserve"> </w:t>
      </w:r>
      <w:r>
        <w:rPr>
          <w:rFonts w:ascii="Times New Roman;sans-serif" w:hAnsi="Times New Roman;sans-serif"/>
          <w:b w:val="false"/>
          <w:color w:val="000000"/>
          <w:sz w:val="20"/>
        </w:rPr>
        <w:t>TURP is a resective procedure which uses electrocautery to cut and remove prostate tissue. Despite being used for almost a century, this procedure is still the most frequently performed resective surgery and is considered the historical standard of care for the surgical treatment of BPH for prostates less than 80 ml.</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Photoselective Vaporization of the Prostate, or PVP.</w:t>
      </w:r>
      <w:r>
        <w:rPr>
          <w:color w:val="000000"/>
        </w:rPr>
        <w:t xml:space="preserve"> </w:t>
      </w:r>
      <w:r>
        <w:rPr>
          <w:rFonts w:ascii="Times New Roman;sans-serif" w:hAnsi="Times New Roman;sans-serif"/>
          <w:b w:val="false"/>
          <w:color w:val="000000"/>
          <w:sz w:val="20"/>
        </w:rPr>
        <w:t xml:space="preserve">PVP is a transurethral form of treatment that utilizes a laser fiber to vaporize prostate tissue sequentially outwards until the surgeon creates a sufficient cavity through which the patient may now void. PVP is generally used in patients with small- to average-sized prostates and can be used in patients who are at high risk of bleeding complications.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Laser Enucleation of the Prostate.</w:t>
      </w:r>
      <w:r>
        <w:rPr>
          <w:color w:val="000000"/>
        </w:rPr>
        <w:t xml:space="preserve"> </w:t>
      </w:r>
      <w:r>
        <w:rPr>
          <w:rFonts w:ascii="Times New Roman;sans-serif" w:hAnsi="Times New Roman;sans-serif"/>
          <w:b w:val="false"/>
          <w:color w:val="000000"/>
          <w:sz w:val="20"/>
        </w:rPr>
        <w:t xml:space="preserve">Laser enucleation utilizes a surgical laser to manually resect prostate tissue through the urethra. This procedure allows the surgeon to follow anatomic planes to separate entire lobes of the prostate. In general, separated prostate lobes are then pushed into the bladder and suctioned out via a special tool. Laser enucleation is prostate size-independent; however, this procedure is more commonly used in larger prostates, and adoption has been limited due to the high degree of skill, training and experience required.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simple prostatectomy is an invasive, open procedure that requires one or more incisions to be made in the patient’s abdomen to access and remove part or all of the prostate. This procedure is typically a last resort treatment for BPH in patients with very large prostates or those patients with severe complications due to BPH. This surgery may be done manually, or with the assistance of a robot, but in either case is a procedure that requires a high degree of surgeon skill.</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Non-Resective Procedures</w:t>
      </w:r>
      <w:r>
        <w:rPr>
          <w:color w:val="000000"/>
        </w:rPr>
        <w:t xml:space="preserv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non-resective procedures, prostate tissue is not removed at the time of surgery. By not removing tissue, symptom relief is generally less significant and durable compared to resective procedures. Non-resective procedures are generally approved for small- to average-sized prostates.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Limitations of Alternative Surgical Interventions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Two factors that surgeons and patients commonly consider when evaluating surgical intervention are efficacy and safety. Efficacy is generally measured by the degree and durability of symptom relief, and safety by the occurrence of irreversible complications such as urinary incontinence, erectile dysfunction and ejaculatory dysfunction. We believe that alternative surgical interventions for BPH require patients to compromise between efficacy and safety. 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We believe that the compromise and limitations associated with alternative surgical interventions have contributed to the relatively low penetration rate of surgical intervention.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Limitations of Endoscopic Resective Procedures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endoscopic resective surgeries such as TURP and laser-based procedures may provide BPH patients with durable symptom relief, these procedures have a number of limitations,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High rates of irreversible complications.</w:t>
      </w:r>
      <w:r>
        <w:rPr>
          <w:color w:val="000000"/>
        </w:rPr>
        <w:t xml:space="preserve"> </w:t>
      </w:r>
      <w:r>
        <w:rPr>
          <w:rFonts w:ascii="Times New Roman;sans-serif" w:hAnsi="Times New Roman;sans-serif"/>
          <w:b w:val="false"/>
          <w:color w:val="000000"/>
          <w:sz w:val="20"/>
        </w:rPr>
        <w:t>Irreversible complications are a common side effect of endoscopic resective procedures. Published studies have shown rates of erectile dysfunction as high as 14%, 20% and 8%, ejaculatory dysfunction as high as 89%, 50% and 77%, and incontinence as high as 2%, 2%, and 33% for TURP, PVP and laser enucleation, respectively. We believe the high rates of irreversible complications are in large part due to these technologies utilizing heat to remove prostate tissue, which may lead to unintended thermal damage to critical parts of the anatomy. Furthermore, minimal intraoperative visualization, which is generally limited to a cystoscope, provides limited visibility of the prostate and makes it difficult for the surgeon to see and preserve critical parts of the prostate during tissue resection. This results in highly variable depth of tissue penetration, damage to tissue which may extend deeper than cavity created, a potential for unintended prostate capsule perforation, potential damage to nerve bundle responsible for erectile function, and delayed healing of prostatic urethra.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985"/>
                <wp:effectExtent l="0" t="0" r="0" b="0"/>
                <wp:wrapNone/>
                <wp:docPr id="11" name="Frame1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Prostate size limitations.</w:t>
      </w:r>
      <w:r>
        <w:rPr>
          <w:color w:val="000000"/>
        </w:rPr>
        <w:t xml:space="preserve"> </w:t>
      </w:r>
      <w:r>
        <w:rPr>
          <w:rFonts w:ascii="Times New Roman;sans-serif" w:hAnsi="Times New Roman;sans-serif"/>
          <w:b w:val="false"/>
          <w:color w:val="000000"/>
          <w:sz w:val="20"/>
        </w:rPr>
        <w:t>While TURP is considered the standard of care for surgical treatment of BPH, it is generally reserved for small- to average-sized prostates below 80 ml given the length and manual nature of the procedure. For laser-based therapies, PVP is also most commonly used for small- to average-sized prostates, while laser enucleation is generally reserved for treating patients with larger prostates.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Experience dependent outcomes and long learning curves.</w:t>
      </w:r>
      <w:r>
        <w:rPr>
          <w:color w:val="000000"/>
        </w:rPr>
        <w:t xml:space="preserve"> </w:t>
      </w:r>
      <w:r>
        <w:rPr>
          <w:rFonts w:ascii="Times New Roman;sans-serif" w:hAnsi="Times New Roman;sans-serif"/>
          <w:b w:val="false"/>
          <w:color w:val="000000"/>
          <w:sz w:val="20"/>
        </w:rPr>
        <w:t xml:space="preserve">Endoscopic resective procedures rely on manual resection of the prostate, with clinical outcomes often highly dependent on the surgeon’s experience level. For example, a study of a large number of patients undergoing TURP found that the rate of reoperation was 1.2-fold higher in men treated by surgeons who had performed 172 or fewer TURP procedures versus surgeons that had performed more than 402 TURP procedures. In addition, a study of 200 procedures by a surgeon performing PVP showed that the surgeon required at least 120 procedures to achieve optimal clinical outcomes. Furthermore, a study of surgeons learning to perform laser enucleation demonstrated that one-third of the surgeons failed to complete the training program.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Inconsistent and lengthy resection times.</w:t>
      </w:r>
      <w:r>
        <w:rPr>
          <w:color w:val="000000"/>
        </w:rPr>
        <w:t xml:space="preserve"> </w:t>
      </w:r>
      <w:r>
        <w:rPr>
          <w:rFonts w:ascii="Times New Roman;sans-serif" w:hAnsi="Times New Roman;sans-serif"/>
          <w:b w:val="false"/>
          <w:color w:val="000000"/>
          <w:sz w:val="20"/>
        </w:rPr>
        <w:t>Endoscopic resective procedures require manual resection of prostate tissue performed under limited visualization. This manual process contributes to highly inconsistent and lengthy resection times that are strongly correlated with prostate size.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Limitations of a Simple Prostatectomy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a simple prostatectomy typically provides maximum symptom relief by removing part or all of the prostate gland, this procedure is generally considered a treatment of last resort reserved for patients with large prostates. Limitations of a simple prostatectomy include: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Surgical safety concerns.</w:t>
      </w:r>
      <w:r>
        <w:rPr>
          <w:color w:val="000000"/>
        </w:rPr>
        <w:t xml:space="preserve"> </w:t>
      </w:r>
      <w:r>
        <w:rPr>
          <w:rFonts w:ascii="Times New Roman;sans-serif" w:hAnsi="Times New Roman;sans-serif"/>
          <w:b w:val="false"/>
          <w:color w:val="000000"/>
          <w:sz w:val="20"/>
        </w:rPr>
        <w:t>Even when performed robotically, a simple prostatectomy still requires incisions to be made in the patient’s abdomen in order to access the prostate gland. Bleeding events are a key risk in these types of procedures, with transfusion rates as high as 25%.</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High rates of irreversible complications.</w:t>
      </w:r>
      <w:r>
        <w:rPr>
          <w:color w:val="000000"/>
        </w:rPr>
        <w:t xml:space="preserve"> </w:t>
      </w:r>
      <w:r>
        <w:rPr>
          <w:rFonts w:ascii="Times New Roman;sans-serif" w:hAnsi="Times New Roman;sans-serif"/>
          <w:b w:val="false"/>
          <w:color w:val="000000"/>
          <w:sz w:val="20"/>
        </w:rPr>
        <w:t>Similar to endoscopic resective procedures, open procedures commonly result in high rates of irreversible complications, with studies showing erectile, ejaculatory dysfunction and incontinence rates as high as 2-3%, 90% and 8%, respectively.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Long hospital stays and recovery time.</w:t>
      </w:r>
      <w:r>
        <w:rPr>
          <w:color w:val="000000"/>
        </w:rPr>
        <w:t xml:space="preserve"> </w:t>
      </w:r>
      <w:r>
        <w:rPr>
          <w:rFonts w:ascii="Times New Roman;sans-serif" w:hAnsi="Times New Roman;sans-serif"/>
          <w:b w:val="false"/>
          <w:color w:val="000000"/>
          <w:sz w:val="20"/>
        </w:rPr>
        <w:t>Given the invasiveness of open procedures, long hospital stays and post-procedure recovery are common. In addition, patients typically stay in the hospital for an average of five days after surgery and have long recovery times.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Our Solution</w:t>
      </w:r>
    </w:p>
    <w:p>
      <w:pPr>
        <w:pStyle w:val="TextBody"/>
        <w:bidi w:val="0"/>
        <w:spacing w:lineRule="auto" w:line="288" w:before="180" w:after="283"/>
        <w:ind w:left="0" w:right="0" w:firstLine="360"/>
        <w:jc w:val="left"/>
        <w:rPr/>
      </w:pPr>
      <w:r>
        <w:rPr>
          <w:rFonts w:ascii="Times New Roman;sans-serif" w:hAnsi="Times New Roman;sans-serif"/>
          <w:b w:val="false"/>
          <w:color w:val="000000"/>
          <w:sz w:val="17"/>
        </w:rPr>
        <w:t>O</w:t>
      </w:r>
      <w:r>
        <w:rPr>
          <w:rFonts w:ascii="Times New Roman;sans-serif" w:hAnsi="Times New Roman;sans-serif"/>
          <w:b w:val="false"/>
          <w:color w:val="000000"/>
          <w:sz w:val="20"/>
        </w:rPr>
        <w:t>ur first generation AquaBeam Robotic System, an advanced, image-guided, surgical robotic system for use in minimally invasive urologic surgery, received De Novo FDA approval in December 2017. In August 2024, we received FDA 510(k) clearance of our next-generation platform – the HYDROS Robotic System. Our proprietary AquaBeam Robotic System and HYDROS Robotic System each deliver our Aquablation therapy, the first and only image-guided robotic therapy for the treatment of BPH. In August 2023, we received 510(k) clearance from FDA to remove the contraindication from our labeling that restricted Aquablation therapy from treating BPH in patients that also have an active diagnosis of prostate cancer.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Robotic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985"/>
                <wp:effectExtent l="0" t="0" r="0" b="0"/>
                <wp:wrapNone/>
                <wp:docPr id="12" name="Frame1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before="180" w:after="283"/>
        <w:jc w:val="center"/>
        <w:rPr/>
      </w:pPr>
      <w:r>
        <w:rPr/>
        <w:drawing>
          <wp:inline distT="0" distB="0" distL="0" distR="0">
            <wp:extent cx="3219450" cy="29337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3219450" cy="2933700"/>
                    </a:xfrm>
                    <a:prstGeom prst="rect">
                      <a:avLst/>
                    </a:prstGeom>
                  </pic:spPr>
                </pic:pic>
              </a:graphicData>
            </a:graphic>
          </wp:inline>
        </w:drawing>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design and market two robotic systems: the next-generation HYDROS Robotic System where cleared, and the first-generation AquaBeam Robotic System. Both systems leverage a heat-free waterjet for automatic robotic execution, reducing the risk of complications associated with prolonged thermal injury. They also feature real-time image guidance that integrates intraoperative ultrasound imaging with cystoscopic visualization, offering a multidimensional view of the treatment area to enhance decision-making and enable real-time monitoring during procedures.</w:t>
      </w:r>
    </w:p>
    <w:p>
      <w:pPr>
        <w:pStyle w:val="TextBody"/>
        <w:bidi w:val="0"/>
        <w:spacing w:lineRule="auto" w:line="288" w:before="180" w:after="283"/>
        <w:ind w:left="0" w:right="0" w:firstLine="30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robotic systems support personalized treatment planning through advanced software and ultrasound imaging, allowing surgeons to map the treatment contour to precisely target the resection area and optimize tissue removal based on each patient’s unique anatomy. With the introduction of the HYDROS Robotic System in August 2024, we unveiled the FirstAssist AI feature. This innovation combines ultrasound imaging with advanced planning software to assist urologists in identifying key anatomical landmarks, enabling precise targeting of the resection area using the waterjet. By tailoring the tissue removal plan to individual anatomy, the FirstAssist AI feature aims to enhance procedural accuracy and outcomes. </w:t>
      </w:r>
    </w:p>
    <w:p>
      <w:pPr>
        <w:pStyle w:val="TextBody"/>
        <w:bidi w:val="0"/>
        <w:spacing w:lineRule="auto" w:line="288" w:before="180" w:after="283"/>
        <w:ind w:left="0" w:right="0" w:firstLine="30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Structurally, the HYDROS Robotic System fully integrates an advanced ultrasound system and a digital cystoscope providing the ability to improve visualization and streamline the operating room setup process. Additionally, the HYDROS Handpiece comes pre-assembled with a single-use digital scope eliminating the need for reprocessing the cystoscope between procedures. </w:t>
      </w:r>
    </w:p>
    <w:p>
      <w:pPr>
        <w:pStyle w:val="TextBody"/>
        <w:bidi w:val="0"/>
        <w:spacing w:lineRule="auto" w:line="288" w:before="180" w:after="283"/>
        <w:ind w:left="0" w:right="0" w:firstLine="309"/>
        <w:jc w:val="left"/>
        <w:rPr>
          <w:rFonts w:ascii="Times New Roman;sans-serif" w:hAnsi="Times New Roman;sans-serif"/>
          <w:b w:val="false"/>
          <w:color w:val="000000"/>
          <w:sz w:val="20"/>
        </w:rPr>
      </w:pPr>
      <w:r>
        <w:rPr>
          <w:rFonts w:ascii="Times New Roman;sans-serif" w:hAnsi="Times New Roman;sans-serif"/>
          <w:b w:val="false"/>
          <w:color w:val="000000"/>
          <w:sz w:val="20"/>
        </w:rPr>
        <w:t>These advanced features are designed to further deliver safe, effective, and durable outcomes for men suffering from lower urinary tract symptoms (LUTS) caused by BPH, regardless of prostate size and shapes and resection independent of surgeon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Key Benefits of Aquablation Therapy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Aquablation therapy addresses the compromise between safety and efficacy of alternative surgical interventions, providing the following unique benefits: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and durable symptom relief;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favorable safety profile compared to other BPH resective procedures;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outcomes consistent across all prostate sizes and shapes and resection independent of surgeon experience;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personalized treatment planning and improved decision-making; and</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targeted and controlled resection with consistent resection times.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Clinical Results and Studies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body of clinical evidence supports the efficacy, safety and durability of Aquablation therapy across prostate sizes and shapes as well as surgeon experience. This robust body of evidence includes more than 150 peer-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985"/>
                <wp:effectExtent l="0" t="0" r="0" b="0"/>
                <wp:wrapNone/>
                <wp:docPr id="14" name="Frame1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reviewed publications in premier journals, such as the Journal of Urology, European Urology and BJU International, as well as nine clinical studies, including our three core studies: WATER, WATER II and OPEN WATER.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Prostate Therapy</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WATER.</w:t>
      </w:r>
      <w:r>
        <w:rPr>
          <w:color w:val="000000"/>
        </w:rPr>
        <w:t xml:space="preserve"> </w:t>
      </w:r>
      <w:r>
        <w:rPr>
          <w:rFonts w:ascii="Times New Roman;sans-serif" w:hAnsi="Times New Roman;sans-serif"/>
          <w:b w:val="false"/>
          <w:color w:val="000000"/>
          <w:sz w:val="20"/>
        </w:rPr>
        <w:t>The WATER study was double-blind, randomized, controlled study of Aquablation therapy against TURP in men with prostate sizes between 30 ml and 80 ml. This study is the only FDA pivotal trial for BPH randomized against TURP. The study was designed with 80% power to show superiority in safety and more than 80% power to show non-inferiority in efficacy. The results of our WATER study served as the basis for FDA grant of our De Novo request and were first published in the Journal of Urology in 2018. The study has concluded with five-year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WATER II.</w:t>
      </w:r>
      <w:r>
        <w:rPr>
          <w:color w:val="000000"/>
        </w:rPr>
        <w:t xml:space="preserve"> </w:t>
      </w:r>
      <w:r>
        <w:rPr>
          <w:rFonts w:ascii="Times New Roman;sans-serif" w:hAnsi="Times New Roman;sans-serif"/>
          <w:b w:val="false"/>
          <w:color w:val="000000"/>
          <w:sz w:val="20"/>
        </w:rPr>
        <w:t>The WATER II study was a prospective, multicenter study of Aquablation therapy in patients with prostate sizes between 80 ml and 150 ml. The study was designed with 80% power for safety and 99% power for efficacy against an objective performance criteria, or OPC, based upon TURP data, even though TURP procedures are typically performed in smaller prostates. The results of the WATER II study served as the basis for increased reimbursement and coverage and were first published in BJU International in 2019. The study has concluded with five-year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OPEN WATER.</w:t>
      </w:r>
      <w:r>
        <w:rPr>
          <w:color w:val="000000"/>
        </w:rPr>
        <w:t xml:space="preserve"> </w:t>
      </w:r>
      <w:r>
        <w:rPr>
          <w:rFonts w:ascii="Times New Roman;sans-serif" w:hAnsi="Times New Roman;sans-serif"/>
          <w:b w:val="false"/>
          <w:color w:val="000000"/>
          <w:sz w:val="20"/>
        </w:rPr>
        <w:t>The OPEN WATER study was a prospective, multicenter, all-comer study conducted in a commercial setting spanning patients with prostate sizes between 20 ml and 150 ml. Due to the size of this study, it was sufficiently powered to statistical conclusions with the data. There was no OPC established for this study. The results of the OPEN WATER study were first published in Journal of Clinical Medicine in 2020. The study has concluded with one-year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Cancer Therapy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PRCT001</w:t>
      </w:r>
      <w:r>
        <w:rPr>
          <w:rFonts w:ascii="Times New Roman;sans-serif" w:hAnsi="Times New Roman;sans-serif"/>
          <w:b w:val="false"/>
          <w:color w:val="000000"/>
          <w:sz w:val="20"/>
        </w:rPr>
        <w:t xml:space="preserve">. The PRCT001 study is a global, prospective, post-market, multi-center study of Aquablation therapy in patients with BPH and localized prostate cancer. The study is designed to assess safety in this population. The samples size of the study is 125 and is planned to be conducted in the United States, Hong Kong, Lebanon, Canada, and Portugal.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PRCT002</w:t>
      </w:r>
      <w:r>
        <w:rPr>
          <w:rFonts w:ascii="Times New Roman;sans-serif" w:hAnsi="Times New Roman;sans-serif"/>
          <w:b w:val="false"/>
          <w:color w:val="000000"/>
          <w:sz w:val="20"/>
        </w:rPr>
        <w:t>. The PRCT002 study is an investigational device exemption, or IDE (G230155), prospective, post-market, multi-center study of Aquablation therapy in patients with localized prostate cancer. The study has completed enrollment across three centers in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 xml:space="preserve">WATER IV PCa. </w:t>
      </w:r>
      <w:r>
        <w:rPr>
          <w:rFonts w:ascii="Times New Roman;sans-serif" w:hAnsi="Times New Roman;sans-serif"/>
          <w:b w:val="false"/>
          <w:color w:val="000000"/>
          <w:sz w:val="20"/>
        </w:rPr>
        <w:t>WATER IV PCa is a global multicenter, prospective, randomized clinical study designed to assess the safety and efficacy of Aquablation therapy compared to radical prostatectomy in men with Grade Group 1 to 3 localized prostate cancer. There is a co-primary endpoint based on morbidity evaluated at the six-month follow-up. A key secondary endpoint is to measure the rate of Grade Group progression in the Aquablation therapy arm, which will be evaluated at the twelve-month follow-up. The study is planned to enroll up to 280 patients at up to 50 centers and follow them for 10 years. The patients will be randomized on a 3:1 basis, with 210 patients receiving Aquablation therapy and 70 patients receiving radical prostatectomy. Longer-term follow-up focuses on both the reduction in treatment related harm and oncologic events.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Commercial Activities in the United States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designed our commercial strategy and built our direct sales team to target primarily urologists across the United States, who we believe represent the primary physician specialty managing the care of patients with BPH. We estimate that there are approximately 12,000 urologists who manage approximately 4.3 million BPH patients, comprised of 400,000 undergoing BPH surgery annually, 3.3 million who are on drug therapy and 600,000 who have tried but failed drug therapy. We are first focused on driving adoption of Aquablation therapy among urologists who perform hospital-based BPH resective surgery. We target the 2,700 hospitals where we estimate approximately 290,000 respective BPH surgeries of the 400,000 BPH surgeries are performed annually. Within each hospital, we are focused on targeting urologists who perform medium-to-high volumes of resective procedures and converting their resective cases to Aquablation therapy. As urologists gain experience with Aquablation therapy, we will leverage their experiences to capture more surgical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985"/>
                <wp:effectExtent l="0" t="0" r="0" b="0"/>
                <wp:wrapNone/>
                <wp:docPr id="15" name="Frame1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establish Aquablation therapy as the surgical standard of care. We also intend to leverage our relationships with urologists to drive utilization of Aquablation therapy beyond the current surgical market.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direct sales organization actively engages with providers to drive awareness, adoption and utilization of our Aquablation therapy. This team is supported by clinical specialists who are responsible for training and supporting surgeons, reimbursement specialists, who are responsible for customer and physician education on coding, coverage and payment, and field support employees, who provide preventative maintenance and technical support for our customers. We intend to expand the size of our direct sales organization to support our efforts for adoption and utilization of Aquablation therapy.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sales efforts, we support our sales organization with marketing and market development initiatives. We plan to continue to expand and enhance our marketing capabilities to support our growing commercial organization and customer base. Our near-term marketing efforts center principally on increasing awareness and driving adoption of Aquablation therapy among urologists by continuing to publish clinical data in various industry and scientific journals, present our clinical data at various industry conferences, expand our network of KOLs and sponsor peer-to-peer education programs and workshops. We believe these initiatives will further deepen our relationships with urologists and key medical societies, contributing to our goal of Aquablation therapy becoming the surgical standard of care for BPH surgery. Longer-term, as we expand our network of urologists and grow our install base, we intend to increase awareness and brand recognition of Aquablation therapy beyond urologists, primarily among primary care physicians who manage BPH patients. To achieve this objective, we will invest in marketing initiatives directed at primary care physicians in order to expand networks for BPH patients to visit a urologist. Once we have established a broader install base of systems, we may seek to further increase patient awareness through various direct-to-patient marketing initiatives.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Commercial Activities Outside of the United States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we utilize both a direct sales organization and, in certain regions, a network of distribution partners. In the United Kingdom and Japan specifically, we have increased the size of our direct sales force following recent reimbursement decisions specific to Aquablation therapy in those countries. In markets where our coverage is limited, we collaborate with distribution partners to support market development and sales efforts. We strategically select partners with clinical and marketing expertise to help us enter new markets. Our focus is on partners who can assist with surgeon training and, when necessary, securing regulatory approvals.</w:t>
      </w: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Third-Party Reimbursement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primary end users of our products are hospitals. These end users in turn bill various third-party payors, such as commercial payors and government agencies, for reimbursement for the procedures using our products. Our market access team includes professionals who are focused on all key aspects of reimbursement, which include securing appropriate coding, payment and coverage policies for our products and procedures using our products. This team focuses both on payer engagement as well as providing support to the providers.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by governmental and third-party payors may depend upon a number of factors, including the determination that the product or service and its use or administration for a particular patient is: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covered benefit;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supported by guidelines established by the relevant professional societies;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exists among third-party payors. Therefore, coverage and reimbursement for procedures can differ significantly from payor to payor. Obtaining coverage and reimbursement can be a time-consuming process that could require supporting scientific, clinical and cost-effectiveness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985"/>
                <wp:effectExtent l="0" t="0" r="0" b="0"/>
                <wp:wrapNone/>
                <wp:docPr id="16" name="Frame1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Payors continually review new and existing technologies for possible coverage and can, without notice, deny or reverse coverage for new or existing products and procedures. Further, future coverage and reimbursement may be subject to increased restrictions, such as additional prior authorization requirements, both in the United States and in international markets. In addition, Medicare Administrative Contractors could issue a local coverage determination decision that could restrict the patients eligible for a treatment with our products. Third-party coverage and reimbursement may not be available or adequate in either the United States or international markets. Further, other BPH treatments may be more widely covered or subject to different co-pay policies and requirements, which could impact demand for our products.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Coding and Payment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payors require physicians and hospitals to identify the service for which they are seeking reimbursement by using Current Procedural Terminology, or CPT, codes, which are created and maintained by the American Medical Association, or AMA. The surgical treatment of BPH using Aquablation therapy is described by CPT code 0421T, which is the code describing transurethral waterjet ablation of the prostate, a Category III code published by the AMA in January 2017. In May 2024, the AMA established a new CPT Category I code for Aquablation therapy to treat BPH. The Category I code will replace the existing Category III CPT code starting January 1, 2026.</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Physician reimbursement under Medicare generally is based on a defined fee schedule, the Medicare Physician Fee Schedule, through which payment amounts are determined by a calculation of various inputs related to the professional service rendered. Physician payment rates for Category III codes are determined by the MACs and vary from jurisdiction to jurisdiction. The payment to the physician using CPT code 0421T is currently similar to that for a TURP procedure.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payment to the physician for professional services, Medicare provides reimbursement to our hospital customers for procedures under the hospital outpatient prospective payment system, or HOPPS, and inpatient prospective payment system, or IPPS. The HOPPS and IPPS provide bundled amounts generally intended to reimburse the hospital for all facility costs related to procedures performed in the hospital outpatient setting and inpatient setting, respectively. Medicare also provides reimbursement for procedures performed in ambulatory surgery centers. Reimbursement rates from commercial payors vary depending on the commercial payor, contract terms, and other factors.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Commercial Payor and Government Program Coverage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core pillar of our reimbursement strategy involves broadening our third-party payor coverage. We continue to have active discussions with commercial payors to establish positive national coverage policies. We believe that our strong body of clinical evidence and support from key societies, supplemented by the momentum from Medicare coverage, have led to favorable coverage decisions from many large commercial payors – which we estimate allows access to Aquablation therapy to approximately 95% of all men in the United States.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27, 2020, all MACs cover procedures involving Aquablation therapy for Medicare patients (including Medicare Advantage plans). We believe Medicare accounts for approximately 50% of all hospital-based resective BPH procedures performed in the United States.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Prior Authorization Approval Process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customers, our reimbursement strategy includes leveraging our market access team as advisors when needed to support in obtaining appropriate prior authorization approvals in advance of treatment. We believe we are highly effective in providing education to obtain prior authorizations when needed.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Reimbursement Outside of the United States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reimbursement levels vary significantly by country, and within some countries by region, as well as by payor type. Reimbursement is obtained from a variety of sources, including government sponsors, hospital budgets or private health insurance plans, or combinations thereof. Obtaining reimbursement is a key part of our market development strategy outside of the United States.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In the EU, pricing and reimbursement schemes vary widely from country to country. Some countries may require the completion of additional studies that compare the cost-effectiveness of a particular product candidate to currently available therapies (so called health technology assessments) in order to obtain reimbursement. The Health Technology Assessment, or HTA, which is currently governed by the national laws of the individual EU Member States, is the procedure according to which the assessment of the public health impact, therapeutic, impact and the economic and societal impact</w:t>
      </w:r>
      <w:r>
        <w:rPr>
          <w:color w:val="000000"/>
        </w:rPr>
        <w:t xml:space="preserve"> </w:t>
      </w:r>
      <w:r>
        <w:rPr>
          <w:rFonts w:ascii="Times New Roman;sans-serif" w:hAnsi="Times New Roman;sans-serif"/>
          <w:b w:val="false"/>
          <w:color w:val="000000"/>
          <w:sz w:val="20"/>
        </w:rPr>
        <w:t xml:space="preserve">related to the use of a health technology. The outcome of the HTA will often influence the pricing and reimbursement status granted to the product under review by the competent authorities of individual EU Member States. On January 31, 2018,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985"/>
                <wp:effectExtent l="0" t="0" r="0" b="0"/>
                <wp:wrapNone/>
                <wp:docPr id="17" name="Frame1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Commission adopted a proposal for a regulation on HTA, or HTA Regulation. The HTA Regulation aims to boost cooperation among EU Member States in assessing health technologies and providing the basis for cooperation at EU level for joint clinical assessments in these areas. The HTA Regulation entered into force on January 11, 2022 and started to apply from January 12, 2025. Under the HTA Regulation, EU Member States are required to use common HTA tools, methodologies, and procedures across the EU. Among others, the HTA Regulation establishes an HTA coordination group, composed of national HTA bodies, which jointly conduct Joint Clinical Assessments, or JCA of new medicines and certain high-risk medical devices and introduces a single EU-level submission file for JCAs. However, the HTA Regulation focuses on the clinical aspects of HTA, i.e. the relative clinical effectiveness and relative clinical safety of a new health technology as compared with existing technologies, and, as such, individual EU Member States remain responsible for determining the overall value of a new health technology within their healthcare systems, as well as making pricing and reimbursement decisions.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 dedicated research and development team with strong capabilities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improve customer experience, we are continually innovating our technologies to support and improve Aquablation therapy to further satisfy the evolving needs of surgeons and their patients as well as to further enhance the usability and scalability of our robotic systems. We also plan to leverage our treatment data and software development capabilities to enable artificial intelligence assisted anatomy recognition and improved treatment planning and personalization. We are also evaluating the application of our robotic systems in prostate cancer.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Manufacturing and Supply</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directly manufacture our robotic systems, the handpiece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AquaBeam Robotic System or HYDROS Robotic System is shipped to our customers with a third-party manufactured ultrasound system and probes. We utilize a well-known third-party logistics providers located in United States, United Kingdom, and the Netherlands to ship our products to our customers globally. We rely on third-party suppliers, almost all of whom are single source suppliers, to provide us with certain components, sub-assemblies and materials for our products. Our suppliers manufacture the components they produce for us and test our components and devices to our specifications. We have entered into manufacturing and supply agreements with several of our single-source suppliers pursuant to which they supply the components we need. In addition, we intend to maintain sufficient levels of inventory to enable us to continue our operations while we obtain another supplier in the event that one or more of our single-source suppliers were to encounter a delay in supply or end supply.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industry in which we operate is subject to rapid change from the introduction of new products and technologies and other activities of industry participants. While we believe Aquablation therapy delivered through our robotic systems provides us with a competitive advantage against other competing BPH treatment modalities, our currently marketed products are, and any future products we commercialize will be, subject to intense competition.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current and potential competitors may have significantly greater financial, technical, marketing and other resources than we do and may be able to devote greater resources to the development, regulatory approval, promotion, sale and support of their products. Our competitors may also have more extensive customer bases and broader customer relationships than we do, including relationships with our potential customers. In addition, many of these companies have longer operating histories and greater brand recognition than we do. Additionally, many of these companies have overcome reimbursement barriers and their procedures are covered by nearly all major insurance carriers. Because of the size of the BPH market, we anticipate that companies will dedicate significant resources to developing competing products.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our primary competition to be resective surgical treatments. These include among others, those manufacturers producing devices for the TURP procedure and laser-based therapies marketed by Boston Scientific Corporation. We also believe we will compete with non-resective and non-surgical treatments. The non-resective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985"/>
                <wp:effectExtent l="0" t="0" r="0" b="0"/>
                <wp:wrapNone/>
                <wp:docPr id="18" name="Frame1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treatments include, among others, UroLift marketed by Teleflex Incorporated and Rezum marketed by Boston Scientific Corporation. Non-surgical treatments for BPH are primarily pharmaceuticals.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primary basis on which we compete include: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improved outcomes for patients;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product safety, efficacy, reliability and durability;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quality and volume of clinical data;</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effective marketing to and education of patients, physicians and hospitals;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company, product and brand recognition;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sales force experience and access;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product support and service;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technological innovation, product enhancements and speed of innovation;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pricing and revenue strategies;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effectiveness of reimbursement teams and strategies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regulatory status and speed to market;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dedicated clinical representatives.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able to compete effectively against our competitors in regard to any one or all of these factors.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obtain, maintain, protect and enforce our proprietary technology and intellectual property rights, in particular, defend our patent rights, preserve the confidentiality of our trade secrets, and operate without infringing the valid and enforceable patents and other proprietary rights of third parties. We rely on a combination of patent, copyright, trademark and trade secret laws and confidentiality and invention assignment agreements to protect our intellectual property rights.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rights to 60 issued U.S. patents, expiring between 2028 and 2042, 133 issued foreign patents, expiring between 2028 and 2041, 38 pending U.S. patent applications, six pending PCT applications, and 55 foreign patent applications.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rights to foreign issued patents included 21 granted Chinese patents, 30 granted Japanese patents, seven Brazilian patents, six Indian patents, and 17 granted European patents, of which 12 have been validated in Germany, 10 in Spain, 11 in France, 17 in the United Kingdom, six in Ireland, nine in Italy, one in Switzerland, and three European patents with unitary effect. As of December 31, 2024, our rights to foreign patent applications include 18 pending European applications, 17 pending Chinese applications, 14 pending Japanese applications, two pending Brazilian applications, one pending Indian application and three pending Hong Kong applications.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44 pending and registered trademark filings worldwide, some of which may provide trademark protection in multiple countries.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in part, upon unpatented trade secrets, know-how and continuing technological innovation, and may in the future rely upon licensing opportunities,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pending patent applications may not result in issued patents, and we cannot assure you that any current or subsequently issued patents will protect our intellectual property rights or provide us with any competitive advantage. While there is no active material litigation involving any of our patents or other intellectual property rights and we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985"/>
                <wp:effectExtent l="0" t="0" r="0" b="0"/>
                <wp:wrapNone/>
                <wp:docPr id="19" name="Frame1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received any notices of patent infringement, we may be required to enforce or defend our intellectual property rights against third parties in the future. See the section titled “Risk Factors—Risks Related to Our Intellectual Property” for additional information regarding these and other risks related to our intellectual property portfolio and their potential effect on us.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License Agreement with AquaBeam LLC</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2008, we assigned to AquaBeam LLC, or AquaBeam, certain provisional patent applications, or AquaBeam Patent Applications, which have since issued as patents, and any future patent applications that claim priority to the AquaBeam Patent Applications, or AquaBeam Patents.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2019, we entered into an amended and restated license agreement, or the AquaBeam License Agreement, with AquaBeam. Pursuant to the AquaBeam License Agreement, AquaBeam granted us a worldwide, exclusive (even as to AquaBeam), sublicensable, royalty-free license under the AquaBeam Patents and to all other patent rights owned by AquaBeam, that claim certain technology related to delivering energy to tissues by directing a liquid fluid stream, or together with AquaBeam Patents, Licensed Patents, in the field of urology, or Field. Pursuant to the AquaBeam License Agreement, and subject to the terms therein, we granted AquaBeam a worldwide, exclusive (even as to us), sublicensable, royalty-free license under certain of our patents rights until October 2021, that claim certain technology related to delivering energy to tissues by directing a liquid fluid stream, or PROCEPT Patents, outside the Field. No payments (except for patent prosecution and maintenance costs) have been made or are otherwise required under the AquaBeam License Agreement.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AquaBeam License Agreement will remain in full force and effect on a country-by-country basis until the last to expire of the Licensed Patents and the PROCEPT Patents in such country. The expiration date of the last-to-expire of the Licensed Patents and PROCEPT Patents will not be earlier than 2037. The AquaBeam License Agreement may be terminated by either party in the event of uncured material breach by the other party that remains uncured for 90 days (or 30 days for payment related breaches), or bankruptcy of the other party.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License Agreement with HydroCision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 Confidential Exclusive Patent License and Covenant Not To Sue, or the HydroCision License Agreement, with HydroCision, Inc., or HydroCision. Pursuant to the HydroCision License Agreement, HydroCision granted us a worldwide, exclusive, sublicensable, royalty-free license to certain patents related to fluid jet technology in the field of urology, or the Fluid Jet Technology Patents and related know-how and documentation. HydroCision also granted us a non-exclusive license to patents allowing us to make, sell, import, export, or otherwise dispose of products made using the Fluid Jet Technology Patents.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exchange for the license from HyrdoCision, we paid HydroCision $2.5 million in 2019. No further payments have been made or are otherwise required under the HydroCision License Agreement. HydroCision is responsible for all patent prosecution and maintenance costs related to the Fluid Jet Technology Patents.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HydoCision License Agreement will remain in full force and effect until the last to expire of the Fluid Jet Technology Patents. The expiration date of the last-to-expire of the Fluid Jet Technology Patents will not be earlier than 2039.</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our operations are subject to extensive regulation by the FDA and other federal and state authorities in the United States, as well as comparable authorities outside the United States. Our products are subject to regulation as medical devices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United States regulations, we are subject to a variety of regulations outside the United States governing clinical trials and the commercial sales and distribution of our products. Whether or not we have or are required to obtain FDA clearance or approval for a product, we will be required to obtain authorization before commencing clinical trials and to obtain marketing authorization or approval of our products under the comparable regulatory authorities of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985"/>
                <wp:effectExtent l="0" t="0" r="0" b="0"/>
                <wp:wrapNone/>
                <wp:docPr id="20" name="Frame1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before we can commence clinical trials or commercialize our products in those countries. The approval process varies from country to country and the time may be longer or shorter than that required for FDA clearance or approval.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FDA Premarket Clearance and Approval Requirements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Unless an exemption applies, each medical device commercially distributed in the United States requires either FDA clearance of a 510(k) premarket notification, De Novo authorization, or PMA approval.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FDA’s Quality System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to through the 510(k) process.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are unclassified, but are subject to the FDA’s premarket notification and clearance process in order to be commercially distributed.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 Novo Classification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Medical device types that the FDA has not previously classified as Class I, II or III are automatically classified into Class III regardless of the level of risk they pose. The Food and Drug Administration Modernization Act of 1997 established a route to market for low to moderate risk medical devices that are automatically placed into Class III due to the absence of a predicate device, called the “Request for Evaluation of Automatic Class III Designation,” or the de novo classification procedure.</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request. If the manufacturer seeks reclassification into Class II, the manufacturer must include a draft proposal for special controls that are necessary to provide a reasonable assurance of the safety and effectiveness of the medical device. The de novo authorization establishes a new device class II product code.</w:t>
      </w:r>
      <w:r>
        <w:rPr>
          <w:color w:val="000000"/>
        </w:rPr>
        <w:t xml:space="preserve"> </w:t>
      </w:r>
      <w:r>
        <w:rPr>
          <w:rFonts w:ascii="Times New Roman;sans-serif" w:hAnsi="Times New Roman;sans-serif"/>
          <w:b w:val="false"/>
          <w:color w:val="000000"/>
          <w:sz w:val="20"/>
        </w:rPr>
        <w:t>De novo authorized devices can then serve as predicate device for a 510(k). In addition, the FDA may reject the de novo request if it identifies a legally marketed predicate device that would be appropriate for a 510(k) or determines that the device is not low to moderate risk or that general controls would be inadequate to control the risks and special controls cannot be developed.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currently marketed robotic systems are Class II devices, which was initially granted marketing authorization pursuant to a de novo classification. We have subsequently received FDA clearance of a 510(k) pre-market notification for modifications to our robotic systems where we used the initially authorized device as the predicate device for our more recent 510(k) clearance.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510(k) Clearance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985"/>
                <wp:effectExtent l="0" t="0" r="0" b="0"/>
                <wp:wrapNone/>
                <wp:docPr id="21" name="Frame1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HYDROS Robotic System is a class II device that was cleared under the 510(k) premarket notification process. Under the 510(k) process, the manufacturer must submit to the FDA a premarket notification submission demonstrating that the proposed device is “substantially equivalent,” as defined in the FDC Act, to a legally marketed predicate device.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predicate device is a medical device that was legally marketed before May 28, 1976 (pre-amendments device) and for which a PMA is not required, a device that has been reclassified from Class III to Class II or I, or a device that was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many 510(k) premarket notifications are cleared without clinical data, the FDA may require further information, including clinical data, to make a determination regarding substantial equivalence, which may significantly prolong the review process. If the FDA determines that the device is substantially equivalent to a predicate device, it will grant 510(k) clearance to commercially market the device. If the FDA determines that the device is “not substantially equivalent” to a previously cleared device, the device is automatically designated as a Class III device. The device sponsor must then fulfill more rigorous requirements of the PMA approval process, or can request a risk-based classification determination for the device in accordance with the “de novo” process, which is a route to market for novel medical devices that are low to moderate risk and are not substantially equivalent to a predicate device.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PMA Approval Pathway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985"/>
                <wp:effectExtent l="0" t="0" r="0" b="0"/>
                <wp:wrapNone/>
                <wp:docPr id="22" name="Frame2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Clinical Trials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are almost always required to support a PMA or de novo request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Post-Market Regulation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After a device is cleared or approved for marketing, numerous and pervasive regulatory requirements continue to apply. These include: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establishment registration and device listing with the FDA;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985"/>
                <wp:effectExtent l="0" t="0" r="0" b="0"/>
                <wp:wrapNone/>
                <wp:docPr id="23" name="Frame2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complying with the new federal law and regulations requiring Unique Device Identifiers, or UDI, on devices and also requiring the submission of certain information about each device to the FDA’s Global Unique Device Identification Database;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FDA’s recall authority, whereby the agency can order device manufacturers to recall from the market a product that is in violation of governing laws and regulations;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warning letters, untitled letters, fines, injunctions, consent decrees and civil penalties;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recalls, withdrawals, or administrative detention or seizure of our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operating restrictions or partial suspension or total shutdown of production;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refusing or delaying requests for 510(k) marketing clearance or PMA approvals of new products or modified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withdrawing 510(k) clearances or PMA approvals that have already been granted;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refusal to grant export or import approvals for our products;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criminal prosecution.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California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985"/>
                <wp:effectExtent l="0" t="0" r="0" b="0"/>
                <wp:wrapNone/>
                <wp:docPr id="24" name="Frame2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State of California requires that we obtain a license to manufacture medical devices. In accordance with the State of California regulations, our license to manufacture is renewed annually with any updated manufacturing information. Although the State of California has announced the suspension of routine periodic inspections, there can be no assurance that the State of California will not resume such inspections or conduct such inspections under specific circumstances that are not yet known.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Regulation of Medical Devices Outside the United States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for us to market our products in countries outside the United States, we must obtain regulatory approvals and comply with extensive product and quality system regulations in other countries. These regulations, such as requirements for approvals or clearance and the time required for regulatory review, will vary from country to country. Some countries have regulatory review processes that are significantly longer than United States regulatory approval. Failure to obtain regulatory approval in a timely manner and meet all the local requirements (including language and specific safety standards) in any foreign country in which we plan to market our products could prevent us from marketing products in such countries or subject us to fines.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Regulation of Medical Devices, European Economic Area, or EEA</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European Union, or EU, has adopted specific directives and regulations regulating among other things, the design, manufacture, clinical investigation, conformity assessment, labeling and adverse event reporting for medical devices.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26, 2021, the Regulation (EU) 2017/745 on Medical Devices, or the MDR, entered into application, repealing and replacing both the Medical Devices Directive 93/42/EEC, or the MDD, and the Active Implantable Medical Devices Directive 90/385/EEC, or the AIMDD. The MDR and its associated guidance documents and harmonized standards govern, among other things, device design and development, preclinical and clinical requirements, premarket conformity assessment and post-market surveillance, vigilance, and market surveillance.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avoid shortages of medical devices needed for the smooth functioning of healthcare services, the MDR was amended to provide extended transitional periods for devices which were CE marked under the MDD or the AIMDD and fulfill certain conditions outlined in the MDR. Pursuing marketing of medical devices in the EU will notably require that all our devices be certified under the MDR. Regardless of whether we have already obtained certification under the MDD, since May 26, 2021, the MDR requirements apply in place of the corresponding requirements of the MDD and the AIMDD with regard to registration of economic operators and of devices, post-market surveillance and vigilance requirements.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EU, unlike the US, there is no regulatory approval process prior to marketing of medical devices. However, the EU requires that all medical devices, including medical device software, or MDSW, placed on the market in the EU must comply with the General Safety and Performance Requirements, or GSPRs, set out in Annex I of the MDR, including the requirement that a medical device must be designed and manufactured in such a way that, during normal conditions of use, it is suitable for its intended purpose. Compliance with these requirements is a prerequisite to be able to affix the CE Mark to devices, including MDSW, without which they cannot be marketed or sold in the EEA. To demonstrate compliance with the GSPRs provided in the MDR and obtain the right to affix the CE Mark, medical devices manufacturers must undergo a conformity assessment procedure, which varies according to the type of medical device and its classification. Apart from low-risk medical devices (Class I with no measuring function, not reusable and which are not sterile), in relation to which the manufacturer may issue an EC Declaration of Conformity based on a self-assessment of the conformity of its products with the GSPRs, a conformity assessment procedure requires the involvement of a Notified Body, which is an organization designated by a Competent Authority of an EEA country to conduct conformity assessments. Depending on the relevant conformity assessment procedure, the Notified Body audits and examines the technical documentation and the quality management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GSPRs. This Certificate and the related conformity assessment process entitles the manufacturer to affix the CE Mark to its medical devices after having drawn up and signed a related EC Declaration of Conformity.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general rule, demonstration of conformity of medical devices and their manufacturers with the GSPRs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985"/>
                <wp:effectExtent l="0" t="0" r="0" b="0"/>
                <wp:wrapNone/>
                <wp:docPr id="25" name="Frame2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assessed, (2) scientific literature from similar devices whose equivalence with the assessed device can be demonstrated or (3) both clinical studies and scientific literature. Manufacturers are required to specify and justify the level of clinical evidence necessary to demonstrate conformity with the relevant GSPR. This level of clinical evidence must be appropriate in view of the characteristics of the device and its intended purpose. The conduct of clinical studies in the EU is governed by detailed regulatory obligations. These may include the requirement of prior authorization by the competent authorities of the EU member state in which the investigation takes place and the requirement to obtain a positive opinion from a competent ethics committee. This process can be expensive and time-consuming.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demonstrate compliance with certain GSPRs relating to the design and manufacture of medical devices, manufacturers may rely on compliance with the list of EU harmonized standards relating to medical devices. While not mandatory, compliance with these standards creates a presumption of conformity with the related GSPRs. Throughout the term of the Certificate, the manufacturer will be subject to periodic surveillance audits by the notified body to verify continued compliance with the applicable requirements. The notified body will also conduct an audit before renewing a Certificate. The quality management system and technical documentation of manufacturers will be required to be recertified periodically, as CE Certificates of Conformity issued by a notified body remain valid only for the period indicated in them and in no case exceed five years.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After a device is placed on the market, it remains subject to significant regulatory requirements. The MDR imposes post-marketing surveillance requirements which requires manufacturers to continuously and proactively monitor the performance and safety of their devices through implementation of a post-market surveillance system, in a manner that is proportionate to the risk class and appropriate for the type of their device. Once a device is on the EU market, manufacturers must comply with certain vigilance requirements, such as the reporting of serious incidents and field safety corrective actions (even those occurring outside the EU) to the relevant Competent Authorities. The Competent Authorities of each EU Member State oversee the implementation of the MDR within their jurisdiction.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Other Regions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medical devices must undergo thorough safety examinations and demonstrate medical efficacy before they receive regulatory approval to be sold in Japan.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in other countries, including the requirements for approvals or clearance and the time required for regulatory review, vary from country to country. These countries typically require regulatory approvals and compliance with extensive safety and quality system regulations.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Federal, State and Foreign Fraud and Abuse and Physician Payment Transparency Laws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prohibits, among other things, knowingly and willfully offering, paying, soliciting or receiving any remuneration (including any kickback, bribe or rebate), directly or indirectly, overtly or covertly, in cash or in kind to induce or in return for referral of an individual or the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and can include stock, stock options, and the compensation derived through ownership interests.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of our products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and may result in increased scrutiny by government enforcement authorities.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985"/>
                <wp:effectExtent l="0" t="0" r="0" b="0"/>
                <wp:wrapNone/>
                <wp:docPr id="26" name="Frame2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states, as well as many of the non-U.S. jurisdictions where we operate, also have anti-kickback laws which establish similar prohibitions and, in some cases, may apply more broadly to items or services covered by any third-party payor, including commercial insurers and self-pay patients.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civil False Claims Act prohibits, among other things, any person or entity from knowingly presenting, or causing to be presented, a false or fraudulent claim for payment of government funds or knowingly making, using or causing to be made or used a false record or statement material to a false or fraudulent claim to the federal government. In addition, private parties may initiate “qui tam” whistleblower lawsuits against any person or entity under the federal civil False Claims Act in the name of the government and share in the proceeds of any monetary recovery. Moreover, a claim including items or services resulting from a violation of the federal Anti-Kickback Statute constitutes a false or fraudulent claim for purposes of the federal civil False Claims Act. Penalties for federal civil False Claim Act violations include penalties for each false claim, plus up to three times the amount of damages sustained by the federal government and, most critically, may provide the basis for exclusion from the federally funded healthcare program. There are also criminal penalties for making or presenting of a claim to the government knowing such claim to be false, fictitious or fraudulent.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has been a recent trend of increased foreign, federal, and state regulation of payments and transfers of value provided to healthcare professionals or entities. The federal Physician Payments Sunshine Act requires manufacturers of drugs, devices, biologics and medical supplies for which payment is available under Medicare, Medicaid, or the Children’s Health Insurance Program to report annually to the CMS, information related to payments or and other “transfers of value” made to physicians (currently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requires applicable manufacturers to report annually to CMS ownership and investment interests held by physicians and their immediate family members and payments or other “transfers of value” to such physician owners.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foreign countries have similar laws relating to healthcare fraud and abuse. Foreign laws and regulations may vary greatly from country to country. The advertising and promotion of medical devices are also subject to EU and EU Member States’ laws governing promotion of medical devices, interactions with physicians and other healthcare professionals, misleading and comparative advertising and unfair commercial practices. These laws may limit or restrict the advertising and promotion of our products to the general public and may impose limitations on our promotional activities with healthcare professionals.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Violations of any of these laws or any other governmental regulations that apply may result in significant penalties including administrative, civil, and criminal</w:t>
      </w:r>
      <w:r>
        <w:rPr>
          <w:color w:val="000000"/>
        </w:rPr>
        <w:t xml:space="preserve"> </w:t>
      </w:r>
      <w:r>
        <w:rPr>
          <w:rFonts w:ascii="Times New Roman;sans-serif" w:hAnsi="Times New Roman;sans-serif"/>
          <w:b w:val="false"/>
          <w:color w:val="000000"/>
          <w:sz w:val="20"/>
        </w:rPr>
        <w:t xml:space="preserve">damages, disgorgement, fines, additional reporting requirements and compliance oversight obligations in the event that a corporate integrity agreement or other agreement is required to resolve allegations of noncompliance with these laws, the curtailment or restructuring of operations, exclusion from participation in government healthcare programs and/or individual imprisonment.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Healthcare Reform Measures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have been, and may continue to be, a number of legislative and regulatory changes to the healthcare system. Federal and state lawmakers regularly propose and, at times, enact legislation that would result in significant changes to the healthcare system, some of which are intended to contain or reduce the costs of medical products and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0985"/>
                <wp:effectExtent l="0" t="0" r="0" b="0"/>
                <wp:wrapNone/>
                <wp:docPr id="27" name="Frame2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 in the development of new programs. Since its enactment, there have been judicial, executive and Congressional challenges to certain aspects of the ACA.</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since the ACA was enacted. For example, the Budget Control Act of 2011, among other things, and in connection with subsequent legislation, reduced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Subsequent amendments to this law provide for 1% Medicare sequestration through the second quarter of 2022 and the full 2% sequestration thereafter until 2032. This sequestration is currently set at 2% and will continue through the first 8 months of fiscal year 2032.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 The current presidential administration and Congress may continue to pursue significant changes to the current healthcare laws.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Data Privacy and Security Laws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and consumer protection laws and regulations that govern the collection, use, disclosure, and protection of health-related and other personal information could apply to our operations or the operations of our partners. In addition, certain foreign laws govern the privacy and security of personal information, including health-related information in certain circumstances,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Anti-Bribery and Corruption Laws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U.S. operations are subject to the FCPA. We are required to comply with the FCPA, which generally prohibits covered entities and their employees, agents and intermediaries from engaging in bribery or authorizing, promising, providing, or offering, directly or indirectly, anything of value to foreign officials for the purpose of obtaining or retaining business or other benefits. In addition, the FCPA imposes accounting standards and requirements on publicly traded U.S. corporations and their foreign affiliates, which requires such companies to maintain complete and accurate books and records and maintain a system of internal accounting controls. We also are subject to similar anticorruption laws and regulations implementing the Organization for Economic Co-operation and Development’s Convention on Combating Bribery of Foreign Public Officials in International Business Transactions.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growing and skilled employee base drives our success and helps us progress towards our vision of restoring patient lives by delivering the BPH treatment of choice. As of December 31, 2024, we had 756 employees.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ability to attract, retain, engage and further develop top talent. To facilitate talent attraction, retention, engagement and development, we strive for a diverse workplace with a superior employee experience that provides opportunities for our employees to grow within the organization, supported by strong compensation, benefits, and health and wellness programs and an inclusive environment.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2022 and updated annually since then, we have published our Environmental, Social, and Governance or ESG Report, which is available on our website and includes more detailed information on our human capital programs and initiatives. Nothing contained on or accessible through our website, including our ESG Report or sections thereof, shall be deemed incorporated by reference into this Annual Report.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Human Capital and Inclusiveness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Inclusiveness is valued in our organization because we strongly believe that it drives superior results – and truly reflects the communities we serve and in which we work. We believe that everyone should feel included and fairly treated, and we embrace the unique qualities of our employees including all genders and gender identities, races, ethnicities, 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985"/>
                <wp:effectExtent l="0" t="0" r="0" b="0"/>
                <wp:wrapNone/>
                <wp:docPr id="28" name="Frame2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origins, disabilities, sexual orientations, military and socioeconomic backgrounds, and religions, as well as any other protected characteristics.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from a governance perspective, we maintain a mix of skills, backgrounds and experience on our executive team and on our board to serve the needs of our diverse stakeholders.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Health, Safety and Wellness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health, safety and wellness of our employees is an area where we continued to invest and expand throughout 2024. We provide our employees and their families with access to a variety of comprehensive health, wellness and time off programs that support physical, mental, emotional and financial well-being. We have a zero-tolerance policy concerning workplace violence including any threatening behavior on our premises or during any work-related activities.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programs are designed to align the compensation of our employees with our Company’s performance and to provide the proper incentives to attract, retain and motivate employees to achieve superior results. We believe compensation and rewards should be fair and merit based and free from discrimination on the basis of race, gender or any other protected characteristics. We provide a comprehensive suite of compensation and benefits programs including annual bonuses, equity awards, an Employee Stock Purchase Plan, retirement savings plans with a company match, healthcare, income protection benefits, paid time off, leave of absence benefits, flexible work arrangements, and numerous well-being benefits.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Talent Development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growth is a key indicator of employee satisfaction and helping our employees reach and exceed their goals helps us retain and engage our outstanding talent. We foster professional growth by providing stretch assignments, projects and manager-led coaching and mentoring to help employees meet their career goals. We continuously work on improving manager effectiveness by providing training on people processes and a program that focuses on building connection and trust, high performing teams, and fostering a growth mindset.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annual global performance review process for reviewing all employees’ performance and encourage ongoing conversations and a mid-year review as well. We also have an annual compensation process to review pay. To support our managers, we train them on topics such as conducting effective performance reflections and making equitable compensation recommendations, considering market pay data, experience in role and performance.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Engagement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continuously improve our employee experience to impact employee retention and engagement, and we periodically conduct an engagement survey and take actions to address areas of employee concern.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Available Information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make our Annual Reports on Form 10-K, Quarterly Reports on Form 10-Q, Current Reports on Form 8-K, and amendments to those reports, available free of charge at our website as soon as reasonably practicable after they have been filed with the SEC. Our website address is www.procept-biorobotics.com. Information on our website is not part of this report. The SEC maintains a website that contains the materials we file with the SEC at www.sec.gov.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0985"/>
                <wp:effectExtent l="0" t="0" r="0" b="0"/>
                <wp:wrapNone/>
                <wp:docPr id="29" name="Frame2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have a history of significant net losses, we expect to continue to incur operating losses for the foreseeable future and we may not be able to achieve or sustain profitability.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losses in each reporting period since our inception. For the years ended December 31, 2024 and 2023, we had a net loss of $91.4 million and $105.9 million, respectively. We expect to continue to incur additional losses in the future. As of December 31, 2024, we had an accumulated deficit of $546.0 million. To date, we have financed our operations primarily through net proceeds from sales of our equity securities, indebtedness, including our loan and security agreement, and, to a lesser extent, product revenue from sales of our robotic systems and disposables. The losses and accumulated deficit have primarily been due to the substantial investments we have made to develop our products, costs related to our sales and marketing efforts, including costs related to clinical and regulatory initiatives to obtain marketing approval, and infrastructure improvements.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encounter unforeseen expenses, difficulties, complications, delays and other known and unknown factors and risks frequently experienced by early-stage medical technology companies in rapidly evolving fields. In addition, as a public company, we will continue to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our capital requirements needed to operate our business and accomplish our strategic objectives, which would have a material adverse effect on our business, financial condition and results of operations and cause the market price of our common stock to decline.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revenue is primarily generated from sales of our robotic systems and the accompanying single-use disposable handpieces, and we are therefore highly dependent on the success of those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substantially all of our revenue has been derived, and we expect it to continue to be substantially derived, from sales of our robotic systems and our accompanying single-use disposable handpieces and other disposables. Our robotic systems deliver Aquablation therapy, using a heat-free robotically controlled waterjet to remove prostate tissue. We began commercializing our products in the United States in 2017 and physician awareness of, and experience with, our products has been and is currently limited. As a result, our products may have limited product and brand recognition within the medical industry. We do not have a long history operating as a commercial company, and the novelty of our products, together with our limited commercialization experience, makes it difficult to evaluate our current business and predict our future prospects with precision. These factors also make it difficult for us to forecast our financial performance and future growth, and such forecasts are subject to a number of uncertainties, including those outside of our control.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operating results may fluctuate significantly as a result of a variety of factors, many of which are outside our control and, as a result, may not fully reflect the underlying performance of our business. Such fluctuations in quarterly and annual operating results may decrease the value of our common stock. Because our quarterly operating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level of surgeon and hospital adoption and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0985"/>
                <wp:effectExtent l="0" t="0" r="0" b="0"/>
                <wp:wrapNone/>
                <wp:docPr id="30" name="Frame2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changes in reimbursement rates by government or commercial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positive or negative coverage in the media or clinical publications, or changes in public, patient and/or physician perception, of our products or competing products and treatments, including our brand reputation;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degree of competition in our industry and any change in the competitive landscape, including consolidation among competitors or future partners;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any safety, reliability or effectiveness concerns that arise regarding our products or other procedures in which our products are used;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unanticipated pricing pressures in connection with the sale of our products and downward pressure on healthcare costs in general;</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effectiveness of our sales and marketing efforts, including our ability to deploy a sufficient number of qualified sales representatives to sell and market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timing of customer orders or medical procedures using our products and the number of available selling days in any quarterly period, which can be impacted by holidays, the mix of products sold and the geographic mix of where products are sold;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unanticipated delays in product development or product launches;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 of manufacturing our products, which may vary depending on the quantity of production and the terms of our agreements with third-party suppliers;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raise additional capital on acceptable terms, or at all, if needed to support the commercialization of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achieve and maintain compliance with all regulatory requirements applicable to our products and services;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obtain, maintain and enforce our intellectual property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and our third-party suppliers’ ability to supply the components of our products in a timely manner, in accordance with our specifications, and in compliance with applicable regulatory requirements;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introduction of new products, technologies or alternative treatments that compete with our products.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If our assumptions regarding the risks and uncertainties we face, which we use to plan our business, are incorrect or change due to circumstances in our business or our markets, or if we do not address these risks successfully, our operating and financial results could deviate materially from our expectations and our business could suffer.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$52.0 million outstanding in the form of a term loan under our loan and security agreement with Canadian Imperial Bank of Commerce, which was entered into in October 2022 and amended in June 2023. The loan is secured by substantially all of our assets, including all of the capital stock held by us, if any. The loan and security agreement contains a number of restrictive covenants, and the terms may restrict our current and future operations, particularly our ability to respond to certain changes in our business or industry, or take future actions. See the section of this Annual Report on Form 10-K titled “Management’s Discussion and Analysis of Financial Condition and Results of Operations—Liquidity and Capital Resources—Indebtedness.”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0985"/>
                <wp:effectExtent l="0" t="0" r="0" b="0"/>
                <wp:wrapNone/>
                <wp:docPr id="31" name="Frame2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loan and security agreement contains customary representations and warranties and affirmative covenants and also contains certain restrictive covenants, including, among others, limitations on: the incurrence of additional debt, liens or other encumbrances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loan and security agreement also includes financial covenants for us to maintain in deposit accounts held at CIBC the lesser of (i) $90.0 million or (ii) all of our non-operating cash or require us to, among other things, either meet certain revenue targets detailed in an approved forecast or maintain a minimum amount of unrestricted cash. The loan and security agreement also contains customary events of default. If we fail to comply with such covenants, payments or other terms of the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loan and security agreement. If the debt under the loan and security agreement were accelerated, we may not have sufficient cash or be able to sell sufficient assets to repay this debt, which would harm our business and 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need additional funding to finance our planned operations, and may not be able to raise capital when needed, which could force us to delay, reduce or eliminate one or more of our product development programs and future commercialization efforts.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net losses and expect to continue to incur net losses for the foreseeable future. Since our inception, our operations have been financed primarily by net proceeds from sales of our equity securities, indebtedness and, to a lesser extent, product revenue from sales of our robotic systems and single-use disposable handpieces. As of December 31, 2024, we had $333.7 million in cash and cash equivalents, and an accumulated deficit of $546.0 million. Based on our current operating plan, we currently believe that our cash and cash equivalents and anticipated revenue will be sufficient to meet our capital requirements and fund our operations through at least the next 12 months. However, we have based these estimates on assumptions that may prove to be wrong, and we could utilize our available capital resources sooner than we currently expect.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in the future as we expect to continue to expand our sales and marketing organization, invest in clinical trials and registries that are designed to provide clinical evidence of the safety and efficacy of our products and research and development of product improvements and future products. Moreover, we expect to continue to incur significant expenses associated with operating as a public company, including legal, accounting, insurance, exchange listing and SEC compliance, investor relations and other expenses.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degree and rate of market acceptance of our current and future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scope and timing of investment in our sales force and expansion of our commercial organization;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scope, rate of progress and cost of our current or future clinical trials and registries;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 of our research and development activities;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 and timing of additional regulatory clearances or approvals;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costs associated with any product recall that may occur;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costs associated with the manufacturing of our products at increased production levels;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costs of attaining, defending and enforcing our intellectual property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whether we acquire third-party companies, products or technologies;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terms and timing of any other collaborative, licensing and other arrangements that we may establish;</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emergence of competing technologies or other adverse market developments;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rate at which we expand internationally.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0985"/>
                <wp:effectExtent l="0" t="0" r="0" b="0"/>
                <wp:wrapNone/>
                <wp:docPr id="32" name="Frame3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our prior offerings.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For example, our current loan and security agreement prohibits us from incurring additional indebtedness without the prior written consent of our lender.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adequate financing on terms satisfactory to us when we require it, we may be required to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commercial success of our products will depend upon the degree of market acceptance of our products among hospitals, surgeons and patients.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large part, on the acceptance of our products as safe, effective, reliable and durable and, with respect to hospitals, healthcare providers and patients, as cost-effective. Our products employ a computer-assisted patient-specific visualization system, a heat-free waterjet and an automated robotic system to target and remove prostate tissue. We believe that market acceptance will be driven primarily by surgeons and hospitals, and if they do not adopt the concept of computer-assisted robotics-enabled technology and perceive such technology as having significant advantages over other surgical alternatives, patients will be less likely to accept or be offered treatment utilizing our products and we will fail to meet our business objectives. Surgeons’ and hospitals’ perceptions of such technology having significant advantages are likely to be based on a determination that, among other factors, our products are safe, cost-effective and represent acceptable methods of treatment. Even if we can prove the effectiveness of treatment utilizing our products through clinical trials, there may not be broad adoption and use of our products and surgeons may elect not to use our products for any number of other reasons, including: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lack of experience with our products and concerns that we are relatively new to market;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perceived liability risk generally associated with the use of new products and treatment options;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lack or perceived lack of sufficient clinical evidence, including long-term data, supporting clinical benefits or the cost-effectiveness of our products over existing treatment alternatives;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failure of key opinion leaders to provide recommendations regarding our products, or to assure surgeons, patients and healthcare payors of the benefits of our products as an attractive alternative to other treatment options;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perception that our products are unproven;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long-standing relationships with companies and distributors that sell other products or treatment options;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concerns over the capital investment required to purchase our robotic systems and perform procedures utilizing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lack of availability of adequate third-party payor coverage or reimbursement;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0985"/>
                <wp:effectExtent l="0" t="0" r="0" b="0"/>
                <wp:wrapNone/>
                <wp:docPr id="33" name="Frame3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pricing pressure, including from group purchasing organizations, or GPOs, and integrated delivery networks, or IDNs, seeking to obtain discounts on our robotic systems based on the collective buying power of the GPO and IDN members;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competitive response and negative selling efforts from providers of alternative treatments;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limitations or warnings contained in the labeling cleared or approved by the FDA or other authorities.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Even if our products achieve widespread market acceptance, they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hospitals, surgeons and patients will accept our products,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in training and marketing and selling our products and we may provide inadequate training, fail to increase our sales and marketing capabilities or fail to develop and maintain broad brand awareness in a cost-effective manner.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marketing and selling our products. We currently rely on our direct sales force and distributors to sell our products in targeted geographic regions and territories, and any failure to maintain and grow our direct sales force and distributor relationships could harm our business. The members of our direct sales force are adequately trained and possess technical expertise, which we believe is critical in driving the awareness and adoption of our products. The members of our direct U.S. sales force are at-will employees. The loss of these personnel to competitors, or otherwise, could materially harm our business. If we are unable to retain our direct sales force personnel or replace them with individuals of comparable expertise and qualifications, or if we are unable to successfully instill such expertise in replacement personnel, our product sales, revenues and results of operations could be materially harmed.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generate future growth, we plan to continue to significantly expand and leverage our commercial infrastructure to increase our customer base and increase awareness and adoption by existing customers to drive our growth. Identifying and recruiting qualified sales and marketing professionals and training them on our products and our procedures, on applicable federal and state laws and regulations and on our internal policies and procedures requires significant time, expense and attention. It can take several months or more before a sales representative is fully trained and productive. Our sales force may subject us to higher fixed costs than those of companies with competing products or treatments that can utilize independent third parties, placing us at a competitive disadvantage. Our business may be harmed if our efforts to expand and train our sales force do not generate a corresponding increase in product sales and revenue, and our higher fixed costs may slow our ability to reduce costs in the face of a sudden decline in demand for our products. Any failure to hire, develop and retain talented sales personnel, to achieve desired productivity levels in a reasonable period of time or timely reduce fixed costs, could have material adverse effect on our business, financial condition and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and educational programs. Our business may be harmed if these efforts and expenditures do not generate a corresponding increase in revenue. In addition, we believe that developing and maintaining broad awareness of our products in a cost-effective manner is critical to achieving broad acceptance of our products and reaching new physicians, hospitals and patients. Promotion and educational activities may not generate hospital or surgeon awareness or increase revenue, and even if they do, any increase in revenue may not offset the costs and expenses we incur. If we fail to successfully promote our products in a cost-effective manner, we may fail to attract or retain the market acceptance necessary to realize a sufficient return on our promotional and educational efforts, or to achieve broad adoption of our products.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rely on third-party distributors to effectively distribute our products in certain markets.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We depend, or expect to depend in the future, on qualified distributors for the marketing and selling of our products in certain markets. If our distributors fail to effectively market and sell our products in full compliance with applicable laws, our operating results and business may suffer. Screening, recruiting and retaining qualified third-party distributors and training them in our technology and product offering and business practices</w:t>
      </w:r>
      <w:r>
        <w:rPr>
          <w:color w:val="FF0000"/>
        </w:rPr>
        <w:t xml:space="preserve"> </w:t>
      </w:r>
      <w:r>
        <w:rPr>
          <w:rFonts w:ascii="Times New Roman;sans-serif" w:hAnsi="Times New Roman;sans-serif"/>
          <w:b w:val="false"/>
          <w:color w:val="000000"/>
          <w:sz w:val="20"/>
        </w:rPr>
        <w:t xml:space="preserve">requires significant time and resources. To develop and expand our distribution, we may be required to scale and improve our processes and procedures that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60985"/>
                <wp:effectExtent l="0" t="0" r="0" b="0"/>
                <wp:wrapNone/>
                <wp:docPr id="34" name="Frame3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distributors. Further, if our relationship with a successful distributor terminates, we may be unable to replace that distributor without disruption to our business. If we fail to develop or maintain positive relationships with our distributors, including in new markets, fail to manage, train or incentivize these distributors effectively, or fail to provide distributors with competitive products on attractive terms, or if these distributors are not successful in their sales efforts, we may not achieve expected revenues or may have a reduction in revenue and our operating results, reputation and business would be harmed.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maintain adequate levels of third-party coverage and reimbursement, and third parties may rescind or modify their coverage or delay payments related to our products.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of our robotic systems and single-use disposable handpieces to our customers. Sales of our products will depend, in part, on the extent to which the procedures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As a result, maintaining access to adequate coverage and reimbursement for our products by third-party payors is essential to the acceptance and adoption of our products.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by governmental and third-party payors may depend upon a number of factors, including the determination that the product or service and its use or administration for a particular patient is: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covered benefit;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supported by guidelines established by the relevant professional societies;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end user customers typically bill third-party payors for the costs and fees associated with the procedures in which our products are used. Any decline in the amount payors are willing to reimburse, could make it difficult for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using our products exists among third-party payors. Therefore, coverage and reimbursement for procedures using our products can differ significantly from payor to payor. Obtaining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Payors continually review new and existing technologies for possible coverage and can, without notice, deny or reverse coverage for new or existing products and procedures. There can be no assurance that third-party payor policies will provide or maintain coverage for procedures in which our products are used. When our products and the related procedures are reimbursed, they are reimbursed primarily on a per-patient prior authorization basis for patients covered by commercial insurers.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believe that future coverage and reimbursement may be subject to increased restrictions, such as additional prior authorization requirements, both in the United States and in relevant international markets in which we plan to operate. If Medicare no longer covers any of our products, there would be a material adverse effect on our business, financial condition and results of operations. In addition, Medicare Administrative Contractors could revise existing local coverage determination decisions that could restrict the patients eligible for the treatment with our products or in another manner unfavorable to our business. Third-party coverage and reimbursement for procedures using our products or any of our products in development for which we may receive regulatory clearance or approval may not be available or adequate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0985"/>
                <wp:effectExtent l="0" t="0" r="0" b="0"/>
                <wp:wrapNone/>
                <wp:docPr id="35" name="Frame3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either the United States or international markets. Further, other treatments may be more widely covered or subject to different co-pay policies and requirements, which could impact demand for our products. If hospital, surgeon and/or patient demand for our products is adversely affected by changes in third-party reimbursement policies and decisions, it could have a material adverse effect on our business, financial condition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face competition from many sources, including larger companies, and we may be unable to compete successfully.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highly competitive, subject to rapid change and significantly affected by the introduction of new products and technologies and other activities of industry participants. We compete with pharmaceutical products, and with medical device companies that manufacture resective or non-resective surgical alternatives for treating to our products. Resective alternatives for treating BPH include devices for the TURP procedure, laser-based therapies and simple prostatectomy, each of which is intended to remove the prostate tissue, and non-resective alternatives such as UroLift marketed by Teleflex Incorporated and Rezum marketed by Boston Scientific Corporation, which are intended to reshape the prostate and widen the cavity. Our primary medical device competitors for treating BPH are Boston Scientific Corporation and smaller companies that have single products or a limited range of products. Moreover, other products that are in current clinical trials, new drugs or additional indications for existing drugs could demonstrate better safety, effectiveness, clinical results, lower costs or greater physician and market acceptance than our products. . If we are successful in obtaining regulatory clearance for the use of our products and Aquablation therapy for patients with prostate cancer, we expect we will be competing with additional companies.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established treatment patterns pursuant to which drugs are generally first-line or concurrent therapies;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established relationships with hospitals and physicians who are familiar with other surgical alternatives;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greater financial and human capital resources;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significantly greater name recognition;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additional lines of products, and the ability to offer rebates or bundle products to offer greater discounts or incentives to gain a competitive advantage;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established sales, marketing and worldwide distribution networks.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success depends on our ability to: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improve outcomes for patients;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maintain product safety, efficacy, reliability and durability;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expand the quality and volume of our clinical data;</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effectively market to and educate patients, physicians and hospitals;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maintain company, product and brand recognition;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broaden our sales force experience and access;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maintain product support and service;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maintain and widen our technology lead over competitors by continuing to innovate and deliver new product enhancements on a continuous basis;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develop successful pricing and revenue strategies;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continue to maintain and expand reimbursement coverage for procedures using our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achieve desired regulatory status and speed to market;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maintain dedicated clinical representatives.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60985"/>
                <wp:effectExtent l="0" t="0" r="0" b="0"/>
                <wp:wrapNone/>
                <wp:docPr id="36" name="Frame3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major hurdles to adoption of our products will be overcoming established treatment patterns, which will require education of surgeons and supportive clinical data. However, because of the size of the market opportunity for the treatment of BPH as well as the treatment of prostate cancer, we believe current and potential future competitors will dedicate significant resources to aggressively promote their products or develop new products or treatments. New treatment options may be developed that could compete more effectively with our products due to the research and technological progress that exist within the market.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continue to innovate and improve our products, we could lose customers or market share.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on our ability to keep ahead of innovative developments in the treatment of BPH. It is critical to our competitiveness that we continue to innovate and make improvements to our products’ functionality and efficiency. If we fail to make improvements to our robotic systems’ functionality over time, our competitors may develop products that offer features and functionality similar or superior to those of our products. If we fail to make improvements to our products’ efficiency, our competitors may develop products that are more cost-effective than ours. Our failure to make continuous improvements to our products to keep ahead of the products of our competitors could result in the loss of customers or market share that would adversely affect our business, results of operations, and financial condition.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manufacturing our products in large-scale commercial quantities, and we face a number of manufacturing risks that may adversely affect our manufacturing abilities which could delay, prevent or impair our growth.</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growth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in our current manufacturing facility or any future manufacturing facilities. Currently, we have a sole manufacturing facility located in San Jose, California, where we manufacture, assemble, inspect, test, package and ship our products. We currently assemble all of our robotic systems and single-use disposable handpieces at this one facility. If this facility, or any of our future manufacturing facilities, suffers damage, or a force majeure event were to occur, such damage or event could materially impact our ability to operate, which could materially and adversely affect our business and financial performance.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numerous other risks relating to our manufacturing capabilities,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quality and reliability of components, sub-assemblies and materials that we source from third-party suppliers, who are required to meet our quality specifications, almost all of whom are single source suppliers for the items and materials that they supply;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inability to secure components, sub-assemblies and materials in a timely manner, in sufficient quantities or on commercially reasonable terms;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inability to maintain compliance with quality system requirements or pass regulatory quality inspections;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failure to increase production capacity or volumes to meet demand;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potential risks associated with disruptions in our supply chain, such as on account of geopolitical or macroeconomic events;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lead times associated with securing key components;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inability to design or modify production processes to enable us to produce future products efficiently or implement changes in current products in response to design or regulatory requirements;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difficulty identifying and qualifying, and obtaining new regulatory approvals, for alternative suppliers for components in a timely manner.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are likely to be exacerbated by our limited experience with our current products and manufacturing processes. As demand for our products increases, we will have to invest additional resources to purchase components, sub-assemblies and materials, hire and train employees and enhance our manufacturing processes. If we fail to increase our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0985"/>
                <wp:effectExtent l="0" t="0" r="0" b="0"/>
                <wp:wrapNone/>
                <wp:docPr id="37" name="Frame3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new manufacturing technologies. It may not be possible for us to manufacture these products at a cost or in quantities sufficient to make these products commercially viable or to maintain current operating margins, all of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upon third-party suppliers, including contract manufacturers and single source suppliers, making us vulnerable to supply shortages and price fluctuations that could negatively affect our business, financial condition and results of operations. </w:t>
      </w:r>
    </w:p>
    <w:p>
      <w:pPr>
        <w:pStyle w:val="TextBody"/>
        <w:bidi w:val="0"/>
        <w:spacing w:lineRule="auto" w:line="276"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suppliers, almost all of whom are single source suppliers, to provide us with certain components, sub-assemblies and materials for our products. These components, sub-assemblies and materials are critical, and, for certain items, there are relatively few alternative sources of supply. These single source suppliers may be unwilling or unable to supply the necessary materials and components or manufacture and assemble our products in a reliable manner and at the levels we anticipate or at levels adequate to satisfy demand for our products. While our suppliers have generally met our demand for their products and services on a timely basis in the past, we cannot guarantee that they will in the future be able to meet our demand for such products, either because of acts of nature, the nature of our agreements with those suppliers or our relative importance to them as a customer, and our suppliers may decide in the future to discontinue or reduce the level of business they conduct with us. Further, we maintain limited volumes of inventory from most of our suppliers and contract manufacturers. If we inaccurately forecast demand for finished goods, we may be unable to meet customer demand which could harm our competitive position and reputation.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been qualified or obtained necessary regulatory approvals for additional suppliers for most of these components, sub-assemblies and materials. While we currently believe that alternative sources of supply or sterilization may be available, we cannot be certain whether they will be available if and when we need them, or that any alternative suppliers or providers would be able to provide the quantity and quality of components, materials and sterilization that we would need to manufacture and ship our products if our existing suppliers and providers were unable to satisfy our requirements. To utilize other sources, we would need to identify and qualify new providers to our quality standards and obtain any additional regulatory approvals required to change providers, which could result in manufacturing delays and increase our expenses.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dependence on third-parties subjects us to a number of risks that could impact our ability to manufacture our products and harm our business,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interruption of supply or sterilization resulting from modifications to, or discontinuation of, a third party’s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delays in product shipments resulting from uncorrected defects, reliability issues or a third party’s failure to produce components or complete sterilizations that consistently meet our quality specifications;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price fluctuations due to a lack of long-term supply arrangements with our third parties for key components or sterilization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inability to obtain adequate supply or services in a timely manner or on commercially reasonable terms;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difficulty identifying and qualifying alternative third parties for the supply of components or for sterilization of our products in a timely manner;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inability of third parties to comply with applicable provisions of the FDA’s Quality System Regulations, or QSR, or other applicable laws or regulations enforced by the FDA, state and global regulatory authorities;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inability to ensure the quality of products manufactured or sterilization conducted by third parties;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production delays related to the evaluation and testing of products and services from alternative third parties and corresponding regulatory qualifications;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trends towards consolidation within the medical device manufacturing supplier industry;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delays in delivery by our suppliers and service providers.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60985"/>
                <wp:effectExtent l="0" t="0" r="0" b="0"/>
                <wp:wrapNone/>
                <wp:docPr id="38" name="Frame3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these third parties will not always act consistent with our best interests, and may not always supply components or provide services that meet our requirements or in a timely manner.</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receive a significant number of warranty claims or our products require significant amounts of service after sale, our operating expenses may substantially increase, and our business and financial results will be adversely affected.</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warrant our robotic systems against defects in materials and workmanship for a period of approximately 12 months from the installation of our products at a customer location or in some cases from the delivery of our products. We also expect to continue to provide technical and other services to customers beyond the warranty period pursuant to a supplemental service plan that we sell for our robotic systems. Additionally, we warrant our disposable products against defects in materials and workmanship for a period of approximately 12 months from delivery.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 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Unforeseen warranty exposure could negatively impact our business and financial results.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need to ensure strong product performance and reliability to maintain and grow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need to maintain and continuously improve the performance and reliability of our products to achieve our profitability objectives. Poor product performance and reliability could lead to customer dissatisfaction, adversely affect our reputation and revenues, and increase our service and distribution costs and working capital requirements. In addition, software and hardware incorporated into our robotic systems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achieve or maintain satisfactory pricing and margins for our products.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of medical devices have a history of price competition, and we can give no assurance that we will be able to achieve satisfactory prices for our current or any new products or maintain prices at the levels we have historically achieved. Any decline in the amount that payors reimburse our customers for our products could make it difficult for customers to continue using, or to adopt, our products and could create additional pricing pressure for us. If we are forced to lower the price we charge for our products, or if we add more components to our systems, our gross margins will decrease, which will adversely affect our ability to invest in and grow our business. If we are unable to maintain our prices, including during any international expansion, or if our costs increase and we are unable to offset such increase with an increase in our prices, our margins could erode. We will continue to be subject to significant pricing pressure, which could harm negatively affect our business, financial condition and results of operations.</w:t>
      </w:r>
    </w:p>
    <w:p>
      <w:pPr>
        <w:pStyle w:val="TextBody"/>
        <w:bidi w:val="0"/>
        <w:spacing w:lineRule="auto" w:line="288" w:before="180" w:after="283"/>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 xml:space="preserve">We may encounter difficulties in managing our growth, which could disrupt our operations.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substantial growth in our operations, and we expect to experience continued substantial growth in our business. Over the next several years, we expect to increase significantly the scope of our operations, particularly in the areas of manufacturing, sales and support, research and development, product development, regulatory affairs, marketing and other functional areas, including finance, accounting, quality control,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results of operations will be materially harmed if we are unable to accurately forecast customer demand for, and utilization of, our products and manage our inventory.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ensure adequate inventory supply, we must forecast inventory needs and manufacture our robotic systems console and the single-use disposable handpieces based on our estimates of future demand for, and utilization of, our robotic systems. Our ability to accurately forecast demand and utilization could be negatively affected by many factors,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or regulatory matters and weakening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60985"/>
                <wp:effectExtent l="0" t="0" r="0" b="0"/>
                <wp:wrapNone/>
                <wp:docPr id="39" name="Frame3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and utilization,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or utilization,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used by third party service providers, partners, our contractors or consultants, may fail or suffer security breaches, and such failure could negatively affect our business, financial condition and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 and could subject us to significant liabilities and regulatory and enforcement actions, and reputational damage.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partners or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If we or our third-party partners, consultants, contractors, suppliers, or service providers were to suffer an attack or breach, for example, that resulted in the unauthorized access to or use or disclosure of health-related or other personal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third parties to conduct clinical trials, and similar events relating to their computer systems and networks could also have a material adverse effect on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 We maintain cyber liability insurance; however, this insurance may not be sufficient to cover the financial, legal, business or reputational losses that may result from an interruption or breach of our systems.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Actual or perceived failure to comply with data protection, privacy and security laws, regulations, standards and other requirements could lead to government enforcement actions (which could include civil or criminal penalties), private litigation, and/or adverse publicity and could negatively affect our operating results and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are, or we may, become subject to federal, state, and foreign data protection laws, regulations and requirements governing the collection, use, disclosure, retention and security of personal information. In the United States, numerous federal and state laws and regulations, including state data breach notification laws, state health information privacy laws, and federal and state consumer protection laws and regulations that govern the collection, processing, use, disclosure, and protection of health-related and other personal information could apply to our operations or the operations of our partners. For example, the federal Health Insurance Portability and Accountability Act of 1996, as amended by the Health Information Technology for Economic and Clinical Health Act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60985"/>
                <wp:effectExtent l="0" t="0" r="0" b="0"/>
                <wp:wrapNone/>
                <wp:docPr id="40" name="Frame3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2009, and regulations promulgated thereunder, or collectively, HIPAA, imposes obligations on “covered entities,” including certain health care providers, health plans, and health care clearinghouses, and their respective “business associates” that create, receive, maintain or transmit protected health information for or on behalf of a covered entity. We may obtain health information from third parties (including research institutions from which we obtain clinical trial data) that are subject to privacy and security requirements under HIPAA. Entities that are found to be in violation of HIPAA, whether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Even when HIPAA does not apply, according to the Federal Trade Commission, or the FTC, failing to take appropriate steps to keep consumers’ personal information secure may constitute unfair acts or practices in or affecting commerce in violation of Section 5 of the Federal Trade Commission Act. The FTC and many state Attorneys General continue to enforce federal and state consumer protection laws against companies for online collection, use, dissemination and security practices that appear to be unfair or deceptive.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state laws govern the privacy and security of health-related and other personal information, many of which may differ from each other, thus, complicating compliance efforts. For example, the California Consumer Privacy Act, or CCPA, went into effect on January 1, 2020. It created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right of action for certain data breaches that has increased the likelihood of, and risks associated with, breach litigation. Further, the California Privacy Rights Act, or CPRA, generally went into effect on January 1, 2023, and amends the CCPA. The CPRA imposes additional data protection obligations on covered businesses, including additional consumer rights processes, limitations on data uses, new audit requirements for higher risk data, and opt outs for certain uses of sensitive data. It creates a new California data protection agency authorized to issue substantive regulations and could result in increased privacy and information security enforcement. Additional compliance investment and potential business process changes may also be required. Following the lead of California, several other states, including Virginia, Colorado, Connecticut and Utah, have each enacted laws similar to the CCPA/CPRA and other states are considering enacting privacy laws as well. Health-specific consumer privacy laws were also passed in multiple states, including Washington and Nevada. The multiple layers of privacy law within the United States could increase our potential liability, increase our compliance costs, and adversely affect our financial condition.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data protection laws, including the General Data Protection Regulation, including as implemented in the United Kingdom, or collectively or GDPR, may also apply to our processing of health-related and other personal data regardless of where the processing in question is carried out. The GDPR imposes stringent requirements for controllers and processors of personal data of individuals within EEA and UK, including obligations to having a lawful basis for processing personal data (which may in certain situations require explicit consent of the individuals to whom the personal data relates), providing detailed information about the processing activities, dealing with restrictions on sharing of personal data with third parties, and the transferring the consent of the individuals to whom the personal data relates, the information provided to the individuals, the transfer of personal data out of the EEA to jurisdictions deemed to have inadequate,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former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60985"/>
                <wp:effectExtent l="0" t="0" r="0" b="0"/>
                <wp:wrapNone/>
                <wp:docPr id="41" name="Frame3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as a result of the broad scale release and availability of Artificial Intelligence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from January 1, 2021, companies have had to comply with the GDPR and also the UK GDPR, which, together with the amended UK Data Protection Act 2018, retains the GDPR in UK national law. The UK GDPR mirrors the fines under the GDPR, e.g. fines up to the greater of €20 million (£17.5 million) or 4% of global turnover. As we continue to expand into other foreign countries and jurisdictions, we may be subject to additional laws and regulations that may affect how we conduct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US, foreign, and local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Natural or man-made disasters and other similar catastrophic events outside of our control may significantly disrupt our business, and negatively impact our business, financial condition and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Natural or man-made disasters, including earthquakes, wildfires, floods, hurricanes, nuclear disasters, riots, acts of terrorism or other criminal activities, public health emergencies such as infectious disease outbreaks, power outages and other infrastructure failures may impact our facilities or operations or the facilities or operations of our suppliers, customers, and other business partners (including their suppliers and business partners), which could the result in a disruption in our business and operations or increase costs to operate our business. For example, following a natural disaster, and during the related recovery, our customers may limit the number of surgical procedures or elective procedures performed at their facilities due to disruptions to hospital operations or supply constraints, or patients may choose to cancel or delay such procedures even if the hospital is able to perform it. As a result, customers may reduce the number of products ordered during the disruption, including disposable handpieces, and we may experience material and adverse impacts to our business, financial condition and results of operations, even if such supply constraints would not directly impact our procedure.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 significant portion of our employee base, and our primary operating facility and infrastructure are centralized in Northern California. Our facility may be harmed or rendered inoperable by any such natural or catastrophic disasters, which may render it difficult or impossible for us to operate our business for some period of time. Our facilities would likely be costly to repair or replace, and any business continuity or repair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suppliers and manufacturers may be harmed or rendered inoperable by such natural or man-made disasters, which may cause disruptions, difficulties or otherwise materially and adversely affect our business, financial condition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sizes of the addressable markets for our products have not been established with precision and our potential market opportunity may be smaller than we estimate and may decline.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estimates of the annual total addressable market for our products are based on a number of internal and third-party estimates, including, without limitation, the assumed prices at which we can sell our robotic systems and the single-use disposable handpieces. While we believe our assumptions and the data underlying our estimates are reasonable, these assumptions and estimates may not be correct and the conditions supporting our assumptions or estimates may change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60985"/>
                <wp:effectExtent l="0" t="0" r="0" b="0"/>
                <wp:wrapNone/>
                <wp:docPr id="42" name="Frame4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time, thereby reducing the predictive accuracy of these underlying factors. As a result, our estimates of the annual total addressable market for our products may prove to be incorrect. If the actual number of patients who would benefit from our products, the price at which we can sell our products, or the total addressable market for our products is smaller than we have estimated, it may impair our sales growth and materially and adversely affect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Until we are able to achieve broader market acceptance of our products, we may face risks associated with a more concentrated customer base.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Until we are able to achieve broader market acceptance of our products, we may face risks associated with a more concentrated customer base. There are risks whenever a significant percentage of revenue is concentrated with a limited number of customers. For example, revenue from these customers may fluctuate from time to time based on these customers’ business needs, the timing of which may be affected by market conditions or other facts outside of our control. These customers could also potentially pressure us to reduce the prices we charge for our disposables, which could have an adverse effect on our margins and financial position and could negatively affect our revenue and results of operations. If any of our largest customers terminates its relationship with us, such termination could negatively affect our revenues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an inherent risk of product liability as a result of the marketing and sale of our products. For example, we may be sued if our robotic systems, the single-use disposable handpiece or any of their component parts, or any of our products, causes, or is perceived to cause, injury or is found to be otherwise unsuitable during manufacturing, marketing or sale. We may also be subject to product liability claims if our products or services are deemed non-compliant with applicable laws or regulations.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We may also be subject to claims that are caused by the activities of our suppliers, such as those who provide us with components and sub-assemblies, or manufacturers who produce our products and the single-use disposable handpieces.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successfully defend ourselves against product liability claims, we may incur substantial liabilities or be required to limit or halt the marketing and sale of our products. Even successful defense would require significant financial and management resources. Regardless of the merits or eventual outcome, liability claims may result in: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decreased demand for our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harm to our reputation;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initiation of investigations by regulators, which could result in enforcement action against us or our contract manufacturers;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costs to defend the related litigation;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 diversion of management’s time and our resources;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substantial monetary awards to trial participants or patients;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product recalls, withdrawals or labeling, marketing or promotional restrictions;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loss of revenue;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exhaustion of any available insurance and our capital resources.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of a product liability lawsuit may increase if our products were deemed to be non-compliant with applicable laws and regulation. In the event we face a product liability lawsuit, 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0985"/>
                <wp:effectExtent l="0" t="0" r="0" b="0"/>
                <wp:wrapNone/>
                <wp:docPr id="43" name="Frame4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acceptable cost to protect against product liability claims could prevent or inhibit the marketing and sale of our products.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Cost-containment efforts of our customers, purchasing groups and governmental organizations could have a material adverse effect on our sales and profitability.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an effort to reduce costs, many hospitals in the United States have become members of GPOs and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seek strategic alliances, joint ventures or collaborations, or enter into licensing or partnership arrangements in the future and may not be successful in doing so, and even if we are, we may not realize the benefits or costs of such relationships.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form or seek strategic alliances, create joint ventures or collaborations or enter into licensing or partnership arrangements with third parties that we believe will compliment or augment our sales and marketing efforts with respect to our products. We may not be successful in our efforts to establish such collaborations.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market and sell our products in countries outside of the United States. The sale and shipment of our products across international borders, as well as the purchase of components and products from international sources, subjects us to extensive U.S. and other foreign governmental trade, import and export and customs laws and regulations. Compliance with these laws and regulations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difficulties in staffing and managing foreign and geographically dispersed operations, to the extent we establish non-U.S.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differing and multiple payor reimbursement regimes, government payors or patient self-pay systems;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difficulties in determining and creating the proper sales pathway in new,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60985"/>
                <wp:effectExtent l="0" t="0" r="0" b="0"/>
                <wp:wrapNone/>
                <wp:docPr id="44" name="Frame4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to the extent we utilize third-party distributors in foreign markets, our ability to effectively screen, recruit and retain qualified third-party distributors and training them in our technology and product offering and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compliance with various U.S. and international laws, including export control laws and the U.S. Foreign Corrupt Practices Act of 1977, or the FCPA, and anti-money laundering laws;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differing regulatory requirements for obtaining clearances or approvals to market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changes in, or uncertainties relating to, foreign rules and regulations that may impact our ability to sell our products, perform services or repatriate profits to the United States;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tariffs and trade barriers, export regulations, sanctions and other regulatory and contractual limitations on our ability to sell our products in certain foreign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potential adverse tax consequences, including imposition of limitations on or increase of withholding and other taxes on remittances and other payments by foreign subsidiaries or joint ventures;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imposition of differing labor laws and standards;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armed conflicts or economic, political or social instability in foreign countries and regions, such as the conflicts between Russia and Ukraine, tensions across the Taiwan Strait, the Israel-Hamas conflict and other hostilities in the Middle East;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 inability, or reduced ability, to protect our intellectual property in various countries around the world, including any effect of compulsory licensing imposed by government action;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availability of government subsidies or other incentives that benefit competitors in their local markets that are not available to us.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United States trade policy, including the imposition of tariffs and the resulting consequences, may have a material adverse impact on our business and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new administration and associated policy changes or shifting proposals by the U.S. government, there may be greater restrictions and economic disincentives on international trade. For example, the U.S. government has pursued a new approach to trade policy, including renegotiating or terminating certain existing bilateral or multi-lateral trade agreements. It has also imposed tariffs on certain foreign goods and has raised the possibility of imposing significant, additional tariff increases or expanding the tariffs to capture other types of goods. These tariffs and other changes in U.S. trade policy have in the past and could continue to trigger retaliatory actions by affected countries, and certain foreign governments have instituted or are considering imposing retaliatory measures on certain U.S. goods. Foreign governments may also adopt other protectionist measures that could limit our ability to offer our products and services outside of the U.S. The ultimate impact of any tariffs or restrictions on international trade will depend on various factors, including if any tariffs are ultimately implemented, the timing of implementation, and the amount, scope, nature of the tariffs, and corresponding actions by foreign governments. We, our suppliers and our customers import certain raw materials, components and other products from foreign suppliers. Therefore, increased tariffs could increase the cost of our products and the components and raw materials that go into making them. These increased costs could adversely impact the gross margin that we earn on our products, which could make our products less competitive and reduce consumer demand. As such, the increase of tariffs,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60985"/>
                <wp:effectExtent l="0" t="0" r="0" b="0"/>
                <wp:wrapNone/>
                <wp:docPr id="45" name="Frame4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highly dependent on our senior management team and key personnel, and our business could be harmed if we are unable to attract and retain personnel necessary for our success.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highly dependent on our senior management and other key personnel. Our success will depend on our ability to retain senior management and to attract, recruit, retain, manage and motivate qualified personnel in the future, particularly with respect to an expected increase in hiring in connection with becoming a public company,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for skilled personnel in our market is intense and may limit our ability to hire and retain highly qualified personnel on acceptable terms, or at all. To induce valuable employees to remain at our company, we have issued and may continue to issue equity awards that vest over time, in addition to salary and cash incentives.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This lack of insurance means that we may not have adequate compensation for the loss of the services of these individuals.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could be adversely affected by violations of the FCPA and similar worldwide anti-bribery laws, as well as violations of export or import controls or economic sanctions laws and regulations. Any investigation, and the outcome of any investigation, by government agencies of possible violations by us of such laws and regulations could have a material adverse effect on our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anti-corruption laws and regulations, including the U.S. Foreign Corrupt Practices Act of 1977, as amended, the U.S. domestic bribery statute in 18 U.S.C. 201, the International Travel Act of 1961, as amended, or the U.S. Travel Act, the U.K. Bribery Act 2010, or the Bribery Act, and similar anti-bribery laws in jurisdictions in which we conduct activities. Anti-corruption laws are interpreted broadly and prohibit companies and their employees, agents, and intermediaries from corruptly authorizing, promising, providing, or offering, directly or indirectly, improper payments or anything else of value to government officials and persons in the private sector for the purpose of obtaining or retaining business. In addition, an organization that fails to prevent bribery by anyone associated with the organization can be charged under the Bribery Act, unless the organization can establish the defense of having implemented adequate procedures to prevent bribery.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require us to obtain licenses and authorizations prior to export, create delays in the introduction of our products in certain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further enhancing policies designed to ensure compliance by us and our directors, officers, employees, representatives, consultants and agents with the FCPA, the Bribery Act, OFAC laws and regulations, and other export control, anti-corruption, anti-money-laundering and anti-terrorism laws and regulations. In the future, we may operate in parts of the world that pose a heightened corruption risk. Moreover, because of the significant role government entities play in the regulation of many foreign healthcare markets, we may be exposed to heightened FCPA and similar risks arising from our efforts to seek regulatory approval of and reimbursement for our products in such countries. We cannot assure you that our internal control policies and procedures will protect us from improper acts committed by our employees or agents, nor can we assure you that our business partners have not engaged and will not engage in improper conduct that could materially affect their ability to perform their contractual obligations to us or even result in our being held liable for such conduct. The U.S. Departments of Justice, Commerce, State and Treasury and other federal agencies and authorities have a broad range of civil and criminal penalties they may seek to impose against corporations and individuals for violations of anti-corruption laws, economic sanctions laws, and export control and import laws. In addition, violations of these laws, or allegations of such violations, would significantly disrupt our business and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60985"/>
                <wp:effectExtent l="0" t="0" r="0" b="0"/>
                <wp:wrapNone/>
                <wp:docPr id="46" name="Frame4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and research and development credit may be limited.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U.S. federal and state net operating loss, or NOL, carryforwards of approximately $391.9 million and $242.2 million, respectively, and U.S. federal and state research and development credit carryforwards of $10.6 million and $8.3 million, respectively. NOLs incurred in taxable years beginning after December 31, 2017, may be carried forward indefinitely, but the deductibility of such federal NOLs in taxable years beginning after December 31, 2020, is limited to 80% of current year taxable income.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NOLs and its research and development credit carryforwards to offset post-change taxable income. Similar rules may apply under state tax laws. Our existing NOLs and research and development credit carryforwards have been, and may in the future be, subject to limitations arising from previous ownership changes, and if we undergo an ownership change, our ability to utilize NOLs and research and development credit carryforwards could be further limited by Sections 382 and 383 of the Code. Future changes in our stock ownership, some of which might be beyond our control, could result in an ownership change under Section 382 of the Code. For these reasons, in the event we experience a future change of control, we may not be able to utilize a material portion of the NOLs, research and development credit carryforwards or disallowed interest expense carryovers, even if we attain profitability. In addition, for state income tax purposes, the extent to which states will conform to the federal laws is uncertain and there may be periods during which the use of NOL carryforwards is suspended or otherwise limited, which could accelerate or permanently increase state taxes owed.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full valuation allowance against our net deferred tax asset.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acquire other businesses which could require significant management attention, disrupt our business, dilute stockholder value and adversely affect our results of operations.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may in the future make acquisitions or investments in complementary companies, products or technologies that we believe fit within our business model and can address the needs of our existing and potential customers. However,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the anticipated benefit of any acquisition may not materialize, or such acquisition may be prohibited. Our loan and security agreement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60985"/>
                <wp:effectExtent l="0" t="0" r="0" b="0"/>
                <wp:wrapNone/>
                <wp:docPr id="47" name="Frame4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Governmental Regulation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to the reimbursement rates for our products and procedures utilizing our products, as well as measures to reduce healthcare costs may adversely impact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from sales of our products to hospitals, ambulatory surgery centers and other healthcare facilities, which typically bill all or a portion of the costs and fees associated with using our products to various third-party payors, including Medicare, Medicaid, private commercial insurance companies, health maintenance organizations and other healthcare-related organizations. Because a vast majority of U.S. patients eligible for procedures in which our products are used are covered by Medicare, the Medicare coverage policy and reimbursement rate are important factors in a physician’s decision to use our products and limits the prices we may charge for our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patients have Medicaid coverage that is supplemental to Medicare coverage, and some patients may have Medicaid as their primary coverage. Because Medicaid is a state-administered program, Medicaid coverage policies and reimbursement vary by state. Changes in state Medicaid or other non-Medicare government-based programs or payment rates could have an adverse effect on our customer’s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some patients may have coverage through private insurance, for example through a marketplace plan set up under the Patient Protection and Affordable Care Act, as amended by the Health Care and Education Reconciliation Act, or collectively, the ACA, or through an employer or union group health plan. Private insurance coverage policies can vary, and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reduction in reimbursement rates for our products and procedures utilizing our products may adversely affect our customers’ businesses and cause them to enact cost reduction measures that may include reducing the scope of their programs, which could result in a reduced demand for our product or additional pricing pressures.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Healthcare reform measures could hinder or prevent the commercial success of our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there have been, and we expect there will continue to be, a number of legislative and regulatory changes to the healthcare system in ways that may harm our future revenues and profitability and the demand for our products.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an executive order was issued that initiated a special enrollment period for purposes of obtaining health insurance coverage through the ACA marketplace, from February 15, 2021 to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legislative changes have been proposed and adopted since the ACA was enacted. For example, the Budget Control Act of 2011, among other things, and in connection with subsequent legislation, reduced Medicare payments to providers of, on average, 2% per fiscal year, which went into effect on April 1, 2013 and, due to subsequent legislative amendments to the statute, will remain in effect through 2032, with the exception of a temporary suspension from May 1, 2020 through March 31, 2022 and a 1% reduction from April 1, 2022 through June 30, 2022, unless additional Congressional action is taken. Additionally, the American Taxpayer Relief Act of 2012, among other things,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60985"/>
                <wp:effectExtent l="0" t="0" r="0" b="0"/>
                <wp:wrapNone/>
                <wp:docPr id="48" name="Frame4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reduced Medicare payments to several categories of healthcare providers, including hospitals, and increased the statute of limitations period for the government to recover Medicare overpayments to providers from three to five years.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continuing efforts of the government, insurance companies, managed care organizations and other payors of healthcare services to contain or reduce costs of healthcare may harm: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ability to set prices that we believe is fair for our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ability to generate revenue and achieve or maintain profitability;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availability of capital.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presidential administration and Congress may continue to pursue significant changes to the current healthcare laws. We cannot predict what other laws and regulations will ultimately be enacted and implemented at the federal or state level or the effect of any future legislation or regulation in the United States on our business, financial condition,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must comply with anti-kickback, fraud and abuse, false claims, transparency, and other healthcare laws and regulations.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and future operations are subject to various federal and state healthcare laws and regulations. These laws affect our sales, marketing and other promotional activities by limiting the kinds of financial arrangements, including sales programs, we may have with hospitals, physicians or other potential purchasers or users, including patients, of medical devices and services. They also impose additional administrative and compliance burdens on us. In particular, these laws influence, among other things, how we structure our sales, placement and rental offerings, including discount practices, customer support, education and training programs and physician consulting and other service arrangements. The laws that affect our practices and arrangements include, but are not limited to: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60985"/>
                <wp:effectExtent l="0" t="0" r="0" b="0"/>
                <wp:wrapNone/>
                <wp:docPr id="49" name="Frame4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 customers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criminal healthcare statutes that were added by HIPAA, and its implementing regulations,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Physician Payments Sunshine Act, or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activities, such as stock-option compensation paid to physician consultants or our equipment placement practice,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robotic systems and our operations are subject to extensive government regulation and oversight in the United States. If we fail to maintain necessary marketing authorizations for our robotic systems, or if approvals or clearances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60985"/>
                <wp:effectExtent l="0" t="0" r="0" b="0"/>
                <wp:wrapNone/>
                <wp:docPr id="50" name="Frame4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 future products or modifications to existing products are delayed or not issued, it will negatively affect our business, financial condition and results of operations.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robotic systems are medical devices subject to extensive regulation in the United States and elsewhere, including by the FDA and its foreign counterparts. Government regulations specific to medical devices are wide ranging and govern, among other things: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product design, development, manufacture, and release;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laboratory and clinical testing, labeling, packaging, storage and distribution;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product safety and efficacy;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premarketing clearance or approval;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service operations, including relationships with healthcare providers;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record keeping;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product marketing, promotion and advertising, registration, sales and distribution;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post-marketing surveillance, including reporting of deaths or serious injuries and recalls and correction and removals;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post-market approval studies;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product import and export.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adverse publicity, warning letters, untitled letters, it has come to our attention letters, fines, injunctions, consent decrees and civil penalties;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repair, replacement, refunds, recall or seizure of our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operating restrictions, partial suspension or total shutdown of production;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denial of our requests for regulatory clearance or approval of new products, new intended uses or modifications to existing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withdrawal or suspension of regulatory clearance or approval that have already been granted;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criminal prosecution.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events were to occur, it will negatively affect our business, financial condition and results of operations.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receive, or may be delayed in receiving, the necessary clearances or approvals for our future products or modifications to our current products, and failure to timely obtain necessary clearances or approvals for our future products or modifications to our current products would adversely affect our ability to grow our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60985"/>
                <wp:effectExtent l="0" t="0" r="0" b="0"/>
                <wp:wrapNone/>
                <wp:docPr id="51" name="Frame4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special controls as deemed necessary by the FDA to ensure the safety and effectiveness of the device. These special controls can include performance standards, post-market surveillance, patient registries and FDA guidance documents.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premarket approval application, or PMA. Some pre-amendment devices are unclassified, but are subject to FDA’s premarket notification and clearance process in order to be commercially distributed. Our AquaBeam Robotic System is a Class II device that received De Novo approval, and our HYDROS Robotic System is a Class II device subject to 510(k) clearance.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 Section 510(k) of the FDCA, de novo classification, or approval of a PMA from the FDA, unless an exemption applies. Most Class I devices and some Class II devices are exempt from these premarket review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process of obtaining PMA approval the FDA must determine that a proposed device is safe and effective for its intended use based, in part, on extensive data, including, but not limited to, technical, clinical trial, manufacturing and labeling data.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de novo classification process, a manufacturer whose novel device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510(k), de 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or de novo request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originally obtained de novo classification of our first generation AquaBeam Robotic System and have subsequently obtained 510(k) clearances for modifications to the system. In August 2024, we obtained FDA 501(k) clearance for our next-generation platform, the HYDROS Robotic System. Any future modifications to these robotic systems that has not been previously cleared may require us to submit a new 510(k) premarket notification and obtain clearance, or depending on the change, we may be required to submit a PMA and obtain FDA approval before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60985"/>
                <wp:effectExtent l="0" t="0" r="0" b="0"/>
                <wp:wrapNone/>
                <wp:docPr id="52" name="Frame5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or other regulators can delay, limit, or deny clearance or approval of a device for many reasons, including: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inability to demonstrate to the satisfaction of the FDA or the applicable regulatory entity or notified body that our robotic systems, or any other future device, and any accessories are substantially equivalent to a legally marketed predicate device or safe or effective for their proposed intended uses;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disagreement of the FDA with the design or implementation of any clinical trials or the interpretation of data from preclinical studies or clinical trials;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serious and unexpected adverse device effects experienced by participants in our clinical trials;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insufficiency of the data from preclinical studies or clinical trials to support clearance or approval, where required;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inability to demonstrate that the clinical and other benefits of the device outweigh the risks;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failure of our manufacturing process or facilities to meet applicable requirements;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potential for approval policies or regulations of the FDA or applicable foreign regulatory bodies to change significantly in a manner rendering our clinical data or regulatory filings insufficient for clearance or approval.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important to our business that we build a pipeline of product offerings that address limitations of current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any new product offering or enhancement to an existing product will depend on a number of factors, including our ability to, among others: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identify and anticipate physician and patient needs properly;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develop and introduce new products or product enhancements in a timely manner;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avoid infringing upon the intellectual property rights of third parties;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demonstrate, if required, the safety and efficacy of new products with data from clinical studies;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obtain the necessary regulatory clearances or approvals for new products or product enhancements;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comply fully with the FDA and foreign regulations on marketing of new products or modified products;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provide adequate training to potential users of our robotic systems.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some of our future products will require FDA clearance of a 510(k). Other future products may require the approval of a PMA. In addition, some of our future products may require clinical trials to support marketing authorization and we may not successfully complete these clinical trials. The FDA may not approve or clear these products for the indications that are necessary or desirable for successful commercialization. Indeed, the FDA may refuse our requests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60985"/>
                <wp:effectExtent l="0" t="0" r="0" b="0"/>
                <wp:wrapNone/>
                <wp:docPr id="53" name="Frame5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510(k) clearance or PMA approval of new products. Failure to receive clearance or approval for our new products would have an adverse effect on our ability to expand our business.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Modifications to our marketed products may require new 510(k) clearances, or may require us to cease marketing or recall the modified products until clearances or approvals are obtained.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Modifications to our robotic systems and associated consumables may require new regulatory approvals or clearances, including 510(k) clearances,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and/or seek new marketing authorizations and harm our operating results. In these circumstances, we may be subject to significant enforcement actions.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manufacturer determines that a modification to an FDA-cleared device could significantly affect its safety or effectiveness, or would constitute a major change in its intended use, then the manufacturer must apply for a new 510(k) clearance or possibly a PMA approval. If we determine that modifications to our products require a new 510(k) clearance or PMA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Even though we have obtained marketing authorization for our products, we are subject to ongoing regulatory review and scrutiny. Failure to comply with post-marketing regulatory requirements could subject us to enforcement actions, including substantial penalties, and might require us to recall or withdraw a product from the market.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though we have obtained marketing authorization for our robotic systems, it and any other product for which we obtain clearance or approval, and the manufacturing processes, post-market surveillance, post-approval clinical data and promotional activities for such product, are or, in the case of future products,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untitled letters, warning letters, fines, injunctions, consent decrees and civil penalties;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unanticipated expenditures to address or defend such actions;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customer notifications for repair, replacement, refunds;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recall, detention or seizure of our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operating restrictions or partial suspension or total shutdown of production;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refusing or delaying our requests for 510(k) clearance or PMA of new products or modified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operating restrictions;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withdrawal of 510(k) clearances on PMA approvals that have already been granted;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refusal to grant export approval for our products;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criminal prosecution.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60985"/>
                <wp:effectExtent l="0" t="0" r="0" b="0"/>
                <wp:wrapNone/>
                <wp:docPr id="54" name="Frame5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equivalent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corrective action we take to redress a product’s deficiencies or defects, the FDA and/or equivalent foreign regulatory bodies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60985"/>
                <wp:effectExtent l="0" t="0" r="0" b="0"/>
                <wp:wrapNone/>
                <wp:docPr id="55" name="Frame5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products must be manufactured in accordance with federal and state regulations, and we could be forced to recall our devices or terminate production if we fail to comply with these regulations.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third-party manufacturers may not take the necessary steps to comply with applicable regulations, which could cause delays in the delivery of our products. For instance, in 2021 we initiated a voluntary recall for a limited number of lots of our handpiece due to certain issues related to our supply chain. We have remedied these issues as we developed our manufacturing processes to scale the production of our handpieces at a higher volume.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actions could significantly and negatively affect supply of our products. If any of these events occurs, our reputation could be harmed, we could be exposed to product liability claims and we could lose customers and experience reduced sales and increased costs.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products may in the future be subject to product recalls that could harm our reputation, business and financial results.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corrections and removals be reported to the FDA within 10 working days after such correction or removal is initiated. Companies are required to maintain certain records of recalls, even if they are not reportable to the FDA. We may initiate voluntary recalls involving our current or future products,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regulatory or enforcement actions if we engage in improper marketing or promotion of our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our products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products, the FDA or another regulatory agency could disagree and conclude that we have engaged in off-label promotion. It is also possible that other federal, state or foreign enforcement authorities might take action, including, but not limited to, through a whistleblower action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60985"/>
                <wp:effectExtent l="0" t="0" r="0" b="0"/>
                <wp:wrapNone/>
                <wp:docPr id="56" name="Frame5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civil False Claims Act, or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are expensive to defend and could divert our management’s attention, result in substantial damage awards against us, and harm our reputation.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liability claims are expensive to defend and could divert our management’s attention, result in substantial damage awards against us, and harm our reputation.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Legislative or regulatory reforms may make it more difficult and costly for us to obtain regulatory clearance or approval of any future products and to manufacture, market and distribute our products after clearance or approval is obtained.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For example, on February 22, 2024, the FDA finalized a rule amending the Quality System Regulation, or QSR, which establishes current good manufacturing practice requirements for medical device manufacturers, to align more closely with the International Organization for Standardization, or ISO, standards. The rule, called the Quality Management System Regulation, or QSMR, becomes effective in February 2026.</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a new President of the United States, as well as many members of the U.S. Congress were elected on November 5, 2024. The policies of the new administration and their impact on the regulation of our products in the United States are uncertain. The outcome of this election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Initiating and completing clinical trials necessary to support any future PMA applications or de novo requests, or to provide additional safety and efficacy data beyond those typically required for a 510(k) clearance, for our possible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60985"/>
                <wp:effectExtent l="0" t="0" r="0" b="0"/>
                <wp:wrapNone/>
                <wp:docPr id="57" name="Frame5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initiation and completion of any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may be required to submit an investigational device exemption application, or IDE, to the FDA, which must become effective prior to commencing certain human clinical trials of medical devices, and the FDA may reject our IDE and notify us that we may not begin clinical trials;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regulators and other comparable foreign regulatory authorities may disagree as to the design or implementation of our clinical trials;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regulators and/or an Institutional Review Board, or IRB, or other reviewing bodies may not authorize us or our investigators to commence a clinical trial, or to conduct or continue a clinical trial at a prospective or specific trial site;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clinical trials may produce negative or inconclusive results, and we may decide, or regulators may require us, to conduct additional clinical trials or abandon product development programs;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might have to suspend or terminate clinical trials for various reasons, including a finding that the subjects are being exposed to unacceptable health risks;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have to amend clinical trial protocols or conduct additional studies to reflect changes in regulatory requirements or guidance, which we may be required to submit to an IRB and/or regulatory authorities for re-examination;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regulators, IRBs, or other parties may require or recommend that we or our investigators suspend or terminate clinical research for various reasons, including safety signals or noncompliance with regulatory requirements;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cost of clinical trials may be greater than we anticipate;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clinical sites may not adhere to the clinical protocol or may drop out of a clinical trial;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may be unable to recruit a sufficient number of clinical trial sites;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regulators, IRBs, or other reviewing bodies may fail to approve or subsequently find fault with our manufacturing processes or facilities of third-party manufacturers with which we enter into agreement for clinical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60985"/>
                <wp:effectExtent l="0" t="0" r="0" b="0"/>
                <wp:wrapNone/>
                <wp:docPr id="58" name="Frame5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supplies, the supply of devices or other materials necessary to conduct clinical trials may be insufficient, inadequate or not available at an acceptable cost, or we may experience interruptions in supply;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approval policies or regulations of the FDA or equivalent foreign regulatory authorities may change in a manner rendering our clinical data insufficient for approval;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current or future products may have undesirable side effects or other unexpected characteristics.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in accordance with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the third parties on which we rely to conduct our clinical trials and to assist us with pre-clinical development do not perform as required or expected, we may not be able to obtain regulatory clearance or approval for or commercialize our products.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have the ability to independently conduct our pre-clinical and clinical trials for our future products and we may need to rely on third parties, such as CROs, medical institutions, collaborators, clinical investigators and contract laboratories to conduct such trials.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products in clinical development. Regulatory authorities enforce these GCP requirements through periodic inspections of trial sponsors, principal investigators and trial sites.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any of these third parties fail to comply with applicable GCP regulations, the clinical data generated in our clinical trials may be deemed unreliable and the FDA or comparable foreign regulatory authorities may require us to perform additional clinical trials before clearing or approving our marketing applications. We cannot assure you that, upon inspection, such regulatory authorities will determine that any of our future clinical trials complies with the GCP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60985"/>
                <wp:effectExtent l="0" t="0" r="0" b="0"/>
                <wp:wrapNone/>
                <wp:docPr id="59" name="Frame5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we may be affected by increased costs, program delays or both, any resulting data may be unreliable or unusable for regulatory purposes, and we may be subject to enforcement action.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at the FDA and other agencies may also slow the time necessary for new product applications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 prolonged government shutdown occurs, or if any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employees, collaborators, independent contractors and consultants may engage in misconduct or other improper activities, including noncompliance with regulatory standards and requirements.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FDA requirements, including those laws requiring the reporting of true, complete and accurate information to the FDA authorities;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manufacturing standards;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federal and state healthcare fraud and abuse laws and regulations;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laws that require the true, complete and accurate reporting of financial information or data.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60985"/>
                <wp:effectExtent l="0" t="0" r="0" b="0"/>
                <wp:wrapNone/>
                <wp:docPr id="60" name="Frame5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must comply with environmental and occupational safety laws.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have to obtain, maintain and protect our intellectual property and failure to do so may adversely impact our competitive position.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and ability to compete will depend in part in our ability to obtain, maintain and enforce issued patents, trademark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contractual provisions, confidentiality procedures and patent, trade secret, copyright and trademark laws to protect our proprietary technology, products, services, brands, trade secrets, know-how and data and prevent others from duplicating our robotic systems or its disposable components, and our other current and future products, services and technology. However, these legal means afford only limited protection and may not: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prevent others from duplicating our robotic systems or its disposable components, and our other current and future products;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prevent others from gaining access to our proprietary information and technology;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permit us to gain or maintain a competitive advantage.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products and services, and may not provide an adequate remedy if our intellectual property rights are infringed, misappropriated or otherwise violated.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in part on our portfolio of issued patents and pending patent applications in the United States and other countries to protect our intellectual property and competitive position. However,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It is also possible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60985"/>
                <wp:effectExtent l="0" t="0" r="0" b="0"/>
                <wp:wrapNone/>
                <wp:docPr id="61" name="Frame5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 fail to identify patentable aspects of inventions made in the course of our development, manufacture and commercialization activities before it is too late to obtain patent protection on them. If we fail to timely file for a patent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to sell or sell patented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positions of medical device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The scope of a patent may also be reinterpreted after issuance. The rights that may be granted under our future issued patents may not provide us with the proprietary protection or competitive advantages we are seeking.</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shd w:fill="FFFFFF" w:val="clear"/>
        </w:rPr>
        <w:t xml:space="preserve">The requirements for patentability may differ in certain countries, particularly in developing countries. The laws of some foreign countries may not protect our patent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sufficient patent protection to develop their own products or may export otherwise infringing products to territories where we have patent protection, but enforcement is not as strong as that in the United States. These products may compete with our products, and our patents rights may not be effective or sufficient to prevent them from competing. </w:t>
      </w:r>
      <w:r>
        <w:rPr>
          <w:rFonts w:ascii="Times New Roman;sans-serif" w:hAnsi="Times New Roman;sans-serif"/>
          <w:b w:val="false"/>
          <w:color w:val="000000"/>
          <w:sz w:val="20"/>
        </w:rPr>
        <w:t xml:space="preserve">We cannot offer any assurances that the breadth of our granted patents will be sufficient to stop a competitor from developing, manufacturing and commercializing a product or a service in a non-infringing manner that would be competitive with one or more of our products or services,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the natural expiration of a utility patent is generally 20 years from the earliest effective non-provisional filing date. Further, if we encounter delays in any future regulatory approvals, the period of time during which we could market a product or a service under patent protection could be reduced, and, given the amount of time required for the development, testing and regulatory review of planned or future products or services, patents protecting such products or services might expire before or shortly after such products or services are commercialized. As a result, our patent rights may not provide us with sufficient rights to exclude others from manufacturing or commercializing products or services similar or identical to ours.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obtain, maintain and enforce our issued patent, trademarks and other intellectual property rights related to our products, services or technology, or if the scope of the issued patents, trademarks or other intellectual property right protection is insufficient, our competitors could develop, manufacture and commercialize products,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60985"/>
                <wp:effectExtent l="0" t="0" r="0" b="0"/>
                <wp:wrapNone/>
                <wp:docPr id="62" name="Frame6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technology similar or superior to ours, and our competitive position may be adversely affected. In addition, the patent prosecution process is expensive, time-consuming and complex, and we may not be able to file, prosecute, maintain, enforce or license all necessary or desirable patent applications at a reasonable cost or in a timely manner.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 “nonexclusive, partially exclusive, or exclusive license” to a “responsible applicant or applicants.” If the patent owner refuses to do so, the government may grant the license to itself. We cannot be sure that if we acquire intellectual property rights in the future it will be free from government rights or regulations pursuant to the Bayh-Dole Act. If, in the future, we own, co-own or license in technology that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services, we may not be able to stop a competitor from marketing products or services that are the same as or similar to our products or services, which would have a material adverse effect on our business, financial condition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become involved in lawsuits to protect or enforce our patents and other intellectual property rights, which could be expensive, time-consuming and unsuccessful, and if unsuccessful, the commercial value of our products and services will be adversely affected and our competitive position may be harmed.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Third parties may also challenge the validity, enforceability, or scope of such patents, which may result in such patents being narrowed, invalidated, or held unenforceable. While we are not aware of any unauthorized use of our intellectual property rights, we do not regularly conduct monitoring for unauthorized use at this time. In the future, we may, from time to time, seek to analyze our competitors’ products and services, or seek to enforce our rights against potential infringement, misappropriation or violation of our intellectual property rights. The steps we have taken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60985"/>
                <wp:effectExtent l="0" t="0" r="0" b="0"/>
                <wp:wrapNone/>
                <wp:docPr id="63" name="Frame6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Thus, we may not be able to detect unauthorized use of, or take appropriate steps to enforce, our intellectual property rights. Any inability to meaningfully enforce our intellectual property rights could harm our ability to compete and reduce demand for our products and services.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product or a service,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rights.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inter partes review, interference proceedings, derivation proceedings, and equivalent proceedings in foreign jurisdictions (e.g., opposition proceedings).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Decisions by courts and governmental patent agencies may introduce uncertainty in the enforceability or scope of patents and other intellectual properties owned by us. A court may decide that a patent or other intellectual property right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An adverse result in any litigation proceeding could put one or more of our patents at risk of being invalidated or interpreted narrowly.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 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unsuccessful in licensing or acquiring intellectual property rights from third parties that may be necessary to develop, manufacture and/or commercialize our current and/or future products or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third party may hold intellectual property rights, including patent rights, that are important or necessary to the development, manufacture and/or commercialization of our current and/or future products or services, in which case we would be need to acquire or obtain a license to such intellectual property rights from such third party. A third party that perceive us to be a competitor may be unwilling to assign or license its intellectual property rights to us. In addition, the licensing or acquisition of third-party intellectual property rights is a competitive area, and other companies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60985"/>
                <wp:effectExtent l="0" t="0" r="0" b="0"/>
                <wp:wrapNone/>
                <wp:docPr id="64" name="Frame6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pursue similar strategies to license or acquire such third party’s intellectual property rights. Some of these companies may be established and may have a competitive advantage over us due to their size, capital resources and greater development, manufacture and commercialization capabilities. We also may be unable to license or acquire third party intellectual property rights on commercially reasonable terms that would allow us to make an appropriate return on our investment, or at all, or we may be unable to obtain any such license or acquisition at all. If we are unable to successfully obtain rights to necessary third-party intellectual property rights, we may not be able to develop, manufacture or commercialize our current and/or future products or services, which could have a material adverse effect on our business, financial condition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current and future products.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current or former employees, collaborators or other third parties have an interest in our current or future patents, patent applications, trade secrets or other intellectual property rights as an inventor or co-inventor. For example, we may have inventorship disputes arise from conflicting obligations of employees, consultants or others who are involved in developing our current or future products, services or technology.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If we fail in defending any such claims, in addition to paying monetary damages, we may lose valuable intellectual property rights, such as exclusive ownership of, or right to use, intellectual property that is important to our robotic systems and our other current and future products, services or technology.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our robotic systems, or our other current or future products, services and technologies, and we could be prohibited from using our other technologies, features or intellectual property rights that are essential to our products or services,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selling our products or services.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60985"/>
                <wp:effectExtent l="0" t="0" r="0" b="0"/>
                <wp:wrapNone/>
                <wp:docPr id="65" name="Frame6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and other employees. Any of the foregoing could have a material adverse effect on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the confidentiality of our trade secrets, our business and competitive position may be harmed.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seeking patent protection for our robotic systems and our other current and future products and services,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we have entered into such agreements with each party that has or may have had access to our trade secrets or proprietary information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the movement of personnel within the industry and from academic to industry scientific positions.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could have a material adverse effect on our competitive position,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60985"/>
                <wp:effectExtent l="0" t="0" r="0" b="0"/>
                <wp:wrapNone/>
                <wp:docPr id="66" name="Frame6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robotic systems or our other current and future products or services, if such technologies or features are found to incorporate or be derived from the trade secrets or other proprietary information of the former employers.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inability to incorporate technologies or features that are important or essential to our product could have a material adverse effect on our business, financial condition and results of operations, and may prevent us from selling our robotic systems or our other current and future products or services.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patent law could diminish the value of patents in general, thereby impairing our ability to protect our existing and future products or services, and could increase the uncertainties and costs surrounding the prosecution of our patent applications and the enforcement or defense of our current or future patents.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and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60985"/>
                <wp:effectExtent l="0" t="0" r="0" b="0"/>
                <wp:wrapNone/>
                <wp:docPr id="67" name="Frame6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our trademarks and tradenames are not adequately protected, then we may not be able to build name recognition in our markets and our business may be adversely affected.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products and services from the products and services of our competitors, and have registered or applied to register many of these trademarks in the United States and certain countries outside the United States.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trademarks or trade names may be challenged, invalidated, infringed, circumvented and circumvented by third parties, and our trademarks could also be diluted, declared generic or determined to be violating or infringing on other marks. We may not be able to protect our rights to these trademarks and trade names, which we need to build name recognition among potential partners and customers in our markets of interest. If any of the foregoing occurs, we could be forced to re-brand our products or services,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or other third parties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may be adversely affected. Any of the foregoing could have a material adverse effect on our competitive position, business, financial condition, operating results and prospects.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become a party to intellectual property litigation or administrative proceedings that could be expensive, time-consuming, unsuccessful, and could interfere with our ability to sell and market our products or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products and services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initiate legal proceedings alleging that we are infringing, misappropriating or otherwise violating their intellectual property rights, or challenging the validity, enforceability or scope of our patents, the outcome of which would be uncertain and could have a negative impact on the success of our business. It is possible that U.S. and foreign patents and pending patent applications controlled by third parties may be alleged to cover our products and services, or that we may be accused of misappropriating third parties’ trade secrets or infringing third parties’ trademarks. We may in the future become party to, or be threatened with, adversarial proceedings or litigation regarding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60985"/>
                <wp:effectExtent l="0" t="0" r="0" b="0"/>
                <wp:wrapNone/>
                <wp:docPr id="68" name="Frame6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our products or services, including interference proceedings, post grant review and inter partes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and/or services, which could have a negative impact on the commercial success of our current and any future products or services.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in the United States, the patent owner need only prove infringement by a preponderance of the evidence, which is a lower burden of proof. We will have similar burdens to overcome in foreign courts in order to successfully challenge a third-party claim of patent infringement.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defense of any litigation or interference proceedings may fail and, even if successful, defending such claims brought against us would cause us to incur substantial expenses. If such claims are successfully asserted against us, they may result in substantial costs and distract our management and other employees and could cause us to pay substantial damages. Further, if a patent infringement or other intellectual property rights-related lawsuit were brought against us, we could be forced, including by court order, to cease developing, manufacturing and/or commercializing the infringing product or service. In addition, we could be found liable for monetary damages, including treble damages and attorneys’ fees, if we are found to have willfully infringed a patent or other intellectual property right. Although patent, trademark, trade secret, and other intellectual property disputes in the medical device area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finding of infringement, or an unfavorable interference or derivation proceedings outcome could prevent us from developing, manufacturing and/or commercializing our products or services,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or service introductions while we attempt to develop alternative products or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products include components that we purchase from suppliers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services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60985"/>
                <wp:effectExtent l="0" t="0" r="0" b="0"/>
                <wp:wrapNone/>
                <wp:docPr id="69" name="Frame6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infringement in order to extract settlements. From time to time, we may receive threatening letters, notices or “invitations to license,” or may be the subject of claims that our products, services and business operations infringe, misappropriate or otherwise violate the intellectual property rights of others. The defense of these matters can be time-consuming, costly to defend in litigation, divert management’s attention and resources, damage our reputation and brand and cause us to incur significant expenses or make substantial payments. In addition, suppliers from whom we purchase hardware or software may not indemnify us in the event that such hardware or software is accused of infringing a third party’s patent or trademark or of misappropriating a third party’s trade secret.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products or services. Two of our applications filed in Europe are currently subject to opposition challenges.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services. Such a loss of patent protection would have a material adverse impact on our business, financial condition, results of operations, and prospects.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use of “open source” software could subject our proprietary software to general release, adversely affect our ability to sell our current or future products and services, and subject us to possible litigation.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software that uses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robotic systems and our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robotic systems and our other current and future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60985"/>
                <wp:effectExtent l="0" t="0" r="0" b="0"/>
                <wp:wrapNone/>
                <wp:docPr id="70" name="Frame6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Intellectual property rights do not necessarily address all potential threats.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others may be able to make products that are similar to our robotic systems and our other current or future products or utilize similar technology but that are not covered by the claims of our patents or that incorporate certain technology in our robotic systems and our other current and future products that is in the public domain;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or our future licensors or collaborators, might not have been the first to make the inventions covered by the applicable issued patent or pending patent application that we own now or may own or license in the future;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or our future licensors or collaborators, might not have been the first to file patent applications covering certain of our or their inventions;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others may independently develop similar or alternative technologies or duplicate any of our technologies without infringing our intellectual property rights;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it is possible that our current or future pending patent applications will not lead to issued patents;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issued patents that we hold rights to may be held invalid or unenforceable, including as a result of legal challenges by our competitors or other third parties;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may not develop additional proprietary technologies that are patentable;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the patents of others may harm our business;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foregoing could have a material adverse effect on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Patents covering our products could be found invalid or unenforceable if challenged in court or before administrative bodies globally.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issuance of a patent is not conclusive as to its inventorship, scope, validity or enforceability, and our patents may be challenged in the courts or patent offices globally. We may become involved in opposition, derivation, revocation, reexamination, post-grant review, inter partes review (“IPR”) or other similar proceedings challenging our patent rights. An adverse determination in any such submission, proceeding or litigation could reduce the scope of, or invalidate or render unenforceable,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our priority of invention or other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technology or products. Such proceedings also may result in substantial cost and require significant time from our scientists and management, even if the eventual outcome is favorable to us.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initiate legal proceedings against a third party to enforce a patent covering our products, the defendant could counterclaim that such patent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claims challenging the validity or enforceability of our patents before administrative bodies globally, even outside the context of litigation, including through re-examination, post-grant review, IPR, interference proceedings, derivation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60985"/>
                <wp:effectExtent l="0" t="0" r="0" b="0"/>
                <wp:wrapNone/>
                <wp:docPr id="71" name="Frame6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proceedings and equivalent proceedings in foreign jurisdictions (e.g., opposition proceedings). Such proceedings could result in the revocation of, cancellation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and proprietary rights throughout the world.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attempt to develop, manufacture and/or commercialize competitive products or services in foreign countries utilizing our proprietary technology, design, trademarks or tradenames in foreign countries where we do not have any patents or patent applications, trademarks, and/or other forms of intellectual property rights and/or where legal recourse may be limited. This may have a significant commercial impact on our foreign business operations.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Filing, prosecuting and defending patents or trademarks on our robotic systems and all of our other current and future products and services in all countries throughout the world would be prohibitively expensive, and the laws of foreign countries particularly those of developing countries, may not protect our rights to the same extent as the laws of the United States. Consequently, we may not be able to prevent third parties from practicing our inventions or trademarks in all jurisdictions outside the United States to the same extent as the United States, or from developing, manufacturing, selling or importing products or services using or incorporating our inventions or trademarks in and into the United States or other jurisdictions. Competitors may use our technologies in jurisdictions where we have not obtained patent or trademark protection to develop, manufacture and/or market their own products or services and, further, may export otherwise infringing products or services to territories where we have patent or trademark protection, but enforcement on infringing activities is inadequate or not as strong as that in the United States. These products or services may compete with our robotic systems or other current or future products or services, and our patents, trademarks or other intellectual property rights may not be effective or sufficient to prevent them from competing.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or technology. For example, certain jurisdictions do not allow for patent protection with respect to method of treatment.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seek to protect our intellectual property rights in our expected significant markets, we cannot ensure that we will be able to initiate or maintain similar efforts in all jurisdictions in which we may wish to manufacture or market our products or services. Accordingly, our efforts to protect our intellectual property rights in such countries may be inadequate, which may have an adverse effect on our ability to successfully manufacture or commercialize our products or services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to enforce our patent and trademark rights in foreign jurisdictions could result in substantial costs and divert our attention from other aspects of our business, could put our patents and trademarks or applications in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60985"/>
                <wp:effectExtent l="0" t="0" r="0" b="0"/>
                <wp:wrapNone/>
                <wp:docPr id="72" name="Frame7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jurisdictions, as well as elsewhere, at risk of being invalidated or interpreted narrowly, and could provoke third parties to assert claims against us. We may not prevail in any proceedings that we initiate and the damages or other remedies awarded, if any, may not be commercially meaningful.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heavily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patents, know-how and other proprietary technology licensed from licensors such as AquaBeam LLC. This and other licenses we currently possess or may possess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Moreover, if we fail to comply with our obligations under such licenses, or if disputes over intellectual property that we have licensed prevent or impair our ability to maintain our current licensing arrangements on acceptable terms, we may be unable to successfully develop and commercialize the affected technology or products.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in our intellectual property agreements with third parties may also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results of operations, financial condition, cash flows and prospects. In spite of our efforts, our current and future licensors might also conclude that we have breached our obligations under our license agreements and might therefore seek to terminate such license agreements, thereby removing or limiting our ability to develop and commercialize products and technology covered by these license agreements. As a result, any termination of these licenses could result in the loss of significant rights and could harm our ability to commercialize our products, including, for example, our robotic systems, and our financial results.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need to obtain additional licenses from our existing licensors and others to allow commercialization of products we may develop. Moreover,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technology or products. Even if we are able to obtain such additional licenses, they may be non-exclusive thereby giving our competitors and other third parties access to the same technology licensed to us. Any of the foregoing could have an adverse impact on our business and financial results.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market price of our common stock may be volatile or may decline steeply or suddenly regardless of our operating performance, which could result in substantial losses for holders of our common stock, and we may not be able to meet investor or analyst expectations.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may be highly volatile and fluctuate or decline significantly in response to numerous factors, many of which are beyond our control, including: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variations between our actual operating results, or those of companies that are perceived to be similar to us, and the expectations of securities analysts, investors and the financial community;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any forward-looking financial or operating information we may provide to the public or securities analysts, any changes in this information or our failure to meet expectations based on this information;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actions of securities analysts who initiate or maintain coverage of us, changes in financial estimates by any securities analysts who follow our Company or our failure to meet these estimates or the expectations of investors;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additional shares of our common stock being sold into the market by us or our existing stockholders, or the anticipation of such sales;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hedging activities by market participants;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announcements by us or our competitors of significant products or features, technical innovations, acquisitions, strategic partnerships, joint ventures or capital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60985"/>
                <wp:effectExtent l="0" t="0" r="0" b="0"/>
                <wp:wrapNone/>
                <wp:docPr id="73" name="Frame7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changes in operating performance and stock market valuations of companies in our industry, including our competitors;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changes in third-party payor reimbursement policies;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 inability to obtain additional funding;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general economic, industry and market conditions, including price and volume fluctuations in the overall stock market;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lawsuits threatened or filed against us;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developments in new legislation and pending lawsuits or regulatory actions, including interim or final rulings by judicial or regulatory bodies;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other events or factors, including those resulting from political conditions, election cycles, war or incidents of terrorism, or responses to these events, many of which are outside of our control.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for the foreseeable future and, as a result, your ability to achieve a return on your investment will depend on appreciation in the price of our common stock.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loan and security agreement with Canadian Imperial Bank of Commerce restrict our ability to pay dividends to limited circumstances. Accordingly, investors must rely on sales of their common stock after price appreciation, which may never occur, as the only way to realize any future gains on their investments.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Future securities issuances could result in significant dilution to our stockholders and impair the market price of our common stock.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Delaware law and provisions in our amended and restated certificate of incorporation and bylaws could make a merger, tender offer or proxy contest difficult, thereby depressing the trading price of our common stock.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bylaws currently in effect contain provisions that could depress the trading price of our common stock by acting to discourage, delay or prevent a change of control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60985"/>
                <wp:effectExtent l="0" t="0" r="0" b="0"/>
                <wp:wrapNone/>
                <wp:docPr id="74" name="Frame7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or changes in our management that the stockholders of our company may deem advantageous. These provisions include the following: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establishing a classified board of directors so that not all members of our board of directors are elected at one time;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permitting our board of directors to establish the number of directors and fill any vacancies and newly-created directorships;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providing that directors may only be removed for cause and only by the affirmative vote of the holders of at least a majority of the voting power of all then outstanding shares of our capital stock;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requiring the approval of holders of two-thirds of our outstanding common stock to amend some provisions in our amended and restated certificate of incorporation and bylaws;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authorizing the issuance of “blank check” preferred stock that our board of directors could use to implement a stockholder rights plan;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prohibiting stockholders from calling special meetings of stockholders;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prohibiting stockholder action by written consent, which has the effect of requiring all stockholder actions to be taken at a meeting of our stockholders;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providing that the board of directors is expressly authorized to make, alter or repeal our bylaws;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restricting the forum for certain litigation involving us to Delaware or federal courts, as applicable; and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establishing advance notice requirements for nominations for election to our board of directors or for proposing matters that can be acted upon by stockholders at annual stockholder meetings.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of our amended and restated certificate of incorporation currently in effect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our amended and restated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currently in effect provide that, unless we consent in writing to the selection of an alternative forum, the sole and exclusive forum, to the fullest extent permitted by law, for (i) any derivative action or proceeding brought on our behalf, (ii) any action asserting a breach of a fiduciary duty owed by any director, officer or other employee to us or our stockholders, (iii) any action asserting a claim against us or any director, officer, or other employee arising pursuant to the Delaware General Corporation Law, (iv) any action to interpret, apply, enforce, or determine the validity of our second amended and restated certificate of incorporation or amended and restated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60985"/>
                <wp:effectExtent l="0" t="0" r="0" b="0"/>
                <wp:wrapNone/>
                <wp:docPr id="75" name="Frame7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 not be deemed to have waived our compliance with the federal securities laws and the rules and regulations thereunder. These provisions may also result in increased costs for investors seeking to bring a claim against us or any of our directors, officers or other employees.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As a result of becoming a public company, we will be required, in order to comply with the SEC’s rules and regulations, to furnish a report by management on, among other things, the effectiveness of our 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adequate internal control over financial reporting, or if we identify material weaknesses in future periods, we may not be able to produce timely or accurate financial statements, investors may lose confidence in our operating results, and the trading price of our common stock could decline.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404 of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result in more litigation, and divert management’s attention.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the Dodd-Frank Wall Street Reform and Consumer Protection Act, or the Dodd-Frank Act, the listing requirements of The Nasdaq Stock Market,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60985"/>
                <wp:effectExtent l="0" t="0" r="0" b="0"/>
                <wp:wrapNone/>
                <wp:docPr id="76" name="Frame7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By disclosing information in this Annual Report on Form 10-K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and other legal proceedings may adversely affect our business.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time-to-time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robotic systems, even if the regulatory or legal action is unfounded or not material to our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economic and financial market conditions may exacerbate our business risks.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macroeconomic conditions and the world’s financial markets remain susceptible to significant stresses, including from inflation and central bank policies among other sources. Such stresses may result in reductions in available credit and government spending, economic downturn or stagnation, foreign currency fluctuations and volatility in the valuations of securities generally. Our customers and distributors may respond to such economic pressures by reducing or deferring their capital spending or reducing staff. Furthermore, unfavorable changes in foreign exchange rates versus the U.S. dollar could increase our product and labor costs, thus reducing our gross profit. </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Ongoing and potential conflicts could adversely affect our business, financial condition, or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social and political, trade barriers or disputes, changes in consumer preferences, as well as an increase in espionage and cyberattacks. The extent and duration of the military action, sanctions, other consequences could be significant and could potentially have substantial impact on the global economy and our business for an unknown period of time. Impacts to our business may include, but are not limited to, procedures performed, demand for our products, and ability to spend on capital equipment and healthcare in general. A broadening of this conflict, or the initiation of other conflicts globally may heighten these risks. Any such disruption may also amplify the impact of other risks described.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60985"/>
                <wp:effectExtent l="0" t="0" r="0" b="0"/>
                <wp:wrapNone/>
                <wp:docPr id="77" name="Frame7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actively monitoring the ongoing conflict between Israel and Hamas and assessing the impacts on our business, including our business partners and customers. To date, we have not experienced any material interruptions in our operations. We have no way to predict the progress, outcome, or consequences of the military conflict in the Israel-Gaza regions and any potential increases in hostilities in the Middle East.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increasing focus on environmental sustainability and social initiatives could increase our costs, harm our reputation and adversely impact our financial results.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team conducts monthly security assessments to identify cybersecurity threats utilizing third-party experts retained by us, as well as assessments in the event of a material change in our business practices that may affect information systems that are vulnerable to such cybersecurity threats. Our research and development team utilizes third-party experts to evaluate cybersecurity risks during our product development process. These risk assessments generally 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these risk assessments, we reasonably address any identified gaps in existing safeguards and regularly monitor the effectiveness of our safeguards. Our head of information technology periodically makes reports to the Company’s Chief Financial Officer on the results of our risk assessment and mitigation process.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overall risk management system, we monitor and test our safeguards and train all of our employees on cybersecurity safeguards related to our information technology systems. Personnel at all levels and departments are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60985"/>
                <wp:effectExtent l="0" t="0" r="0" b="0"/>
                <wp:wrapNone/>
                <wp:docPr id="78" name="Frame7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aware of our cybersecurity policies through random cybersecurity testing and remedial trainings. There can be no assurance that our cybersecurity risk management program and processes, including our policies, controls, and procedures, will be fully implemented, complied with or effective in protecting our systems and information.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section titled “Risk Factors” in this Annual Report for additional information.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key functions of our board of directors is informed oversight of our risk management process, including risks from cybersecurity threats. Our board of directors administers its cybersecurity risk oversight function directly as a whole, as well as through delegation of primary responsibility to the audit committee. The audit committee receives periodic reports, at least annually, on our cybersecurity program, industry best practices, and any incidents or trends.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monitoring and assessing strategic risk exposure, and our executive officers are responsible for the day-to-day management of the material risks we face. The audit committee receives annual reports from management personnel responsible for enterprise risk management, which also evaluates cybersecurity among other enterprise level risks on an annual basis. </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security officer, our Chief Financial Officer, and our head of information technology are primarily responsible to assess and manage our material risks from cybersecurity threats. Our incident response plan designates our head of information technology as primarily responsible for identifying and evaluating any cybersecurity incident or suspected incident, and reporting any such incidents to management (including the security officer, Chief Financial Officer, and Chief Legal Officer) in order for management to evaluate materiality, and to report to our audit committee, our board of directors and make public disclosures as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office is located at 150 Baytech Drive, San Jose, California, where we lease approximately 163,221 square feet of office space, inclusive of approximately 5,000 square feet of temporary storage space on a month-to-month lease. The principal office lease commenced in July 2022, and will continue for 122 months following thereafter, with two five year options to extend the term of the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Legal Matters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8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60985"/>
                <wp:effectExtent l="0" t="0" r="0" b="0"/>
                <wp:wrapNone/>
                <wp:docPr id="79" name="Frame7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 Purchases of Equity Securities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Market under the symbol “PRCT” since September 14, 2021. Prior to that date, there was no public trading market for our common stock.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Holders of Common Stock</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As of</w:t>
      </w:r>
      <w:r>
        <w:rPr>
          <w:color w:val="000000"/>
          <w:shd w:fill="FFFFFF" w:val="clear"/>
        </w:rPr>
        <w:t xml:space="preserve"> </w:t>
      </w:r>
      <w:r>
        <w:rPr>
          <w:rFonts w:ascii="Times New Roman;sans-serif" w:hAnsi="Times New Roman;sans-serif"/>
          <w:b w:val="false"/>
          <w:color w:val="000000"/>
          <w:sz w:val="20"/>
          <w:shd w:fill="FFFFFF" w:val="clear"/>
        </w:rPr>
        <w:t>February 20, 2025, t</w:t>
      </w:r>
      <w:r>
        <w:rPr>
          <w:rFonts w:ascii="Times New Roman;sans-serif" w:hAnsi="Times New Roman;sans-serif"/>
          <w:b w:val="false"/>
          <w:color w:val="000000"/>
          <w:sz w:val="20"/>
        </w:rPr>
        <w:t>here were 212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loan and security agreement with Canadian Imperial Bank of Commerce. Our ability to pay cash dividends on our capital stock in the future may also be limited by the terms of any preferred securities we may issue or agreements governing any additional indebtedness we may incur.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chart compares the cumulative total return on our common stock with that of the NASDAQ Composite Index and the S&amp;P Health Care Equipment Index. The graph assumes $100 was invested in each of the Company’s common stock, the NASDAQ Composite Index and the S&amp;P Health Care Equipment Index, and assumes reinvestment of any dividends. Note that historic stock price performance is not necessarily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60985"/>
                <wp:effectExtent l="0" t="0" r="0" b="0"/>
                <wp:wrapNone/>
                <wp:docPr id="80" name="Frame7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before="180" w:after="283"/>
        <w:ind w:left="0" w:right="0" w:firstLine="360"/>
        <w:jc w:val="center"/>
        <w:rPr/>
      </w:pPr>
      <w:r>
        <w:rPr/>
        <w:drawing>
          <wp:inline distT="0" distB="0" distL="0" distR="0">
            <wp:extent cx="6057900" cy="5067300"/>
            <wp:effectExtent l="0" t="0" r="0" b="0"/>
            <wp:docPr id="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 descr=""/>
                    <pic:cNvPicPr>
                      <a:picLocks noChangeAspect="1" noChangeArrowheads="1"/>
                    </pic:cNvPicPr>
                  </pic:nvPicPr>
                  <pic:blipFill>
                    <a:blip r:embed="rId4"/>
                    <a:stretch>
                      <a:fillRect/>
                    </a:stretch>
                  </pic:blipFill>
                  <pic:spPr bwMode="auto">
                    <a:xfrm>
                      <a:off x="0" y="0"/>
                      <a:ext cx="6057900" cy="50673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80" w:after="283"/>
        <w:ind w:left="0" w:right="0" w:firstLine="360"/>
        <w:jc w:val="left"/>
        <w:rPr/>
      </w:pPr>
      <w:r>
        <w:rPr/>
      </w:r>
    </w:p>
    <w:p>
      <w:pPr>
        <w:pStyle w:val="TextBody"/>
        <w:bidi w:val="0"/>
        <w:spacing w:before="18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60985"/>
                <wp:effectExtent l="0" t="0" r="0" b="0"/>
                <wp:wrapNone/>
                <wp:docPr id="82" name="Frame7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together with our financial statements and related notes are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report. Please also see the section titled “Cautionary Note Regarding Forward-Looking Statements.”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generally compares our results of operations for the years ended December 31, 2024 and 2023. A detailed discussion comparing our results of operations for the years ended December 31, 2023 and 2022 can be found in Part II, Item 7, “Management’s Discussion and Analysis of Financial Condition and Results of Operations”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surgical robotics company focused on advancing patient care by developing transformative solutions in urology. We develop, manufacture and sell the AquaBeam Robotic System and HYDROS Robotic System, which are advanced, image-guided, surgical robotic systems for use in minimally invasive urologic surgery, with an initial focus on treating benign prostatic hyperplasia, or BPH. BPH is the most common prostate disease and impacts approximately 40 million men in the United States. Each of our robotic systems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robotic systems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over 150 peer-reviewed publications, supporting the benefits and clinical advantages of Aquablation therapy. As of December 31, 2024, we had an install base of 647 AquaBeam Robotic Systems and HYDROS Robotic Systems globally, including 505 in the United States.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sell our products to hospitals. We target approximately 2,700 hospitals that perform resective BPH procedures in the United States. Over time, we expect to gradually expand our focus to also include mid- and low-volume hospitals. These customers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We also have favorable coverage decisions from many large commercial payors. We plan to leverage these successes in our active discussions with all commercial payors to establish additional positive national and regional coverage policies. Outside of the United States, we have ongoing efforts in key markets to expand established coverage and improve payment which we believe will expand patient access to Aquablation therapy.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the robotic systems, the single-use disposable handpiece, integrated scope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robotic system is shipped to our customers with a third-party manufactured ultrasound system and probe. We utilize a well-known third-party logistics provider located in the United States and the Netherlands to ship our products to our customers globally.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60985"/>
                <wp:effectExtent l="0" t="0" r="0" b="0"/>
                <wp:wrapNone/>
                <wp:docPr id="83" name="Frame8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revenue of $224.5 million and $136.2 million, for the years ended December 31, 2024 and 2023, respectively, and incurred a net loss of $91.4 million and $105.9 million for the years ended December 31, 2024 and 2023, respectively. As of December 31, 2024, we had an accumulated deficit of $546.0 million.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Factors Affecting Our Performance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Grow our install base of robotic systems:</w:t>
      </w:r>
      <w:r>
        <w:rPr>
          <w:color w:val="000000"/>
        </w:rPr>
        <w:t xml:space="preserve"> </w:t>
      </w:r>
      <w:r>
        <w:rPr>
          <w:rFonts w:ascii="Times New Roman;sans-serif" w:hAnsi="Times New Roman;sans-serif"/>
          <w:b w:val="false"/>
          <w:color w:val="000000"/>
          <w:sz w:val="20"/>
        </w:rPr>
        <w:t>As of December 31, 2024, we had an install base of 647 robotic systems globally, including 505 in the United States. In the United States, we are initially focused on driving adoption of Aquablation therapy among urologists that perform hospital-based resective BPH surgery. We target approximately 2,700 hospitals that perform resective BPH procedures in the United States. To penetrate these hospitals, we expect to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 base of robotic systems, we expect our revenue to increase as a result of the system sale and resulting utilization.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Increase system utilization:</w:t>
      </w:r>
      <w:r>
        <w:rPr>
          <w:color w:val="000000"/>
        </w:rPr>
        <w:t xml:space="preserve"> </w:t>
      </w:r>
      <w:r>
        <w:rPr>
          <w:rFonts w:ascii="Times New Roman;sans-serif" w:hAnsi="Times New Roman;sans-serif"/>
          <w:b w:val="false"/>
          <w:color w:val="000000"/>
          <w:sz w:val="20"/>
        </w:rPr>
        <w:t xml:space="preserve">Our revenue is significantly impacted by the utilization of our robotic systems. Once we place a system within a 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expect to leverage their experiences to capture more surgical volumes and establish Aquablation therapy as the surgical standard of care.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Reimbursement and coverage decisions by third-party payors.</w:t>
      </w:r>
      <w:r>
        <w:rPr>
          <w:color w:val="000000"/>
        </w:rPr>
        <w:t xml:space="preserve"> </w:t>
      </w:r>
      <w:r>
        <w:rPr>
          <w:rFonts w:ascii="Times New Roman;sans-serif" w:hAnsi="Times New Roman;sans-serif"/>
          <w:b w:val="false"/>
          <w:color w:val="000000"/>
          <w:sz w:val="20"/>
        </w:rPr>
        <w:t>Healthcare providers in the United States generally rely on third-party payors, principally federal Medicare, state Medicaid and private health insurance plans, to cover all or part of the cost of procedures using our robotic system. The revenue we are able to generate from sales of our products depends in large part on the availability of sufficient reimbursement from such payors. 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robotic systems. We believe our strong body of clinical evidence and support from key societies, supplemented by the momentum from Medicare coverage, have led to favorable coverage decisions from many large commercial payors. We plan to leverage these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 xml:space="preserve">The results of our operations will depend, in part, on our ability to increase our gross margins by more effectively managing our costs to produce our robotic Systems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Investment in research and development to drive continuous improvements and innovation.</w:t>
      </w:r>
      <w:r>
        <w:rPr>
          <w:color w:val="000000"/>
        </w:rPr>
        <w:t xml:space="preserve"> </w:t>
      </w:r>
      <w:r>
        <w:rPr>
          <w:rFonts w:ascii="Times New Roman;sans-serif" w:hAnsi="Times New Roman;sans-serif"/>
          <w:b w:val="false"/>
          <w:color w:val="000000"/>
          <w:sz w:val="20"/>
        </w:rPr>
        <w:t>We are currently developing additional and next generation technologies to support and improve Aquablation therapy to further satisfy the evolving needs of surgeons and their patients as well as to further enhance the usability and scalability of our robotic systems. We also plan to leverage our treatment data and software development capabilities to integrate artificial intelligence and machine learning to enable computer-assisted anatomy recognition and improved treatment planning and personalization. Our future growth is dependent on these continuous improvements which require significant resources and investment.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60985"/>
                <wp:effectExtent l="0" t="0" r="0" b="0"/>
                <wp:wrapNone/>
                <wp:docPr id="84" name="Frame8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our revenue primarily from the sales and rentals of our robotic systems, sales of our single-use disposable handpieces that are used during each surgery performed with our system, and related accessories. Additionally, we also derive revenue from service and repair and extended service contracts with our existing customers. We expect our revenue to increase in absolute dollars for the foreseeable future as we continue to focus on driving adoption of Aquablation therapy, and increased system utilization, though it may fluctuate from quarter to quarter.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by significant geographical locations for the periods indicated:</w:t>
      </w:r>
    </w:p>
    <w:tbl>
      <w:tblPr>
        <w:tblW w:w="4922" w:type="dxa"/>
        <w:jc w:val="left"/>
        <w:tblInd w:w="0" w:type="dxa"/>
        <w:tblLayout w:type="fixed"/>
        <w:tblCellMar>
          <w:top w:w="28" w:type="dxa"/>
          <w:left w:w="28" w:type="dxa"/>
          <w:bottom w:w="28" w:type="dxa"/>
          <w:right w:w="28" w:type="dxa"/>
        </w:tblCellMar>
      </w:tblPr>
      <w:tblGrid>
        <w:gridCol w:w="789"/>
        <w:gridCol w:w="691"/>
        <w:gridCol w:w="695"/>
        <w:gridCol w:w="109"/>
        <w:gridCol w:w="109"/>
        <w:gridCol w:w="109"/>
        <w:gridCol w:w="109"/>
        <w:gridCol w:w="180"/>
        <w:gridCol w:w="181"/>
        <w:gridCol w:w="414"/>
        <w:gridCol w:w="166"/>
        <w:gridCol w:w="166"/>
        <w:gridCol w:w="166"/>
        <w:gridCol w:w="180"/>
        <w:gridCol w:w="181"/>
        <w:gridCol w:w="414"/>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both our United States and international revenue will increase in the near term as we continue to expand the install base of our robotic systems and increase the related single-use disposable handpieces sold. We expect our increase in revenues in absolute dollars to be larger in the United States.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Sales and Gross Margin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consists primarily of manufacturing overhead costs, material costs, warranty and service costs, direct labor, scrap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period to period.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or R&amp;D, expenses consist primarily of engineering, product development, regulatory affairs, consulting services, clinical trial expenses,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 We expect our R&amp;D expenses to increase in absolute dollars for the foreseeable future as we continue to develop, enhance and commercialize new products and technologies, though it may fluctuate from quarter to quarter. However, we expect our R&amp;D expenses as a percentage of revenue to vary over time depending on the level and timing of initiating new product development efforts.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General and Administrative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or SG&amp;A, expenses include compensation for personnel, including stock-based compensation, related to selling, marketing, clinical affairs, professional education, finance, information technology, and human resource functions. SG&amp;A expenses also include commissions, training, travel expenses, promotional activities, conferences, trade shows, professional services fees, audit fees, legal fees, insurance costs and general corporate expenses including allocated facilities-related expenses. We expect our SG&amp;A expenses to increase in absolute dollars for the foreseeable future as we expand our commercial infrastructure and incur additional fees associated with operating as a public company, including legal, accounting, insurance, compliance with the rules and regulations of the SEC and those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60985"/>
                <wp:effectExtent l="0" t="0" r="0" b="0"/>
                <wp:wrapNone/>
                <wp:docPr id="85" name="Frame8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stock exchange on which our securities are traded, investor relations, and other administrative and professional services expenses, though it may fluctuate from quarter to quarter. However, over time, we expect our SG&amp;A expenses to decrease as a percentage of revenue.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primarily of interest expense from our long-term debt.</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Net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net, consists primarily of interest income from our cash and cash equivalents balances, and fair value adjustments from our loan facility derivative liability.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loan extinguishment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Loss on loan extinguishment was a result of our acquisition price of our new debt exceeded the carrying amount of our existing debt during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2024 and 2023</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results of operations for the years ended December 31, 2024 and 2023:</w:t>
      </w:r>
    </w:p>
    <w:tbl>
      <w:tblPr>
        <w:tblW w:w="7876" w:type="dxa"/>
        <w:jc w:val="left"/>
        <w:tblInd w:w="0" w:type="dxa"/>
        <w:tblLayout w:type="fixed"/>
        <w:tblCellMar>
          <w:top w:w="28" w:type="dxa"/>
          <w:left w:w="28" w:type="dxa"/>
          <w:bottom w:w="28" w:type="dxa"/>
          <w:right w:w="28" w:type="dxa"/>
        </w:tblCellMar>
      </w:tblPr>
      <w:tblGrid>
        <w:gridCol w:w="1084"/>
        <w:gridCol w:w="956"/>
        <w:gridCol w:w="959"/>
        <w:gridCol w:w="211"/>
        <w:gridCol w:w="826"/>
        <w:gridCol w:w="271"/>
        <w:gridCol w:w="109"/>
        <w:gridCol w:w="109"/>
        <w:gridCol w:w="109"/>
        <w:gridCol w:w="211"/>
        <w:gridCol w:w="901"/>
        <w:gridCol w:w="271"/>
        <w:gridCol w:w="109"/>
        <w:gridCol w:w="109"/>
        <w:gridCol w:w="109"/>
        <w:gridCol w:w="360"/>
        <w:gridCol w:w="361"/>
        <w:gridCol w:w="109"/>
        <w:gridCol w:w="109"/>
        <w:gridCol w:w="109"/>
        <w:gridCol w:w="109"/>
        <w:gridCol w:w="110"/>
        <w:gridCol w:w="110"/>
        <w:gridCol w:w="155"/>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(105,897)</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w:t>
      </w:r>
    </w:p>
    <w:tbl>
      <w:tblPr>
        <w:tblW w:w="7489" w:type="dxa"/>
        <w:jc w:val="left"/>
        <w:tblInd w:w="0" w:type="dxa"/>
        <w:tblLayout w:type="fixed"/>
        <w:tblCellMar>
          <w:top w:w="28" w:type="dxa"/>
          <w:left w:w="28" w:type="dxa"/>
          <w:bottom w:w="28" w:type="dxa"/>
          <w:right w:w="28" w:type="dxa"/>
        </w:tblCellMar>
      </w:tblPr>
      <w:tblGrid>
        <w:gridCol w:w="1089"/>
        <w:gridCol w:w="961"/>
        <w:gridCol w:w="964"/>
        <w:gridCol w:w="211"/>
        <w:gridCol w:w="826"/>
        <w:gridCol w:w="109"/>
        <w:gridCol w:w="109"/>
        <w:gridCol w:w="109"/>
        <w:gridCol w:w="109"/>
        <w:gridCol w:w="211"/>
        <w:gridCol w:w="826"/>
        <w:gridCol w:w="109"/>
        <w:gridCol w:w="109"/>
        <w:gridCol w:w="109"/>
        <w:gridCol w:w="109"/>
        <w:gridCol w:w="360"/>
        <w:gridCol w:w="361"/>
        <w:gridCol w:w="109"/>
        <w:gridCol w:w="109"/>
        <w:gridCol w:w="109"/>
        <w:gridCol w:w="109"/>
        <w:gridCol w:w="109"/>
        <w:gridCol w:w="109"/>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 sales and rentals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Hand pieces and other consumables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$88.3 million, or 65%, to $224.5 million during the year ended December 31, 2024, compared to $136.2 million during the year ended December 31, 2023. The growth in revenue was primarily attributable to an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60985"/>
                <wp:effectExtent l="0" t="0" r="0" b="0"/>
                <wp:wrapNone/>
                <wp:docPr id="86" name="Frame8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$31.4 million and $51.9 million in revenues from higher sales volumes of both our robotic systems and our single-use disposable handpieces.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Sales and Gross Margin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increased $22.3 million, or 34%, to $87.4 million during the year ended December 31, 2024, compared to $65.1 million during the year ended December 31, 2023. The increase in cost of sales was primarily attributable to the growth in the number of units sold.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increased to 61% during the year ended December 31, 2024, compared to 52% for the year ended December 31, 2023. The increase in gross margin was primarily attributable to the growth in unit sales, which allowed us to spread the fixed portion of our manufacturing overhead costs over more production units, and decreases in scrap and warranty costs.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$13.9 million, or 29%, to $62.3 million during the year ended December 31, 2024, compared to $48.4 million during the year ended December 31, 2023. The increase in R&amp;D expenses was primarily due to employee-related expenses from increased headcount of our R&amp;D organization, as well as increases in third-party product development costs. These expenses support ongoing product improvements and the development of additional and next generation technologies.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General and Administrative Expenses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$39.6 million, or 30%, to $171.4 million during the year ended December 31, 2024, compared to $131.8 million during the year ended December 31, 2023. The increase in SG&amp;A expenses was primarily due to employee-related expenses of our sales and marketing organization and administrative organizations as we expanded our infrastructure to drive and support our growth in revenue.</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of $4.2 million during the year ended December 31, 2024 remained relatively flat compared to fiscal 2023.</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increased $2.1 million to $9.4 million during the year ended December 31, 2024 compared to $7.3 million during the year ended December 31, 2023. The increase in interest and other income, net was primarily due to higher interest rates earned on our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80" w:after="283"/>
        <w:jc w:val="left"/>
        <w:rPr/>
      </w:pPr>
      <w:r>
        <w:rPr>
          <w:rFonts w:ascii="Times New Roman;sans-serif" w:hAnsi="Times New Roman;sans-serif"/>
          <w:b/>
          <w:i/>
          <w:color w:val="000000"/>
          <w:sz w:val="20"/>
        </w:rPr>
        <w:t>Overview</w:t>
      </w:r>
      <w:r>
        <w:rPr>
          <w:color w:val="000000"/>
        </w:rPr>
        <w:t xml:space="preserv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a follow-on offering of common stock in October 2024, which raised $164.5 million in proceeds to us, net of issuance costs. Previously, our primary sources of capital have been from our initial public offering, private placements of redeemable convertible preferred securities and debt financing agreements.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cash and cash equivalents of $333.7 million, an accumulated deficit of $546.0 million, and $52.0 million outstanding on our loan facility. We expect our expenses will increase for the foreseeable future, as we continue to make substantial investments in sales and marketing, operations and research and development. Moreover, we expect to incur additional expenses as a result of operating as a public company, including legal, accounting, insurance, compliance with the rules and regulations of the SEC and those of any stock exchange on which our securities are traded, investor relations, and other administrative and professional services expenses. Our future funding requirements will depend on many factors,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degree and rate of market acceptance of our products and Aquablation therapy;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scope and timing of investment in our sales force and expansion of our commercial organization;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scope, rate of progress and cost of our current or future clinical trials and registries;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 of our research and development activities;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 and timing of additional regulatory clearances or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0985"/>
                <wp:effectExtent l="0" t="0" r="0" b="0"/>
                <wp:wrapNone/>
                <wp:docPr id="87" name="Frame8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costs associated with any product recall that may occur;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costs associated with the manufacturing of our products at increased production levels;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costs of attaining, defending and enforcing our intellectual property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whether we acquire third-party companies, products or technologies;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terms and timing of any other collaborative, licensing and other arrangements that we may establish;</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emergence of competing technologies or other adverse market developments;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rate at which we expand internationally.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operating plan, we currently believe that our existing cash and cash equivalents and anticipated revenue will be sufficient to meet our capital requirements and fund our operations through at least the next twelve months from the issuance date of the financial statements. We have based this estimate on assumptions that may prove to be wrong, and we may need to utilize additional available capital resources. If these sources are insufficient to satisfy our liquidity requirements, we may seek to sell additional public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Indebtedness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entered into a loan and security agreement with Canadian Imperial Bank of Commerce. The Agreement provides for a senior secured term loan facility in the aggregate principal amount of $52.0 million, which was borrowed in full. Proceeds from the term loan facility were used to repay and terminate our previous loan facility, transaction fees, and related expenses.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facility is scheduled to mature on October 6, 2027, the fifth anniversary of the Closing Date (the “Maturity Date”). The loan and security agreement provides for interest-only payments on the term loan facility for the first thirty-six months following the Closing Date (the “Initial Interest-Only Period”). The Initial Interest-Only Period will be extended to an additional twelve months if we achieve either (i) $200.0 million or greater in revenue in any twelve-month period or (ii) $0 or greater in EBITDA in any six-month period. Thereafter, amortization payments on the Term Loan Facility will be payable monthly until the Maturity Date in monthly installments equal to 20% of the then outstanding principal amount of the Term Loan Facility divided by 12 plus any accrued and unpaid interest. We have the option to prepay the Term Loan Facility without any prepayment charge or fee. We achieved the twelve-month revenue target as of December 31, 2024.</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loan borrowed under the Term Loan Facility bears interest at an annual rate equal to the secured overnight financing rate ("SOFR") (calculated based on an adjustment of 0.10%, 0.15% and 0.25%, respectively, for one-month, three-month or six-month term SOFR as of a specified date, subject to a floor of 1.5%) plus an applicable margin of 2.25%.</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loan and security agreement are secured by substantially all of our assets, including its intellectual property and by a pledge all of our equity interests in its U.S. subsidiaries and 65% of our equity interests in its non-U.S. subsidiaries that are directly owned by us. We are obligated to maintain in deposit accounts held at the lender equal to at least the lesser of (i) $100.0 million or (ii) all of our non-operating cash.</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and security agreement contains certain customary representations and warranties, affirmative and negative covenants, and events of default. Under the loan and security agreement, if we maintain less than $100.0 million in available cash, then we are required to meet either one of two financial covenants: a minimum unrestricted cash covenant or a minimum revenue and growth covenant. The minimum unrestricted cash covenant requires that we to maintain cash reserve not less than the greater of (i) $20.0 million, (ii) the absolute value of EBITDA losses (if any) for the most recent consecutive four-month period then ended or (iii) the aggregate outstanding principal amount of $52.0 million. The minimum revenue and growth covenant requires our revenue, for the consecutive twelve-month period as of each measurement date, of not less than $50.0 million and of at least 115% as of the last day of the consecutive twelve-month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60985"/>
                <wp:effectExtent l="0" t="0" r="0" b="0"/>
                <wp:wrapNone/>
                <wp:docPr id="88" name="Frame8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 of the immediately preceding year. If we maintain at least $100.0 million in available cash, then it is not required to meet such financial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1962"/>
        <w:gridCol w:w="1714"/>
        <w:gridCol w:w="1728"/>
        <w:gridCol w:w="109"/>
        <w:gridCol w:w="109"/>
        <w:gridCol w:w="109"/>
        <w:gridCol w:w="109"/>
        <w:gridCol w:w="211"/>
        <w:gridCol w:w="793"/>
        <w:gridCol w:w="109"/>
        <w:gridCol w:w="109"/>
        <w:gridCol w:w="109"/>
        <w:gridCol w:w="109"/>
        <w:gridCol w:w="211"/>
        <w:gridCol w:w="898"/>
        <w:gridCol w:w="109"/>
        <w:gridCol w:w="109"/>
        <w:gridCol w:w="109"/>
        <w:gridCol w:w="109"/>
        <w:gridCol w:w="211"/>
        <w:gridCol w:w="793"/>
        <w:gridCol w:w="109"/>
        <w:gridCol w:w="109"/>
        <w:gridCol w:w="158"/>
      </w:tblGrid>
      <w:tr>
        <w:trPr/>
        <w:tc>
          <w:tcPr>
            <w:tcW w:w="196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267" w:type="dxa"/>
            <w:gridSpan w:val="2"/>
            <w:tcBorders/>
          </w:tcPr>
          <w:p>
            <w:pPr>
              <w:pStyle w:val="TableContents"/>
              <w:bidi w:val="0"/>
              <w:spacing w:before="0" w:after="283"/>
              <w:jc w:val="left"/>
              <w:rPr>
                <w:sz w:val="4"/>
                <w:szCs w:val="4"/>
              </w:rPr>
            </w:pPr>
            <w:r>
              <w:rPr>
                <w:sz w:val="4"/>
                <w:szCs w:val="4"/>
              </w:rPr>
            </w:r>
          </w:p>
        </w:tc>
      </w:tr>
      <w:tr>
        <w:trPr/>
        <w:tc>
          <w:tcPr>
            <w:tcW w:w="5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7" w:type="dxa"/>
            <w:gridSpan w:val="2"/>
            <w:tcBorders/>
          </w:tcPr>
          <w:p>
            <w:pPr>
              <w:pStyle w:val="TableContents"/>
              <w:bidi w:val="0"/>
              <w:spacing w:before="0" w:after="283"/>
              <w:jc w:val="left"/>
              <w:rPr>
                <w:sz w:val="4"/>
                <w:szCs w:val="4"/>
              </w:rPr>
            </w:pPr>
            <w:r>
              <w:rPr>
                <w:sz w:val="4"/>
                <w:szCs w:val="4"/>
              </w:rPr>
            </w:r>
          </w:p>
        </w:tc>
      </w:tr>
      <w:tr>
        <w:trPr/>
        <w:tc>
          <w:tcPr>
            <w:tcW w:w="54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5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Cash Used in Operating Activities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net cash used in operating activities was $99.2 million, consisting primarily of a net loss of $91.4 million and an increase in net operating assets of $47.3 million, partially offset by non-cash charges of $39.5 million. The cash used in operations was primarily due to our net loss due to the increase in operating expenses to support our commercialization and development activities. The expansion of our commercialization resulted in increases in inventory, accounts receivable, prepaid expenses and other current assets along with long-term assets, a decrease in accounts payable, partially offset by an increase in accrued compensation, deferred revenue, lease liabilities, and accrued interest expense. Non-cash charges consisted primarily of stock-based compensation, accruals for excess and obsolete inventory and depreciation.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net cash used in operating activities was $108.0 million, consisting primarily of a net loss of $105.9 million and an increase in net operating assets of $26.2 million, partially offset by non-cash charges of $24.1 million. The cash used in operations was primarily due to our net loss due to the increase in operating expenses to support our commercialization and development activities. The expansion of our commercialization resulted in an increase in inventory, accounts receivable, and long-term assets, a decrease in other accrued liabilities, partially offset by a decrease in prepaid expenses and other current assets, and increases in accounts payable, deferred revenue, lease liabilities, accrued compensation and accrued interest expense. Non-cash charges consisted primarily of stock-based compensation, and depreciation.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Cash Used in Investing Activities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net cash used in investing activities was $4.4 million, consisting of purchases of property and equipment.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net cash used in investing activities was $25.2 million, consisting of purchases of property and equipment.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Cash Provided by Financing Activities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net cash provided by financing activities was $180.1 million, consisting primarily of proceeds from the issuance of common stock of $164.5 million, net o</w:t>
      </w:r>
      <w:bookmarkStart w:id="0" w:name="i6869b35ed98b4b0b8cfdd906b0114752_2515"/>
      <w:bookmarkEnd w:id="0"/>
      <w:r>
        <w:rPr>
          <w:rFonts w:ascii="Times New Roman;sans-serif" w:hAnsi="Times New Roman;sans-serif"/>
          <w:b w:val="false"/>
          <w:color w:val="000000"/>
          <w:sz w:val="20"/>
        </w:rPr>
        <w:t>f issuance costs, and proceeds of $11.1 million from the exercise of stock options.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net cash provided by financing activities was $167.8 million, consisting primarily of proceeds from the issuance of common stock of $161.7 million, net of issuance costs, and proceeds of $2.5 million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Contractual Commitments and Contingencies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in Note 12 to the consolidated financial statements included in Part II, Item 8 of this Annual Report on Form 10-K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60985"/>
                <wp:effectExtent l="0" t="0" r="0" b="0"/>
                <wp:wrapNone/>
                <wp:docPr id="89" name="Frame8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Off-Balance Sheet Arrangements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have during the periods presented, and we do not currently have any off-balance sheet arrangements, such as structured finance, special purpose entities or variable interest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Management’s discussion and analysis of our financial condition and results of operations is based on our financial statements, which have been prepared in accordance with U.S. generally accepted accounting principles. The preparation of the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significant accounting policies are more fully described in Note 2 of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derived primarily from the sales of the AquaBeam Robotic Systems and HYDROS Robotic Systems, along with handpieces that are for one-time use during each surgery using our robotic systems. Each of our robotic systems contains both software and non-software components that are delivered together as a single product and generally contain a one-year warranty. </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To determine revenue recognition for arrangements that we determine are within the scope of Accounting Standards Codification, or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or ASC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the performance obligations.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based on the contract.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contracts are typically in the form of an agreement and an ordering document from our customer. Sales generally contain multiple products and services and can include a combination of the following performance obligations: robotic system, handpieces and consumables, and service.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the transaction price we expect to be entitled to in exchange for transferring the promised product to our customer, which is based on the invoiced price for the products. All prices are at fixed amounts per the contract with the customer. We have granted rebates on a limited basis and have been historically immaterial. Rebates are recorded as a reduction to revenue at time of sale.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considering market conditions and entity-specific factors including, but not limited to, features and functionality of the products and services, geographies, and type of customer. We regularly review standalone selling prices and update these estimates as necessary.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as the performance obligations are satisfied by transferring control of the product or service to our customer. We generally recognize revenue for the performance obligations at the following points in time:</w:t>
      </w:r>
    </w:p>
    <w:p>
      <w:pPr>
        <w:pStyle w:val="TextBody"/>
        <w:bidi w:val="0"/>
        <w:spacing w:lineRule="auto" w:line="288" w:before="180" w:after="283"/>
        <w:jc w:val="left"/>
        <w:rPr/>
      </w:pPr>
      <w:r>
        <w:rPr>
          <w:rFonts w:ascii="Times New Roman;sans-serif" w:hAnsi="Times New Roman;sans-serif"/>
          <w:b w:val="false"/>
          <w:i/>
          <w:color w:val="000000"/>
          <w:sz w:val="20"/>
        </w:rPr>
        <w:t>AquaBeam Robotic Systems and HYDROS Robotic Systems</w:t>
      </w:r>
      <w:r>
        <w:rPr>
          <w:color w:val="000000"/>
        </w:rPr>
        <w:t xml:space="preserve"> </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End user sales - </w:t>
      </w:r>
      <w:r>
        <w:rPr>
          <w:rFonts w:ascii="Times New Roman;sans-serif" w:hAnsi="Times New Roman;sans-serif"/>
          <w:b w:val="false"/>
          <w:color w:val="000000"/>
          <w:sz w:val="20"/>
        </w:rPr>
        <w:t>For systems (including system components and system accessories) sold directly to end user customers, revenue is recognized when we transfer control to our customer, in accordance with agreed upon shipping terms. We have determined in these type of arrangements the end user is our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60985"/>
                <wp:effectExtent l="0" t="0" r="0" b="0"/>
                <wp:wrapNone/>
                <wp:docPr id="90" name="Frame8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Intermediary sales - </w:t>
      </w:r>
      <w:r>
        <w:rPr>
          <w:rFonts w:ascii="Times New Roman;sans-serif" w:hAnsi="Times New Roman;sans-serif"/>
          <w:b w:val="false"/>
          <w:color w:val="000000"/>
          <w:sz w:val="20"/>
        </w:rPr>
        <w:t>For systems sold to distributors or to leasing companies, revenue is recognized when we transfer control to our intermediary, in accordance with agreed upon shipping terms. We have determined in these type of arrangements the intermediary our customer.</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Robotic system arrangements generally do not provide a right of return, however, we have granted a right of return on a case-by-case basis. We estimate returns at contract inception based on historical return amounts.</w:t>
      </w:r>
      <w:r>
        <w:rPr>
          <w:color w:val="000000"/>
        </w:rPr>
        <w:t xml:space="preserve"> </w:t>
      </w:r>
      <w:r>
        <w:rPr>
          <w:rFonts w:ascii="Times New Roman;sans-serif" w:hAnsi="Times New Roman;sans-serif"/>
          <w:b w:val="false"/>
          <w:color w:val="000000"/>
          <w:sz w:val="20"/>
        </w:rPr>
        <w:t xml:space="preserve">Return estimates are recorded as a reduction to revenue. Historical returns have been immaterial. </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Additionally, given the release of the HYDROS Robotic System, on a case-by-case basis, we have granted our customers a contractual right to exchange a previously purchased AquaBeam Robotic System for a HYDROS Robotic System where consideration exchanged for the AquaBeam Robotic System is recorded at fair value.</w:t>
      </w:r>
      <w:r>
        <w:rPr>
          <w:color w:val="000000"/>
        </w:rPr>
        <w:t xml:space="preserve"> </w:t>
      </w:r>
      <w:r>
        <w:rPr>
          <w:rFonts w:ascii="Times New Roman;sans-serif" w:hAnsi="Times New Roman;sans-serif"/>
          <w:b w:val="false"/>
          <w:color w:val="000000"/>
          <w:sz w:val="20"/>
        </w:rPr>
        <w:t>The consideration is recognized when the exchange is considered probable.</w:t>
      </w:r>
      <w:r>
        <w:rPr>
          <w:color w:val="000000"/>
        </w:rPr>
        <w:t xml:space="preserve"> </w:t>
      </w:r>
      <w:r>
        <w:rPr>
          <w:rFonts w:ascii="Times New Roman;sans-serif" w:hAnsi="Times New Roman;sans-serif"/>
          <w:b w:val="false"/>
          <w:color w:val="000000"/>
          <w:sz w:val="20"/>
        </w:rPr>
        <w:t>We estimate exchanges at contract inception, based on historical exchange amounts.</w:t>
      </w:r>
      <w:r>
        <w:rPr>
          <w:color w:val="000000"/>
        </w:rPr>
        <w:t xml:space="preserve"> </w:t>
      </w:r>
      <w:r>
        <w:rPr>
          <w:rFonts w:ascii="Times New Roman;sans-serif" w:hAnsi="Times New Roman;sans-serif"/>
          <w:b w:val="false"/>
          <w:color w:val="000000"/>
          <w:sz w:val="20"/>
        </w:rPr>
        <w:t>The fair value of consideration for the AquaBeam Robotic System is recorded as a reduction to revenue. Historical exchanges have been immaterial. The robotic systems are generally covered by a one-year service agreement included in the warranty. The service agreements are typically recognized as deferred revenue and amortized over the one-year service period.</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Hand pieces and other consumables</w:t>
      </w:r>
      <w:r>
        <w:rPr>
          <w:color w:val="000000"/>
        </w:rPr>
        <w:t xml:space="preserve"> </w:t>
      </w:r>
      <w:r>
        <w:rPr>
          <w:rFonts w:ascii="Times New Roman;sans-serif" w:hAnsi="Times New Roman;sans-serif"/>
          <w:b w:val="false"/>
          <w:color w:val="000000"/>
          <w:sz w:val="20"/>
        </w:rPr>
        <w:t>- Revenue from sales of handpieces and other consumables is recognized when control is transferred to the customers, in accordance with agreed upon shipping terms.</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Service - </w:t>
      </w:r>
      <w:r>
        <w:rPr>
          <w:rFonts w:ascii="Times New Roman;sans-serif" w:hAnsi="Times New Roman;sans-serif"/>
          <w:b w:val="false"/>
          <w:color w:val="000000"/>
          <w:sz w:val="20"/>
        </w:rPr>
        <w:t>Service revenue, inclusive of the amounts associated with the robotic system warranties or extended service agreements, is recognized over the term of the service period, as the customer benefits from the services throughout the service period.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determined that certain promises in the multiple-element arrangements, such as installation, training and certain ancillary products, are immaterial, and do not represent separate performance obligations for which transaction price is allocated.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make significant assumptions regarding the future collectability of amounts receivable from customers to determine whether revenue recognition criteria have been met. If collectability is not assured at the time of shipment, we defer revenue until such criteria have been met.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stock options granted to employees and directors under the fair value recognition provision of ASC 718, Compensation - Stock Compensation. Stock-based compensation expense is recognized over the requisite service period in the statements of operations and comprehensive loss. We use the straight-line method for expense attribution.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valuation model used for calculating the fair value of awards for stock options is the Black-Scholes option pricing model. The Black-Scholes option pricing model requires us to make assumptions and judgments about the variables used in the calculation, including the following:</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Expected Term</w:t>
      </w:r>
      <w:r>
        <w:rPr>
          <w:rFonts w:ascii="Times New Roman;sans-serif" w:hAnsi="Times New Roman;sans-serif"/>
          <w:b w:val="false"/>
          <w:color w:val="000000"/>
          <w:sz w:val="20"/>
        </w:rPr>
        <w:t xml:space="preserve">. The expected term of stock options represents the weighted-average period that the stock options are expected to remain outstanding. We estimated the expected term based on the simplified method, which is the average of the weighted-average vesting period and contractual term of the option. </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Expected Volatility. </w:t>
      </w:r>
      <w:r>
        <w:rPr>
          <w:rFonts w:ascii="Times New Roman;sans-serif" w:hAnsi="Times New Roman;sans-serif"/>
          <w:b w:val="false"/>
          <w:color w:val="000000"/>
          <w:sz w:val="20"/>
        </w:rPr>
        <w:t xml:space="preserve">Since there has been limited public market for our common stock and limited company specific historical volatility, we have determined the share price volatility for options granted based on an analysis of the volatility of a peer group of publicly traded companies. In evaluating similarity, we consider factors such as industry, stage of life cycle and size. </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 xml:space="preserve">The risk-free interest rate is based on the U.S. Treasury yield in effect at the time of the grant for zero-coupon U.S. Treasury notes with remaining terms similar to the expected term of the options. </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Expected Dividend Rate. </w:t>
      </w:r>
      <w:r>
        <w:rPr>
          <w:rFonts w:ascii="Times New Roman;sans-serif" w:hAnsi="Times New Roman;sans-serif"/>
          <w:b w:val="false"/>
          <w:color w:val="000000"/>
          <w:sz w:val="20"/>
        </w:rPr>
        <w:t xml:space="preserve">We assumed the expected dividend rate to be zero as we have never paid dividends and have no current plans to do so.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to our consolidated financial statements included elsewhere in this Annual Report Form 10-K for information concerning certain of the specific assumption we used in applying the Black-Scholes option pricing model to determine the fair value of our stock options granted in the years ended December 31, 2024 and 2023. If factors change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60985"/>
                <wp:effectExtent l="0" t="0" r="0" b="0"/>
                <wp:wrapNone/>
                <wp:docPr id="91" name="Frame8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employ different assumptions, stock-based compensation expense may differ significantly from what we have recorded in the past. If there are any modifications or cancellations of the underlying unvested securities, we may be required to accelerate, increase or cancel any remaining unearned stock-based compensation expense.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Loan Facility Derivative Liability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that our obligation to pay success fees to a lender upon a successful liquidation event or achieving a revenue target represents freestanding financial instruments. The instrument is classified as a current liability in the consolidated balance sheets and is subject to remeasurement at each consolidated balance sheet date. Any change in fair value is recognized through other income (expense) in the consolidated statements of operations and comprehensive loss. We adjust the carrying values of the loan facility derivative liability for changes in fair value and will continue to do so until the earlier of cash payment or expiration. The assumptions used in determining the fair value of the obligation require significant judgment.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discussion of recent accounting pronouncements is included in Note 2 to our financial statements contained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of $333.7 million as of December 31, 2024, consisted of securities carried at quoted market prices with an original maturity of three months or less and therefore, there is minimal risk associated with fluctuating interest rates. We do not currently use or plan to use financial derivatives in our investment portfolio.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described above under the subsection titled “Indebtedness,” amounts outstanding under our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 As a result, we are exposed to risks from changes in interest rates. We do not believe that a hypothetical 100 basis point increase or decrease in interest rates or 30-day SOFR would have had a material impact on our financial statements included elsewhere in this Annual Report on Form 10-K.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our cash and cash equivalents with multiple financial institutions in the United States, and our current deposits are in excess of insured limits. We have reviewed the financial statements of these institutions and believe it has sufficient assets and liquidity to conduct its operations in the ordinary course of business with little or no credit risk to us.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accounts receivable primarily relate to revenue from the sale or rental of our products. No customers accounted for greater than 10% of accounts receivable at December 31, 2024. We believe that credit risk in our accounts receivable is mitigated by our credit evaluation process, relatively short collection terms and diversity of our customer base.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Risk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our net sales and expenses are denominated in foreign currencies, most notably the Euro. Future fluctuations in the value of the U.S. Dollar may affect the price competitiveness of our products outside the United States. For direct sales outside the United States, we sell in both U.S. Dollars and local currencies, which could expose us to additional foreign currency risks, including changes in currency exchange rates.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impact on our financial statements included elsewhere in this Annual Report on Form 10-K.</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maintain a program to hedge exposures to non-U.S. dollar currencies.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Effects of Inflation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research and development contract costs. We do not believe that inflation had a material effect on our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60985"/>
                <wp:effectExtent l="0" t="0" r="0" b="0"/>
                <wp:wrapNone/>
                <wp:docPr id="92" name="Frame8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 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PROCEPT BioRobotics Corporation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INDEX TO CONSOLIDATED FINANCIAL STATEMENTS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 and 2022</w:t>
      </w:r>
    </w:p>
    <w:p>
      <w:pPr>
        <w:pStyle w:val="TextBody"/>
        <w:bidi w:val="0"/>
        <w:spacing w:before="180" w:after="283"/>
        <w:jc w:val="center"/>
        <w:rPr/>
      </w:pPr>
      <w:r>
        <w:rPr/>
      </w:r>
    </w:p>
    <w:tbl>
      <w:tblPr>
        <w:tblW w:w="7260" w:type="dxa"/>
        <w:jc w:val="left"/>
        <w:tblInd w:w="0" w:type="dxa"/>
        <w:tblLayout w:type="fixed"/>
        <w:tblCellMar>
          <w:top w:w="28" w:type="dxa"/>
          <w:left w:w="28" w:type="dxa"/>
          <w:bottom w:w="28" w:type="dxa"/>
          <w:right w:w="28" w:type="dxa"/>
        </w:tblCellMar>
      </w:tblPr>
      <w:tblGrid>
        <w:gridCol w:w="2421"/>
        <w:gridCol w:w="2128"/>
        <w:gridCol w:w="2140"/>
        <w:gridCol w:w="167"/>
        <w:gridCol w:w="167"/>
        <w:gridCol w:w="237"/>
      </w:tblGrid>
      <w:tr>
        <w:trPr/>
        <w:tc>
          <w:tcPr>
            <w:tcW w:w="2421"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85">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(PCAOB Firm ID 238)</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875a55826e64dbab54bf460461a3a62_85">
              <w:r>
                <w:rPr>
                  <w:rStyle w:val="InternetLink"/>
                  <w:rFonts w:ascii="Times New Roman;sans-serif" w:hAnsi="Times New Roman;sans-serif"/>
                  <w:b w:val="false"/>
                  <w:strike w:val="false"/>
                  <w:dstrike w:val="false"/>
                  <w:color w:val="000080"/>
                  <w:sz w:val="20"/>
                  <w:u w:val="single"/>
                  <w:effect w:val="none"/>
                </w:rPr>
                <w:t>F-</w:t>
              </w:r>
            </w:hyperlink>
            <w:hyperlink w:anchor="i8875a55826e64dbab54bf460461a3a62_85">
              <w:r>
                <w:rPr>
                  <w:rStyle w:val="InternetLink"/>
                  <w:rFonts w:ascii="Times New Roman;sans-serif" w:hAnsi="Times New Roman;sans-serif"/>
                  <w:b w:val="false"/>
                  <w:strike w:val="false"/>
                  <w:dstrike w:val="false"/>
                  <w:color w:val="000080"/>
                  <w:sz w:val="20"/>
                  <w:u w:val="single"/>
                  <w:effect w:val="none"/>
                </w:rPr>
                <w:t>2</w:t>
              </w:r>
            </w:hyperlink>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88">
              <w:r>
                <w:rPr>
                  <w:rStyle w:val="InternetLink"/>
                  <w:rFonts w:ascii="Times New Roman;sans-serif" w:hAnsi="Times New Roman;sans-serif"/>
                  <w:b w:val="false"/>
                  <w:strike w:val="false"/>
                  <w:dstrike w:val="false"/>
                  <w:color w:val="000000"/>
                  <w:sz w:val="20"/>
                  <w:u w:val="none"/>
                  <w:effect w:val="none"/>
                </w:rPr>
                <w:t>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88">
              <w:r>
                <w:rPr>
                  <w:rStyle w:val="InternetLink"/>
                  <w:rFonts w:ascii="Times New Roman;sans-serif" w:hAnsi="Times New Roman;sans-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88">
              <w:r>
                <w:rPr>
                  <w:rStyle w:val="InternetLink"/>
                  <w:rFonts w:ascii="Times New Roman;sans-serif" w:hAnsi="Times New Roman;sans-serif"/>
                  <w:b w:val="false"/>
                  <w:strike w:val="false"/>
                  <w:dstrike w:val="false"/>
                  <w:color w:val="000080"/>
                  <w:sz w:val="20"/>
                  <w:u w:val="single"/>
                  <w:effect w:val="none"/>
                </w:rPr>
                <w:t>F-</w:t>
              </w:r>
            </w:hyperlink>
            <w:hyperlink w:anchor="i8875a55826e64dbab54bf460461a3a62_88">
              <w:r>
                <w:rPr>
                  <w:rStyle w:val="InternetLink"/>
                  <w:rFonts w:ascii="Times New Roman;sans-serif" w:hAnsi="Times New Roman;sans-serif"/>
                  <w:b w:val="false"/>
                  <w:strike w:val="false"/>
                  <w:dstrike w:val="false"/>
                  <w:color w:val="000080"/>
                  <w:sz w:val="20"/>
                  <w:u w:val="single"/>
                  <w:effect w:val="none"/>
                </w:rPr>
                <w:t>4</w:t>
              </w:r>
            </w:hyperlink>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91">
              <w:r>
                <w:rPr>
                  <w:rStyle w:val="InternetLink"/>
                  <w:rFonts w:ascii="Times New Roman;sans-serif" w:hAnsi="Times New Roman;sans-serif"/>
                  <w:b w:val="false"/>
                  <w:strike w:val="false"/>
                  <w:dstrike w:val="false"/>
                  <w:color w:val="000000"/>
                  <w:sz w:val="20"/>
                  <w:u w:val="none"/>
                  <w:effect w:val="none"/>
                </w:rPr>
                <w:t>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91">
              <w:r>
                <w:rPr>
                  <w:rStyle w:val="InternetLink"/>
                  <w:rFonts w:ascii="Times New Roman;sans-serif" w:hAnsi="Times New Roman;sans-serif"/>
                  <w:b w:val="false"/>
                  <w:strike w:val="false"/>
                  <w:dstrike w:val="false"/>
                  <w:color w:val="000080"/>
                  <w:sz w:val="20"/>
                  <w:u w:val="single"/>
                  <w:effect w:val="none"/>
                </w:rPr>
                <w:t>F-</w:t>
              </w:r>
            </w:hyperlink>
            <w:hyperlink w:anchor="i8875a55826e64dbab54bf460461a3a62_91">
              <w:r>
                <w:rPr>
                  <w:rStyle w:val="InternetLink"/>
                  <w:rFonts w:ascii="Times New Roman;sans-serif" w:hAnsi="Times New Roman;sans-serif"/>
                  <w:b w:val="false"/>
                  <w:strike w:val="false"/>
                  <w:dstrike w:val="false"/>
                  <w:color w:val="000080"/>
                  <w:sz w:val="20"/>
                  <w:u w:val="single"/>
                  <w:effect w:val="none"/>
                </w:rPr>
                <w:t>5</w:t>
              </w:r>
            </w:hyperlink>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94">
              <w:r>
                <w:rPr>
                  <w:rStyle w:val="InternetLink"/>
                  <w:rFonts w:ascii="Times New Roman;sans-serif" w:hAnsi="Times New Roman;sans-serif"/>
                  <w:b w:val="false"/>
                  <w:strike w:val="false"/>
                  <w:dstrike w:val="false"/>
                  <w:color w:val="000080"/>
                  <w:sz w:val="20"/>
                  <w:u w:val="single"/>
                  <w:effect w:val="none"/>
                </w:rPr>
                <w:t xml:space="preserve">Consolidated Statements of </w:t>
              </w:r>
            </w:hyperlink>
            <w:hyperlink w:anchor="i8875a55826e64dbab54bf460461a3a62_94">
              <w:r>
                <w:rPr>
                  <w:rStyle w:val="InternetLink"/>
                  <w:rFonts w:ascii="Times New Roman;sans-serif" w:hAnsi="Times New Roman;sans-serif"/>
                  <w:b w:val="false"/>
                  <w:strike w:val="false"/>
                  <w:dstrike w:val="false"/>
                  <w:color w:val="000080"/>
                  <w:sz w:val="20"/>
                  <w:u w:val="single"/>
                  <w:effect w:val="none"/>
                </w:rPr>
                <w:t>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94">
              <w:r>
                <w:rPr>
                  <w:rStyle w:val="InternetLink"/>
                  <w:rFonts w:ascii="Times New Roman;sans-serif" w:hAnsi="Times New Roman;sans-serif"/>
                  <w:b w:val="false"/>
                  <w:strike w:val="false"/>
                  <w:dstrike w:val="false"/>
                  <w:color w:val="000080"/>
                  <w:sz w:val="20"/>
                  <w:u w:val="single"/>
                  <w:effect w:val="none"/>
                </w:rPr>
                <w:t>F-</w:t>
              </w:r>
            </w:hyperlink>
            <w:hyperlink w:anchor="i8875a55826e64dbab54bf460461a3a62_94">
              <w:r>
                <w:rPr>
                  <w:rStyle w:val="InternetLink"/>
                  <w:rFonts w:ascii="Times New Roman;sans-serif" w:hAnsi="Times New Roman;sans-serif"/>
                  <w:b w:val="false"/>
                  <w:strike w:val="false"/>
                  <w:dstrike w:val="false"/>
                  <w:color w:val="000080"/>
                  <w:sz w:val="20"/>
                  <w:u w:val="single"/>
                  <w:effect w:val="none"/>
                </w:rPr>
                <w:t>6</w:t>
              </w:r>
            </w:hyperlink>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97">
              <w:r>
                <w:rPr>
                  <w:rStyle w:val="InternetLink"/>
                  <w:rFonts w:ascii="Times New Roman;sans-serif" w:hAnsi="Times New Roman;sans-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97">
              <w:r>
                <w:rPr>
                  <w:rStyle w:val="InternetLink"/>
                  <w:rFonts w:ascii="Times New Roman;sans-serif" w:hAnsi="Times New Roman;sans-serif"/>
                  <w:b w:val="false"/>
                  <w:strike w:val="false"/>
                  <w:dstrike w:val="false"/>
                  <w:color w:val="000080"/>
                  <w:sz w:val="20"/>
                  <w:u w:val="single"/>
                  <w:effect w:val="none"/>
                </w:rPr>
                <w:t>F-</w:t>
              </w:r>
            </w:hyperlink>
            <w:hyperlink w:anchor="i8875a55826e64dbab54bf460461a3a62_97">
              <w:r>
                <w:rPr>
                  <w:rStyle w:val="InternetLink"/>
                  <w:rFonts w:ascii="Times New Roman;sans-serif" w:hAnsi="Times New Roman;sans-serif"/>
                  <w:b w:val="false"/>
                  <w:strike w:val="false"/>
                  <w:dstrike w:val="false"/>
                  <w:color w:val="000080"/>
                  <w:sz w:val="20"/>
                  <w:u w:val="single"/>
                  <w:effect w:val="none"/>
                </w:rPr>
                <w:t>7</w:t>
              </w:r>
            </w:hyperlink>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75a55826e64dbab54bf460461a3a62_100">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875a55826e64dbab54bf460461a3a62_100">
              <w:r>
                <w:rPr>
                  <w:rStyle w:val="InternetLink"/>
                  <w:rFonts w:ascii="Times New Roman;sans-serif" w:hAnsi="Times New Roman;sans-serif"/>
                  <w:b w:val="false"/>
                  <w:strike w:val="false"/>
                  <w:dstrike w:val="false"/>
                  <w:color w:val="000080"/>
                  <w:sz w:val="20"/>
                  <w:u w:val="single"/>
                  <w:effect w:val="none"/>
                </w:rPr>
                <w:t>F-</w:t>
              </w:r>
            </w:hyperlink>
            <w:hyperlink w:anchor="i8875a55826e64dbab54bf460461a3a62_100">
              <w:r>
                <w:rPr>
                  <w:rStyle w:val="InternetLink"/>
                  <w:rFonts w:ascii="Times New Roman;sans-serif" w:hAnsi="Times New Roman;sans-serif"/>
                  <w:b w:val="false"/>
                  <w:strike w:val="false"/>
                  <w:dstrike w:val="false"/>
                  <w:color w:val="000080"/>
                  <w:sz w:val="20"/>
                  <w:u w:val="singl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PROCEPT BioRobotics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88" w:before="180" w:after="283"/>
        <w:jc w:val="left"/>
        <w:rPr/>
      </w:pPr>
      <w:r>
        <w:rPr>
          <w:rFonts w:ascii="Times New Roman;sans-serif" w:hAnsi="Times New Roman;sans-serif"/>
          <w:b w:val="false"/>
          <w:color w:val="000000"/>
          <w:sz w:val="20"/>
        </w:rPr>
        <w:t>We have audited the accompanying consolidated balance sheets of PROCEPT BioRobotics Corporation and its subsidiaries (the “Company”) as of December 31, 2024 and 2023, and the related consolidated</w:t>
      </w:r>
      <w:r>
        <w:rPr>
          <w:color w:val="FF0000"/>
        </w:rPr>
        <w:t xml:space="preserve"> </w:t>
      </w:r>
      <w:r>
        <w:rPr>
          <w:rFonts w:ascii="Times New Roman;sans-serif" w:hAnsi="Times New Roman;sans-serif"/>
          <w:b w:val="false"/>
          <w:color w:val="000000"/>
          <w:sz w:val="20"/>
        </w:rPr>
        <w:t>statements of operations and comprehensive loss, of stockholders’ equity and of cash flows for each of the three years in the period ended December 31, 2024, including the related notes (collectively referred to as the “consolidated</w:t>
      </w:r>
      <w:r>
        <w:rPr>
          <w:color w:val="FF0000"/>
        </w:rPr>
        <w:t xml:space="preserve"> </w:t>
      </w:r>
      <w:r>
        <w:rPr>
          <w:rFonts w:ascii="Times New Roman;sans-serif" w:hAnsi="Times New Roman;sans-serif"/>
          <w:b w:val="false"/>
          <w:color w:val="000000"/>
          <w:sz w:val="20"/>
        </w:rPr>
        <w:t xml:space="preserve">financial statements”). We also have audited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issued by the Committee of Sponsoring Organizations of the Treadway Commission (COSO).</w:t>
      </w:r>
    </w:p>
    <w:p>
      <w:pPr>
        <w:pStyle w:val="TextBody"/>
        <w:bidi w:val="0"/>
        <w:spacing w:lineRule="auto" w:line="288" w:before="180" w:after="283"/>
        <w:jc w:val="left"/>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w:t>
      </w:r>
      <w:r>
        <w:rPr>
          <w:color w:val="FF0000"/>
        </w:rPr>
        <w:t xml:space="preserve"> </w:t>
      </w:r>
      <w:r>
        <w:rPr>
          <w:rFonts w:ascii="Times New Roman;sans-serif" w:hAnsi="Times New Roman;sans-serif"/>
          <w:b w:val="false"/>
          <w:color w:val="000000"/>
          <w:sz w:val="20"/>
        </w:rPr>
        <w:t>December 31, 2024</w:t>
      </w:r>
      <w:r>
        <w:rPr>
          <w:color w:val="FF0000"/>
        </w:rPr>
        <w:t xml:space="preserve"> </w:t>
      </w:r>
      <w:r>
        <w:rPr>
          <w:rFonts w:ascii="Times New Roman;sans-serif" w:hAnsi="Times New Roman;sans-serif"/>
          <w:b w:val="false"/>
          <w:color w:val="000000"/>
          <w:sz w:val="20"/>
        </w:rPr>
        <w:t>and 2023, and the results of its operations and its cash flows for each of the three years in the period ended</w:t>
      </w:r>
      <w:r>
        <w:rPr>
          <w:color w:val="FF0000"/>
        </w:rPr>
        <w:t xml:space="preserve"> </w:t>
      </w:r>
      <w:r>
        <w:rPr>
          <w:rFonts w:ascii="Times New Roman;sans-serif" w:hAnsi="Times New Roman;sans-serif"/>
          <w:b w:val="false"/>
          <w:color w:val="000000"/>
          <w:sz w:val="20"/>
        </w:rPr>
        <w:t>December 31, 2024</w:t>
      </w:r>
      <w:r>
        <w:rPr>
          <w:color w:val="FF0000"/>
        </w:rPr>
        <w:t xml:space="preserve"> </w:t>
      </w:r>
      <w:r>
        <w:rPr>
          <w:rFonts w:ascii="Times New Roman;sans-serif" w:hAnsi="Times New Roman;sans-serif"/>
          <w:b w:val="false"/>
          <w:color w:val="000000"/>
          <w:sz w:val="20"/>
        </w:rPr>
        <w:t xml:space="preserve">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w:t>
      </w:r>
      <w:r>
        <w:rPr>
          <w:color w:val="FF0000"/>
        </w:rPr>
        <w:t xml:space="preserve"> </w:t>
      </w:r>
      <w:r>
        <w:rPr>
          <w:rFonts w:ascii="Times New Roman;sans-serif" w:hAnsi="Times New Roman;sans-serif"/>
          <w:b w:val="false"/>
          <w:color w:val="000000"/>
          <w:sz w:val="20"/>
        </w:rPr>
        <w:t>(2013)</w:t>
      </w:r>
      <w:r>
        <w:rPr>
          <w:color w:val="FF0000"/>
        </w:rPr>
        <w:t xml:space="preserve"> </w:t>
      </w:r>
      <w:r>
        <w:rPr>
          <w:rFonts w:ascii="Times New Roman;sans-serif" w:hAnsi="Times New Roman;sans-serif"/>
          <w:b w:val="false"/>
          <w:color w:val="000000"/>
          <w:sz w:val="20"/>
        </w:rPr>
        <w:t xml:space="preserve">issued by the COSO.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88" w:before="180" w:after="283"/>
        <w:jc w:val="left"/>
        <w:rPr/>
      </w:pPr>
      <w:r>
        <w:rPr>
          <w:rFonts w:ascii="Times New Roman;sans-serif" w:hAnsi="Times New Roman;sans-serif"/>
          <w:b w:val="false"/>
          <w:color w:val="000000"/>
          <w:sz w:val="20"/>
        </w:rPr>
        <w:t>The Company's management is responsible for these consolidated</w:t>
      </w:r>
      <w:r>
        <w:rPr>
          <w:color w:val="FF0000"/>
        </w:rPr>
        <w:t xml:space="preserve"> </w:t>
      </w:r>
      <w:r>
        <w:rPr>
          <w:rFonts w:ascii="Times New Roman;sans-serif" w:hAnsi="Times New Roman;sans-serif"/>
          <w:b w:val="false"/>
          <w:color w:val="000000"/>
          <w:sz w:val="20"/>
        </w:rPr>
        <w:t>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w:t>
      </w:r>
      <w:r>
        <w:rPr>
          <w:color w:val="FF0000"/>
        </w:rPr>
        <w:t xml:space="preserve"> </w:t>
      </w:r>
      <w:r>
        <w:rPr>
          <w:rFonts w:ascii="Times New Roman;sans-serif" w:hAnsi="Times New Roman;sans-serif"/>
          <w:b w:val="false"/>
          <w:color w:val="000000"/>
          <w:sz w:val="20"/>
        </w:rPr>
        <w:t xml:space="preserve">financial statements are free of material misstatement, whether due to error or fraud, and whether effective internal control over financial reporting was maintained in all material respects. </w:t>
      </w:r>
    </w:p>
    <w:p>
      <w:pPr>
        <w:pStyle w:val="TextBody"/>
        <w:bidi w:val="0"/>
        <w:spacing w:lineRule="auto" w:line="288" w:before="180" w:after="283"/>
        <w:jc w:val="left"/>
        <w:rPr/>
      </w:pPr>
      <w:r>
        <w:rPr>
          <w:rFonts w:ascii="Times New Roman;sans-serif" w:hAnsi="Times New Roman;sans-serif"/>
          <w:b w:val="false"/>
          <w:color w:val="000000"/>
          <w:sz w:val="20"/>
        </w:rPr>
        <w:t>Our audits of the consolidated</w:t>
      </w:r>
      <w:r>
        <w:rPr>
          <w:color w:val="FF0000"/>
        </w:rPr>
        <w:t xml:space="preserve"> </w:t>
      </w:r>
      <w:r>
        <w:rPr>
          <w:rFonts w:ascii="Times New Roman;sans-serif" w:hAnsi="Times New Roman;sans-serif"/>
          <w:b w:val="false"/>
          <w:color w:val="000000"/>
          <w:sz w:val="20"/>
        </w:rPr>
        <w:t>financial statements included performing procedures to assess the risks of material misstatement of the consolidated</w:t>
      </w:r>
      <w:r>
        <w:rPr>
          <w:color w:val="FF0000"/>
        </w:rPr>
        <w:t xml:space="preserve"> </w:t>
      </w:r>
      <w:r>
        <w:rPr>
          <w:rFonts w:ascii="Times New Roman;sans-serif" w:hAnsi="Times New Roman;sans-serif"/>
          <w:b w:val="false"/>
          <w:color w:val="000000"/>
          <w:sz w:val="20"/>
        </w:rPr>
        <w:t>financial statements, whether due to error or fraud, and performing procedures that respond to those risks. Such procedures included examining, on a test basis, evidence regarding the amounts and disclosures in the consolidated</w:t>
      </w:r>
      <w:r>
        <w:rPr>
          <w:color w:val="FF0000"/>
        </w:rPr>
        <w:t xml:space="preserve"> </w:t>
      </w:r>
      <w:r>
        <w:rPr>
          <w:rFonts w:ascii="Times New Roman;sans-serif" w:hAnsi="Times New Roman;sans-serif"/>
          <w:b w:val="false"/>
          <w:color w:val="000000"/>
          <w:sz w:val="20"/>
        </w:rPr>
        <w:t>financial statements. Our audits also included evaluating the accounting principles used and significant estimates made by management, as well as evaluating the overall presentation of the consolidated</w:t>
      </w:r>
      <w:r>
        <w:rPr>
          <w:color w:val="FF0000"/>
        </w:rPr>
        <w:t xml:space="preserve"> </w:t>
      </w:r>
      <w:r>
        <w:rPr>
          <w:rFonts w:ascii="Times New Roman;sans-serif" w:hAnsi="Times New Roman;sans-serif"/>
          <w:b w:val="false"/>
          <w:color w:val="000000"/>
          <w:sz w:val="20"/>
        </w:rPr>
        <w:t>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180" w:after="283"/>
        <w:jc w:val="left"/>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w:t>
      </w:r>
      <w:r>
        <w:rPr>
          <w:color w:val="FF0000"/>
        </w:rPr>
        <w:t xml:space="preserve"> </w:t>
      </w:r>
      <w:r>
        <w:rPr>
          <w:rFonts w:ascii="Times New Roman;sans-serif" w:hAnsi="Times New Roman;sans-serif"/>
          <w:b w:val="false"/>
          <w:color w:val="000000"/>
          <w:sz w:val="20"/>
        </w:rPr>
        <w:t>consolidated financial statements and (ii) involved our especially challenging, subjective, or complex judgments. The communication of critical audit matters does not alter in any way our opinion on the consolidated</w:t>
      </w:r>
      <w:r>
        <w:rPr>
          <w:color w:val="FF0000"/>
        </w:rPr>
        <w:t xml:space="preserve"> </w:t>
      </w:r>
      <w:r>
        <w:rPr>
          <w:rFonts w:ascii="Times New Roman;sans-serif" w:hAnsi="Times New Roman;sans-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Robotic Systems Revenue Recognition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11 to the consolidated financial statements, for the year ended December 31, 2024, the Company recognized system sales and rentals revenue of $90.3 million, which the majority relates to Robotic Systems. The Company’s Robotic Systems sales generally contain multiple products and services and can include a combination of the following performance obligations: robotic system, handpieces and consumables, and service. The Company recognizes revenue as the performance obligations are satisfied by transferring control of the product or service to a customer. For Robotic Systems (including system components and system accessories) sold directly to end users or intermediaries, revenue is recognized when the Company transfers control to the end users or intermediaries, in accordance with agreed upon shipping terms.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considerations for our determination that performing procedures relating to the Robotic Systems revenue recognition is a critical audit matter are the high degree of effort in performing procedures and evaluating audit evidence related to the Robotic Systems revenue recognition.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and shipping documents for unpaid invoices, and obtaining subsequent cash receipt for paid invoices, where applicable, for confirmations not returned, and (iv) testing the completeness and accuracy of data provided by management.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have served as the Company’s auditor since</w:t>
      </w:r>
      <w:r>
        <w:rPr>
          <w:color w:val="FF0000"/>
        </w:rPr>
        <w:t xml:space="preserve"> </w:t>
      </w:r>
      <w:r>
        <w:rPr>
          <w:rFonts w:ascii="Times New Roman;sans-serif" w:hAnsi="Times New Roman;sans-serif"/>
          <w:b w:val="false"/>
          <w:color w:val="000000"/>
          <w:sz w:val="20"/>
        </w:rPr>
        <w:t>2020.</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PROCEPT BioRobotics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8785" w:type="dxa"/>
        <w:jc w:val="left"/>
        <w:tblInd w:w="0" w:type="dxa"/>
        <w:tblLayout w:type="fixed"/>
        <w:tblCellMar>
          <w:top w:w="28" w:type="dxa"/>
          <w:left w:w="28" w:type="dxa"/>
          <w:bottom w:w="28" w:type="dxa"/>
          <w:right w:w="28" w:type="dxa"/>
        </w:tblCellMar>
      </w:tblPr>
      <w:tblGrid>
        <w:gridCol w:w="2128"/>
        <w:gridCol w:w="1869"/>
        <w:gridCol w:w="1898"/>
        <w:gridCol w:w="109"/>
        <w:gridCol w:w="109"/>
        <w:gridCol w:w="109"/>
        <w:gridCol w:w="109"/>
        <w:gridCol w:w="196"/>
        <w:gridCol w:w="736"/>
        <w:gridCol w:w="109"/>
        <w:gridCol w:w="109"/>
        <w:gridCol w:w="109"/>
        <w:gridCol w:w="109"/>
        <w:gridCol w:w="196"/>
        <w:gridCol w:w="736"/>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receivable, net,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non-current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 current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Loan facility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 non-current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$0.00001 par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Authorized shares: 10,000 at December 31, 2024 and 2023, respectively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Issued and outstanding shares: none at December 31, 2024 and 2023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$0.00001 par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Authorized shares: 300,000 at December 31, 2024 and 2023, respectively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Issued and outstanding shares: 54,718 and 50,771 at December 31, 2024 and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gain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PROCEPT BioRobotics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7799" w:type="dxa"/>
        <w:jc w:val="left"/>
        <w:tblInd w:w="0" w:type="dxa"/>
        <w:tblLayout w:type="fixed"/>
        <w:tblCellMar>
          <w:top w:w="28" w:type="dxa"/>
          <w:left w:w="28" w:type="dxa"/>
          <w:bottom w:w="28" w:type="dxa"/>
          <w:right w:w="28" w:type="dxa"/>
        </w:tblCellMar>
      </w:tblPr>
      <w:tblGrid>
        <w:gridCol w:w="1104"/>
        <w:gridCol w:w="966"/>
        <w:gridCol w:w="975"/>
        <w:gridCol w:w="109"/>
        <w:gridCol w:w="109"/>
        <w:gridCol w:w="109"/>
        <w:gridCol w:w="109"/>
        <w:gridCol w:w="109"/>
        <w:gridCol w:w="109"/>
        <w:gridCol w:w="196"/>
        <w:gridCol w:w="736"/>
        <w:gridCol w:w="109"/>
        <w:gridCol w:w="109"/>
        <w:gridCol w:w="109"/>
        <w:gridCol w:w="109"/>
        <w:gridCol w:w="196"/>
        <w:gridCol w:w="811"/>
        <w:gridCol w:w="109"/>
        <w:gridCol w:w="109"/>
        <w:gridCol w:w="109"/>
        <w:gridCol w:w="109"/>
        <w:gridCol w:w="196"/>
        <w:gridCol w:w="721"/>
        <w:gridCol w:w="109"/>
        <w:gridCol w:w="109"/>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616" w:type="dxa"/>
            <w:gridSpan w:val="8"/>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loan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common shares used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compute net loss per share attributable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PROCEPT BioRobotics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817"/>
        <w:gridCol w:w="718"/>
        <w:gridCol w:w="719"/>
        <w:gridCol w:w="109"/>
        <w:gridCol w:w="109"/>
        <w:gridCol w:w="109"/>
        <w:gridCol w:w="323"/>
        <w:gridCol w:w="323"/>
        <w:gridCol w:w="196"/>
        <w:gridCol w:w="109"/>
        <w:gridCol w:w="109"/>
        <w:gridCol w:w="109"/>
        <w:gridCol w:w="196"/>
        <w:gridCol w:w="406"/>
        <w:gridCol w:w="109"/>
        <w:gridCol w:w="109"/>
        <w:gridCol w:w="109"/>
        <w:gridCol w:w="109"/>
        <w:gridCol w:w="196"/>
        <w:gridCol w:w="736"/>
        <w:gridCol w:w="109"/>
        <w:gridCol w:w="109"/>
        <w:gridCol w:w="109"/>
        <w:gridCol w:w="109"/>
        <w:gridCol w:w="328"/>
        <w:gridCol w:w="705"/>
        <w:gridCol w:w="183"/>
        <w:gridCol w:w="109"/>
        <w:gridCol w:w="109"/>
        <w:gridCol w:w="109"/>
        <w:gridCol w:w="196"/>
        <w:gridCol w:w="772"/>
        <w:gridCol w:w="109"/>
        <w:gridCol w:w="109"/>
        <w:gridCol w:w="109"/>
        <w:gridCol w:w="109"/>
        <w:gridCol w:w="198"/>
        <w:gridCol w:w="745"/>
        <w:gridCol w:w="159"/>
      </w:tblGrid>
      <w:tr>
        <w:trPr/>
        <w:tc>
          <w:tcPr>
            <w:tcW w:w="8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267,091 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issuance costs of $10,795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161,705 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issuance cost of $11,282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164,523 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54,718 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PROCEPT BioRobotics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985"/>
        <w:gridCol w:w="1720"/>
        <w:gridCol w:w="1733"/>
        <w:gridCol w:w="109"/>
        <w:gridCol w:w="109"/>
        <w:gridCol w:w="109"/>
        <w:gridCol w:w="109"/>
        <w:gridCol w:w="109"/>
        <w:gridCol w:w="109"/>
        <w:gridCol w:w="196"/>
        <w:gridCol w:w="736"/>
        <w:gridCol w:w="109"/>
        <w:gridCol w:w="109"/>
        <w:gridCol w:w="109"/>
        <w:gridCol w:w="109"/>
        <w:gridCol w:w="196"/>
        <w:gridCol w:w="807"/>
        <w:gridCol w:w="109"/>
        <w:gridCol w:w="109"/>
        <w:gridCol w:w="109"/>
        <w:gridCol w:w="109"/>
        <w:gridCol w:w="196"/>
        <w:gridCol w:w="736"/>
        <w:gridCol w:w="109"/>
        <w:gridCol w:w="109"/>
        <w:gridCol w:w="156"/>
      </w:tblGrid>
      <w:tr>
        <w:trPr/>
        <w:tc>
          <w:tcPr>
            <w:tcW w:w="198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633" w:type="dxa"/>
            <w:gridSpan w:val="8"/>
            <w:tcBorders/>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in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write-down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loan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from the exercise of stock options,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principal on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final payment fee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prepayment fee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and restricted cash to 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in 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evaluation units from inventory to 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PROCEPT BioRobotics Corporation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Description of Business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PROCEPT BioRobotics Corporation (the “Company”) was incorporated in the state of California in 2007 and its headquarters are located in San Jose, California. In April 2021, the Company re-incorporated in the state of Delaware. The Company received U.S. Food and Drug Administration clearance in December 2017 to market its AquaBeam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Robotic System, an automated surgical robot providing tissue removal for the treatment of benign prostatic hyperplasia, a prostate gland enlargement condition. On August 20, 2024, the Company received 510(k) clearance from the FDA for its next generation robot system, HYDROS Robotic System.</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cash and cash equivalents of $333.7 million and an accumulated deficit of $546.0 million. Since its inception, the Company has financed its operations with a combination of debt and equity financing arrangements. In October 2024, the Company completed a public offering of common stock, which raised $164.5 million, net of issuance costs. The Company expects its cash and cash equivalents, and revenue will be sufficient to fund its operations through at least the next twelve months from the issuance date of these consolidated financial statements. The Company has not achieved positive cash flow from operations to date and expects to continue incurring losses for the foreseeable future as it focuses on growing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Basis of Preparation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have been prepared in accordance with U.S. generally accepted accounting principles (“U.S. GAAP”) and pursuant to the rules and regulations of the United States Securities and Exchange Commission (“SEC”). These consolidated financial statements include the accounts of the Company and its consolidated subsidiaries. All intercompany balances and transactions have been eliminated upon consolidation.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amounts and disclosures reported in the consolidated financial statements. Management uses significant judgment when making estimates related to its allowance for credit losses, excess and obsolete inventory reserves, stock-based compensation expense, right-of-use lease asset, lease liability, the valuations of the loan facility derivative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Cash Equivalents and Restricted Cash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in banks highly liquid securities determined to be cash equivalents, which are readily convertible into cash and mature within 90 days or less from the original date of purchase. Cash and cash equivalents include money market funds and U.S. treasury bills.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are considered available-for-sale marketable securities and are recorded at fair value, based on quoted market prices. Unrealized gains and losses are recorded in other comprehensive gain (loss) and included as a separate component of stockholders’ equity.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is related to the Company’s letter of credit for the lease of its San Jose, CA location.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certain financial assets and liabilities at fair value on a recurring basis, including cash and cash equivalents, and accounts receivable, accounts payable and accrued liabilities, which approximate fair value due to their relatively short maturities as well as the loan facility derivative liability. Fair value is an exit price, representing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 </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Level 1-Observable inputs such as quoted prices (unadjusted) for identical assets or liabilities in active markets.</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Level 2-Other inputs that are based upon quoted prices for similar instruments in active markets, quoted prices for identical or similar instruments in markets that are not active and model-based valuation techniques for which all significant inputs are observable in the market or can be derived from observable market data.</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Level 3-Unobservable inputs that are supported by little or no market activities, which would require the Company to develop its own assumptions.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hierarchy also requires an entity to maximize the use of observable inputs and minimize the use of unobservable inputs when measuring fair value.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concentrations of credit risk, consist principally of cash and cash equivalents and, to a lesser extent, accounts receivable and leases receivable. The Company believes that credit risk in both accounts receivable and lease is mitigated by its credit evaluation process, relatively short collection terms and diversity of its customer base.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customers accounted for more than 10% of revenue during the year ended December 31, 2024, 2023 and 2022. No customers accounted for more than 10% of accounts receivable at December 31, 2024 and 2023.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investment policy limits investments to certain types of debt securities issued by the U.S. government, its agencies, and institutions with investment-grade credit ratings, as well as corporate debt or commercial paper issued by the highest quality financial and non-financial companies, and places restrictions on maturities and concentration by type and issuer. The Company is exposed to credit risk in the event of a default by the financial institutions holding its cash and cash equivalents and issuers of investments to the extent recorded on the balance sheets.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upon third-party suppliers, including contract manufacturers and single source suppliers, making us vulnerable to supply shortages and price fluctuations that could negatively affect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Allowance for Credit Losses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expected loss allowance methodology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 known risk of default. Balances are written off when they are ultimately determined to be uncollectible. The Company has not experienced significant credit losses. Credit losses have not been material for periods presented.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Inventory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which primarily consists of raw materials, labor and overhead related to work in process and sub-assemblies, are valued at the lower of cost, computed on a first-in, first-out basis, or net realizable value. The allocation of production overhead to inventory costs is based on normal production capacity. Abnormal amounts of idle facility expense, freight, handling costs, and consumption are expensed as incurred, and not included in overhead. The Company maintains provisions for excess and obsolete inventory based on management’s estimates of forecasted demand and, where applicable, product expiration.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and Intangible Assets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and intangible assets are stated at cost, less accumulated depreciation and amortization. Depreciation and amortization for property and equipment are determined using the straight-line method over the estimated useful lives of the respective assets, generally three to five years. The Company reclassifies inventory used at customer sites for evaluation purposes to property and equipment due to a limited history of sales of evaluation units. Amortization of intangible assets are determined using the straight-line method over the estimated useful lives, generally through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 expiration date. Leasehold improvements are amortized on a straight-line basis over the shorter of their estimated useful lives or the term of the lease. Maintenance and repairs are charged to operating expenses as incurred.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primarily of property and equipment and intangible assets,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The Company determines fair value using the income approach based on the present value of expected future cash flows or other appropriate measures of estimated fair value. The Company’s cash flow assumptions consider historical and forecasted revenue and operating costs and other relevant factors. No impairment losses were incurred in the periods presented.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revenue recognition may differ from the timing of invoicing to customers. The Company records deferred revenue when revenue will be recognized subsequent to invoicing. Service agreements are generally invoiced annually at the beginning of each coverage period and recorded as deferred revenue and recognized as revenue ratably over the coverage period. Deferred revenue that will be recognized during the 12 months following the balance sheet date is recorded as the current portion of deferred revenue, and the remaining portion, if any, would be recorded as non-current.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recognized $5.9 million of revenue that was included in the deferred revenue balance as of December 31, 2023. During the year ended December 31, 2023, the Company recognized $2.9 million of revenue that was included in the deferred revenue balance as of December 31, 2022.</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Loan Facility Derivative Liability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previous loan facility (Note 6), the Company is obligated to pay a fee upon the earlier occurrence of a defined liquidity event, including but not limited to, a merger or sale of our assets or voting stock, or achieving a $200.0 million trailing 12 months revenue target, in each case, by September 2029. The fee is calculated at the time of the liquidity event occurrence to be $1.0 million if only the first installment has been drawn, $2.0 million if the first two installments have been drawn, $2.4 million if the first three installments have been drawn, or $3.0 million if all four installments have been drawn, in each case, upon the occurrence of the liquidity event. At the time of extinguishment, the Company has drawn on the first two installments. The Company has determined this fee is a freestanding derivative instrument. The $2.0 million fair value of this loan facility derivative was initially recorded as a debt discount and a current liability on the date of issuance in connection with obtaining additional financing as applicable and will be revalued every reporting period until the earlier occurrence of a defined liquidity event or achieving a revenue target by September 2029 or termination of such fee arrangement. At December 31, 2024, the Company achieved the 12 month revenue target. As a result, the loan facility derivative became due and will no longer be revalued. The Company has recorded the amount due as a current liability in the Company’s consolidated balance sheets.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The Company accounts for leases under the guidance of ASC 842,</w:t>
      </w:r>
      <w:r>
        <w:rPr>
          <w:color w:val="000000"/>
        </w:rPr>
        <w:t xml:space="preserve"> </w:t>
      </w:r>
      <w:r>
        <w:rPr>
          <w:rFonts w:ascii="Times New Roman;sans-serif" w:hAnsi="Times New Roman;sans-serif"/>
          <w:b w:val="false"/>
          <w:color w:val="000000"/>
          <w:sz w:val="20"/>
        </w:rPr>
        <w:t>Leases.</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Operating Leases-Lessee. </w:t>
      </w:r>
      <w:r>
        <w:rPr>
          <w:rFonts w:ascii="Times New Roman;sans-serif" w:hAnsi="Times New Roman;sans-serif"/>
          <w:b w:val="false"/>
          <w:color w:val="000000"/>
          <w:sz w:val="20"/>
        </w:rPr>
        <w:t>For agreements with a term of more than 12 months, the Company determines if the agreement contains a lease at inception. Operating lease liabilities represent an obligation to make lease payments arising from the lease agreement. Operating lease liabilities are recognized at the lease commencement date based on the present value of lease payments over the remaining lease term. In determining the present value of lease payments, the Company estimates its incremental borrowing rate as the rate of interest that the Company would have to pay to borrow on a collateralized basis over a similar term, of an amount equal to the lease payments in a similar economic environment. Operating lease liabilities are included in the Company’s consolidated balance sheet. Right-of-use assets represent our right to use an underlying asset for the lease term and are classified as non-current assets. Lease expense is recognized on a straight-line basis over the expected lease term in the Company’s consolidated statements of operations and comprehensive loss.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not elected to separate lease and non-lease components for any leases within its existing classes of assets. The Company records a right-of-use asset and lease liability based on the present value of the future minimum lease payments over the term at commencement date. Variable lease payments are expensed as incurred. The Company has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elected to not apply the recognition requirement to any leases within its existing classes of assets with a term of 12 months or less and does not include an option to purchase the underlying asset that the Company is reasonably certain to exercise.</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Lessor</w:t>
      </w:r>
      <w:r>
        <w:rPr>
          <w:rFonts w:ascii="Times New Roman;sans-serif" w:hAnsi="Times New Roman;sans-serif"/>
          <w:b w:val="false"/>
          <w:color w:val="000000"/>
          <w:sz w:val="20"/>
        </w:rPr>
        <w:t xml:space="preserve">. For leases in which the Company is the lessor and classifies the lease as a sales-type lease, revenue is recognized at the commencement of the lease term. Leasing arrangements generally only include a robotic system. Customers are provided with the right to purchase the leased system at the end of the lease term. Lease terms are typically 48 months and are usually collateralized by a security interest in the underlying robotic system. Selling profit is recognized at the lease commencement date as the difference between the fair value of the leased asset and the carrying amount of the asset at the lease commencement date. Interest income is recognized over the lease term.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whether a transaction should be classified as a sales-type or operating lease, the Company considers the following terms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invoices its leasing customers on a monthly basis. Leases receivable are reported in accounts receivable within the Company’s consolidated balances sheets.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evaluates each sales-type lease for whether the collectibility of lease payments is reasonably assured and whether there are any significant uncertainties related to the costs yet to be incurred. The Company also assesses whether the lease term includes any renewal or extension options that would impact the revenue recognition pattern.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derived primarily from the sales of the AquaBeam Robotic Systems and HYDROS Robotic Systems, along with handpieces that are for one-time use during each surgery using the Company’s robotic systems. The Company’s robotic systems contain both software and non-software components that are delivered together as a single product and generally contain a one-year warranty.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determine revenue recognition for arrangements that the Company determines are within the scope of ASC Topic 606, Revenue from Contracts with Customers (“ASC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determined those that are performance obligations and assess whether each promised good or service is distinct based on the contract.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contracts are typically in the form of an agreement and an ordering document from the customer. The Company’s HYDROS Robotic System and AquaBeam Robotic System sales generally contain multiple products and services and can include a combination of the following performance obligations: robotic system, handpieces and consumables, and service.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transaction price it expects to be entitled to in exchange for transferring the promised product to the customer, which is based on the invoiced price for the products. All prices are at fixed amounts per the contract with the customer.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geographies, and type of customer. The Company regularly reviews standalone selling prices and updates these estimates as necessary.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certain promises in the multiple-element arrangements, such as installation, training and certain ancillary products, are immaterial, and do not represent separate performance obligations for which transaction price is allocated.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typical payment terms are between 30 to 90 days. All shipping and handling costs are expensed as incurred, and are recorded in cost of sales as a fulfillment activity. In those cases where shipping and handling costs are billed to customers, the Company classifies the amounts billed as a component of revenue. Taxes collected from customers and remitted to governmental authorities are excluded from revenue.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Robotic system arrangements generally do not provide a right of return, however, the Company has granted a right of return on a case-by-case basis. The Company estimates returns at contract inception based on historical return amounts. Return estimates are recorded as a reduction to revenue. Returns have not been material for periods presented.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rebates on a limited basis. Rebates are recorded as a reduction to revenue at time of sale. Rebates have not been material for periods presented.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release of the next generation robotic system, HYDROS Robotic System, for a limited period and on a case by case basis, the Company has on a limited basis entered into arrangements with existing customers to sell a HYDROS Robotic System with an exchange of a previously purchased AquaBeam Robotic System for additional consideration. Exchanges have not been material for periods presented.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 are considered incremental and recoverable costs of acquiring customer contracts. These costs are deferred and amortized over a straight-line basis when the estimated benefit period is greater than one year. The Company applies the practical expedient to expense costs to obtain a contract as incurred when the amortization period would have been one year or less. The amortization expense is reported in selling, general and administrative expense in the statements of operations and comprehensive loss.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practical expedient under ASC 606 and does not disclose unsatisfied performance obligations for service contracts as these contracts generally have an original duration of less than one year. For those contracts with an original duration exceeding one year, the aggregate amount of transaction price allocated to the performance obligations unsatisfied at December 31, 2024 was not material.</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as the performance obligations are satisfied by transferring control of the product or service to a customer. The Company generally recognizes revenue for the performance obligations as follows: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AquaBeam Robotic Systems and HYDROS Robotic Systems</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End user sales - </w:t>
      </w:r>
      <w:r>
        <w:rPr>
          <w:rFonts w:ascii="Times New Roman;sans-serif" w:hAnsi="Times New Roman;sans-serif"/>
          <w:b w:val="false"/>
          <w:color w:val="000000"/>
          <w:sz w:val="20"/>
        </w:rPr>
        <w:t>For systems (including robotic system components and robotic system accessories) sold directly to end users, revenue is recognized when the Company transfers control to the end user, in accordance with agreed upon shipping terms. The Company has determined in these type of arrangements the end user is the Company’s customer.</w:t>
      </w:r>
    </w:p>
    <w:p>
      <w:pPr>
        <w:pStyle w:val="TextBody"/>
        <w:bidi w:val="0"/>
        <w:spacing w:lineRule="auto" w:line="288" w:before="180" w:after="283"/>
        <w:ind w:left="0" w:right="0" w:firstLine="360"/>
        <w:jc w:val="left"/>
        <w:rPr/>
      </w:pPr>
      <w:r>
        <w:rPr>
          <w:rFonts w:ascii="Times New Roman;sans-serif" w:hAnsi="Times New Roman;sans-serif"/>
          <w:b w:val="false"/>
          <w:i/>
          <w:color w:val="000000"/>
          <w:sz w:val="20"/>
        </w:rPr>
        <w:t xml:space="preserve">Intermediary sales - </w:t>
      </w:r>
      <w:r>
        <w:rPr>
          <w:rFonts w:ascii="Times New Roman;sans-serif" w:hAnsi="Times New Roman;sans-serif"/>
          <w:b w:val="false"/>
          <w:color w:val="000000"/>
          <w:sz w:val="20"/>
        </w:rPr>
        <w:t>For systems sold to distributors or to leasing companies (intermediary), revenue is recognized when the Company transfers control to the intermediary, in accordance with agreed upon shipping terms. The Company has determined in these type of arrangements the intermediary is the Company’s customer.</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Hand pieces and other consumables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sales of handpieces and other consumables is recognized when the Company transfers control to the customer, in accordance with agreed upon shipping terms.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inclusive of the amounts associated with the AquaBeam Robotic System and HYDROS Robotic System warranties or extended service agreements, is recognized over the term of the service period, as the customer benefits from the services throughout the service period.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consists primarily of manufacturing overhead costs, material costs and direct labor, including stock-based compensation. These overhead costs include the cost of quality assurance, material procurement, inventory control, facilities, equipment and operations supervision and management. Cost of sales also includes depreciation expense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equipment, warranty, and field service costs, and purchased intangibles and certain direct costs such as shipping costs.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costs consist primarily of engineering, product development, and regulatory affairs, consulting services, materials, depreciation and other costs associated with products and technologies being developed, including employee and non-employee compensation, stock-based compensation, supplies, quality assurance expenses, related travel expenses and facilities expenses.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The Company accounts for stock options granted to employees and directors under the fair value recognition provision of ASC 718, Compensation - </w:t>
      </w:r>
      <w:r>
        <w:rPr>
          <w:rFonts w:ascii="Times New Roman;sans-serif" w:hAnsi="Times New Roman;sans-serif"/>
          <w:b w:val="false"/>
          <w:i/>
          <w:color w:val="000000"/>
          <w:sz w:val="20"/>
        </w:rPr>
        <w:t>Stock Compensation</w:t>
      </w:r>
      <w:r>
        <w:rPr>
          <w:rFonts w:ascii="Times New Roman;sans-serif" w:hAnsi="Times New Roman;sans-serif"/>
          <w:b w:val="false"/>
          <w:color w:val="000000"/>
          <w:sz w:val="20"/>
        </w:rPr>
        <w:t>. Stock-based compensation expense is recognized over the requisite service period in the statements of operations and comprehensive loss. The Company uses the straight-line method for expense attribution.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on the date of grant using the Black-Scholes option-pricing model. The Black-Scholes model determines the fair value of stock-based payment awards based on the fair market value of the Company’s common stock on the date of grant and is affected by assumptions regarding a number of highly complex and subjective variables. These variables include, but are not limited to, the fair market value of the Company’s common stock, volatility over the expected term of the awards and actual and projected employee stock option exercise behaviors. The Company has opted to use the “simplified method” for estimating the expected term of options, whereby the expected term equals the arithmetic average of the vesting term and the original contractual term of the option. Due to the Company’s limited operating history and limited company specific historical and implied volatility data, the Company has based its estimate of expected volatility on the historical volatility of a group of similar companies that are publicly traded. When selecting these public companies on which it has based its expected stock price volatility, the Company generally selected companies with comparable characteristics to it, including enterprise value, stages of clinical development,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share-based payments. The Company will continue to analyze the historical stock price volatility and expected term assumptions as more historical data for the Company’s common stock becomes available. The risk-free rate assumption is based on the U.S. Treasury instruments with maturities similar to the expected term of the Company’s stock options. The expected dividend assumption is based on the Company’s history of not paying dividends and its expectation that it will not declare dividends for the foreseeable future. The Company has elected to account for forfeitures when they occur.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fair value of restricted stock units (“RSUs”) using the closing market price of the Company’s common stock on the date of the grant. Stock-based compensation cost for RSUs is measured at the grant date based on the estimated fair value of the award and is recognized as expense over the requisite service period (generally the vesting period), net of forfeitures.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the fair value of performance stock units (“PSUs”) using the closing market price of the Company’s common stock on the date of the grant. include predefined performance and market conditions. The Company estimates the number of awards with performance conditions that will ultimately vest based on the probability of achievement each quarter to determine the amount of compensation expense to recognize each reporting period.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Advertising Expenses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the costs of advertising, including promotional expenses, as incurred. Advertising expenses for the years ended December 31, 2024, 2023, and 2022 were $0.5 million, $0.3 million, and $0.1 million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Valuation allowances against deferred tax assets are established when necessary to reduce deferred tax assets to the amounts expected to be realized. Currently, the Company has recorded a full valuation allowance against its deferred tax assets and there is no provision for income taxes, as the Company has incurred operating losses to-date. The Company’s policy is to record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uncertain tax positions as a component of income tax expense in the statement of operations. To date, there have been no interest or penalties charged in relation to the unrecognized tax benefits.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by the weighted-average number of shares of common stock outstanding during the period. Diluted net loss per share is computed by dividing the net loss by the weighted-average number of shares of common stock and common stock equivalent shares from dilutive stock options and common stock warrants outstanding during the period. Because the Company has reported a net loss for all periods presented, diluted net loss per share is the same as basic net loss per share for those periods as all potentially dilutive securities were antidilutive in those periods.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Comprehensive Gain (Loss)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gain (loss) consists of unrealized gains and losses on cash equivalents and foreign currency translation adjustments.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as a single operating segment. The Company’s chief operating decision maker, or CODM, its Chief Executive Officer, reviews the Company’s forecast, as well as budget to actual financial information, as key inputs to making decisions on resource allocation and assessing the performance of the business. The CODM monitors budget versus actual results using income (loss) from operations and net income (loss).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expenses within income from operations, as well as within net income (loss), include cost of goods sold, research and development expenses, and selling, general and administrative expenses, which are each separately presented on the Company’s consolidated statements of operations. Other segment items within net income (loss) include interest expense, and interest and other income, net on an aggregate basis for the purposes of allocating resources and evaluating financial performance.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and 2023, substantially all of the Company’s long-lived assets are held in the United States.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or FASB, issued Accounting Standards Update, or ASU, 2023-07, Segment Reporting (Topic 280): Improvements to Reportable Segment Disclosures, that requires disclosure of significant segment expenses that are regularly reviewed by the chief operating decision maker and included within each reported measure of segment profit or loss. The standard also requires disclosure of the composition of other segment items included in the measure of segment profit or loss that are not separately disclosed. The new standard is effective for fiscal years beginning after December 15, 2023, and interim periods within fiscal years beginning after December 15, 2024. The Company adopted ASU 2023-07 for the fiscal year ended December 31, 2024, for the fiscal year ending December 31, 2024, on a retrospective basis. The adoption did not have a material effect on the Company’s consolidated financial statements.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all public entities for fiscal years beginning after December 15, 2024. Early adoption is permitted and should be applied either prospectively or retrospectively. The Company plans to adopt the ASU and related updates with the year ending December 31, 2025. The adoption of this ASU is not expected to have a material impact on its financial statement disclosures.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evaluating the impact of this ASU will have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measured at fair value on a recurring basis (in thousands):</w:t>
      </w:r>
    </w:p>
    <w:tbl>
      <w:tblPr>
        <w:tblW w:w="10688"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109"/>
        <w:gridCol w:w="109"/>
        <w:gridCol w:w="109"/>
        <w:gridCol w:w="109"/>
        <w:gridCol w:w="109"/>
        <w:gridCol w:w="109"/>
        <w:gridCol w:w="109"/>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466"/>
        <w:gridCol w:w="109"/>
        <w:gridCol w:w="109"/>
        <w:gridCol w:w="109"/>
        <w:gridCol w:w="109"/>
        <w:gridCol w:w="181"/>
        <w:gridCol w:w="616"/>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0" w:type="dxa"/>
            <w:gridSpan w:val="3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r>
          </w:p>
        </w:tc>
        <w:tc>
          <w:tcPr>
            <w:tcW w:w="3384" w:type="dxa"/>
            <w:gridSpan w:val="1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384" w:type="dxa"/>
            <w:gridSpan w:val="1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Loan facility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cash, accounts receivable, accounts payable, and loan facility derivative liability approximate their fair values due to their short maturities. The carrying value of the Company’s long-term debt approximates fair value, as the Company’s variable rate is approximate to the stated rate.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in and out of Level 3 during the years ended December 31, 2024 and 2023.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Loan facility derivative liability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a summary of the changes in the estimated fair value of the Company’s loan facility derivative liability, classified as Level 3 (for the year ended December 31, 2023) (in thousands): </w:t>
      </w:r>
    </w:p>
    <w:tbl>
      <w:tblPr>
        <w:tblW w:w="6276"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loan facility derivative liability was determined using a discounted cash flow calculation discounted at 6%.</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4.    Composition of Certain Consolidated Financial Statement Items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consisted of the following (in thousands):</w:t>
      </w:r>
    </w:p>
    <w:tbl>
      <w:tblPr>
        <w:tblW w:w="4140"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109"/>
        <w:gridCol w:w="289"/>
        <w:gridCol w:w="639"/>
        <w:gridCol w:w="212"/>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 did not have an allowance for credit losses.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Inventory (in thousands):</w:t>
      </w:r>
    </w:p>
    <w:tbl>
      <w:tblPr>
        <w:tblW w:w="4346" w:type="dxa"/>
        <w:jc w:val="left"/>
        <w:tblInd w:w="0" w:type="dxa"/>
        <w:tblLayout w:type="fixed"/>
        <w:tblCellMar>
          <w:top w:w="28" w:type="dxa"/>
          <w:left w:w="28" w:type="dxa"/>
          <w:bottom w:w="28" w:type="dxa"/>
          <w:right w:w="28" w:type="dxa"/>
        </w:tblCellMar>
      </w:tblPr>
      <w:tblGrid>
        <w:gridCol w:w="527"/>
        <w:gridCol w:w="462"/>
        <w:gridCol w:w="467"/>
        <w:gridCol w:w="109"/>
        <w:gridCol w:w="109"/>
        <w:gridCol w:w="109"/>
        <w:gridCol w:w="109"/>
        <w:gridCol w:w="211"/>
        <w:gridCol w:w="721"/>
        <w:gridCol w:w="109"/>
        <w:gridCol w:w="109"/>
        <w:gridCol w:w="109"/>
        <w:gridCol w:w="109"/>
        <w:gridCol w:w="211"/>
        <w:gridCol w:w="72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reclassified $4.9 million associated with sub-assemblies from raw materials to work-in process in the December 31, 2023 balances to conform with current year presentation.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(in thousands): </w:t>
      </w:r>
    </w:p>
    <w:tbl>
      <w:tblPr>
        <w:tblW w:w="8439" w:type="dxa"/>
        <w:jc w:val="left"/>
        <w:tblInd w:w="0" w:type="dxa"/>
        <w:tblLayout w:type="fixed"/>
        <w:tblCellMar>
          <w:top w:w="28" w:type="dxa"/>
          <w:left w:w="28" w:type="dxa"/>
          <w:bottom w:w="28" w:type="dxa"/>
          <w:right w:w="28" w:type="dxa"/>
        </w:tblCellMar>
      </w:tblPr>
      <w:tblGrid>
        <w:gridCol w:w="2010"/>
        <w:gridCol w:w="1765"/>
        <w:gridCol w:w="1774"/>
        <w:gridCol w:w="109"/>
        <w:gridCol w:w="109"/>
        <w:gridCol w:w="109"/>
        <w:gridCol w:w="109"/>
        <w:gridCol w:w="211"/>
        <w:gridCol w:w="721"/>
        <w:gridCol w:w="109"/>
        <w:gridCol w:w="109"/>
        <w:gridCol w:w="109"/>
        <w:gridCol w:w="109"/>
        <w:gridCol w:w="211"/>
        <w:gridCol w:w="721"/>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computer equipment, and furniture and fixtures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Deferred Commission Costs (in thousands):</w:t>
      </w:r>
    </w:p>
    <w:tbl>
      <w:tblPr>
        <w:tblW w:w="5829" w:type="dxa"/>
        <w:jc w:val="left"/>
        <w:tblInd w:w="0" w:type="dxa"/>
        <w:tblLayout w:type="fixed"/>
        <w:tblCellMar>
          <w:top w:w="28" w:type="dxa"/>
          <w:left w:w="28" w:type="dxa"/>
          <w:bottom w:w="28" w:type="dxa"/>
          <w:right w:w="28" w:type="dxa"/>
        </w:tblCellMar>
      </w:tblPr>
      <w:tblGrid>
        <w:gridCol w:w="1248"/>
        <w:gridCol w:w="1096"/>
        <w:gridCol w:w="1105"/>
        <w:gridCol w:w="109"/>
        <w:gridCol w:w="109"/>
        <w:gridCol w:w="109"/>
        <w:gridCol w:w="109"/>
        <w:gridCol w:w="211"/>
        <w:gridCol w:w="466"/>
        <w:gridCol w:w="109"/>
        <w:gridCol w:w="109"/>
        <w:gridCol w:w="109"/>
        <w:gridCol w:w="109"/>
        <w:gridCol w:w="211"/>
        <w:gridCol w:w="46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Current Liabilities (in thousands):</w:t>
      </w:r>
    </w:p>
    <w:tbl>
      <w:tblPr>
        <w:tblW w:w="5140" w:type="dxa"/>
        <w:jc w:val="left"/>
        <w:tblInd w:w="0" w:type="dxa"/>
        <w:tblLayout w:type="fixed"/>
        <w:tblCellMar>
          <w:top w:w="28" w:type="dxa"/>
          <w:left w:w="28" w:type="dxa"/>
          <w:bottom w:w="28" w:type="dxa"/>
          <w:right w:w="28" w:type="dxa"/>
        </w:tblCellMar>
      </w:tblPr>
      <w:tblGrid>
        <w:gridCol w:w="891"/>
        <w:gridCol w:w="782"/>
        <w:gridCol w:w="787"/>
        <w:gridCol w:w="109"/>
        <w:gridCol w:w="109"/>
        <w:gridCol w:w="109"/>
        <w:gridCol w:w="109"/>
        <w:gridCol w:w="211"/>
        <w:gridCol w:w="616"/>
        <w:gridCol w:w="109"/>
        <w:gridCol w:w="109"/>
        <w:gridCol w:w="109"/>
        <w:gridCol w:w="109"/>
        <w:gridCol w:w="211"/>
        <w:gridCol w:w="61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(in thousands): </w:t>
      </w:r>
    </w:p>
    <w:tbl>
      <w:tblPr>
        <w:tblW w:w="8855" w:type="dxa"/>
        <w:jc w:val="left"/>
        <w:tblInd w:w="0" w:type="dxa"/>
        <w:tblLayout w:type="fixed"/>
        <w:tblCellMar>
          <w:top w:w="28" w:type="dxa"/>
          <w:left w:w="28" w:type="dxa"/>
          <w:bottom w:w="28" w:type="dxa"/>
          <w:right w:w="28" w:type="dxa"/>
        </w:tblCellMar>
      </w:tblPr>
      <w:tblGrid>
        <w:gridCol w:w="1662"/>
        <w:gridCol w:w="1457"/>
        <w:gridCol w:w="1470"/>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loan facility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Intangible Assets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2019, the Company entered into a license agreement with HydroCision, Inc. This agreement grants the Company an exclusive, perpetual, irrevocable, worldwide, fully paid-up license to develop, manufacture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commercialize products in the field of urology using the patented technology and know-how controlled by HydroCision as of the effective date and as well as new patented technology developed by HydroCision that cover certain activities and improvements that relate to the use of fluid jet technology in connection with the licensed products during the period commencing on the effective date and ending on the earlier of the date that the Company ceases to use HydroCision’s existing contract manufacturers and the third anniversary of the effective date. Also included is the right to utilize HydroCision’s contract manufacturers, if desired. The consideration paid was a one-time upfront payment of $2.5 million, as well as allowing HydroCision (a reciprocal license) to use any new patented technology and know-how developed by the Company relating to the HydroCision patented technology and know-how in the field of urology for HydroCision use outside the field of urology. HydroCision will pay for any patent maintenance fees on HydroCision’s licensed patents. As of December 31, 2024 and 2023, accumulated amortization was $1.6 million and $1.3 million, respectively, and the net carrying amount is expected to be amortized at a rate of $0.3 million per year until fully amortized.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for each of the years ended December 31, 2024, 2023, and 2022 was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Long-Term Debt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entered into a loan and security agreement (“The Agreement”) with Canadian Imperial Bank of Commerce, or CIBC. The Agreement provides for a senior secured term loan facility in the aggregate principal amount of $52.0 million (the "Term Loan Facility") which was borrowed in full.</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Facility was used to repay and terminate the Company's previous loan facility, transaction fees, and related expenses.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is scheduled to mature on the fifth anniversary of the Closing Date (the "Maturity Date"). The Agreement provides for interest-only payments on the Term Loan Facility for the first thirty-six months following the Closing Date (the "Initial Interest-Only Period"). The Initial Interest-Only Period will be extended to an additional twelve months if the Company achieves either (i) $200.0 million or greater in revenue in any twelve-month period or (ii) $0 or greater in EBITDA in any six-month period. Thereafter, amortization payments on the Term Loan Facility will be payable monthly until the Maturity Date in monthly installments equal to 20% of the then outstanding principal amount of the Term Loan Facility divided by 12 plus any accrued and unpaid interest. The Company has the option to prepay the Term Loan Facility without any prepayment charge or fee. The Company achieved the twelve-month revenue target as of December 31, 2024.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loan borrowed under the Term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 The weighted-average interest rate for the periods ending December 31, 2024, 2023, and 2022 were 7.60%, 7.32%, and 6.12%, respectively.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Loan Agreement are secured by substantially all of the Company's assets, including its intellectual property and by a pledge all of the Company's equity interests in its U.S. subsidiaries and 65% of the Company's equity interests in its non-U.S. subsidiaries that are directly owned by the Company. In June 2023, the Term Loan Facility was amended to lower the amount the Company is obligated to maintain in deposit accounts held at the lender to the lesser of (i) $90.0 million or (ii) all of its non-operating cash and allow the Company to maintain cash or cash equivalents in excess of that amount with other financial institutions. The Agreement also contains a minimum unrestricted cash requirement and minimum revenue growth financial covenants, along with other covenants customary for loan facilities. As of December 31, 2024, the Company was in compliance with all debt covenants.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loss on loan extinguishment in the amount of $3.3 million in its consolidated statements of operations and comprehensive loss for the period ended December 31, 2022. The loss was attributed to the acquisition price of the CIBC debt exceeded the carrying amount of the Company’s previous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annual debt repayments are as follows (in thousands): </w:t>
      </w:r>
    </w:p>
    <w:tbl>
      <w:tblPr>
        <w:tblW w:w="5556" w:type="dxa"/>
        <w:jc w:val="left"/>
        <w:tblInd w:w="0" w:type="dxa"/>
        <w:tblLayout w:type="fixed"/>
        <w:tblCellMar>
          <w:top w:w="28" w:type="dxa"/>
          <w:left w:w="28" w:type="dxa"/>
          <w:bottom w:w="28" w:type="dxa"/>
          <w:right w:w="28" w:type="dxa"/>
        </w:tblCellMar>
      </w:tblPr>
      <w:tblGrid>
        <w:gridCol w:w="1620"/>
        <w:gridCol w:w="1421"/>
        <w:gridCol w:w="1429"/>
        <w:gridCol w:w="211"/>
        <w:gridCol w:w="72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unamortized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Facility Leases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previously leased a facility located in Redwood City, California. In September 2023, the Company exited the facility. In October 2023, the lease expired and was not renewed.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into a lease for two existing buildings, comprising approximately 158,221 square feet of space, located in San Jose, California. The lease commenced in July 2022, and will continue for 122 months following thereafter, with two five year options to extend the term of the lease.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began operations at this facility in September 2023. The lease provides for annual base rent of $4.3 million for the first year, which increases on a yearly basis up to $5.5 million for the tenth year, for an aggregate of $49.2 million. Under the terms of the lease, the Company received an allowance of up to $7.9 million from the landlord to be applied to the Company’s construction of tenant improvements following the landlord’s delivery of the two buildings to the Company. During the year ended December 31, 2022, the Company recorded both a right-of-use asset and liability of $22.7 million related to the lease. The lease agreement provides for an escalation of rent payments each year and the Company records rent expense on a straight-line basis over the term of the lease. Rent is payable monthly. Rent expense recognized under the leases, includes additional rent charges for utilities, parking, maintenance and real estate taxes.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lease information (in thousands, except for weighted-average amounts):</w:t>
      </w:r>
    </w:p>
    <w:tbl>
      <w:tblPr>
        <w:tblW w:w="10205" w:type="dxa"/>
        <w:jc w:val="left"/>
        <w:tblInd w:w="0" w:type="dxa"/>
        <w:tblLayout w:type="fixed"/>
        <w:tblCellMar>
          <w:top w:w="28" w:type="dxa"/>
          <w:left w:w="28" w:type="dxa"/>
          <w:bottom w:w="28" w:type="dxa"/>
          <w:right w:w="28" w:type="dxa"/>
        </w:tblCellMar>
      </w:tblPr>
      <w:tblGrid>
        <w:gridCol w:w="2269"/>
        <w:gridCol w:w="1935"/>
        <w:gridCol w:w="194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6"/>
      </w:tblGrid>
      <w:tr>
        <w:trPr/>
        <w:tc>
          <w:tcPr>
            <w:tcW w:w="226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 years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left"/>
        <w:rPr/>
      </w:pPr>
      <w:r>
        <w:rPr/>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annual operating lease payments are as follows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tbl>
      <w:tblPr>
        <w:tblW w:w="6545" w:type="dxa"/>
        <w:jc w:val="left"/>
        <w:tblInd w:w="0" w:type="dxa"/>
        <w:tblLayout w:type="fixed"/>
        <w:tblCellMar>
          <w:top w:w="28" w:type="dxa"/>
          <w:left w:w="28" w:type="dxa"/>
          <w:bottom w:w="28" w:type="dxa"/>
          <w:right w:w="28" w:type="dxa"/>
        </w:tblCellMar>
      </w:tblPr>
      <w:tblGrid>
        <w:gridCol w:w="1974"/>
        <w:gridCol w:w="1731"/>
        <w:gridCol w:w="1754"/>
        <w:gridCol w:w="211"/>
        <w:gridCol w:w="721"/>
        <w:gridCol w:w="154"/>
      </w:tblGrid>
      <w:tr>
        <w:trPr/>
        <w:tc>
          <w:tcPr>
            <w:tcW w:w="197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interest/tenant improvement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security deposit is in the form of, and recorded as, restricted cash.</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Lessor Information for Robotic Systems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maturities of gross lease receivables as of December 31, 2024 are as follows (in thousands):</w:t>
      </w:r>
    </w:p>
    <w:tbl>
      <w:tblPr>
        <w:tblW w:w="3002"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Leases receivable relating to sales-type lease arrangements are presented on the Company’s consolidated balance sheets as follows (in thousands):</w:t>
      </w:r>
    </w:p>
    <w:tbl>
      <w:tblPr>
        <w:tblW w:w="5797" w:type="dxa"/>
        <w:jc w:val="left"/>
        <w:tblInd w:w="0" w:type="dxa"/>
        <w:tblLayout w:type="fixed"/>
        <w:tblCellMar>
          <w:top w:w="28" w:type="dxa"/>
          <w:left w:w="28" w:type="dxa"/>
          <w:bottom w:w="28" w:type="dxa"/>
          <w:right w:w="28" w:type="dxa"/>
        </w:tblCellMar>
      </w:tblPr>
      <w:tblGrid>
        <w:gridCol w:w="1064"/>
        <w:gridCol w:w="934"/>
        <w:gridCol w:w="942"/>
        <w:gridCol w:w="109"/>
        <w:gridCol w:w="109"/>
        <w:gridCol w:w="109"/>
        <w:gridCol w:w="109"/>
        <w:gridCol w:w="211"/>
        <w:gridCol w:w="616"/>
        <w:gridCol w:w="109"/>
        <w:gridCol w:w="109"/>
        <w:gridCol w:w="109"/>
        <w:gridCol w:w="109"/>
        <w:gridCol w:w="211"/>
        <w:gridCol w:w="466"/>
        <w:gridCol w:w="109"/>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tbl>
      <w:tblPr>
        <w:tblW w:w="6124" w:type="dxa"/>
        <w:jc w:val="left"/>
        <w:tblInd w:w="0" w:type="dxa"/>
        <w:tblLayout w:type="fixed"/>
        <w:tblCellMar>
          <w:top w:w="28" w:type="dxa"/>
          <w:left w:w="28" w:type="dxa"/>
          <w:bottom w:w="28" w:type="dxa"/>
          <w:right w:w="28" w:type="dxa"/>
        </w:tblCellMar>
      </w:tblPr>
      <w:tblGrid>
        <w:gridCol w:w="1064"/>
        <w:gridCol w:w="936"/>
        <w:gridCol w:w="940"/>
        <w:gridCol w:w="109"/>
        <w:gridCol w:w="109"/>
        <w:gridCol w:w="109"/>
        <w:gridCol w:w="109"/>
        <w:gridCol w:w="211"/>
        <w:gridCol w:w="616"/>
        <w:gridCol w:w="109"/>
        <w:gridCol w:w="109"/>
        <w:gridCol w:w="109"/>
        <w:gridCol w:w="109"/>
        <w:gridCol w:w="211"/>
        <w:gridCol w:w="466"/>
        <w:gridCol w:w="109"/>
        <w:gridCol w:w="109"/>
        <w:gridCol w:w="109"/>
        <w:gridCol w:w="109"/>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receivables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Unearned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from sales-type leases are as follows:</w:t>
      </w:r>
    </w:p>
    <w:tbl>
      <w:tblPr>
        <w:tblW w:w="5355" w:type="dxa"/>
        <w:jc w:val="left"/>
        <w:tblInd w:w="0" w:type="dxa"/>
        <w:tblLayout w:type="fixed"/>
        <w:tblCellMar>
          <w:top w:w="28" w:type="dxa"/>
          <w:left w:w="28" w:type="dxa"/>
          <w:bottom w:w="28" w:type="dxa"/>
          <w:right w:w="28" w:type="dxa"/>
        </w:tblCellMar>
      </w:tblPr>
      <w:tblGrid>
        <w:gridCol w:w="760"/>
        <w:gridCol w:w="668"/>
        <w:gridCol w:w="671"/>
        <w:gridCol w:w="211"/>
        <w:gridCol w:w="616"/>
        <w:gridCol w:w="109"/>
        <w:gridCol w:w="109"/>
        <w:gridCol w:w="109"/>
        <w:gridCol w:w="109"/>
        <w:gridCol w:w="109"/>
        <w:gridCol w:w="211"/>
        <w:gridCol w:w="466"/>
        <w:gridCol w:w="109"/>
        <w:gridCol w:w="109"/>
        <w:gridCol w:w="109"/>
        <w:gridCol w:w="109"/>
        <w:gridCol w:w="211"/>
        <w:gridCol w:w="40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771" w:type="dxa"/>
            <w:gridSpan w:val="3"/>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Sales-type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8.    Stock-Based Compensation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2021 Equity Incentive Award Plan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Company adopted the 2021 Equity Incentive Award Plan (the “2021 Plan”), which allows for the granting of stock options and stock purchase rights to the employees, members of the board of directors, and consultants of the Company. A total of 10,267,301 shares of common stock were reserved for issuance under the 2021 Plan. Options granted under the 2021 Plan may be either incentive stock options (“ISOs”) or nonqualified stock options (“NSOs”). ISOs may be granted only to the Company’s employees, including officers and directors who are also employees. NSOs may be granted to employees and consultants.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2021 Plan may be granted for periods of up to 10 years and at prices no less than 100% of the estimated fair value of the shares on the date of grant as determined by the board of directors, provided, however, that the exercise price of an ISO and NSO granted to a 10% shareholder shall not be less than 110% of the estimated fair value of the shares on the date of grant.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Granted options for newly hired employees usually vest over four years monthly with a one-year cliff vesting, and follow-on options vest monthly over four years with no cliff vesting. Options granted to consultants have various vesting schedules depending on the underlying consulting arrangement and anticipated period of service. Granted restricted stock units usually vest over four years annually. As of December 31, 2024, there were 6.8 million shares available for grant and 2.7 million awards outstanding under the 2021 Plan.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2008 Stock Plan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ceased making awards under the 2008 Stock Plan upon the effective date of the Company’s IPO. In 2008, the Company adopted the 2008 Stock Plan (the “2008 Plan”), which allows for the granting of stock options and stock purchase rights to the employees, members of the board of directors, and consultants of the Company. Options granted under the 2008 Plan may be either incentive stock options (“ISOs”) or nonqualified stock options (“NSOs”). ISOs may be granted only to the Company’s employees, including officers and directors who are also employees. NSOs may be granted to employees and consultants. Options granted under the 2008 Plan started expiring in August 2021. Options outstanding under the 2008 Plan will expire upon forfeiture. As of December 31, 2024, 3.1 million options were outstanding under the 2008 Plan.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2021 Employee Stock Purchase Plan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adopted the 2021 Employee Stock Purchase Plan (the “2021 ESPP”). The 2021 ESPP became effective on the effective date of the IPO. A total of 412,988 shares were initially reserved for issuance under the 2021 ESPP. Additionally, the number of shares of common stock reserved for issuance under the 2021 ESPP will increase automatically each year, beginning on January 1, 2022, and continuing through and including January 1, 2031, by the lesser of (1) 1% of the total number of shares of common stock outstanding on December 31 of the preceding calendar year; or (2) such lesser number as determined by the Company’s board of directors. The number of shares that may be issued under the 2021 ESPP shall not exceed a total of 10,526,315 shares. As of December 31, 2024, approximately 400,000 shares have been issued under the 2021 ESPP. As of December 31, 2024, there were 1.4 million shares available for grant under the 2021 ESPP.</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recognized, before taxes, are as follows (in thousands): </w:t>
      </w:r>
    </w:p>
    <w:tbl>
      <w:tblPr>
        <w:tblW w:w="8765" w:type="dxa"/>
        <w:jc w:val="left"/>
        <w:tblInd w:w="0" w:type="dxa"/>
        <w:tblLayout w:type="fixed"/>
        <w:tblCellMar>
          <w:top w:w="28" w:type="dxa"/>
          <w:left w:w="28" w:type="dxa"/>
          <w:bottom w:w="28" w:type="dxa"/>
          <w:right w:w="28" w:type="dxa"/>
        </w:tblCellMar>
      </w:tblPr>
      <w:tblGrid>
        <w:gridCol w:w="1551"/>
        <w:gridCol w:w="1356"/>
        <w:gridCol w:w="1382"/>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capitalized in inventory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and related information are as follows (options in thousands): </w:t>
      </w:r>
    </w:p>
    <w:tbl>
      <w:tblPr>
        <w:tblW w:w="8152" w:type="dxa"/>
        <w:jc w:val="left"/>
        <w:tblInd w:w="0" w:type="dxa"/>
        <w:tblLayout w:type="fixed"/>
        <w:tblCellMar>
          <w:top w:w="28" w:type="dxa"/>
          <w:left w:w="28" w:type="dxa"/>
          <w:bottom w:w="28" w:type="dxa"/>
          <w:right w:w="28" w:type="dxa"/>
        </w:tblCellMar>
      </w:tblPr>
      <w:tblGrid>
        <w:gridCol w:w="1026"/>
        <w:gridCol w:w="903"/>
        <w:gridCol w:w="905"/>
        <w:gridCol w:w="109"/>
        <w:gridCol w:w="109"/>
        <w:gridCol w:w="214"/>
        <w:gridCol w:w="214"/>
        <w:gridCol w:w="214"/>
        <w:gridCol w:w="214"/>
        <w:gridCol w:w="344"/>
        <w:gridCol w:w="346"/>
        <w:gridCol w:w="226"/>
        <w:gridCol w:w="109"/>
        <w:gridCol w:w="109"/>
        <w:gridCol w:w="109"/>
        <w:gridCol w:w="640"/>
        <w:gridCol w:w="1550"/>
        <w:gridCol w:w="330"/>
        <w:gridCol w:w="109"/>
        <w:gridCol w:w="109"/>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3328" w:type="dxa"/>
            <w:gridSpan w:val="10"/>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options granted during the years of December 31, 2024 and 2023 was $28.52 and $21.02, respectively. As of December 31, 2024, the aggregate pre-tax intrinsic value of options outstanding and exercisable was $239.7 million and options outstanding were $261.7 million. The aggregate pre-tax intrinsic value of options exercised was $92.1 million and $15.4 million during the years ended December 31, 2024 and 2023, respectively. The aggregate pre-tax intrinsic value was calculated as the difference between the exercise prices of the underlying options and the estimated fair value of the common stock on the date of exercise. The total fair value of options vested was $5.6 million and $5.8 million during the years ended December 31, 2024 and 2023, respectively.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total unrecognized stock-based compensation related to unvested stock options was $8.5 million, which the Company expects to recognize over a remaining weighted-average period of 2.2 years.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options granted to employees or directors was estimated as of the grant date using the Black-Scholes model assuming the weighted-average assumptions listed in the following table: </w:t>
      </w:r>
    </w:p>
    <w:tbl>
      <w:tblPr>
        <w:tblW w:w="7061" w:type="dxa"/>
        <w:jc w:val="left"/>
        <w:tblInd w:w="0" w:type="dxa"/>
        <w:tblLayout w:type="fixed"/>
        <w:tblCellMar>
          <w:top w:w="28" w:type="dxa"/>
          <w:left w:w="28" w:type="dxa"/>
          <w:bottom w:w="28" w:type="dxa"/>
          <w:right w:w="28" w:type="dxa"/>
        </w:tblCellMar>
      </w:tblPr>
      <w:tblGrid>
        <w:gridCol w:w="875"/>
        <w:gridCol w:w="768"/>
        <w:gridCol w:w="771"/>
        <w:gridCol w:w="109"/>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dividend rate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restricted stock unit or RSU activity and related information are as follows (RSUs in thousands): </w:t>
      </w:r>
    </w:p>
    <w:tbl>
      <w:tblPr>
        <w:tblW w:w="7657" w:type="dxa"/>
        <w:jc w:val="left"/>
        <w:tblInd w:w="0" w:type="dxa"/>
        <w:tblLayout w:type="fixed"/>
        <w:tblCellMar>
          <w:top w:w="28" w:type="dxa"/>
          <w:left w:w="28" w:type="dxa"/>
          <w:bottom w:w="28" w:type="dxa"/>
          <w:right w:w="28" w:type="dxa"/>
        </w:tblCellMar>
      </w:tblPr>
      <w:tblGrid>
        <w:gridCol w:w="940"/>
        <w:gridCol w:w="826"/>
        <w:gridCol w:w="829"/>
        <w:gridCol w:w="109"/>
        <w:gridCol w:w="109"/>
        <w:gridCol w:w="214"/>
        <w:gridCol w:w="214"/>
        <w:gridCol w:w="214"/>
        <w:gridCol w:w="214"/>
        <w:gridCol w:w="569"/>
        <w:gridCol w:w="569"/>
        <w:gridCol w:w="571"/>
        <w:gridCol w:w="109"/>
        <w:gridCol w:w="109"/>
        <w:gridCol w:w="109"/>
        <w:gridCol w:w="331"/>
        <w:gridCol w:w="968"/>
        <w:gridCol w:w="172"/>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2279" w:type="dxa"/>
            <w:gridSpan w:val="10"/>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RSUs granted during the years of December 31, 2024 and 2023 was $53.31 and $36.16, respectively.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aggregate pre-tax intrinsic value of RSUs outstanding was $152.5 million, calculated based on the closing price of the Company’s common stock at the end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total unrecognized stock-based compensation related to unvested RSUs was $67.7 million, which the Company expects to recognize over a remaining weighted-average period of 2.8 years.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restricted stock unit or PSU activity and related information are as follows (PSUs in thousands): </w:t>
      </w:r>
    </w:p>
    <w:tbl>
      <w:tblPr>
        <w:tblW w:w="7867" w:type="dxa"/>
        <w:jc w:val="left"/>
        <w:tblInd w:w="0" w:type="dxa"/>
        <w:tblLayout w:type="fixed"/>
        <w:tblCellMar>
          <w:top w:w="28" w:type="dxa"/>
          <w:left w:w="28" w:type="dxa"/>
          <w:bottom w:w="28" w:type="dxa"/>
          <w:right w:w="28" w:type="dxa"/>
        </w:tblCellMar>
      </w:tblPr>
      <w:tblGrid>
        <w:gridCol w:w="940"/>
        <w:gridCol w:w="826"/>
        <w:gridCol w:w="829"/>
        <w:gridCol w:w="109"/>
        <w:gridCol w:w="109"/>
        <w:gridCol w:w="214"/>
        <w:gridCol w:w="214"/>
        <w:gridCol w:w="214"/>
        <w:gridCol w:w="214"/>
        <w:gridCol w:w="639"/>
        <w:gridCol w:w="639"/>
        <w:gridCol w:w="641"/>
        <w:gridCol w:w="109"/>
        <w:gridCol w:w="109"/>
        <w:gridCol w:w="109"/>
        <w:gridCol w:w="427"/>
        <w:gridCol w:w="822"/>
        <w:gridCol w:w="222"/>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2279" w:type="dxa"/>
            <w:gridSpan w:val="10"/>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aggregate pre-tax intrinsic value of PSUs outstanding was $6.5 million, calculated based on the closing price of the Company’s common stock at the end of the period.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total unrecognized stock-based compensation related to unvested RSUs was $5.5 million, which the Company expects to recognize over a remaining weighted-average period of 1.3 years.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approximately $1.1 million of unrecognized cost related to employee stock purchases under the 2021 ESPP. This cost is expected to be recognized over a weighted average period of 0.5 years. As of December 31, 2024, a total of 1.4 million shares were available for issuance under the 2021 ESPP.</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options granted under the 2021 ESPP to employees was estimated as of the grant date using the Black-Scholes model assuming the weighted-average assumptions listed in the following table: </w:t>
      </w:r>
    </w:p>
    <w:tbl>
      <w:tblPr>
        <w:tblW w:w="7279" w:type="dxa"/>
        <w:jc w:val="left"/>
        <w:tblInd w:w="0" w:type="dxa"/>
        <w:tblLayout w:type="fixed"/>
        <w:tblCellMar>
          <w:top w:w="28" w:type="dxa"/>
          <w:left w:w="28" w:type="dxa"/>
          <w:bottom w:w="28" w:type="dxa"/>
          <w:right w:w="28" w:type="dxa"/>
        </w:tblCellMar>
      </w:tblPr>
      <w:tblGrid>
        <w:gridCol w:w="875"/>
        <w:gridCol w:w="768"/>
        <w:gridCol w:w="771"/>
        <w:gridCol w:w="109"/>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dividend rate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9.    Income Taxes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an income tax provision for the periods presented.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between the tax provision computed at the federal statutory income tax rate and the Company's actual effective income tax rate are as follows:</w:t>
      </w:r>
    </w:p>
    <w:tbl>
      <w:tblPr>
        <w:tblW w:w="5471" w:type="dxa"/>
        <w:jc w:val="left"/>
        <w:tblInd w:w="0" w:type="dxa"/>
        <w:tblLayout w:type="fixed"/>
        <w:tblCellMar>
          <w:top w:w="28" w:type="dxa"/>
          <w:left w:w="28" w:type="dxa"/>
          <w:bottom w:w="28" w:type="dxa"/>
          <w:right w:w="28" w:type="dxa"/>
        </w:tblCellMar>
      </w:tblPr>
      <w:tblGrid>
        <w:gridCol w:w="960"/>
        <w:gridCol w:w="845"/>
        <w:gridCol w:w="849"/>
        <w:gridCol w:w="216"/>
        <w:gridCol w:w="219"/>
        <w:gridCol w:w="271"/>
        <w:gridCol w:w="109"/>
        <w:gridCol w:w="109"/>
        <w:gridCol w:w="109"/>
        <w:gridCol w:w="216"/>
        <w:gridCol w:w="219"/>
        <w:gridCol w:w="271"/>
        <w:gridCol w:w="109"/>
        <w:gridCol w:w="109"/>
        <w:gridCol w:w="109"/>
        <w:gridCol w:w="216"/>
        <w:gridCol w:w="219"/>
        <w:gridCol w:w="316"/>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tax rate</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tax credit</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taxes are accounted for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components of net deferred tax assets are as follows (in thousands): </w:t>
      </w:r>
    </w:p>
    <w:tbl>
      <w:tblPr>
        <w:tblW w:w="4839" w:type="dxa"/>
        <w:jc w:val="left"/>
        <w:tblInd w:w="0" w:type="dxa"/>
        <w:tblLayout w:type="fixed"/>
        <w:tblCellMar>
          <w:top w:w="28" w:type="dxa"/>
          <w:left w:w="28" w:type="dxa"/>
          <w:bottom w:w="28" w:type="dxa"/>
          <w:right w:w="28" w:type="dxa"/>
        </w:tblCellMar>
      </w:tblPr>
      <w:tblGrid>
        <w:gridCol w:w="864"/>
        <w:gridCol w:w="759"/>
        <w:gridCol w:w="762"/>
        <w:gridCol w:w="211"/>
        <w:gridCol w:w="721"/>
        <w:gridCol w:w="109"/>
        <w:gridCol w:w="109"/>
        <w:gridCol w:w="109"/>
        <w:gridCol w:w="109"/>
        <w:gridCol w:w="211"/>
        <w:gridCol w:w="72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tax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The valuation allowance increased by $34.7 million during the year ended December 31, 2024, and increased by $27.4 million during the ended December 31, 2023. The valuation allowance increased by $16.0 million during the year ended December 31, 2022.</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has U.S. federal net operating loss (“NOL”) carryforwards of approximately $391.9 million and $326.3 million, respectively, expiring beginning 2028. As of December 31, 2024 and 2023, the Company has U.S. state and local NOL carryforwards of approximately $242.2 million and $194.0 million, respectively, expiring beginning 2028.</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has federal research and development credit carryforwards of approximately $10.6 million and $7.5 million, respectively, available to reduce future taxable income, if any. As of December 31, 2024 and 2023, the Company has California research and development credit carryforwards of approximately $8.3 million and $6.0 million, respectively, available to reduce future taxable income, if any.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research and development credit carryforwards expire beginning 2028 and California research and development credit carryforwards are indefinite.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section 382 places a limitation (the “Section 382 Limitation”) on the amount of taxable income that can be offset by net operating carryforwards after a change in control of a loss corporation. Generally, after a change in control, a loss corporation cannot deduct operating loss carryovers in excess of the Section 382 limitation. The Company has not performed an analysis to determine if a limitation applies and whether the limitation would cause the net operating losses to expire un-utilized.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federal, state, and foreign income tax returns. The tax periods 2008 through 2024 remain open in most jurisdictions. In addition, any tax losses that were generated in prior years and carried forward may also be subject to examination by respective authorities. The Company is not currently under examination by federal, state or foreign income tax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former President Biden signed the Inflation Reduction Act of 2022 ( the Inflation Act) into law. The Inflation Act contains certain tax measures, including a corporate alternative minimum tax of 15% on some large corporations and an excise tax of 1% on corporate stock buy-backs. The various provisions of the Inflation Act did not have an impact on the Company’s consolidated financial statements and related notes.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change in the unrecognized tax benefit during the year is as follows (in thousands): </w:t>
      </w:r>
    </w:p>
    <w:tbl>
      <w:tblPr>
        <w:tblW w:w="6672" w:type="dxa"/>
        <w:jc w:val="left"/>
        <w:tblInd w:w="0" w:type="dxa"/>
        <w:tblLayout w:type="fixed"/>
        <w:tblCellMar>
          <w:top w:w="28" w:type="dxa"/>
          <w:left w:w="28" w:type="dxa"/>
          <w:bottom w:w="28" w:type="dxa"/>
          <w:right w:w="28" w:type="dxa"/>
        </w:tblCellMar>
      </w:tblPr>
      <w:tblGrid>
        <w:gridCol w:w="1147"/>
        <w:gridCol w:w="1006"/>
        <w:gridCol w:w="1012"/>
        <w:gridCol w:w="211"/>
        <w:gridCol w:w="616"/>
        <w:gridCol w:w="109"/>
        <w:gridCol w:w="109"/>
        <w:gridCol w:w="109"/>
        <w:gridCol w:w="109"/>
        <w:gridCol w:w="211"/>
        <w:gridCol w:w="616"/>
        <w:gridCol w:w="109"/>
        <w:gridCol w:w="109"/>
        <w:gridCol w:w="109"/>
        <w:gridCol w:w="109"/>
        <w:gridCol w:w="211"/>
        <w:gridCol w:w="61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a total of $4.7 million of gross unrecognized tax benefits, none of which would affect the effective tax rate upon realization. The Company currently has a full valuation allowance against its U.S. net deferred tax assets which would impact the timing of the effective tax rate benefit should any of these uncertain tax positions be favorably settled in the future.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expect the unrecognized tax benefits to change significantly over the next 12 months. The Company will recognize interest and penalties accrued on any unrecognized tax benefits as a component of income tax expense. As of December 31, 2024, the Company has not accrued interest or penalties related to uncertain tax 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10.    Net Loss Per Share</w:t>
      </w:r>
    </w:p>
    <w:p>
      <w:pPr>
        <w:pStyle w:val="TextBody"/>
        <w:bidi w:val="0"/>
        <w:spacing w:lineRule="auto" w:line="288" w:before="18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was determined as follows (in thousands, except per share amounts): </w:t>
      </w:r>
    </w:p>
    <w:tbl>
      <w:tblPr>
        <w:tblW w:w="8660" w:type="dxa"/>
        <w:jc w:val="left"/>
        <w:tblInd w:w="0" w:type="dxa"/>
        <w:tblLayout w:type="fixed"/>
        <w:tblCellMar>
          <w:top w:w="28" w:type="dxa"/>
          <w:left w:w="28" w:type="dxa"/>
          <w:bottom w:w="28" w:type="dxa"/>
          <w:right w:w="28" w:type="dxa"/>
        </w:tblCellMar>
      </w:tblPr>
      <w:tblGrid>
        <w:gridCol w:w="1394"/>
        <w:gridCol w:w="1219"/>
        <w:gridCol w:w="1241"/>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securities outstanding have been excluded from the computations of weighted-average shares outstanding because such securities have an antidilutive impact due to losses reported (in common stock equivalent shares, in thousands): </w:t>
      </w:r>
    </w:p>
    <w:tbl>
      <w:tblPr>
        <w:tblW w:w="6939" w:type="dxa"/>
        <w:jc w:val="left"/>
        <w:tblInd w:w="0" w:type="dxa"/>
        <w:tblLayout w:type="fixed"/>
        <w:tblCellMar>
          <w:top w:w="28" w:type="dxa"/>
          <w:left w:w="28" w:type="dxa"/>
          <w:bottom w:w="28" w:type="dxa"/>
          <w:right w:w="28" w:type="dxa"/>
        </w:tblCellMar>
      </w:tblPr>
      <w:tblGrid>
        <w:gridCol w:w="1183"/>
        <w:gridCol w:w="1039"/>
        <w:gridCol w:w="1048"/>
        <w:gridCol w:w="109"/>
        <w:gridCol w:w="109"/>
        <w:gridCol w:w="109"/>
        <w:gridCol w:w="109"/>
        <w:gridCol w:w="308"/>
        <w:gridCol w:w="308"/>
        <w:gridCol w:w="156"/>
        <w:gridCol w:w="109"/>
        <w:gridCol w:w="109"/>
        <w:gridCol w:w="109"/>
        <w:gridCol w:w="308"/>
        <w:gridCol w:w="308"/>
        <w:gridCol w:w="156"/>
        <w:gridCol w:w="109"/>
        <w:gridCol w:w="109"/>
        <w:gridCol w:w="109"/>
        <w:gridCol w:w="308"/>
        <w:gridCol w:w="308"/>
        <w:gridCol w:w="156"/>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and 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Geographical Information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type and geography (in thousands):</w:t>
      </w:r>
    </w:p>
    <w:tbl>
      <w:tblPr>
        <w:tblW w:w="7655" w:type="dxa"/>
        <w:jc w:val="left"/>
        <w:tblInd w:w="0" w:type="dxa"/>
        <w:tblLayout w:type="fixed"/>
        <w:tblCellMar>
          <w:top w:w="28" w:type="dxa"/>
          <w:left w:w="28" w:type="dxa"/>
          <w:bottom w:w="28" w:type="dxa"/>
          <w:right w:w="28" w:type="dxa"/>
        </w:tblCellMar>
      </w:tblPr>
      <w:tblGrid>
        <w:gridCol w:w="1073"/>
        <w:gridCol w:w="938"/>
        <w:gridCol w:w="958"/>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 sales and rentals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Handpieces and other consumables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of U.S.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 sales and rentals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Handpieces and other consumables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outside of U.S.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12.    Commitments and Contingencies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2024, the Company does not have any material indemnification claims that were probable or reasonably possible and consequently has not recorded related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13.    Defined Contribution Plan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defined contribution retirement savings plan under Section 401(k) of the Internal Revenue Code. This plan allows eligible employees to defer a portion of their annual compensation on a pre-tax basis. Employer contributions were $2.4 million, $1.5 million, and $0 for the year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None</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Annual Report on Form 10-K.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CEO and our CFO, to allow timely decisions regarding required disclosures. Based on that evaluation, our Chief Executive Officer and our Chief Financial Officer have concluded that, as of December 31, 2024, our disclosure controls and procedures were effective at the reasonable assurance level.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Company's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with the participation of our CEO and our CFO, assessed the effectiveness of our internal control over financial reporting as of December 31, 2024.</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Management assessed our internal control over financial reporting as of December 31, 2024 using the criteria in </w:t>
      </w:r>
      <w:r>
        <w:rPr>
          <w:rFonts w:ascii="Times New Roman;sans-serif" w:hAnsi="Times New Roman;sans-serif"/>
          <w:b w:val="false"/>
          <w:i/>
          <w:color w:val="000000"/>
          <w:sz w:val="20"/>
        </w:rPr>
        <w:t xml:space="preserve">Internal Control - Integrated Framework </w:t>
      </w:r>
      <w:r>
        <w:rPr>
          <w:rFonts w:ascii="Times New Roman;sans-serif" w:hAnsi="Times New Roman;sans-serif"/>
          <w:b w:val="false"/>
          <w:color w:val="000000"/>
          <w:sz w:val="20"/>
        </w:rPr>
        <w:t>(2013) issued by the Committee of Sponsoring Organizations of the Treadway Commission. Based on this assessment, our management has concluded that, as of December 31, 2024, our internal control over financial reporting was effective, based on these criteria. PricewaterhouseCoopers LLP, an independent registered public accounting firm, audited the effectiveness of our internal control over financial reporting as of December 31, 2024, as stated within their report which is included herein.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Effectiveness of Disclosure Controls and Procedures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December 31, 2024, no director or officer of the Company informed us of the adoption or termination of a “Rule 10b5-1 trading arrangement” or a “non-Rule 10b5-1 trading arrangement” (as each term is defined in Item 408 of Regulation S-K), except as follows: On November 21, 2024, Antal Desai, a member of the Company’s Board of Directors, adopted a pre-arranged written stock sale plan in accordance with Rule 10b5-1 (the “Desai Rule 10b5-1 Plan”) under the Exchange Act, for the sale of shares of the Company’s common stock held by the 2:22 DNA Trust. The Desai Rule 10b5-1 Plan was entered into during an open trading window in accordance with the Company’s policies regarding transactions in the Company’s securities and is intended to satisfy the affirmative defense of Rule 10b5-1(c)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60985"/>
                <wp:effectExtent l="0" t="0" r="0" b="0"/>
                <wp:wrapNone/>
                <wp:docPr id="118" name="Frame11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Exchange Act. The Desai Rule 10b5-1 Plan provides for the potential sale of up to 150,000 shares of the Company’s common stock during various specified trading periods through June 13,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60985"/>
                <wp:effectExtent l="0" t="0" r="0" b="0"/>
                <wp:wrapNone/>
                <wp:docPr id="119" name="Frame11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concerning our directors and executive officers is incorporated by reference to the sections of our Proxy Statement under the headings “Proposal 1 — Election of Directors,” “Board Committees and Meetings,” “Stockholder Communications with the Board of Directors,” “Management” and if applicable, “Delinquent Section 16(a) Reports.”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written Code of Ethics applies to all of our directors and employees, including our executive officers, including without limitation our principal executive officer, principal financial officer, principal accounting officer or controller or persons performing similar functions. The Code of Ethics is available on our website at procept-biorobotics.com in the Investors section under “Corporate Governance.” Changes to or waivers of the Code of Ethics will be disclosed on the same website. We intend to satisfy the disclosure requirement under Item 5.05 of Form 8-K regarding any amendment to, or waiver of, any provision of the Code of Ethics by disclosing such information on the same website.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sections of the Proxy Statement under the headings “Executive Compensation,” “Compensation Committee Interlocks and Insider Participation” and “Compensation of Non-Employee Board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 and Management and Related Stockholder Matters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sections of the Proxy Statement under the headings “Security Ownership of Certain Beneficial Owners and Management” and “Securities Authorized for Issuance under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Party Transactions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sections of the Proxy Statement under the headings “Proposal 1 — Election of Directors” and “Certain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 of the Proxy Statement under the heading “Principal Accountant Fees and Services.”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 the exception of the information specifically incorporated by reference in Part III to this Annual Report from our Proxy Statement, our Proxy Statement shall not be deemed to be filed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60985"/>
                <wp:effectExtent l="0" t="0" r="0" b="0"/>
                <wp:wrapNone/>
                <wp:docPr id="120" name="Frame11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180" w:after="283"/>
        <w:jc w:val="left"/>
        <w:rPr/>
      </w:pPr>
      <w:r>
        <w:rPr/>
      </w:r>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807"/>
        <w:gridCol w:w="2650"/>
        <w:gridCol w:w="367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FF"/>
                  <w:sz w:val="20"/>
                  <w:u w:val="single"/>
                </w:rPr>
                <w:t>Amended and Restated Certificate of Incorporation</w:t>
              </w:r>
            </w:hyperlink>
            <w:r>
              <w:rPr>
                <w:color w:val="000000"/>
              </w:rPr>
              <w:t xml:space="preserve"> </w:t>
            </w:r>
            <w:r>
              <w:rPr>
                <w:rFonts w:ascii="Times New Roman;sans-serif" w:hAnsi="Times New Roman;sans-serif"/>
                <w:b w:val="false"/>
                <w:color w:val="000000"/>
                <w:sz w:val="20"/>
              </w:rPr>
              <w:t>(incorporated by reference to Exhibit 3.1 to the registrant’s Current Report on Form 8-K</w:t>
            </w:r>
            <w:r>
              <w:rPr>
                <w:color w:val="000000"/>
              </w:rPr>
              <w:t xml:space="preserve"> </w:t>
            </w:r>
            <w:r>
              <w:rPr>
                <w:rFonts w:ascii="Times New Roman;sans-serif" w:hAnsi="Times New Roman;sans-serif"/>
                <w:b w:val="false"/>
                <w:color w:val="000000"/>
                <w:sz w:val="20"/>
              </w:rPr>
              <w:t>(File No. 001-40797) filed on September 21, 2021)</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ans-serif" w:hAnsi="Times New Roman;sans-serif"/>
                  <w:b w:val="false"/>
                  <w:color w:val="0000FF"/>
                  <w:sz w:val="20"/>
                  <w:u w:val="single"/>
                </w:rPr>
                <w:t>Amended and Restated Bylaws</w:t>
              </w:r>
            </w:hyperlink>
            <w:r>
              <w:rPr>
                <w:color w:val="000000"/>
              </w:rPr>
              <w:t xml:space="preserve"> </w:t>
            </w:r>
            <w:r>
              <w:rPr>
                <w:rFonts w:ascii="Times New Roman;sans-serif" w:hAnsi="Times New Roman;sans-serif"/>
                <w:b w:val="false"/>
                <w:color w:val="000000"/>
                <w:sz w:val="20"/>
              </w:rPr>
              <w:t>(incorporated by reference to Exhibit 3.2 to the registrant’s Current Report on Form 8-K</w:t>
            </w:r>
            <w:r>
              <w:rPr>
                <w:color w:val="000000"/>
              </w:rPr>
              <w:t xml:space="preserve"> </w:t>
            </w:r>
            <w:r>
              <w:rPr>
                <w:rFonts w:ascii="Times New Roman;sans-serif" w:hAnsi="Times New Roman;sans-serif"/>
                <w:b w:val="false"/>
                <w:color w:val="000000"/>
                <w:sz w:val="20"/>
              </w:rPr>
              <w:t>(File No. 001-40797) filed on September 21, 2021)</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Description of PROCEPT BioRobotics Corporation’s Securities Registered Pursuant to Section 12 of the Securities Exchange Act of 1934</w:t>
              </w:r>
            </w:hyperlink>
            <w:r>
              <w:rPr>
                <w:color w:val="000000"/>
              </w:rPr>
              <w:t xml:space="preserve"> </w:t>
            </w:r>
            <w:r>
              <w:rPr>
                <w:rFonts w:ascii="Times New Roman;sans-serif" w:hAnsi="Times New Roman;sans-serif"/>
                <w:b w:val="false"/>
                <w:color w:val="000000"/>
                <w:sz w:val="20"/>
              </w:rPr>
              <w:t>(incorporated by reference to Exhibit 4.1 to the registrant’s annual report on Form 10-K for the year ended December 31, 2021 (File No. 001-40797))</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Offer Letter, by and between the Registrant and Reza Zadno, Ph.D., dated as of January 31, 2020</w:t>
              </w:r>
            </w:hyperlink>
            <w:r>
              <w:rPr>
                <w:color w:val="000000"/>
              </w:rPr>
              <w:t xml:space="preserve"> </w:t>
            </w:r>
            <w:r>
              <w:rPr>
                <w:rFonts w:ascii="Times New Roman;sans-serif" w:hAnsi="Times New Roman;sans-serif"/>
                <w:b w:val="false"/>
                <w:color w:val="000000"/>
                <w:sz w:val="20"/>
              </w:rPr>
              <w:t>(incorporated by reference to Exhibit 10.1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Offer Letter, by and between the Registrant and Kevin Waters, dated as of August 7, 2018</w:t>
              </w:r>
            </w:hyperlink>
            <w:r>
              <w:rPr>
                <w:color w:val="000000"/>
              </w:rPr>
              <w:t xml:space="preserve"> </w:t>
            </w:r>
            <w:r>
              <w:rPr>
                <w:rFonts w:ascii="Times New Roman;sans-serif" w:hAnsi="Times New Roman;sans-serif"/>
                <w:b w:val="false"/>
                <w:color w:val="000000"/>
                <w:sz w:val="20"/>
              </w:rPr>
              <w:t>(incorporated by reference to Exhibit 10.2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Offer Letter, by and between the Registrant and Hisham Shiblaq, dated as of March 21, 2019</w:t>
              </w:r>
            </w:hyperlink>
            <w:r>
              <w:rPr>
                <w:color w:val="000000"/>
              </w:rPr>
              <w:t xml:space="preserve"> </w:t>
            </w:r>
            <w:r>
              <w:rPr>
                <w:rFonts w:ascii="Times New Roman;sans-serif" w:hAnsi="Times New Roman;sans-serif"/>
                <w:b w:val="false"/>
                <w:color w:val="000000"/>
                <w:sz w:val="20"/>
              </w:rPr>
              <w:t>(incorporated by reference to Exhibit 10.3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20"/>
                  <w:u w:val="single"/>
                </w:rPr>
                <w:t>Offer Letter, by and between the Registrant and Alaleh Nouri, dated as of May 15, 2018</w:t>
              </w:r>
            </w:hyperlink>
            <w:r>
              <w:rPr>
                <w:color w:val="000000"/>
              </w:rPr>
              <w:t xml:space="preserve"> </w:t>
            </w:r>
            <w:r>
              <w:rPr>
                <w:rFonts w:ascii="Times New Roman;sans-serif" w:hAnsi="Times New Roman;sans-serif"/>
                <w:b w:val="false"/>
                <w:color w:val="000000"/>
                <w:sz w:val="20"/>
              </w:rPr>
              <w:t>(incorporated by reference to Exhibit 10.18 to the registrant’s quarterly report on Form 10-Q for the period ended March 31, 2023 (File No. 001-40797))</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Amended and Restated 2008 Stock Plan</w:t>
              </w:r>
            </w:hyperlink>
            <w:r>
              <w:rPr>
                <w:color w:val="000000"/>
              </w:rPr>
              <w:t xml:space="preserve"> </w:t>
            </w:r>
            <w:r>
              <w:rPr>
                <w:rFonts w:ascii="Times New Roman;sans-serif" w:hAnsi="Times New Roman;sans-serif"/>
                <w:b w:val="false"/>
                <w:color w:val="000000"/>
                <w:sz w:val="20"/>
              </w:rPr>
              <w:t>(incorporated by reference to Exhibit 10.4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Form of Stock Option Agreement under the Amended and Restated 2008 Stock Plan</w:t>
              </w:r>
            </w:hyperlink>
            <w:r>
              <w:rPr>
                <w:color w:val="000000"/>
              </w:rPr>
              <w:t xml:space="preserve"> </w:t>
            </w:r>
            <w:r>
              <w:rPr>
                <w:rFonts w:ascii="Times New Roman;sans-serif" w:hAnsi="Times New Roman;sans-serif"/>
                <w:b w:val="false"/>
                <w:color w:val="000000"/>
                <w:sz w:val="20"/>
              </w:rPr>
              <w:t>(incorporated by reference to Exhibit 10.4(a)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 of Indemnification and Advancement Agreement</w:t>
              </w:r>
            </w:hyperlink>
            <w:r>
              <w:rPr>
                <w:color w:val="000000"/>
              </w:rPr>
              <w:t xml:space="preserve"> </w:t>
            </w:r>
            <w:r>
              <w:rPr>
                <w:rFonts w:ascii="Times New Roman;sans-serif" w:hAnsi="Times New Roman;sans-serif"/>
                <w:b w:val="false"/>
                <w:color w:val="000000"/>
                <w:sz w:val="20"/>
              </w:rPr>
              <w:t>(incorporated by reference to Exhibit 10.5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 xml:space="preserve">Amended and Restated Exclusive License Agreement, by and between the Registrant and AquaBeam LLC, dated as of September 13, 2019 </w:t>
              </w:r>
            </w:hyperlink>
            <w:r>
              <w:rPr>
                <w:rFonts w:ascii="Times New Roman;sans-serif" w:hAnsi="Times New Roman;sans-serif"/>
                <w:b w:val="false"/>
                <w:color w:val="000000"/>
                <w:sz w:val="20"/>
              </w:rPr>
              <w:t>(incorporated by reference to Exhibit 10.6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used.</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ans-serif" w:hAnsi="Times New Roman;sans-serif"/>
                  <w:b w:val="false"/>
                  <w:color w:val="0000FF"/>
                  <w:sz w:val="20"/>
                  <w:u w:val="single"/>
                </w:rPr>
                <w:t>Lease, by and between the Registrant and 150-180 Baytech Drive CA Owner, LLC, dated December 31, 2021</w:t>
              </w:r>
            </w:hyperlink>
            <w:r>
              <w:rPr>
                <w:color w:val="000000"/>
              </w:rPr>
              <w:t xml:space="preserve"> </w:t>
            </w:r>
            <w:r>
              <w:rPr>
                <w:rFonts w:ascii="Times New Roman;sans-serif" w:hAnsi="Times New Roman;sans-serif"/>
                <w:b w:val="false"/>
                <w:color w:val="000000"/>
                <w:sz w:val="20"/>
              </w:rPr>
              <w:t>(incorporated by reference to Exhibit 10.9 to the registrant’s annual report on Form 10-K for the year ended December 31, 2021 (File No. 001-40797))</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1non-empdircompe.htm">
              <w:r>
                <w:rPr>
                  <w:rStyle w:val="InternetLink"/>
                  <w:rFonts w:ascii="Times New Roman;sans-serif" w:hAnsi="Times New Roman;sans-serif"/>
                  <w:b w:val="false"/>
                  <w:color w:val="0000FF"/>
                  <w:sz w:val="20"/>
                  <w:u w:val="single"/>
                </w:rPr>
                <w:t>Non-Employee Director Compensation Program</w:t>
              </w:r>
            </w:hyperlink>
            <w:r>
              <w:rPr>
                <w:color w:val="000000"/>
              </w:rPr>
              <w:t xml:space="preserve"> </w:t>
            </w:r>
            <w:r>
              <w:rPr>
                <w:rFonts w:ascii="Times New Roman;sans-serif" w:hAnsi="Times New Roman;sans-serif"/>
                <w:b w:val="false"/>
                <w:color w:val="000000"/>
                <w:sz w:val="20"/>
              </w:rPr>
              <w:t>(incorporated by reference to Exhibit 10.1 to the registrant’s quarterly report on Form 10-Q for the period ended March 31, 2024 (File No. 001-40797))</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ans-serif" w:hAnsi="Times New Roman;sans-serif"/>
                  <w:b w:val="false"/>
                  <w:color w:val="0000FF"/>
                  <w:sz w:val="20"/>
                  <w:u w:val="single"/>
                </w:rPr>
                <w:t>2021 Equity Incentive Award Plan</w:t>
              </w:r>
            </w:hyperlink>
            <w:r>
              <w:rPr>
                <w:color w:val="000000"/>
              </w:rPr>
              <w:t xml:space="preserve"> </w:t>
            </w:r>
            <w:r>
              <w:rPr>
                <w:rFonts w:ascii="Times New Roman;sans-serif" w:hAnsi="Times New Roman;sans-serif"/>
                <w:b w:val="false"/>
                <w:color w:val="000000"/>
                <w:sz w:val="20"/>
              </w:rPr>
              <w:t>(incorporated by reference to Exhibit 10.11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20"/>
                  <w:u w:val="single"/>
                </w:rPr>
                <w:t>Form of Stock Option Agreement under the 2021 Equity Incentive Award Plan</w:t>
              </w:r>
            </w:hyperlink>
            <w:r>
              <w:rPr>
                <w:color w:val="000000"/>
              </w:rPr>
              <w:t xml:space="preserve"> </w:t>
            </w:r>
            <w:r>
              <w:rPr>
                <w:rFonts w:ascii="Times New Roman;sans-serif" w:hAnsi="Times New Roman;sans-serif"/>
                <w:b w:val="false"/>
                <w:color w:val="000000"/>
                <w:sz w:val="20"/>
              </w:rPr>
              <w:t>(incorporated by reference to Exhibit 10.11(a)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Times New Roman;sans-serif" w:hAnsi="Times New Roman;sans-serif"/>
                  <w:b w:val="false"/>
                  <w:color w:val="0000FF"/>
                  <w:sz w:val="20"/>
                  <w:u w:val="single"/>
                </w:rPr>
                <w:t>Form of Restricted Stock Unit Agreement under the 2021 Equity Incentive Award Plan</w:t>
              </w:r>
            </w:hyperlink>
            <w:r>
              <w:rPr>
                <w:color w:val="000000"/>
              </w:rPr>
              <w:t xml:space="preserve"> </w:t>
            </w:r>
            <w:r>
              <w:rPr>
                <w:rFonts w:ascii="Times New Roman;sans-serif" w:hAnsi="Times New Roman;sans-serif"/>
                <w:b w:val="false"/>
                <w:color w:val="000000"/>
                <w:sz w:val="20"/>
              </w:rPr>
              <w:t>(incorporated by reference to Exhibit 10.11(b) to the registrant’s registration statement on Form S-1 (File No. 333-258898))</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1"/>
        <w:gridCol w:w="228"/>
        <w:gridCol w:w="230"/>
        <w:gridCol w:w="109"/>
        <w:gridCol w:w="109"/>
        <w:gridCol w:w="109"/>
        <w:gridCol w:w="3131"/>
        <w:gridCol w:w="2496"/>
        <w:gridCol w:w="3532"/>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ans-serif" w:hAnsi="Times New Roman;sans-serif"/>
                  <w:b w:val="false"/>
                  <w:color w:val="0000FF"/>
                  <w:sz w:val="20"/>
                  <w:u w:val="single"/>
                </w:rPr>
                <w:t>Form of Performance Stock Unit Agreement under the 2021 Equity Incentive Plan</w:t>
              </w:r>
            </w:hyperlink>
            <w:r>
              <w:rPr>
                <w:color w:val="000000"/>
              </w:rPr>
              <w:t xml:space="preserve"> </w:t>
            </w:r>
            <w:r>
              <w:rPr>
                <w:rFonts w:ascii="Times New Roman;sans-serif" w:hAnsi="Times New Roman;sans-serif"/>
                <w:b w:val="false"/>
                <w:color w:val="000000"/>
                <w:sz w:val="20"/>
              </w:rPr>
              <w:t>(incorporated by reference to Exhibit 10.2 to the registrant’s quarterly report on Form 10-Q for the period ending March 31, 2024 (File No. 001-40797))</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Times New Roman;sans-serif" w:hAnsi="Times New Roman;sans-serif"/>
                  <w:b w:val="false"/>
                  <w:color w:val="0000FF"/>
                  <w:sz w:val="20"/>
                  <w:u w:val="single"/>
                </w:rPr>
                <w:t>Amended and Restated 2021 Employee Stock Purchase Plan</w:t>
              </w:r>
            </w:hyperlink>
            <w:r>
              <w:rPr>
                <w:color w:val="000000"/>
              </w:rPr>
              <w:t xml:space="preserve"> </w:t>
            </w:r>
            <w:r>
              <w:rPr>
                <w:rFonts w:ascii="Times New Roman;sans-serif" w:hAnsi="Times New Roman;sans-serif"/>
                <w:b w:val="false"/>
                <w:color w:val="000000"/>
                <w:sz w:val="20"/>
              </w:rPr>
              <w:t>(incorporated by reference to Exhibit 10.1 to the registrant’s quarterly report on Form 10-Q for the period ending September 30, 2023 (File No. 001-40797))</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FF"/>
                  <w:sz w:val="20"/>
                  <w:u w:val="single"/>
                </w:rPr>
                <w:t>Amended and Restated Change of Control Severance Agreement, by and between the Registrant and Reza Zadno, Ph.D., dated September 17, 2021</w:t>
              </w:r>
            </w:hyperlink>
            <w:r>
              <w:rPr>
                <w:color w:val="000000"/>
              </w:rPr>
              <w:t xml:space="preserve"> </w:t>
            </w:r>
            <w:r>
              <w:rPr>
                <w:rFonts w:ascii="Times New Roman;sans-serif" w:hAnsi="Times New Roman;sans-serif"/>
                <w:b w:val="false"/>
                <w:color w:val="000000"/>
                <w:sz w:val="20"/>
              </w:rPr>
              <w:t>(incorporated by reference to Exhibit 10.13 to the registrant’s registration statement on Form S-1 (File No. 333-258898))</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Amended and Restated Change of Control Severance Agreement, by and between the Registrant and Kevin Waters, dated September 17, 2021</w:t>
              </w:r>
            </w:hyperlink>
            <w:r>
              <w:rPr>
                <w:color w:val="000000"/>
              </w:rPr>
              <w:t xml:space="preserve"> </w:t>
            </w:r>
            <w:r>
              <w:rPr>
                <w:rFonts w:ascii="Times New Roman;sans-serif" w:hAnsi="Times New Roman;sans-serif"/>
                <w:b w:val="false"/>
                <w:color w:val="000000"/>
                <w:sz w:val="20"/>
              </w:rPr>
              <w:t>(incorporated by reference to Exhibit 10.14 to the registrant’s registration statement on Form S-1 (File No. 333-258898))</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20"/>
                  <w:u w:val="single"/>
                </w:rPr>
                <w:t>Amended and Restated Change of Control Severance Agreement, by and between the Registrant and Hisham Shiblaq, dated September 17, 2021</w:t>
              </w:r>
            </w:hyperlink>
            <w:r>
              <w:rPr>
                <w:color w:val="000000"/>
              </w:rPr>
              <w:t xml:space="preserve"> </w:t>
            </w:r>
            <w:r>
              <w:rPr>
                <w:rFonts w:ascii="Times New Roman;sans-serif" w:hAnsi="Times New Roman;sans-serif"/>
                <w:b w:val="false"/>
                <w:color w:val="000000"/>
                <w:sz w:val="20"/>
              </w:rPr>
              <w:t>(incorporated by reference to Exhibit 10.15 to the registrant’s registration statement on Form S-1 (File No. 333-258898))</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Amended and Restated Change of Control Severance Agreement, by and between the Registrant and Alaleh Nouri, dated September 17, 2021</w:t>
              </w:r>
            </w:hyperlink>
            <w:r>
              <w:rPr>
                <w:color w:val="000000"/>
              </w:rPr>
              <w:t xml:space="preserve"> </w:t>
            </w:r>
            <w:r>
              <w:rPr>
                <w:rFonts w:ascii="Times New Roman;sans-serif" w:hAnsi="Times New Roman;sans-serif"/>
                <w:b w:val="false"/>
                <w:color w:val="000000"/>
                <w:sz w:val="20"/>
              </w:rPr>
              <w:t>(incorporated by reference to Exhibit 10.19 to the registrant’s quarterly report of Form 10-Q for the period ended March 31, 2023 (File No. 001-40797))</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20"/>
                  <w:u w:val="single"/>
                </w:rPr>
                <w:t xml:space="preserve">Loan and Security Agreement, by and among Canadian Imperial Bank of Commerce, the Registration, and each Borrower and Guarantor from time to time, dated as of October 6, 2022 </w:t>
              </w:r>
            </w:hyperlink>
            <w:r>
              <w:rPr>
                <w:rFonts w:ascii="Times New Roman;sans-serif" w:hAnsi="Times New Roman;sans-serif"/>
                <w:b w:val="false"/>
                <w:color w:val="000000"/>
                <w:sz w:val="20"/>
              </w:rPr>
              <w:t>(incorporated by reference to Exhibit 10.1 to the registrant’s current report on Form 8-K filed on October 10, 2022 (File No. 001-40797))</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First Amendment to Loan and Security Agreement, by and between Canadian Imperial Bank of Commerce and the Registrant, dated June 1, 2023</w:t>
              </w:r>
            </w:hyperlink>
            <w:r>
              <w:rPr>
                <w:color w:val="000000"/>
              </w:rPr>
              <w:t xml:space="preserve"> </w:t>
            </w:r>
            <w:r>
              <w:rPr>
                <w:rFonts w:ascii="Times New Roman;sans-serif" w:hAnsi="Times New Roman;sans-serif"/>
                <w:b w:val="false"/>
                <w:color w:val="000000"/>
                <w:sz w:val="20"/>
              </w:rPr>
              <w:t>(incorporated by reference to Exhibit 10.1 to the registrant’s current report on Form 8-K filed on June 2, 2023 (File No. 001-40797))</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20"/>
                  <w:u w:val="single"/>
                </w:rPr>
                <w:t>Confidential Exclusive Patent License and Covenant Not to Sue, by and between the Registrant and HydroCision, Inc., dated March 14, 2019</w:t>
              </w:r>
            </w:hyperlink>
            <w:r>
              <w:rPr>
                <w:color w:val="000000"/>
              </w:rPr>
              <w:t xml:space="preserve"> </w:t>
            </w:r>
            <w:r>
              <w:rPr>
                <w:rFonts w:ascii="Times New Roman;sans-serif" w:hAnsi="Times New Roman;sans-serif"/>
                <w:b w:val="false"/>
                <w:color w:val="000000"/>
                <w:sz w:val="20"/>
              </w:rPr>
              <w:t>(incorporated by reference to Exhibit 10.7(d) to the registrant’s annual report on Form 10-K for the year ended December 31, 2022 (File No. 001-40797))</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listofsubsidiar.htm">
              <w:r>
                <w:rPr>
                  <w:rStyle w:val="InternetLink"/>
                  <w:rFonts w:ascii="Times New Roman;sans-serif" w:hAnsi="Times New Roman;sans-serif"/>
                  <w:b w:val="false"/>
                  <w:color w:val="0000FF"/>
                  <w:sz w:val="20"/>
                  <w:u w:val="single"/>
                </w:rPr>
                <w:t>List of subsidiaries of the Registrant</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wc_prctconsentfy2410-k.htm">
              <w:r>
                <w:rPr>
                  <w:rStyle w:val="InternetLink"/>
                  <w:rFonts w:ascii="Times New Roman;sans-serif" w:hAnsi="Times New Roman;sans-serif"/>
                  <w:b w:val="false"/>
                  <w:color w:val="0000FF"/>
                  <w:sz w:val="20"/>
                  <w:u w:val="single"/>
                </w:rPr>
                <w:t>Consent of PricewaterhouseCoopers LLP, independent registered public accounting firm.</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signature page).</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ct-ex311soxcertification.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ct-ex312soxcertification.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ct-ex321soxcertification.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22soxcertification.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Compensation Recovery Policy</w:t>
              </w:r>
            </w:hyperlink>
            <w:r>
              <w:rPr>
                <w:color w:val="000000"/>
              </w:rPr>
              <w:t xml:space="preserve"> </w:t>
            </w:r>
            <w:r>
              <w:rPr>
                <w:rFonts w:ascii="Times New Roman;sans-serif" w:hAnsi="Times New Roman;sans-serif"/>
                <w:b w:val="false"/>
                <w:color w:val="000000"/>
                <w:sz w:val="20"/>
              </w:rPr>
              <w:t>(incorporated by reference to Exhibit 97.1 to the registrant’s annual report on Form 10-K for the year ended December 31, 2023 (File No. 001-40797))</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tbl>
      <w:tblPr>
        <w:tblW w:w="7795" w:type="dxa"/>
        <w:jc w:val="left"/>
        <w:tblInd w:w="0" w:type="dxa"/>
        <w:tblLayout w:type="fixed"/>
        <w:tblCellMar>
          <w:top w:w="28" w:type="dxa"/>
          <w:left w:w="28" w:type="dxa"/>
          <w:bottom w:w="28" w:type="dxa"/>
          <w:right w:w="28" w:type="dxa"/>
        </w:tblCellMar>
      </w:tblPr>
      <w:tblGrid>
        <w:gridCol w:w="315"/>
        <w:gridCol w:w="276"/>
        <w:gridCol w:w="278"/>
        <w:gridCol w:w="109"/>
        <w:gridCol w:w="109"/>
        <w:gridCol w:w="109"/>
        <w:gridCol w:w="1930"/>
        <w:gridCol w:w="1930"/>
        <w:gridCol w:w="2739"/>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*Filed herewith.</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Furnished herewith.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Certain portions of this Exhibit (indicated by “[***]”) have been omitted pursuant to Regulation S-K, Item (601)(b)(10)</w:t>
      </w:r>
    </w:p>
    <w:p>
      <w:pPr>
        <w:pStyle w:val="TextBody"/>
        <w:bidi w:val="0"/>
        <w:spacing w:before="0" w:after="0"/>
        <w:ind w:left="0" w:right="0" w:hanging="360"/>
        <w:jc w:val="left"/>
        <w:rPr/>
      </w:pPr>
      <w:r>
        <w:rPr/>
      </w:r>
    </w:p>
    <w:p>
      <w:pPr>
        <w:pStyle w:val="TextBody"/>
        <w:bidi w:val="0"/>
        <w:spacing w:before="180" w:after="283"/>
        <w:ind w:left="0" w:right="0" w:firstLine="360"/>
        <w:jc w:val="left"/>
        <w:rPr/>
      </w:pPr>
      <w:r>
        <w:rPr/>
      </w:r>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(b)Financial Statement Schedules.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Schedules not listed above have been omitted because the information required to be set forth therein is not applicable or is shown in the financial statements or the notes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None</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60985"/>
                <wp:effectExtent l="0" t="0" r="0" b="0"/>
                <wp:wrapNone/>
                <wp:docPr id="123" name="Frame12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180" w:after="283"/>
        <w:jc w:val="left"/>
        <w:rPr/>
      </w:pPr>
      <w:hyperlink w:anchor="i8875a55826e64dbab54bf460461a3a6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6758" w:type="dxa"/>
        <w:jc w:val="right"/>
        <w:tblInd w:w="0" w:type="dxa"/>
        <w:tblLayout w:type="fixed"/>
        <w:tblCellMar>
          <w:top w:w="28" w:type="dxa"/>
          <w:left w:w="28" w:type="dxa"/>
          <w:bottom w:w="28" w:type="dxa"/>
          <w:right w:w="28" w:type="dxa"/>
        </w:tblCellMar>
      </w:tblPr>
      <w:tblGrid>
        <w:gridCol w:w="200"/>
        <w:gridCol w:w="177"/>
        <w:gridCol w:w="178"/>
        <w:gridCol w:w="529"/>
        <w:gridCol w:w="529"/>
        <w:gridCol w:w="531"/>
        <w:gridCol w:w="424"/>
        <w:gridCol w:w="424"/>
        <w:gridCol w:w="424"/>
        <w:gridCol w:w="424"/>
        <w:gridCol w:w="424"/>
        <w:gridCol w:w="424"/>
        <w:gridCol w:w="601"/>
        <w:gridCol w:w="601"/>
        <w:gridCol w:w="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PROCEPT BIOROBOTICS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Reza Zadno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Reza Zadno,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SIGNATURES AND POWER OF ATTORNEY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Reza Zadno and Kevin Waters,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168"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299"/>
        <w:gridCol w:w="1299"/>
        <w:gridCol w:w="1316"/>
        <w:gridCol w:w="109"/>
        <w:gridCol w:w="109"/>
        <w:gridCol w:w="109"/>
        <w:gridCol w:w="477"/>
        <w:gridCol w:w="477"/>
        <w:gridCol w:w="68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Reza Zadno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Reza Zadno,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Waters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EVP,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Waters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Thomas M. Prescott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and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Thomas M. Prescott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Antal Desai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Antal Desai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Amy Dodrill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Amy Dodrill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Mary Garrett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 Garrett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Taylor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Taylor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Elisabeth Little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Elisabeth Little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Frederic Moll,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Frederic Moll,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Larry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Larry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60985"/>
                <wp:effectExtent l="0" t="0" r="0" b="0"/>
                <wp:wrapNone/>
                <wp:docPr id="124" name="Frame12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18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220"/>
        <w:jc w:val="center"/>
        <w:rPr>
          <w:rFonts w:ascii="Times New Roman;sans-serif" w:hAnsi="Times New Roman;sans-serif"/>
          <w:b/>
          <w:color w:val="000000"/>
          <w:sz w:val="22"/>
        </w:rPr>
      </w:pPr>
      <w:r>
        <w:rPr>
          <w:rFonts w:ascii="Times New Roman;sans-serif" w:hAnsi="Times New Roman;sans-serif"/>
          <w:b/>
          <w:color w:val="000000"/>
          <w:sz w:val="22"/>
        </w:rPr>
        <w:t>PROCEPT BIOROBOTICS CORPORATION</w:t>
      </w:r>
    </w:p>
    <w:p>
      <w:pPr>
        <w:pStyle w:val="TextBody"/>
        <w:bidi w:val="0"/>
        <w:spacing w:lineRule="auto" w:line="288" w:before="0" w:after="220"/>
        <w:jc w:val="center"/>
        <w:rPr>
          <w:rFonts w:ascii="Times New Roman;sans-serif" w:hAnsi="Times New Roman;sans-serif"/>
          <w:b/>
          <w:color w:val="000000"/>
          <w:sz w:val="22"/>
        </w:rPr>
      </w:pPr>
      <w:r>
        <w:rPr>
          <w:rFonts w:ascii="Times New Roman;sans-serif" w:hAnsi="Times New Roman;sans-serif"/>
          <w:b/>
          <w:color w:val="000000"/>
          <w:sz w:val="22"/>
        </w:rPr>
        <w:t>NON-EMPLOYEE DIRECTOR COMPENSATION PROGRAM</w:t>
      </w:r>
    </w:p>
    <w:p>
      <w:pPr>
        <w:pStyle w:val="TextBody"/>
        <w:bidi w:val="0"/>
        <w:spacing w:lineRule="auto" w:line="288" w:before="0" w:after="220"/>
        <w:jc w:val="center"/>
        <w:rPr>
          <w:rFonts w:ascii="Times New Roman;sans-serif" w:hAnsi="Times New Roman;sans-serif"/>
          <w:b/>
          <w:color w:val="000000"/>
          <w:sz w:val="24"/>
        </w:rPr>
      </w:pPr>
      <w:r>
        <w:rPr>
          <w:rFonts w:ascii="Times New Roman;sans-serif" w:hAnsi="Times New Roman;sans-serif"/>
          <w:b/>
          <w:color w:val="000000"/>
          <w:sz w:val="24"/>
        </w:rPr>
        <w:t>(as amended and restated effective as of June 15, 2023)</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Eligible Directors (as defined below) on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PROCEPT BioRobotics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shall be eligible to receive cash and equity compensation as set forth in this Non-Employee Director Compensation Program (this “</w:t>
      </w:r>
      <w:r>
        <w:rPr>
          <w:rFonts w:ascii="Times New Roman;sans-serif" w:hAnsi="Times New Roman;sans-serif"/>
          <w:b/>
          <w:i/>
          <w:color w:val="000000"/>
          <w:sz w:val="22"/>
        </w:rPr>
        <w:t>Program</w:t>
      </w:r>
      <w:r>
        <w:rPr>
          <w:color w:val="000000"/>
        </w:rPr>
        <w:t>”</w:t>
      </w:r>
      <w:r>
        <w:rPr>
          <w:rFonts w:ascii="Times New Roman;sans-serif" w:hAnsi="Times New Roman;sans-serif"/>
          <w:b w:val="false"/>
          <w:color w:val="000000"/>
          <w:sz w:val="22"/>
        </w:rPr>
        <w:t>). The cash and equity compensation described in this Program shall be paid or be made, as applicable, automatically as set forth herein and without further action of the Board, to each member of the Board who is not an employee of the Company or any of its parents or subsidiaries other than a person who is determined by the Board to not be eligible to receive compensation under this Program (each, an “</w:t>
      </w:r>
      <w:r>
        <w:rPr>
          <w:rFonts w:ascii="Times New Roman;sans-serif" w:hAnsi="Times New Roman;sans-serif"/>
          <w:b/>
          <w:i/>
          <w:color w:val="000000"/>
          <w:sz w:val="22"/>
        </w:rPr>
        <w:t>Eligible Director</w:t>
      </w:r>
      <w:r>
        <w:rPr>
          <w:color w:val="000000"/>
        </w:rPr>
        <w:t>”</w:t>
      </w:r>
      <w:r>
        <w:rPr>
          <w:rFonts w:ascii="Times New Roman;sans-serif" w:hAnsi="Times New Roman;sans-serif"/>
          <w:b w:val="false"/>
          <w:color w:val="000000"/>
          <w:sz w:val="22"/>
        </w:rPr>
        <w:t>), who may be eligible to receive such cash or equity compensation, unless such Eligible Director declines the receipt of such cash or equity compensation by written notice to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Program, as amended and restated, is effective as of June 15,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xml:space="preserve">)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Cash Compensation</w:t>
      </w:r>
      <w:r>
        <w:rPr>
          <w:rFonts w:ascii="Times New Roman;sans-serif" w:hAnsi="Times New Roman;sans-serif"/>
          <w:b w:val="false"/>
          <w:color w:val="000000"/>
          <w:sz w:val="22"/>
        </w:rPr>
        <w:t>.</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Annual Retainers</w:t>
      </w:r>
      <w:r>
        <w:rPr>
          <w:rFonts w:ascii="Times New Roman;sans-serif" w:hAnsi="Times New Roman;sans-serif"/>
          <w:b w:val="false"/>
          <w:color w:val="000000"/>
          <w:sz w:val="22"/>
        </w:rPr>
        <w:t xml:space="preserve">. Each Eligible Director shall be eligible to receive an annual cash retainer of $45,000 for service on the Board. </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Additional Annual Retainers</w:t>
      </w:r>
      <w:r>
        <w:rPr>
          <w:rFonts w:ascii="Times New Roman;sans-serif" w:hAnsi="Times New Roman;sans-serif"/>
          <w:b w:val="false"/>
          <w:color w:val="000000"/>
          <w:sz w:val="22"/>
        </w:rPr>
        <w:t>. An Eligible Director shall be eligible to receive the following additional annual retainers, as applicable:</w:t>
      </w:r>
    </w:p>
    <w:p>
      <w:pPr>
        <w:pStyle w:val="TextBody"/>
        <w:bidi w:val="0"/>
        <w:spacing w:lineRule="auto" w:line="288" w:before="0" w:after="240"/>
        <w:ind w:left="0" w:right="0" w:firstLine="180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Non-Employee Chairperson of the Board or Lead Independent Director</w:t>
      </w:r>
      <w:r>
        <w:rPr>
          <w:rFonts w:ascii="Times New Roman;sans-serif" w:hAnsi="Times New Roman;sans-serif"/>
          <w:b w:val="false"/>
          <w:color w:val="000000"/>
          <w:sz w:val="22"/>
        </w:rPr>
        <w:t xml:space="preserve">. An Eligible Director serving as Chairperson of the Board or Lead Independent Director shall be eligible to receive an additional annual retainer of $45,000 for such service. </w:t>
      </w:r>
    </w:p>
    <w:p>
      <w:pPr>
        <w:pStyle w:val="TextBody"/>
        <w:bidi w:val="0"/>
        <w:spacing w:lineRule="auto" w:line="288" w:before="0" w:after="240"/>
        <w:ind w:left="0" w:right="0" w:firstLine="180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Audit Committee</w:t>
      </w:r>
      <w:r>
        <w:rPr>
          <w:rFonts w:ascii="Times New Roman;sans-serif" w:hAnsi="Times New Roman;sans-serif"/>
          <w:b w:val="false"/>
          <w:color w:val="000000"/>
          <w:sz w:val="22"/>
        </w:rPr>
        <w:t>. An Eligible Director serving as Chairperson of the Audit Committee shall be eligible to receive an additional annual retainer of $20,000 for such service. An Eligible Director serving as a member of the Audit Committee (other than the Chairperson) shall be eligible to receive an additional annual retainer of $10,000 for such service.</w:t>
      </w:r>
    </w:p>
    <w:p>
      <w:pPr>
        <w:pStyle w:val="TextBody"/>
        <w:bidi w:val="0"/>
        <w:spacing w:lineRule="auto" w:line="288" w:before="0" w:after="240"/>
        <w:ind w:left="0" w:right="0" w:firstLine="180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Compensation Committee</w:t>
      </w:r>
      <w:r>
        <w:rPr>
          <w:rFonts w:ascii="Times New Roman;sans-serif" w:hAnsi="Times New Roman;sans-serif"/>
          <w:b w:val="false"/>
          <w:color w:val="000000"/>
          <w:sz w:val="22"/>
        </w:rPr>
        <w:t>. An Eligible Director serving as Chairperson of the Compensation Committee shall be eligible to receive an additional annual retainer of $15,000 for such service. An Eligible Director serving as a member of the Compensation Committee (other than the Chairperson) shall be eligible to receive an additional annual retainer of $7,500 for such service.</w:t>
      </w:r>
    </w:p>
    <w:p>
      <w:pPr>
        <w:pStyle w:val="TextBody"/>
        <w:bidi w:val="0"/>
        <w:spacing w:lineRule="auto" w:line="288" w:before="0" w:after="240"/>
        <w:ind w:left="0" w:right="0" w:firstLine="180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Nominating and Corporate Governance Committee</w:t>
      </w:r>
      <w:r>
        <w:rPr>
          <w:rFonts w:ascii="Times New Roman;sans-serif" w:hAnsi="Times New Roman;sans-serif"/>
          <w:b w:val="false"/>
          <w:color w:val="000000"/>
          <w:sz w:val="22"/>
        </w:rPr>
        <w:t>. An Eligible Director serving as Chairperson of the Nominating and Corporate Governance Committee shall be eligible to receive an additional annual retainer of $10,000 for such service. An Eligible Director serving as a member of the Nominating and Corporate Governance Committee (other than the Chairperson) shall be eligible to receive an additional annual retainer of $5,000 for such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Payment of Retainers</w:t>
      </w:r>
      <w:r>
        <w:rPr>
          <w:rFonts w:ascii="Times New Roman;sans-serif" w:hAnsi="Times New Roman;sans-serif"/>
          <w:b w:val="false"/>
          <w:color w:val="000000"/>
          <w:sz w:val="22"/>
        </w:rPr>
        <w:t xml:space="preserve">.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Equity Compensation</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Eligible Directors shall be granted the equity awards described below. The awards described below shall be granted under and shall be subject to the terms and provisions of the Company’s 2021 Equity Incentive Plan or any other applicable Company equity incentive plan then-maintained by the Company (such plan, as may be amended from time to time, the “</w:t>
      </w:r>
      <w:r>
        <w:rPr>
          <w:rFonts w:ascii="Times New Roman;sans-serif" w:hAnsi="Times New Roman;sans-serif"/>
          <w:b/>
          <w:i/>
          <w:color w:val="000000"/>
          <w:sz w:val="22"/>
        </w:rPr>
        <w:t>Equity Plan</w:t>
      </w:r>
      <w:r>
        <w:rPr>
          <w:color w:val="000000"/>
        </w:rPr>
        <w:t>”</w:t>
      </w:r>
      <w:r>
        <w:rPr>
          <w:rFonts w:ascii="Times New Roman;sans-serif" w:hAnsi="Times New Roman;sans-serif"/>
          <w:b w:val="false"/>
          <w:color w:val="000000"/>
          <w:sz w:val="22"/>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Initial Awards</w:t>
      </w:r>
      <w:r>
        <w:rPr>
          <w:rFonts w:ascii="Times New Roman;sans-serif" w:hAnsi="Times New Roman;sans-serif"/>
          <w:b w:val="false"/>
          <w:color w:val="000000"/>
          <w:sz w:val="22"/>
        </w:rPr>
        <w:t>. Each Eligible Director who is initially elected or appointed to serve on the Board after the Effective Date automatically shall be granted an equity award with a value of approximately $300,000 (each, an “</w:t>
      </w:r>
      <w:r>
        <w:rPr>
          <w:rFonts w:ascii="Times New Roman;sans-serif" w:hAnsi="Times New Roman;sans-serif"/>
          <w:b/>
          <w:i/>
          <w:color w:val="000000"/>
          <w:sz w:val="22"/>
        </w:rPr>
        <w:t>Initial Award</w:t>
      </w:r>
      <w:r>
        <w:rPr>
          <w:color w:val="000000"/>
        </w:rPr>
        <w:t>”</w:t>
      </w:r>
      <w:r>
        <w:rPr>
          <w:rFonts w:ascii="Times New Roman;sans-serif" w:hAnsi="Times New Roman;sans-serif"/>
          <w:b w:val="false"/>
          <w:color w:val="000000"/>
          <w:sz w:val="22"/>
        </w:rPr>
        <w:t>), consisting of (1) an Option (as defined in the Equity Plan) award with a value equivalent to 150,000 (50% of 300,000) and (2) an Restricted Stock Unit (as defined in the Equity Plan) award with a value equivalent to 150,000 (50% of 300,000). Each Initial Award shall be granted on the date on which such Eligible Director is appointed or elected to serve on the Board (the “</w:t>
      </w:r>
      <w:r>
        <w:rPr>
          <w:rFonts w:ascii="Times New Roman;sans-serif" w:hAnsi="Times New Roman;sans-serif"/>
          <w:b/>
          <w:i/>
          <w:color w:val="000000"/>
          <w:sz w:val="22"/>
        </w:rPr>
        <w:t>Election Date</w:t>
      </w:r>
      <w:r>
        <w:rPr>
          <w:color w:val="000000"/>
        </w:rPr>
        <w:t>”</w:t>
      </w:r>
      <w:r>
        <w:rPr>
          <w:rFonts w:ascii="Times New Roman;sans-serif" w:hAnsi="Times New Roman;sans-serif"/>
          <w:b w:val="false"/>
          <w:color w:val="000000"/>
          <w:sz w:val="22"/>
        </w:rPr>
        <w:t xml:space="preserve">), and shall vest in substantially equal installments on each of the first three anniversaries of the applicable grant date, subject to continued service through the applicable vesting date. </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Annual Awards</w:t>
      </w:r>
      <w:r>
        <w:rPr>
          <w:rFonts w:ascii="Times New Roman;sans-serif" w:hAnsi="Times New Roman;sans-serif"/>
          <w:b w:val="false"/>
          <w:color w:val="000000"/>
          <w:sz w:val="22"/>
        </w:rPr>
        <w:t>. An Eligible Director who is serving on the Board as of the date of the annual meeting of the Company’s stockholders (the “</w:t>
      </w:r>
      <w:r>
        <w:rPr>
          <w:rFonts w:ascii="Times New Roman;sans-serif" w:hAnsi="Times New Roman;sans-serif"/>
          <w:b/>
          <w:i/>
          <w:color w:val="000000"/>
          <w:sz w:val="22"/>
        </w:rPr>
        <w:t>Annual Meeting</w:t>
      </w:r>
      <w:r>
        <w:rPr>
          <w:color w:val="000000"/>
        </w:rPr>
        <w:t>”</w:t>
      </w:r>
      <w:r>
        <w:rPr>
          <w:rFonts w:ascii="Times New Roman;sans-serif" w:hAnsi="Times New Roman;sans-serif"/>
          <w:b w:val="false"/>
          <w:color w:val="000000"/>
          <w:sz w:val="22"/>
        </w:rPr>
        <w:t>) each calendar year beginning with calendar year 2022 shall be granted an equity award with a value of approximately $180,000 (an “</w:t>
      </w:r>
      <w:r>
        <w:rPr>
          <w:rFonts w:ascii="Times New Roman;sans-serif" w:hAnsi="Times New Roman;sans-serif"/>
          <w:b/>
          <w:i/>
          <w:color w:val="000000"/>
          <w:sz w:val="22"/>
        </w:rPr>
        <w:t>Annual Award</w:t>
      </w:r>
      <w:r>
        <w:rPr>
          <w:color w:val="000000"/>
        </w:rPr>
        <w:t>”</w:t>
      </w:r>
      <w:r>
        <w:rPr>
          <w:rFonts w:ascii="Times New Roman;sans-serif" w:hAnsi="Times New Roman;sans-serif"/>
          <w:b w:val="false"/>
          <w:color w:val="000000"/>
          <w:sz w:val="22"/>
        </w:rPr>
        <w:t>, together with the Initial Award, the “</w:t>
      </w:r>
      <w:r>
        <w:rPr>
          <w:rFonts w:ascii="Times New Roman;sans-serif" w:hAnsi="Times New Roman;sans-serif"/>
          <w:b/>
          <w:i/>
          <w:color w:val="000000"/>
          <w:sz w:val="22"/>
        </w:rPr>
        <w:t>Director Award</w:t>
      </w:r>
      <w:r>
        <w:rPr>
          <w:color w:val="000000"/>
        </w:rPr>
        <w:t>”</w:t>
      </w:r>
      <w:r>
        <w:rPr>
          <w:rFonts w:ascii="Times New Roman;sans-serif" w:hAnsi="Times New Roman;sans-serif"/>
          <w:b w:val="false"/>
          <w:color w:val="000000"/>
          <w:sz w:val="22"/>
        </w:rPr>
        <w:t>), consisting of (1) an Option (as defined in the Equity Plan) award with a value equivalent to 90,000 (50% of 180,000) and (2) a Restricted Stock Unit (as defined in the Equity Plan) award with a value equivalent to 90,000 (50% of 180,000). Each Annual Award shall vest in full on the earlier to occur of (x) the one-year anniversary of the applicable grant date and (y) the date of the next Annual Meeting following the grant date, subject to continued service through the applicable vesting date.</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Accelerated Vesting Events</w:t>
      </w:r>
      <w:r>
        <w:rPr>
          <w:rFonts w:ascii="Times New Roman;sans-serif" w:hAnsi="Times New Roman;sans-serif"/>
          <w:b w:val="false"/>
          <w:color w:val="000000"/>
          <w:sz w:val="22"/>
        </w:rPr>
        <w:t>. Notwithstanding the foregoing, an Eligible Director’s Director Award(s) shall vest in full immediately prior to the occurrence of a Non-Transactional Change in Control, to the extent outstanding and unvested at such time, if the Eligible Director will not become, as of immediately following such Non-Transactional Change in Control, a member of the board of the Company or the ultimate parent of the Company.</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Provisions Applicable to Awards</w:t>
      </w:r>
      <w:r>
        <w:rPr>
          <w:rFonts w:ascii="Times New Roman;sans-serif" w:hAnsi="Times New Roman;sans-serif"/>
          <w:b w:val="false"/>
          <w:color w:val="000000"/>
          <w:sz w:val="22"/>
        </w:rPr>
        <w:t>. With respect to any equity award granted under this Program:</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exercise price per Share with respect to an Option shall be equal to the Fair Market Value of a Share on the applicable grant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ii.An Option shall have a maximum term of ten years from the applicable grant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number of Shares subject to an Option shall be determined by dividing the value of the Option by the product of the multiplication of the ratio of the per share average closing price of the Company’s stock in the thirty-days prior to the applicable grant date to the closing price of the Company’s stock on the applicable grant date and the per share Black-Scholes valuation as of the applicable grant date, utilizing the same assumptions that the Company uses in preparation of its financial statements.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iv.The number of Restricted Stock Units shall be determined by dividing the value of the Restricted Stock Units by the average closing price of the Company’s stock in the thirty-days prior to the applicable grant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Compensation Limits</w:t>
      </w:r>
      <w:r>
        <w:rPr>
          <w:rFonts w:ascii="Times New Roman;sans-serif" w:hAnsi="Times New Roman;sans-serif"/>
          <w:b w:val="false"/>
          <w:color w:val="000000"/>
          <w:sz w:val="22"/>
        </w:rPr>
        <w:t>. Notwithstanding anything to the contrary in this Program, all compensation payable under this Program will be subject to any limits on the maximum amount of non-employee Director compensation set forth in the Equity Plan, as in effect from time to time.</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bidi w:val="0"/>
        <w:spacing w:lineRule="auto" w:line="288" w:before="0" w:after="480"/>
        <w:jc w:val="center"/>
        <w:rPr>
          <w:rFonts w:ascii="Times New Roman;sans-serif" w:hAnsi="Times New Roman;sans-serif"/>
          <w:b/>
          <w:color w:val="000000"/>
          <w:sz w:val="20"/>
        </w:rPr>
      </w:pPr>
      <w:r>
        <w:rPr>
          <w:rFonts w:ascii="Times New Roman;sans-serif" w:hAnsi="Times New Roman;sans-serif"/>
          <w:b/>
          <w:color w:val="000000"/>
          <w:sz w:val="20"/>
        </w:rPr>
        <w:t>OF PROCEPT BIOROBOTICS CORPORATION</w:t>
      </w:r>
    </w:p>
    <w:tbl>
      <w:tblPr>
        <w:tblW w:w="7121" w:type="dxa"/>
        <w:jc w:val="left"/>
        <w:tblInd w:w="0" w:type="dxa"/>
        <w:tblLayout w:type="fixed"/>
        <w:tblCellMar>
          <w:top w:w="28" w:type="dxa"/>
          <w:left w:w="28" w:type="dxa"/>
          <w:bottom w:w="28" w:type="dxa"/>
          <w:right w:w="28" w:type="dxa"/>
        </w:tblCellMar>
      </w:tblPr>
      <w:tblGrid>
        <w:gridCol w:w="995"/>
        <w:gridCol w:w="873"/>
        <w:gridCol w:w="876"/>
        <w:gridCol w:w="109"/>
        <w:gridCol w:w="109"/>
        <w:gridCol w:w="109"/>
        <w:gridCol w:w="1184"/>
        <w:gridCol w:w="1184"/>
        <w:gridCol w:w="1682"/>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2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PROCEPT BioRobotics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PROCEPT BioRobotics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PROCEPT BioRobotics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Georgia;serif" w:hAnsi="Georgia;serif"/>
          <w:b/>
          <w:color w:val="000000"/>
          <w:sz w:val="20"/>
        </w:rPr>
      </w:pPr>
      <w:r>
        <w:rPr>
          <w:rFonts w:ascii="Georgia;serif" w:hAnsi="Georgia;serif"/>
          <w:b/>
          <w:color w:val="000000"/>
          <w:sz w:val="20"/>
        </w:rPr>
        <w:t>Exhibit 23.1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pPr>
      <w:r>
        <w:rPr>
          <w:rFonts w:ascii="Georgia;serif" w:hAnsi="Georgia;serif"/>
          <w:b w:val="false"/>
          <w:color w:val="000000"/>
          <w:sz w:val="20"/>
        </w:rPr>
        <w:t>We hereby consent to the incorporation by reference in the Registration Statements</w:t>
      </w:r>
      <w:r>
        <w:rPr>
          <w:color w:val="FF0000"/>
        </w:rPr>
        <w:t xml:space="preserve"> </w:t>
      </w:r>
      <w:r>
        <w:rPr>
          <w:rFonts w:ascii="Georgia;serif" w:hAnsi="Georgia;serif"/>
          <w:b w:val="false"/>
          <w:color w:val="000000"/>
          <w:sz w:val="20"/>
        </w:rPr>
        <w:t>on Form</w:t>
      </w:r>
      <w:r>
        <w:rPr>
          <w:color w:val="FF0000"/>
        </w:rPr>
        <w:t xml:space="preserve"> </w:t>
      </w:r>
      <w:r>
        <w:rPr>
          <w:rFonts w:ascii="Georgia;serif" w:hAnsi="Georgia;serif"/>
          <w:b w:val="false"/>
          <w:color w:val="000000"/>
          <w:sz w:val="20"/>
        </w:rPr>
        <w:t>S-3 (No. 333-273569)</w:t>
      </w:r>
      <w:r>
        <w:rPr>
          <w:color w:val="000000"/>
        </w:rPr>
        <w:t xml:space="preserve"> </w:t>
      </w:r>
      <w:r>
        <w:rPr>
          <w:rFonts w:ascii="Georgia;serif" w:hAnsi="Georgia;serif"/>
          <w:b w:val="false"/>
          <w:color w:val="000000"/>
          <w:sz w:val="20"/>
        </w:rPr>
        <w:t>and Form S-8 (Nos. 333-259586, 333-264758, 333-270113, and 333-277461) of PROCEPT BioRobotics Corporation of our report dated</w:t>
      </w:r>
      <w:r>
        <w:rPr>
          <w:color w:val="FF0000"/>
        </w:rPr>
        <w:t xml:space="preserve"> </w:t>
      </w:r>
      <w:r>
        <w:rPr>
          <w:rFonts w:ascii="Georgia;serif" w:hAnsi="Georgia;serif"/>
          <w:b w:val="false"/>
          <w:color w:val="000000"/>
          <w:sz w:val="20"/>
        </w:rPr>
        <w:t>February 27, 2025 relating to the financial statements and the effectiveness of internal control over financial reporting, which appears in this Form 10-K.</w:t>
      </w:r>
    </w:p>
    <w:p>
      <w:pPr>
        <w:pStyle w:val="TextBody"/>
        <w:bidi w:val="0"/>
        <w:spacing w:before="240" w:after="283"/>
        <w:jc w:val="left"/>
        <w:rPr/>
      </w:pPr>
      <w:r>
        <w:rPr/>
      </w:r>
    </w:p>
    <w:p>
      <w:pPr>
        <w:pStyle w:val="TextBody"/>
        <w:bidi w:val="0"/>
        <w:spacing w:lineRule="auto" w:line="240" w:before="240" w:after="283"/>
        <w:jc w:val="left"/>
        <w:rPr/>
      </w:pPr>
      <w:r>
        <w:rPr>
          <w:rFonts w:ascii="Georgia;serif" w:hAnsi="Georgia;serif"/>
          <w:b w:val="false"/>
          <w:color w:val="000000"/>
          <w:sz w:val="20"/>
        </w:rPr>
        <w:t>/s/ PricewaterhouseCoopers LLP</w:t>
        <w:br/>
        <w:t>San Jose, California</w:t>
      </w:r>
      <w:r>
        <w:rPr>
          <w:rFonts w:ascii="Georgia;serif" w:hAnsi="Georgia;serif"/>
          <w:b/>
          <w:color w:val="FF0000"/>
          <w:sz w:val="20"/>
        </w:rPr>
        <w:br/>
      </w:r>
      <w:r>
        <w:rPr>
          <w:rFonts w:ascii="Georgia;serif" w:hAnsi="Georgia;serif"/>
          <w:b w:val="false"/>
          <w:color w:val="000000"/>
          <w:sz w:val="20"/>
        </w:rPr>
        <w:t>February 27,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319"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319"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Reza Zadno, Ph.D., certify that:</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PROCEPT BioRobotics Corporation;</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410"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760"/>
        <w:gridCol w:w="760"/>
        <w:gridCol w:w="107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Reza Zadno</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Reza Zadno, Ph.D.</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Chief Executive Officer </w:t>
            </w:r>
          </w:p>
          <w:p>
            <w:pPr>
              <w:pStyle w:val="TableContents"/>
              <w:bidi w:val="0"/>
              <w:spacing w:lineRule="auto" w:line="319" w:before="0" w:after="3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(Principal Executive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319"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319"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Kevin Waters, certify that:</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PROCEPT BioRobotics Corporation;</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72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849"/>
        <w:gridCol w:w="849"/>
        <w:gridCol w:w="121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Waters</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Kevin Waters</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ans-serif" w:hAnsi="Times New Roman;sans-serif"/>
                <w:b/>
                <w:color w:val="000000"/>
                <w:sz w:val="20"/>
              </w:rPr>
            </w:pPr>
            <w:r>
              <w:rPr>
                <w:rFonts w:ascii="Times New Roman;sans-serif" w:hAnsi="Times New Roman;sans-serif"/>
                <w:b/>
                <w:color w:val="000000"/>
                <w:sz w:val="20"/>
              </w:rPr>
              <w:t xml:space="preserve">Chief Financial Officer </w:t>
            </w:r>
          </w:p>
          <w:p>
            <w:pPr>
              <w:pStyle w:val="TableContents"/>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(Principal Financial Officer and </w:t>
            </w:r>
          </w:p>
          <w:p>
            <w:pPr>
              <w:pStyle w:val="TableContents"/>
              <w:bidi w:val="0"/>
              <w:spacing w:lineRule="auto" w:line="319" w:before="0" w:after="30"/>
              <w:jc w:val="center"/>
              <w:rPr>
                <w:rFonts w:ascii="Times New Roman;sans-serif" w:hAnsi="Times New Roman;sans-serif"/>
                <w:b/>
                <w:color w:val="000000"/>
                <w:sz w:val="20"/>
              </w:rPr>
            </w:pPr>
            <w:r>
              <w:rPr>
                <w:rFonts w:ascii="Times New Roman;sans-serif" w:hAnsi="Times New Roman;sans-serif"/>
                <w:b/>
                <w:color w:val="000000"/>
                <w:sz w:val="20"/>
              </w:rPr>
              <w:t>Principal Accounting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319"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6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PROCEPT BioRobotics Corporation (the “Company”) on Form 10-K for the period ending December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410"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760"/>
        <w:gridCol w:w="760"/>
        <w:gridCol w:w="107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Reza Zadno</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Reza Zadno, Ph.D.</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Chief Executive Officer </w:t>
            </w:r>
          </w:p>
          <w:p>
            <w:pPr>
              <w:pStyle w:val="TableContents"/>
              <w:bidi w:val="0"/>
              <w:spacing w:lineRule="auto" w:line="319" w:before="0" w:after="3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(Principal Executive Officer)</w:t>
            </w:r>
          </w:p>
        </w:tc>
      </w:tr>
    </w:tbl>
    <w:p>
      <w:pPr>
        <w:pStyle w:val="TextBody"/>
        <w:bidi w:val="0"/>
        <w:spacing w:lineRule="auto" w:line="319"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319"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68" w:before="0" w:after="0"/>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PROCEPT BioRobotics Corporation (the “Company”) on Form 10-K for the period ending December 31, 2024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319"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72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849"/>
        <w:gridCol w:w="849"/>
        <w:gridCol w:w="121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Waters</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Kevin Waters</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ans-serif" w:hAnsi="Times New Roman;sans-serif"/>
                <w:b/>
                <w:color w:val="000000"/>
                <w:sz w:val="20"/>
              </w:rPr>
            </w:pPr>
            <w:r>
              <w:rPr>
                <w:rFonts w:ascii="Times New Roman;sans-serif" w:hAnsi="Times New Roman;sans-serif"/>
                <w:b/>
                <w:color w:val="000000"/>
                <w:sz w:val="20"/>
              </w:rPr>
              <w:t xml:space="preserve">Chief Financial Officer </w:t>
            </w:r>
          </w:p>
          <w:p>
            <w:pPr>
              <w:pStyle w:val="TableContents"/>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(Principal Financial Officer and </w:t>
            </w:r>
          </w:p>
          <w:p>
            <w:pPr>
              <w:pStyle w:val="TableContents"/>
              <w:bidi w:val="0"/>
              <w:spacing w:lineRule="auto" w:line="319" w:before="0" w:after="30"/>
              <w:jc w:val="center"/>
              <w:rPr>
                <w:rFonts w:ascii="Times New Roman;sans-serif" w:hAnsi="Times New Roman;sans-serif"/>
                <w:b/>
                <w:color w:val="000000"/>
                <w:sz w:val="20"/>
              </w:rPr>
            </w:pPr>
            <w:r>
              <w:rPr>
                <w:rFonts w:ascii="Times New Roman;sans-serif" w:hAnsi="Times New Roman;sans-serif"/>
                <w:b/>
                <w:color w:val="000000"/>
                <w:sz w:val="20"/>
              </w:rPr>
              <w:t>Principal Accounting Officer)</w:t>
            </w:r>
          </w:p>
        </w:tc>
      </w:tr>
    </w:tbl>
    <w:p>
      <w:pPr>
        <w:pStyle w:val="TextBody"/>
        <w:bidi w:val="0"/>
        <w:spacing w:lineRule="auto" w:line="319"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0001588978/000162828021018923/exhibit31-closing8xk.htm" TargetMode="External"/><Relationship Id="rId6" Type="http://schemas.openxmlformats.org/officeDocument/2006/relationships/hyperlink" Target="https://www.sec.gov/Archives/edgar/data/0001588978/000162828021018923/exhibit32-closing8xk.htm" TargetMode="External"/><Relationship Id="rId7" Type="http://schemas.openxmlformats.org/officeDocument/2006/relationships/hyperlink" Target="https://www.sec.gov/Archives/edgar/data/1588978/000162828022006885/exhibit41-descriptionofcap.htm" TargetMode="External"/><Relationship Id="rId8" Type="http://schemas.openxmlformats.org/officeDocument/2006/relationships/hyperlink" Target="https://www.sec.gov/Archives/edgar/data/1588978/000162828021017245/exhibit101-sx1.htm" TargetMode="External"/><Relationship Id="rId9" Type="http://schemas.openxmlformats.org/officeDocument/2006/relationships/hyperlink" Target="https://www.sec.gov/Archives/edgar/data/1588978/000162828021017245/exhibit102-sx1.htm" TargetMode="External"/><Relationship Id="rId10" Type="http://schemas.openxmlformats.org/officeDocument/2006/relationships/hyperlink" Target="https://www.sec.gov/Archives/edgar/data/1588978/000162828021017245/exhibit103-sx1.htm" TargetMode="External"/><Relationship Id="rId11" Type="http://schemas.openxmlformats.org/officeDocument/2006/relationships/hyperlink" Target="https://www.sec.gov/Archives/edgar/data/1588978/000158897823000016/exhibit1018-nouriofferlett.htm" TargetMode="External"/><Relationship Id="rId12" Type="http://schemas.openxmlformats.org/officeDocument/2006/relationships/hyperlink" Target="https://www.sec.gov/Archives/edgar/data/0001588978/000162828021018188/exhibit104-sx1a1.htm" TargetMode="External"/><Relationship Id="rId13" Type="http://schemas.openxmlformats.org/officeDocument/2006/relationships/hyperlink" Target="https://www.sec.gov/Archives/edgar/data/0001588978/000162828021018188/exhibit104a-sx1a1.htm" TargetMode="External"/><Relationship Id="rId14" Type="http://schemas.openxmlformats.org/officeDocument/2006/relationships/hyperlink" Target="https://www.sec.gov/Archives/edgar/data/0001588978/000162828021018188/exhibit105-sx1a1.htm" TargetMode="External"/><Relationship Id="rId15" Type="http://schemas.openxmlformats.org/officeDocument/2006/relationships/hyperlink" Target="https://www.sec.gov/Archives/edgar/data/1588978/000162828021017245/exhibit106-sx1.htm" TargetMode="External"/><Relationship Id="rId16" Type="http://schemas.openxmlformats.org/officeDocument/2006/relationships/hyperlink" Target="https://www.sec.gov/Archives/edgar/data/1588978/000162828021017245/exhibit108-sx1.htm" TargetMode="External"/><Relationship Id="rId17" Type="http://schemas.openxmlformats.org/officeDocument/2006/relationships/hyperlink" Target="https://www.sec.gov/Archives/edgar/data/1588978/000162828021018188/exhibit1011-sx1a1.htm" TargetMode="External"/><Relationship Id="rId18" Type="http://schemas.openxmlformats.org/officeDocument/2006/relationships/hyperlink" Target="https://www.sec.gov/Archives/edgar/data/1588978/000162828021018188/ex1011a-sx1a1.htm" TargetMode="External"/><Relationship Id="rId19" Type="http://schemas.openxmlformats.org/officeDocument/2006/relationships/hyperlink" Target="https://www.sec.gov/Archives/edgar/data/1588978/000162828021018188/exhibit1011b-sx1a1.htm" TargetMode="External"/><Relationship Id="rId20" Type="http://schemas.openxmlformats.org/officeDocument/2006/relationships/hyperlink" Target="https://www.sec.gov/Archives/edgar/data/1588978/000158897824000013/prct-20240331.htm" TargetMode="External"/><Relationship Id="rId21" Type="http://schemas.openxmlformats.org/officeDocument/2006/relationships/hyperlink" Target="https://www.sec.gov/Archives/edgar/data/1588978/000158897823000028/amendedandrestated2021es.htm" TargetMode="External"/><Relationship Id="rId22" Type="http://schemas.openxmlformats.org/officeDocument/2006/relationships/hyperlink" Target="https://www.sec.gov/Archives/edgar/data/0001588978/000162828021018188/exhibit1013-sx1a1.htm" TargetMode="External"/><Relationship Id="rId23" Type="http://schemas.openxmlformats.org/officeDocument/2006/relationships/hyperlink" Target="https://www.sec.gov/Archives/edgar/data/0001588978/000162828021018188/exhibit1014-sx1a1.htm" TargetMode="External"/><Relationship Id="rId24" Type="http://schemas.openxmlformats.org/officeDocument/2006/relationships/hyperlink" Target="https://www.sec.gov/Archives/edgar/data/0001588978/000162828021018188/exhibit1015-sx1a1.htm" TargetMode="External"/><Relationship Id="rId25" Type="http://schemas.openxmlformats.org/officeDocument/2006/relationships/hyperlink" Target="https://www.sec.gov/Archives/edgar/data/1588978/000158897823000016/exhibit1019-nourichangeofc.htm" TargetMode="External"/><Relationship Id="rId26" Type="http://schemas.openxmlformats.org/officeDocument/2006/relationships/hyperlink" Target="https://www.sec.gov/ix?doc=/Archives/edgar/data/1588978/000162828022026185/prct-20221006.htm" TargetMode="External"/><Relationship Id="rId27" Type="http://schemas.openxmlformats.org/officeDocument/2006/relationships/hyperlink" Target="https://www.sec.gov/Archives/edgar/data/1588978/000162828023020562/firstamendmenttocibcloanam.htm" TargetMode="External"/><Relationship Id="rId28" Type="http://schemas.openxmlformats.org/officeDocument/2006/relationships/hyperlink" Target="https://www.sec.gov/Archives/edgar/data/1588978/000158897823000009/exhibit1017-proceptxhydroc.htm" TargetMode="External"/><Relationship Id="rId29" Type="http://schemas.openxmlformats.org/officeDocument/2006/relationships/hyperlink" Target="https://www.sec.gov/ix?doc=/Archives/edgar/data/1588978/000158897824000006/prct-20231231.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83897</Words>
  <Characters>471846</Characters>
  <CharactersWithSpaces>553836</CharactersWithSpaces>
  <Paragraphs>3328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