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410210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434975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4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53" w:lineRule="exact"/>
        <w:rPr>
          <w:sz w:val="24"/>
          <w:szCs w:val="24"/>
          <w:color w:val="auto"/>
        </w:rPr>
      </w:pPr>
    </w:p>
    <w:p>
      <w:pPr>
        <w:ind w:left="4000" w:right="2380" w:hanging="3979"/>
        <w:spacing w:after="0" w:line="402" w:lineRule="auto"/>
        <w:tabs>
          <w:tab w:leader="none" w:pos="482"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3" w:lineRule="exact"/>
        <w:rPr>
          <w:sz w:val="24"/>
          <w:szCs w:val="24"/>
          <w:color w:val="auto"/>
        </w:rPr>
      </w:pPr>
    </w:p>
    <w:p>
      <w:pPr>
        <w:ind w:left="3700" w:right="2020" w:hanging="3679"/>
        <w:spacing w:after="0" w:line="402" w:lineRule="auto"/>
        <w:tabs>
          <w:tab w:leader="none" w:pos="494"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 to ________</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001-04321</w:t>
      </w:r>
    </w:p>
    <w:p>
      <w:pPr>
        <w:spacing w:after="0" w:line="2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PROCEPT BIOROBOTICS CORPORATION</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(Exact name of registrant as specified in its charter)</w:t>
      </w:r>
    </w:p>
    <w:p>
      <w:pPr>
        <w:ind w:left="442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38" w:lineRule="exact"/>
        <w:rPr>
          <w:sz w:val="24"/>
          <w:szCs w:val="24"/>
          <w:color w:val="auto"/>
        </w:rPr>
      </w:pPr>
    </w:p>
    <w:tbl>
      <w:tblPr>
        <w:tblLayout w:type="fixed"/>
        <w:tblInd w:w="80" w:type="dxa"/>
        <w:tblCellMar>
          <w:top w:w="0" w:type="dxa"/>
          <w:left w:w="0" w:type="dxa"/>
          <w:bottom w:w="0" w:type="dxa"/>
          <w:right w:w="0" w:type="dxa"/>
        </w:tblCellMar>
      </w:tblPr>
      <w:tr>
        <w:trPr>
          <w:trHeight w:val="227"/>
        </w:trPr>
        <w:tc>
          <w:tcPr>
            <w:tcW w:w="43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880" w:type="dxa"/>
            <w:vAlign w:val="bottom"/>
          </w:tcPr>
          <w:p>
            <w:pPr>
              <w:jc w:val="center"/>
              <w:ind w:right="294"/>
              <w:spacing w:after="0"/>
              <w:rPr>
                <w:sz w:val="20"/>
                <w:szCs w:val="20"/>
                <w:color w:val="auto"/>
              </w:rPr>
            </w:pPr>
            <w:r>
              <w:rPr>
                <w:rFonts w:ascii="Times New Roman" w:cs="Times New Roman" w:eastAsia="Times New Roman" w:hAnsi="Times New Roman"/>
                <w:sz w:val="17"/>
                <w:szCs w:val="17"/>
                <w:b w:val="1"/>
                <w:bCs w:val="1"/>
                <w:color w:val="auto"/>
                <w:w w:val="99"/>
              </w:rPr>
              <w:t>3841</w:t>
            </w:r>
          </w:p>
        </w:tc>
        <w:tc>
          <w:tcPr>
            <w:tcW w:w="312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26-0199180</w:t>
            </w:r>
          </w:p>
        </w:tc>
        <w:tc>
          <w:tcPr>
            <w:tcW w:w="0" w:type="dxa"/>
            <w:vAlign w:val="bottom"/>
          </w:tcPr>
          <w:p>
            <w:pPr>
              <w:spacing w:after="0"/>
              <w:rPr>
                <w:sz w:val="1"/>
                <w:szCs w:val="1"/>
                <w:color w:val="auto"/>
              </w:rPr>
            </w:pPr>
          </w:p>
        </w:tc>
      </w:tr>
      <w:tr>
        <w:trPr>
          <w:trHeight w:val="215"/>
        </w:trPr>
        <w:tc>
          <w:tcPr>
            <w:tcW w:w="43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288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(Primary Standard Industrial</w:t>
            </w:r>
          </w:p>
        </w:tc>
        <w:tc>
          <w:tcPr>
            <w:tcW w:w="312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(I.R.S. Employer Identification No.)</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8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4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150 Baytech Drive</w:t>
            </w:r>
          </w:p>
        </w:tc>
        <w:tc>
          <w:tcPr>
            <w:tcW w:w="2880" w:type="dxa"/>
            <w:vAlign w:val="bottom"/>
          </w:tcPr>
          <w:p>
            <w:pPr>
              <w:spacing w:after="0"/>
              <w:rPr>
                <w:sz w:val="21"/>
                <w:szCs w:val="21"/>
                <w:color w:val="auto"/>
              </w:rPr>
            </w:pPr>
          </w:p>
        </w:tc>
        <w:tc>
          <w:tcPr>
            <w:tcW w:w="3120" w:type="dxa"/>
            <w:vAlign w:val="bottom"/>
            <w:vMerge w:val="restart"/>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95134</w:t>
            </w:r>
          </w:p>
        </w:tc>
        <w:tc>
          <w:tcPr>
            <w:tcW w:w="0" w:type="dxa"/>
            <w:vAlign w:val="bottom"/>
          </w:tcPr>
          <w:p>
            <w:pPr>
              <w:spacing w:after="0"/>
              <w:rPr>
                <w:sz w:val="1"/>
                <w:szCs w:val="1"/>
                <w:color w:val="auto"/>
              </w:rPr>
            </w:pPr>
          </w:p>
        </w:tc>
      </w:tr>
      <w:tr>
        <w:trPr>
          <w:trHeight w:val="229"/>
        </w:trPr>
        <w:tc>
          <w:tcPr>
            <w:tcW w:w="4340" w:type="dxa"/>
            <w:vAlign w:val="bottom"/>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San Jose, CA</w:t>
            </w:r>
          </w:p>
        </w:tc>
        <w:tc>
          <w:tcPr>
            <w:tcW w:w="2880" w:type="dxa"/>
            <w:vAlign w:val="bottom"/>
          </w:tcPr>
          <w:p>
            <w:pPr>
              <w:spacing w:after="0"/>
              <w:rPr>
                <w:sz w:val="19"/>
                <w:szCs w:val="19"/>
                <w:color w:val="auto"/>
              </w:rPr>
            </w:pPr>
          </w:p>
        </w:tc>
        <w:tc>
          <w:tcPr>
            <w:tcW w:w="3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jc w:val="center"/>
              <w:ind w:right="17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880" w:type="dxa"/>
            <w:vAlign w:val="bottom"/>
          </w:tcPr>
          <w:p>
            <w:pPr>
              <w:spacing w:after="0"/>
              <w:rPr>
                <w:sz w:val="19"/>
                <w:szCs w:val="19"/>
                <w:color w:val="auto"/>
              </w:rPr>
            </w:pPr>
          </w:p>
        </w:tc>
        <w:tc>
          <w:tcPr>
            <w:tcW w:w="3120" w:type="dxa"/>
            <w:vAlign w:val="bottom"/>
            <w:vMerge w:val="restart"/>
          </w:tcPr>
          <w:p>
            <w:pPr>
              <w:jc w:val="center"/>
              <w:ind w:left="594"/>
              <w:spacing w:after="0"/>
              <w:rPr>
                <w:sz w:val="20"/>
                <w:szCs w:val="20"/>
                <w:color w:val="auto"/>
              </w:rPr>
            </w:pPr>
            <w:r>
              <w:rPr>
                <w:rFonts w:ascii="Times New Roman" w:cs="Times New Roman" w:eastAsia="Times New Roman" w:hAnsi="Times New Roman"/>
                <w:sz w:val="17"/>
                <w:szCs w:val="17"/>
                <w:color w:val="auto"/>
              </w:rPr>
              <w:t>(Zip Code)</w:t>
            </w:r>
          </w:p>
        </w:tc>
        <w:tc>
          <w:tcPr>
            <w:tcW w:w="0" w:type="dxa"/>
            <w:vAlign w:val="bottom"/>
          </w:tcPr>
          <w:p>
            <w:pPr>
              <w:spacing w:after="0"/>
              <w:rPr>
                <w:sz w:val="1"/>
                <w:szCs w:val="1"/>
                <w:color w:val="auto"/>
              </w:rPr>
            </w:pPr>
          </w:p>
        </w:tc>
      </w:tr>
      <w:tr>
        <w:trPr>
          <w:trHeight w:val="77"/>
        </w:trPr>
        <w:tc>
          <w:tcPr>
            <w:tcW w:w="43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(650) 232-7200</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39" w:lineRule="exact"/>
        <w:rPr>
          <w:sz w:val="24"/>
          <w:szCs w:val="24"/>
          <w:color w:val="auto"/>
        </w:rPr>
      </w:pPr>
    </w:p>
    <w:tbl>
      <w:tblPr>
        <w:tblLayout w:type="fixed"/>
        <w:tblInd w:w="10" w:type="dxa"/>
        <w:tblCellMar>
          <w:top w:w="0" w:type="dxa"/>
          <w:left w:w="0" w:type="dxa"/>
          <w:bottom w:w="0" w:type="dxa"/>
          <w:right w:w="0" w:type="dxa"/>
        </w:tblCellMar>
      </w:tblPr>
      <w:tr>
        <w:trPr>
          <w:trHeight w:val="232"/>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$0.00001 par value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PRCT</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Market</w:t>
            </w:r>
          </w:p>
        </w:tc>
      </w:tr>
    </w:tbl>
    <w:p>
      <w:pPr>
        <w:spacing w:after="0" w:line="2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1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4"/>
          <w:szCs w:val="24"/>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65" w:lineRule="exact"/>
        <w:rPr>
          <w:sz w:val="24"/>
          <w:szCs w:val="24"/>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51" w:lineRule="exact"/>
        <w:rPr>
          <w:sz w:val="24"/>
          <w:szCs w:val="24"/>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0"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60" w:type="dxa"/>
            <w:vAlign w:val="bottom"/>
            <w:vMerge w:val="restart"/>
          </w:tcPr>
          <w:p>
            <w:pPr>
              <w:ind w:left="1500"/>
              <w:spacing w:after="0"/>
              <w:rPr>
                <w:sz w:val="20"/>
                <w:szCs w:val="20"/>
                <w:color w:val="auto"/>
              </w:rPr>
            </w:pPr>
            <w:r>
              <w:rPr>
                <w:rFonts w:ascii="Wingdings" w:cs="Wingdings" w:eastAsia="Wingdings" w:hAnsi="Wingdings"/>
                <w:sz w:val="17"/>
                <w:szCs w:val="17"/>
                <w:b w:val="1"/>
                <w:bCs w:val="1"/>
                <w:color w:val="auto"/>
              </w:rPr>
              <w:t>x</w:t>
            </w:r>
          </w:p>
        </w:tc>
        <w:tc>
          <w:tcPr>
            <w:tcW w:w="366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Accelerated filer</w:t>
            </w:r>
          </w:p>
        </w:tc>
        <w:tc>
          <w:tcPr>
            <w:tcW w:w="1440" w:type="dxa"/>
            <w:vAlign w:val="bottom"/>
            <w:vMerge w:val="restart"/>
          </w:tcPr>
          <w:p>
            <w:pPr>
              <w:ind w:left="1300"/>
              <w:spacing w:after="0"/>
              <w:rPr>
                <w:sz w:val="20"/>
                <w:szCs w:val="20"/>
                <w:color w:val="auto"/>
              </w:rPr>
            </w:pPr>
            <w:r>
              <w:rPr>
                <w:rFonts w:ascii="Wingdings" w:cs="Wingdings" w:eastAsia="Wingdings" w:hAnsi="Wingdings"/>
                <w:sz w:val="17"/>
                <w:szCs w:val="17"/>
                <w:b w:val="1"/>
                <w:bCs w:val="1"/>
                <w:color w:val="auto"/>
                <w:w w:val="78"/>
              </w:rPr>
              <w:t>o</w:t>
            </w:r>
          </w:p>
        </w:tc>
        <w:tc>
          <w:tcPr>
            <w:tcW w:w="0" w:type="dxa"/>
            <w:vAlign w:val="bottom"/>
          </w:tcPr>
          <w:p>
            <w:pPr>
              <w:spacing w:after="0"/>
              <w:rPr>
                <w:sz w:val="1"/>
                <w:szCs w:val="1"/>
                <w:color w:val="auto"/>
              </w:rPr>
            </w:pPr>
          </w:p>
        </w:tc>
      </w:tr>
      <w:tr>
        <w:trPr>
          <w:trHeight w:val="77"/>
        </w:trPr>
        <w:tc>
          <w:tcPr>
            <w:tcW w:w="302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60" w:type="dxa"/>
            <w:vAlign w:val="bottom"/>
            <w:vMerge w:val="restart"/>
          </w:tcPr>
          <w:p>
            <w:pPr>
              <w:ind w:left="1500"/>
              <w:spacing w:after="0"/>
              <w:rPr>
                <w:sz w:val="20"/>
                <w:szCs w:val="20"/>
                <w:color w:val="auto"/>
              </w:rPr>
            </w:pPr>
            <w:r>
              <w:rPr>
                <w:rFonts w:ascii="Wingdings" w:cs="Wingdings" w:eastAsia="Wingdings" w:hAnsi="Wingdings"/>
                <w:sz w:val="17"/>
                <w:szCs w:val="17"/>
                <w:b w:val="1"/>
                <w:bCs w:val="1"/>
                <w:color w:val="auto"/>
              </w:rPr>
              <w:t>o</w:t>
            </w:r>
          </w:p>
        </w:tc>
        <w:tc>
          <w:tcPr>
            <w:tcW w:w="366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440" w:type="dxa"/>
            <w:vAlign w:val="bottom"/>
            <w:vMerge w:val="restart"/>
          </w:tcPr>
          <w:p>
            <w:pPr>
              <w:ind w:left="1300"/>
              <w:spacing w:after="0"/>
              <w:rPr>
                <w:sz w:val="20"/>
                <w:szCs w:val="20"/>
                <w:color w:val="auto"/>
              </w:rPr>
            </w:pPr>
            <w:r>
              <w:rPr>
                <w:rFonts w:ascii="Wingdings" w:cs="Wingdings" w:eastAsia="Wingdings" w:hAnsi="Wingdings"/>
                <w:sz w:val="17"/>
                <w:szCs w:val="17"/>
                <w:b w:val="1"/>
                <w:bCs w:val="1"/>
                <w:color w:val="auto"/>
                <w:w w:val="78"/>
              </w:rPr>
              <w:t>o</w:t>
            </w:r>
          </w:p>
        </w:tc>
        <w:tc>
          <w:tcPr>
            <w:tcW w:w="0" w:type="dxa"/>
            <w:vAlign w:val="bottom"/>
          </w:tcPr>
          <w:p>
            <w:pPr>
              <w:spacing w:after="0"/>
              <w:rPr>
                <w:sz w:val="1"/>
                <w:szCs w:val="1"/>
                <w:color w:val="auto"/>
              </w:rPr>
            </w:pPr>
          </w:p>
        </w:tc>
      </w:tr>
      <w:tr>
        <w:trPr>
          <w:trHeight w:val="77"/>
        </w:trPr>
        <w:tc>
          <w:tcPr>
            <w:tcW w:w="3020" w:type="dxa"/>
            <w:vAlign w:val="bottom"/>
          </w:tcPr>
          <w:p>
            <w:pPr>
              <w:spacing w:after="0"/>
              <w:rPr>
                <w:sz w:val="6"/>
                <w:szCs w:val="6"/>
                <w:color w:val="auto"/>
              </w:rPr>
            </w:pPr>
          </w:p>
        </w:tc>
        <w:tc>
          <w:tcPr>
            <w:tcW w:w="2160" w:type="dxa"/>
            <w:vAlign w:val="bottom"/>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30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Emerging growth company</w:t>
            </w:r>
          </w:p>
        </w:tc>
        <w:tc>
          <w:tcPr>
            <w:tcW w:w="1440" w:type="dxa"/>
            <w:vAlign w:val="bottom"/>
          </w:tcPr>
          <w:p>
            <w:pPr>
              <w:ind w:left="1300"/>
              <w:spacing w:after="0"/>
              <w:rPr>
                <w:sz w:val="20"/>
                <w:szCs w:val="20"/>
                <w:color w:val="auto"/>
              </w:rPr>
            </w:pPr>
            <w:r>
              <w:rPr>
                <w:rFonts w:ascii="Wingdings" w:cs="Wingdings" w:eastAsia="Wingdings" w:hAnsi="Wingdings"/>
                <w:sz w:val="17"/>
                <w:szCs w:val="17"/>
                <w:b w:val="1"/>
                <w:bCs w:val="1"/>
                <w:color w:val="auto"/>
                <w:w w:val="78"/>
              </w:rPr>
              <w:t>o</w:t>
            </w:r>
          </w:p>
        </w:tc>
        <w:tc>
          <w:tcPr>
            <w:tcW w:w="0" w:type="dxa"/>
            <w:vAlign w:val="bottom"/>
          </w:tcPr>
          <w:p>
            <w:pPr>
              <w:spacing w:after="0"/>
              <w:rPr>
                <w:sz w:val="1"/>
                <w:szCs w:val="1"/>
                <w:color w:val="auto"/>
              </w:rPr>
            </w:pPr>
          </w:p>
        </w:tc>
      </w:tr>
    </w:tbl>
    <w:p>
      <w:pPr>
        <w:spacing w:after="0" w:line="331" w:lineRule="exact"/>
        <w:rPr>
          <w:sz w:val="24"/>
          <w:szCs w:val="24"/>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151" w:lineRule="exact"/>
        <w:rPr>
          <w:sz w:val="24"/>
          <w:szCs w:val="24"/>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report. </w:t>
      </w:r>
      <w:r>
        <w:rPr>
          <w:rFonts w:ascii="Wingdings" w:cs="Wingdings" w:eastAsia="Wingdings" w:hAnsi="Wingdings"/>
          <w:sz w:val="17"/>
          <w:szCs w:val="17"/>
          <w:b w:val="1"/>
          <w:bCs w:val="1"/>
          <w:color w:val="auto"/>
        </w:rPr>
        <w:t>x</w:t>
      </w:r>
    </w:p>
    <w:p>
      <w:pPr>
        <w:sectPr>
          <w:pgSz w:w="11900" w:h="16838" w:orient="portrait"/>
          <w:cols w:equalWidth="0" w:num="1">
            <w:col w:w="11260"/>
          </w:cols>
          <w:pgMar w:left="320" w:top="278" w:right="319" w:bottom="0" w:gutter="0" w:footer="0" w:header="0"/>
        </w:sectPr>
      </w:pPr>
    </w:p>
    <w:bookmarkStart w:id="1" w:name="page2"/>
    <w:bookmarkEnd w:id="1"/>
    <w:p>
      <w:pPr>
        <w:ind w:right="360"/>
        <w:spacing w:after="0" w:line="228"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13" w:lineRule="exact"/>
        <w:rPr>
          <w:sz w:val="20"/>
          <w:szCs w:val="20"/>
          <w:color w:val="auto"/>
        </w:rPr>
      </w:pPr>
    </w:p>
    <w:p>
      <w:pPr>
        <w:ind w:right="80"/>
        <w:spacing w:after="0" w:line="228"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As of June 30, 2023, the aggregate market value of shares held by non-affiliates of the Registrant (based upon the closing sale prices of such shares on the Nasdaq Global Market on June 30, 2023) was approximately $1.4 billion.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50,964,211 shares of common stock as of February 23, 2024.</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DOCUMENTS INCORPORATED BY REFERENCE</w:t>
      </w:r>
    </w:p>
    <w:p>
      <w:pPr>
        <w:spacing w:after="0" w:line="21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its 2024 Annual Stockholders’ Meeting, to be filed within 120 days of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773430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139065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163830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1220" w:type="dxa"/>
            <w:vAlign w:val="bottom"/>
            <w:tcBorders>
              <w:top w:val="single" w:sz="8" w:color="0000FF"/>
            </w:tcBorders>
          </w:tcPr>
          <w:p>
            <w:pPr>
              <w:spacing w:after="0"/>
              <w:rPr>
                <w:sz w:val="24"/>
                <w:szCs w:val="24"/>
                <w:color w:val="auto"/>
              </w:rPr>
            </w:pPr>
          </w:p>
        </w:tc>
        <w:tc>
          <w:tcPr>
            <w:tcW w:w="8780" w:type="dxa"/>
            <w:vAlign w:val="bottom"/>
          </w:tcPr>
          <w:p>
            <w:pPr>
              <w:ind w:left="37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Part I</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96"/>
        </w:trPr>
        <w:tc>
          <w:tcPr>
            <w:tcW w:w="1000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 Business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1A. Risk Factors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1B. Unresolved Staff Comments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1C. Cybersecurity</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2. Properties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3. Legal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 II</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5. Market for Registrant’s Common Equity, Related Stockholder Matters and Issuer Purchases of Equity Securities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45"/>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6. [Reserved]</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7. Management’s Discussion and Analysis of Financial Condition and Results of Operations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7A. Quantitative and Qualitative Disclosures about Market Risk</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8. Financial Statements and Supplementary Data</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 Changes in and Disagreements with Accountants on Accounting and Financial Disclosure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9A. Controls and Procedures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9B. Other Information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9C. Disclosure Regarding Foreign Jurisdictions that Prevent Inspections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 III</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10. Directors, Executive Officers and Corporate Governance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11. Executive Compensation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12. 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13. Certain Relationships and Related Transactions, and Director Independence</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14. Principal Accountant Fees and Services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Part IV</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15. Exhibits and Financial Statement Schedules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9"/>
        </w:trPr>
        <w:tc>
          <w:tcPr>
            <w:tcW w:w="100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Item 16. Form 10-K Summary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3"/>
        </w:trPr>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9" w:lineRule="exact"/>
        <w:rPr>
          <w:sz w:val="20"/>
          <w:szCs w:val="20"/>
          <w:color w:val="auto"/>
        </w:rPr>
      </w:pPr>
    </w:p>
    <w:p>
      <w:pPr>
        <w:ind w:right="100" w:firstLine="309"/>
        <w:spacing w:after="0" w:line="257"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All statements other than statements of historical facts contained in this Annual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business model and strategic plans for our products, technologies and business, including our implementation thereof, the impact on our business, financial condition and results of operations from any global pandemic, epidemic or outbreak of an infectious disease in the United States or worldwide, the timing of and our ability to obtain and maintain regulatory approvals, our commercialization, marketing and manufacturing capabilities and strategy, our expectations about the commercial success and market acceptance of our products, the sufficiency of our cash and cash equivalents, and the plans and objectives of management for future operations and capital expenditures are forward-looking statements.</w:t>
      </w:r>
    </w:p>
    <w:p>
      <w:pPr>
        <w:spacing w:after="0" w:line="124" w:lineRule="exact"/>
        <w:rPr>
          <w:sz w:val="20"/>
          <w:szCs w:val="20"/>
          <w:color w:val="auto"/>
        </w:rPr>
      </w:pPr>
    </w:p>
    <w:p>
      <w:pPr>
        <w:jc w:val="both"/>
        <w:ind w:right="380" w:firstLine="309"/>
        <w:spacing w:after="0" w:line="270" w:lineRule="auto"/>
        <w:rPr>
          <w:sz w:val="20"/>
          <w:szCs w:val="20"/>
          <w:color w:val="auto"/>
        </w:rPr>
      </w:pPr>
      <w:r>
        <w:rPr>
          <w:rFonts w:ascii="Times New Roman" w:cs="Times New Roman" w:eastAsia="Times New Roman" w:hAnsi="Times New Roman"/>
          <w:sz w:val="17"/>
          <w:szCs w:val="17"/>
          <w:color w:val="auto"/>
        </w:rPr>
        <w:t>The forward-looking statements in this Annual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Annual Report and are subject to a number of known and</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unknown risks, uncertainties, and assumptions, including those described under the sections in this Annual Report entitled “Risk Factors” and “Management’s Discussion and Analysis of Financial Condition and Results of Operations” and elsewhere in this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122"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69"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14" w:lineRule="exact"/>
        <w:rPr>
          <w:sz w:val="20"/>
          <w:szCs w:val="20"/>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early-stage company with a history of significant net losses, we expect to continue to incur operating losses for the foreseeable future and we may not be able to achieve or sustain profitability.</w:t>
      </w:r>
    </w:p>
    <w:p>
      <w:pPr>
        <w:spacing w:after="0" w:line="99" w:lineRule="exact"/>
        <w:rPr>
          <w:rFonts w:ascii="Times New Roman" w:cs="Times New Roman" w:eastAsia="Times New Roman" w:hAnsi="Times New Roman"/>
          <w:sz w:val="17"/>
          <w:szCs w:val="17"/>
          <w:color w:val="auto"/>
        </w:rPr>
      </w:pPr>
    </w:p>
    <w:p>
      <w:pPr>
        <w:ind w:left="620" w:right="2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is primarily generated from sales of our AquaBeam Robotic System and the accompanying single-use disposable handpieces, and we are therefore highly dependent on the success of those products.</w:t>
      </w:r>
    </w:p>
    <w:p>
      <w:pPr>
        <w:spacing w:after="0" w:line="99" w:lineRule="exact"/>
        <w:rPr>
          <w:rFonts w:ascii="Times New Roman" w:cs="Times New Roman" w:eastAsia="Times New Roman" w:hAnsi="Times New Roman"/>
          <w:sz w:val="17"/>
          <w:szCs w:val="17"/>
          <w:color w:val="auto"/>
        </w:rPr>
      </w:pPr>
    </w:p>
    <w:p>
      <w:pPr>
        <w:ind w:left="620" w:right="340" w:hanging="307"/>
        <w:spacing w:after="0" w:line="27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13"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additional funding to finance our planned operations, and may not be able to raise capital when needed, which could force us to delay, reduce or eliminate one or more of our product development programs and future commercialization efforts.</w:t>
      </w:r>
    </w:p>
    <w:p>
      <w:pPr>
        <w:spacing w:after="0" w:line="99"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AquaBeam Robotic System and Aquablation therapy will depend upon the degree of market acceptance of our products among hospitals, surgeons and patients.</w:t>
      </w:r>
    </w:p>
    <w:p>
      <w:pPr>
        <w:spacing w:after="0" w:line="99" w:lineRule="exact"/>
        <w:rPr>
          <w:rFonts w:ascii="Times New Roman" w:cs="Times New Roman" w:eastAsia="Times New Roman" w:hAnsi="Times New Roman"/>
          <w:sz w:val="17"/>
          <w:szCs w:val="17"/>
          <w:color w:val="auto"/>
        </w:rPr>
      </w:pPr>
    </w:p>
    <w:p>
      <w:pPr>
        <w:ind w:left="620" w:right="34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99"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maintain adequate levels of third-party coverage and reimbursement, and third parties may rescind or modify their coverage or delay payments related to our products.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competition from many sources, including larger companies, and we may be unable to compete successfully.</w:t>
      </w:r>
    </w:p>
    <w:p>
      <w:pPr>
        <w:spacing w:after="0" w:line="165"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99"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68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technology systems, or those used by our contractors or consultants, may fail or suffer security breaches, and such failure could negatively affect our business, financial condition and results of operations.</w:t>
      </w:r>
    </w:p>
    <w:p>
      <w:pPr>
        <w:spacing w:after="0" w:line="99" w:lineRule="exact"/>
        <w:rPr>
          <w:rFonts w:ascii="Times New Roman" w:cs="Times New Roman" w:eastAsia="Times New Roman" w:hAnsi="Times New Roman"/>
          <w:sz w:val="17"/>
          <w:szCs w:val="17"/>
          <w:color w:val="auto"/>
        </w:rPr>
      </w:pPr>
    </w:p>
    <w:p>
      <w:pPr>
        <w:ind w:left="620" w:right="64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99" w:lineRule="exact"/>
        <w:rPr>
          <w:rFonts w:ascii="Times New Roman" w:cs="Times New Roman" w:eastAsia="Times New Roman" w:hAnsi="Times New Roman"/>
          <w:sz w:val="17"/>
          <w:szCs w:val="17"/>
          <w:color w:val="auto"/>
        </w:rPr>
      </w:pPr>
    </w:p>
    <w:p>
      <w:pPr>
        <w:jc w:val="both"/>
        <w:ind w:left="620" w:right="16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13" w:lineRule="exact"/>
        <w:rPr>
          <w:rFonts w:ascii="Times New Roman" w:cs="Times New Roman" w:eastAsia="Times New Roman" w:hAnsi="Times New Roman"/>
          <w:sz w:val="17"/>
          <w:szCs w:val="17"/>
          <w:color w:val="auto"/>
        </w:rPr>
      </w:pPr>
    </w:p>
    <w:p>
      <w:pPr>
        <w:ind w:left="620" w:right="4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Cost-containment efforts of our customers, purchasing groups and governmental organizations could have a material adverse effect on our sales and profitability.</w:t>
      </w:r>
    </w:p>
    <w:p>
      <w:pPr>
        <w:spacing w:after="0" w:line="99" w:lineRule="exact"/>
        <w:rPr>
          <w:rFonts w:ascii="Times New Roman" w:cs="Times New Roman" w:eastAsia="Times New Roman" w:hAnsi="Times New Roman"/>
          <w:sz w:val="17"/>
          <w:szCs w:val="17"/>
          <w:color w:val="auto"/>
        </w:rPr>
      </w:pPr>
    </w:p>
    <w:p>
      <w:pPr>
        <w:ind w:left="620" w:right="4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our senior management team and key personnel, and our business could be harmed if we are unable to attract and retain personnel necessary for our success.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reimbursement rates for BPH treatments and measures to reduce healthcare costs may adversely impact our business.</w:t>
      </w:r>
    </w:p>
    <w:p>
      <w:pPr>
        <w:spacing w:after="0" w:line="165" w:lineRule="exact"/>
        <w:rPr>
          <w:rFonts w:ascii="Times New Roman" w:cs="Times New Roman" w:eastAsia="Times New Roman" w:hAnsi="Times New Roman"/>
          <w:sz w:val="17"/>
          <w:szCs w:val="17"/>
          <w:color w:val="auto"/>
        </w:rPr>
      </w:pPr>
    </w:p>
    <w:p>
      <w:pPr>
        <w:ind w:left="620" w:right="34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AquaBeam Robotic System and our operations are subject to extensive government regulation and oversight in the United States. If we fail to maintain necessary marketing authorizations for our AquaBeam Robotic System, or if approvals or clearances for future products or modifications to existing products are delayed or not issued, it will negatively affect our business, financial condition and results of operations.</w:t>
      </w:r>
    </w:p>
    <w:p>
      <w:pPr>
        <w:spacing w:after="0" w:line="113" w:lineRule="exact"/>
        <w:rPr>
          <w:rFonts w:ascii="Times New Roman" w:cs="Times New Roman" w:eastAsia="Times New Roman" w:hAnsi="Times New Roman"/>
          <w:sz w:val="17"/>
          <w:szCs w:val="17"/>
          <w:color w:val="auto"/>
        </w:rPr>
      </w:pPr>
    </w:p>
    <w:p>
      <w:pPr>
        <w:ind w:left="620" w:right="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though we have obtained marketing authorization for our AquaBeam Robotic System,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to obtain, maintain and protect our intellectual property and failure to do so may adversely impact our competitive position.</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99" w:lineRule="exact"/>
        <w:rPr>
          <w:rFonts w:ascii="Times New Roman" w:cs="Times New Roman" w:eastAsia="Times New Roman" w:hAnsi="Times New Roman"/>
          <w:sz w:val="17"/>
          <w:szCs w:val="17"/>
          <w:color w:val="auto"/>
        </w:rPr>
      </w:pPr>
    </w:p>
    <w:p>
      <w:pPr>
        <w:ind w:left="620" w:right="20" w:hanging="307"/>
        <w:spacing w:after="0" w:line="27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AquaBeam Robotic System and our other current and future products.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covering our products could be found invalid or unenforceable if challenged in court or before administrative bodies globally.</w:t>
      </w:r>
    </w:p>
    <w:p>
      <w:pPr>
        <w:spacing w:after="0" w:line="165"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be volatile or may decline steeply or suddenly regardless of our operating performance, which could result in substantial losses for purchasers of our common stock, and we may not be able to meet investor or analyst expectations.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securities issuances could result in significant dilution to our stockholders and impair the market price of our common stock.</w:t>
      </w:r>
    </w:p>
    <w:p>
      <w:pPr>
        <w:spacing w:after="0" w:line="165" w:lineRule="exact"/>
        <w:rPr>
          <w:rFonts w:ascii="Times New Roman" w:cs="Times New Roman" w:eastAsia="Times New Roman" w:hAnsi="Times New Roman"/>
          <w:sz w:val="17"/>
          <w:szCs w:val="17"/>
          <w:color w:val="auto"/>
        </w:rPr>
      </w:pPr>
    </w:p>
    <w:p>
      <w:pPr>
        <w:ind w:left="620" w:right="28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We are a surgical robotics company focused on advancing patient care by developing transformative solutions in urology. We develop, manufacture and sell the AquaBeam Robotic System, an advanced, image-guided, surgical robotic system for use in minimally invasive urologic surgery, with an initial focus on treating benign prostatic hyperplasia, or BPH. BPH is the most common prostate disease and impacts approximately 40 million men in the United States. The AquaBeam Robotic System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AquaBeam Robotic System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over 150 peer-reviewed publications, supporting the benefits and clinical advantages of Aquablation therapy. As of December 31, 2023, we had an install base of 418 AquaBeam Robotic Systems globally, including 315 in the United States.</w:t>
      </w:r>
    </w:p>
    <w:p>
      <w:pPr>
        <w:spacing w:after="0" w:line="130"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BPH refers to the non-malignant enlargement of the prostate gland, a small gland in the male reproductive system. The prostate sits underneath the bladder and surrounds the top part of the urethra, which carries urine from the bladder.</w:t>
      </w:r>
    </w:p>
    <w:p>
      <w:pPr>
        <w:spacing w:after="0" w:line="100"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114" w:lineRule="exact"/>
        <w:rPr>
          <w:sz w:val="20"/>
          <w:szCs w:val="20"/>
          <w:color w:val="auto"/>
        </w:rPr>
      </w:pPr>
    </w:p>
    <w:p>
      <w:pPr>
        <w:ind w:right="100" w:firstLine="309"/>
        <w:spacing w:after="0" w:line="258" w:lineRule="auto"/>
        <w:rPr>
          <w:sz w:val="20"/>
          <w:szCs w:val="20"/>
          <w:color w:val="auto"/>
        </w:rPr>
      </w:pPr>
      <w:r>
        <w:rPr>
          <w:rFonts w:ascii="Times New Roman" w:cs="Times New Roman" w:eastAsia="Times New Roman" w:hAnsi="Times New Roman"/>
          <w:sz w:val="17"/>
          <w:szCs w:val="17"/>
          <w:color w:val="auto"/>
        </w:rPr>
        <w:t>In the United States it is estimated that approximately 40 million men are impacted by BPH. Of these men, approximately 12 million are being managed by a physician for symptoms related to their disease. Our total addressable patient population in the United States includes approximately 8.2 million patients, comprising of 6.7 million receiving drug therapy, 1.1 million who have tried but failed drug therapy and 400,000 undergoing surgical intervention each year. By 2060, it is expected that the number of men over 65 years old in the United States will double and include a corresponding increase in the number of men with enlarged prostates.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28"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The main goal of BPH treatment is to alleviate the symptoms associated with the disease and improve the patient’s quality of life. While drug therapy is typically a first line treatment option, limited efficacy and negative side effects contribute to low compliance and high failure rates and drop outs. On the other hand, surgical intervention is proven to provide effective and durable symptom relief compared to drug therapy, but the use of surgery is significantly under-penetrated. This is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 regardless of surgeon experience level.</w:t>
      </w:r>
    </w:p>
    <w:p>
      <w:pPr>
        <w:spacing w:after="0" w:line="334" w:lineRule="exact"/>
        <w:rPr>
          <w:sz w:val="20"/>
          <w:szCs w:val="20"/>
          <w:color w:val="auto"/>
        </w:rPr>
      </w:pPr>
    </w:p>
    <w:p>
      <w:pPr>
        <w:ind w:right="260" w:firstLine="309"/>
        <w:spacing w:after="0" w:line="270" w:lineRule="auto"/>
        <w:rPr>
          <w:sz w:val="20"/>
          <w:szCs w:val="20"/>
          <w:color w:val="auto"/>
        </w:rPr>
      </w:pPr>
      <w:r>
        <w:rPr>
          <w:rFonts w:ascii="Times New Roman" w:cs="Times New Roman" w:eastAsia="Times New Roman" w:hAnsi="Times New Roman"/>
          <w:sz w:val="17"/>
          <w:szCs w:val="17"/>
          <w:color w:val="auto"/>
        </w:rPr>
        <w:t>We began developing our proprietary AquaBeam Robotic System in 2009 to address many of the shortcomings of alternative surgical interventions by delivering our Aquablation therapy, the first and only image-guided robotic therapy for the treatment of BPH. We believe our Aquablation therapy provides the following unique combination of benefits:</w:t>
      </w:r>
    </w:p>
    <w:p>
      <w:pPr>
        <w:spacing w:after="0" w:line="108" w:lineRule="exact"/>
        <w:rPr>
          <w:sz w:val="20"/>
          <w:szCs w:val="20"/>
          <w:color w:val="auto"/>
        </w:rPr>
      </w:pPr>
    </w:p>
    <w:p>
      <w:pPr>
        <w:ind w:left="620" w:right="220" w:hanging="307"/>
        <w:spacing w:after="0" w:line="26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Significant and durable symptom relief. </w:t>
      </w:r>
      <w:r>
        <w:rPr>
          <w:rFonts w:ascii="Times New Roman" w:cs="Times New Roman" w:eastAsia="Times New Roman" w:hAnsi="Times New Roman"/>
          <w:sz w:val="17"/>
          <w:szCs w:val="17"/>
          <w:color w:val="auto"/>
        </w:rPr>
        <w:t>Given obstructive prostate tissue is removed during the procedure, Aquablation therapy has demonstrated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and long-lasting levels of symptom relief similar to those of alternative resective procedures. In our U.S. pivotal trial, Waterjet Ablation Therapy for Endoscopic Resection of prostate tissue, or the WATER study, Aquablation therapy demonstrated superior safety and non-inferior efficacy results compared to transurethral resection of the prostate, or TURP, the historical standard of care for the surgical</w:t>
      </w:r>
    </w:p>
    <w:p>
      <w:pPr>
        <w:spacing w:after="0" w:line="200" w:lineRule="exact"/>
        <w:rPr>
          <w:sz w:val="20"/>
          <w:szCs w:val="20"/>
          <w:color w:val="auto"/>
        </w:rPr>
      </w:pPr>
    </w:p>
    <w:p>
      <w:pPr>
        <w:spacing w:after="0" w:line="32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00"/>
        <w:spacing w:after="0" w:line="260" w:lineRule="auto"/>
        <w:rPr>
          <w:sz w:val="20"/>
          <w:szCs w:val="20"/>
          <w:color w:val="auto"/>
        </w:rPr>
      </w:pPr>
      <w:r>
        <w:rPr>
          <w:rFonts w:ascii="Times New Roman" w:cs="Times New Roman" w:eastAsia="Times New Roman" w:hAnsi="Times New Roman"/>
          <w:sz w:val="17"/>
          <w:szCs w:val="17"/>
          <w:color w:val="auto"/>
        </w:rPr>
        <w:t>treatment of BPH. In the WATER and WATER II studies, surgical retreatment rates were only 5.2% at five years and 3.0% at five years, respectively. In the OPEN WATER study, there were no surgical retreatments at one year. The retreatment rates in the WATER and WATER II studies compare favorably to surgical retreatment rates observed for alternative treatments for BPH. One study published in the BJU International Journal reported on 52,748 men undergoing TURP or photoselective vaporation of the prostate or PVP, with an approximated three-year freedom from surgical retreatment of 92% and 89%, respectively. A second study published in the Journal of Urology reported on 43,041 men undergoing TURP, PVP, enucleation, or open simple prostatectomy with an approximated three-year freedom from surgical retreatment of 93%, 89%, 94%, and 96%, respectively.</w:t>
      </w:r>
    </w:p>
    <w:p>
      <w:pPr>
        <w:spacing w:after="0" w:line="116" w:lineRule="exact"/>
        <w:rPr>
          <w:sz w:val="20"/>
          <w:szCs w:val="20"/>
          <w:color w:val="auto"/>
        </w:rPr>
      </w:pPr>
    </w:p>
    <w:p>
      <w:pPr>
        <w:jc w:val="both"/>
        <w:ind w:left="620" w:right="720" w:hanging="307"/>
        <w:spacing w:after="0" w:line="27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Favorable safety profile. </w:t>
      </w:r>
      <w:r>
        <w:rPr>
          <w:rFonts w:ascii="Times New Roman" w:cs="Times New Roman" w:eastAsia="Times New Roman" w:hAnsi="Times New Roman"/>
          <w:sz w:val="17"/>
          <w:szCs w:val="17"/>
          <w:color w:val="auto"/>
        </w:rPr>
        <w:t>Aquablation therapy has demonstrated low rates of irreversible complications, including urinary incontinence, erectile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dysfunction and ejaculatory dysfunction, compared to published rates observed for other resective surgeries. In our WATER study, patients who underwent Aquablation therapy maintained a significantly higher level of sexual function compared to those who underwent TURP.</w:t>
      </w:r>
    </w:p>
    <w:p>
      <w:pPr>
        <w:spacing w:after="0" w:line="106" w:lineRule="exact"/>
        <w:rPr>
          <w:rFonts w:ascii="Times New Roman" w:cs="Times New Roman" w:eastAsia="Times New Roman" w:hAnsi="Times New Roman"/>
          <w:sz w:val="17"/>
          <w:szCs w:val="17"/>
          <w:color w:val="auto"/>
        </w:rPr>
      </w:pPr>
    </w:p>
    <w:p>
      <w:pPr>
        <w:ind w:left="620" w:right="20" w:hanging="307"/>
        <w:spacing w:after="0" w:line="26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Resection independent of prostate size and shape and surgeon experience. </w:t>
      </w:r>
      <w:r>
        <w:rPr>
          <w:rFonts w:ascii="Times New Roman" w:cs="Times New Roman" w:eastAsia="Times New Roman" w:hAnsi="Times New Roman"/>
          <w:sz w:val="17"/>
          <w:szCs w:val="17"/>
          <w:color w:val="auto"/>
        </w:rPr>
        <w:t>We designed Aquablation therapy to deliver outcomes that are effective, safe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durable for males suffering from LUTS due to BPH across all prostate sizes and shapes.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user interface of the conformal planning unit, or CPU, and automated robotic resection, and delivers resection that is independent of surgeon experience.</w:t>
      </w:r>
    </w:p>
    <w:p>
      <w:pPr>
        <w:spacing w:after="0" w:line="114" w:lineRule="exact"/>
        <w:rPr>
          <w:rFonts w:ascii="Times New Roman" w:cs="Times New Roman" w:eastAsia="Times New Roman" w:hAnsi="Times New Roman"/>
          <w:sz w:val="17"/>
          <w:szCs w:val="17"/>
          <w:color w:val="auto"/>
        </w:rPr>
      </w:pPr>
    </w:p>
    <w:p>
      <w:pPr>
        <w:ind w:left="620" w:hanging="307"/>
        <w:spacing w:after="0" w:line="27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Personalized treatment planning and improved decision-making. </w:t>
      </w:r>
      <w:r>
        <w:rPr>
          <w:rFonts w:ascii="Times New Roman" w:cs="Times New Roman" w:eastAsia="Times New Roman" w:hAnsi="Times New Roman"/>
          <w:sz w:val="17"/>
          <w:szCs w:val="17"/>
          <w:color w:val="auto"/>
        </w:rPr>
        <w:t>Aquablation therapy combines cystoscopic visualization, which uses a camera attached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a hollow tube, along with ultrasound imaging and advanced planning software to provide the surgeon with a multidimensional view of the treatment area and enable personalized treatment planning for the patient’s unique anatomy, improved decision-making and real-time monitoring during the procedure.</w:t>
      </w:r>
    </w:p>
    <w:p>
      <w:pPr>
        <w:spacing w:after="0" w:line="320" w:lineRule="exact"/>
        <w:rPr>
          <w:rFonts w:ascii="Times New Roman" w:cs="Times New Roman" w:eastAsia="Times New Roman" w:hAnsi="Times New Roman"/>
          <w:sz w:val="17"/>
          <w:szCs w:val="17"/>
          <w:color w:val="auto"/>
        </w:rPr>
      </w:pPr>
    </w:p>
    <w:p>
      <w:pPr>
        <w:ind w:left="620" w:hanging="307"/>
        <w:spacing w:after="0" w:line="273"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Targeted and controlled resection with consistent resection times. </w:t>
      </w:r>
      <w:r>
        <w:rPr>
          <w:rFonts w:ascii="Times New Roman" w:cs="Times New Roman" w:eastAsia="Times New Roman" w:hAnsi="Times New Roman"/>
          <w:sz w:val="17"/>
          <w:szCs w:val="17"/>
          <w:color w:val="auto"/>
        </w:rPr>
        <w:t>Aquablation therapy utilizes automated robotic resection to remove prostate tissue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using a precise, heat-free waterjet. These features enable targeted and controlled tissue removal with rapid resection times that are highly consistent across prostate sizes and shapes and surgeon experience.</w:t>
      </w:r>
    </w:p>
    <w:p>
      <w:pPr>
        <w:spacing w:after="0" w:line="344" w:lineRule="exact"/>
        <w:rPr>
          <w:sz w:val="20"/>
          <w:szCs w:val="20"/>
          <w:color w:val="auto"/>
        </w:rPr>
      </w:pPr>
    </w:p>
    <w:p>
      <w:pPr>
        <w:ind w:right="100" w:firstLine="309"/>
        <w:spacing w:after="0" w:line="257" w:lineRule="auto"/>
        <w:rPr>
          <w:sz w:val="20"/>
          <w:szCs w:val="20"/>
          <w:color w:val="auto"/>
        </w:rPr>
      </w:pPr>
      <w:r>
        <w:rPr>
          <w:rFonts w:ascii="Times New Roman" w:cs="Times New Roman" w:eastAsia="Times New Roman" w:hAnsi="Times New Roman"/>
          <w:sz w:val="17"/>
          <w:szCs w:val="17"/>
          <w:color w:val="auto"/>
        </w:rPr>
        <w:t>We have developed a significant and growing body of clinical data that demonstrate the efficacy, safety and durability of Aquablation therapy, with resection that is independent of prostate size and shape and surgeon experience. Our robust body of clinical evidence includes nine clinical studies and over 150 peer-reviewed publications. Our WATER study is the only FDA pivotal study randomized against TURP.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We believe that as a result of our strong KOL network and our compelling clinical evidence, Aquablation therapy has been added to clinical guidelines of various professional associations, including the American Urological Association, European Association of Urology, Canadian Urological Association, German Urology Society, and National Institute for Health and Care Excellence.</w:t>
      </w:r>
    </w:p>
    <w:p>
      <w:pPr>
        <w:spacing w:after="0" w:line="127"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In the United States, we sell our products to hospitals. These customers in turn bill various third-party payors, such as commercial payors and government agencies, for reimbursement for the procedures using our products. Effective in 2021, all local Medicare Administrative Contractors, or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 We believe that our strong body of clinical evidence and support from key societies, supplemented by the momentum from Medicare coverage, have led to favorable coverage decisions from many large commercial payors. We plan to leverage these successes in our active discussions with commercial payors to establish additional positive national and regional coverage policies, although we cannot provide any assurances that we will be successful in doing so. Outside of the United States, we have ongoing efforts in key markets to expand established coverage and improve payment which we believe will expand patient access to Aquablation therapy.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309"/>
        <w:spacing w:after="0" w:line="258" w:lineRule="auto"/>
        <w:rPr>
          <w:sz w:val="20"/>
          <w:szCs w:val="20"/>
          <w:color w:val="auto"/>
        </w:rPr>
      </w:pPr>
      <w:r>
        <w:rPr>
          <w:rFonts w:ascii="Times New Roman" w:cs="Times New Roman" w:eastAsia="Times New Roman" w:hAnsi="Times New Roman"/>
          <w:sz w:val="17"/>
          <w:szCs w:val="17"/>
          <w:color w:val="auto"/>
        </w:rPr>
        <w:t>We primarily sell our products through our direct sales organization in the United States, which targets urologists across the United States, who we believe represent the primary physician specialty managing the care of patients with BPH. We are initially targeting 860 high-volume hospitals that perform, on average, more than 200 resective procedures annually and account for approximately 70% of all hospital-based resective procedures. Additionally, there are approximately 1,840 additional U.S. hospitals that perform the remaining 30% of resective BPH procedures we are also targeting.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about the clinical benefits of Aquablation therapy, provide comprehensive training programs and deepen our relationships with key urologists and various medical societies. Outside the United States, we sell our products using both our direct sales organization and, in certain regions, our network of distribution partners.</w:t>
      </w:r>
    </w:p>
    <w:p>
      <w:pPr>
        <w:spacing w:after="0" w:line="124" w:lineRule="exact"/>
        <w:rPr>
          <w:sz w:val="20"/>
          <w:szCs w:val="20"/>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We generated revenue of $136.2 million and $75.0 million for the years ended December 31, 2023 and 2022, respectively, and incurred a net loss of $105.9 million and $87.2 million for the years ended December 31, 2023 and 2022, respectively. As of December 31, 2023, we had an accumulated deficit of $454.6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mission is to establish Aquablation therapy as the surgical standard of care for BPH. The key elements of our growth strategy are:</w:t>
      </w:r>
    </w:p>
    <w:p>
      <w:pPr>
        <w:spacing w:after="0" w:line="224" w:lineRule="exact"/>
        <w:rPr>
          <w:sz w:val="20"/>
          <w:szCs w:val="20"/>
          <w:color w:val="auto"/>
        </w:rPr>
      </w:pPr>
    </w:p>
    <w:p>
      <w:pPr>
        <w:ind w:left="620" w:hanging="307"/>
        <w:spacing w:after="0"/>
        <w:tabs>
          <w:tab w:leader="none" w:pos="616"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Grow our installed base of AquaBeam Robotic Systems by driving adoption of Aquablation therapy among urologists. </w:t>
      </w:r>
      <w:r>
        <w:rPr>
          <w:rFonts w:ascii="Times New Roman" w:cs="Times New Roman" w:eastAsia="Times New Roman" w:hAnsi="Times New Roman"/>
          <w:sz w:val="17"/>
          <w:szCs w:val="17"/>
          <w:color w:val="auto"/>
        </w:rPr>
        <w:t>In the United States, we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initially focused on driving adoption of Aquablation therapy among urologists that perform hospital-based resective BPH surgery. We estimate that approximately 290,000 of the 400,000 annual BPH surgeries are resective procedures performed across approximately 2,700 hospitals. We are initially targeting 860 high-volume hospitals that we estimate perform, on average, more than 200 resective procedures annually and account for approximately 70% of all hospital-based resective procedures. Additionally, there are approximately 1,840 U.S. hospitals that perform the remaining 30% of resective BPH procedures we are also targeting.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We also intend to increase awareness of Aquablation therapy by continuing to publish clinical data in various industry and scientific journals, present our clinical data at various industry conferences and sponsor peer-to-peer education programs and proctorships.</w:t>
      </w:r>
    </w:p>
    <w:p>
      <w:pPr>
        <w:spacing w:after="0" w:line="135" w:lineRule="exact"/>
        <w:rPr>
          <w:rFonts w:ascii="Times New Roman" w:cs="Times New Roman" w:eastAsia="Times New Roman" w:hAnsi="Times New Roman"/>
          <w:sz w:val="17"/>
          <w:szCs w:val="17"/>
          <w:b w:val="1"/>
          <w:bCs w:val="1"/>
          <w:i w:val="1"/>
          <w:iCs w:val="1"/>
          <w:color w:val="auto"/>
        </w:rPr>
      </w:pPr>
    </w:p>
    <w:p>
      <w:pPr>
        <w:ind w:left="620" w:right="20" w:hanging="307"/>
        <w:spacing w:after="0" w:line="257"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Increase system utilization by establishing Aquablation therapy as the surgical treatment of choice for BPH. </w:t>
      </w:r>
      <w:r>
        <w:rPr>
          <w:rFonts w:ascii="Times New Roman" w:cs="Times New Roman" w:eastAsia="Times New Roman" w:hAnsi="Times New Roman"/>
          <w:sz w:val="17"/>
          <w:szCs w:val="17"/>
          <w:color w:val="auto"/>
        </w:rPr>
        <w:t>Once we place a system within a hospital,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 Over time, we intend to leverage our relationships with urologists to drive utilization of Aquablation therapy beyond the current surgical market.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of the clinical benefits of Aquablation therapy, provide comprehensive training programs and deepen our relationships with key urologists and various medical societies.</w:t>
      </w:r>
    </w:p>
    <w:p>
      <w:pPr>
        <w:spacing w:after="0" w:line="124" w:lineRule="exact"/>
        <w:rPr>
          <w:rFonts w:ascii="Times New Roman" w:cs="Times New Roman" w:eastAsia="Times New Roman" w:hAnsi="Times New Roman"/>
          <w:sz w:val="17"/>
          <w:szCs w:val="17"/>
          <w:color w:val="auto"/>
        </w:rPr>
      </w:pPr>
    </w:p>
    <w:p>
      <w:pPr>
        <w:ind w:left="620" w:right="160" w:hanging="307"/>
        <w:spacing w:after="0" w:line="259"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Continue to broaden private payor coverage. </w:t>
      </w:r>
      <w:r>
        <w:rPr>
          <w:rFonts w:ascii="Times New Roman" w:cs="Times New Roman" w:eastAsia="Times New Roman" w:hAnsi="Times New Roman"/>
          <w:sz w:val="17"/>
          <w:szCs w:val="17"/>
          <w:color w:val="auto"/>
        </w:rPr>
        <w:t>Since the addition of Aquablation therapy to AUA clinical guidelines in May 2019, we have significantly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grown coverage for Aquablation therapy in the United States. Effective in 2021, all local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determinations. We believe that these favorable coverage decisions have been a catalyst for hospital adoption of our AquaBeam Robotic System. Our strong body of clinical evidence and support from key societies, supplemented by the momentum from Medicare coverage, have led to favorable coverage decisions from most large private payors. We plan to leverage these recent successes in our active discussions with private payors to establish additional positive national and regional coverage policies. Outside of the United States, we have ongoing efforts in key markets to expand established coverage and further improve patient access to Aquablation therapy.</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20" w:right="140" w:hanging="307"/>
        <w:spacing w:after="0" w:line="26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Build upon our strong base of clinical evidence. </w:t>
      </w:r>
      <w:r>
        <w:rPr>
          <w:rFonts w:ascii="Times New Roman" w:cs="Times New Roman" w:eastAsia="Times New Roman" w:hAnsi="Times New Roman"/>
          <w:sz w:val="17"/>
          <w:szCs w:val="17"/>
          <w:color w:val="auto"/>
        </w:rPr>
        <w:t>We are committed to continuing to build upon our foundation of clinical evidence, which we believe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will help drive increased awareness and adoption of our products. For example, we are continuing to follow patients in our WATER and WATER II studies to collect five-year clinical outcomes as well as conducting sub-group analyses across our base of clinical data that we believe will further define the role of Aquablation therapy across patient populations. We also plan to further build our base of clinical evidence by supporting new clinical studies intended to support commercial, regulatory and reimbursement efforts. For example, we are supporting an investigator-initiated clinical study, called WATER III, which is a randomized controlled trial evaluating Aquablation therapy against laser enucleation in treating BPH patients with large prostate sizes.</w:t>
      </w:r>
    </w:p>
    <w:p>
      <w:pPr>
        <w:spacing w:after="0" w:line="116" w:lineRule="exact"/>
        <w:rPr>
          <w:rFonts w:ascii="Times New Roman" w:cs="Times New Roman" w:eastAsia="Times New Roman" w:hAnsi="Times New Roman"/>
          <w:sz w:val="17"/>
          <w:szCs w:val="17"/>
          <w:color w:val="auto"/>
        </w:rPr>
      </w:pPr>
    </w:p>
    <w:p>
      <w:pPr>
        <w:ind w:left="620" w:right="80" w:hanging="307"/>
        <w:spacing w:after="0" w:line="26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 in research and development to drive continuous improvements and innovation. </w:t>
      </w:r>
      <w:r>
        <w:rPr>
          <w:rFonts w:ascii="Times New Roman" w:cs="Times New Roman" w:eastAsia="Times New Roman" w:hAnsi="Times New Roman"/>
          <w:sz w:val="17"/>
          <w:szCs w:val="17"/>
          <w:color w:val="auto"/>
        </w:rPr>
        <w:t>We are currently developing additional and next generation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In the future, we may evaluate the application of the AquaBeam Robotic System in new urologic conditions beyond BPH.</w:t>
      </w:r>
    </w:p>
    <w:p>
      <w:pPr>
        <w:spacing w:after="0" w:line="114" w:lineRule="exact"/>
        <w:rPr>
          <w:rFonts w:ascii="Times New Roman" w:cs="Times New Roman" w:eastAsia="Times New Roman" w:hAnsi="Times New Roman"/>
          <w:sz w:val="17"/>
          <w:szCs w:val="17"/>
          <w:color w:val="auto"/>
        </w:rPr>
      </w:pPr>
    </w:p>
    <w:p>
      <w:pPr>
        <w:ind w:left="620" w:hanging="307"/>
        <w:spacing w:after="0" w:line="261"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Drive increased awareness of Aquablation therapy beyond the urology community. </w:t>
      </w:r>
      <w:r>
        <w:rPr>
          <w:rFonts w:ascii="Times New Roman" w:cs="Times New Roman" w:eastAsia="Times New Roman" w:hAnsi="Times New Roman"/>
          <w:sz w:val="17"/>
          <w:szCs w:val="17"/>
          <w:color w:val="auto"/>
        </w:rPr>
        <w:t>As we expand our network of urologists and grow our installed base,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intend to increase awareness and brand recognition of Aquablation therapy beyond urologists, primarily among primary care physicians who manage BPH patients. We estimate that approximately 3.9 million men, including approximately 3.3 million patients who are on drug therapy and 600,000 who have failed drug therapy, are under the care of a primary care physician. To achieve this objective, we will invest in marketing initiatives directed at primary care physicians in order to expand networks for BPH patients to visit a urologist. Once we have established a broader installed base of systems, we may seek to further increase patient awareness through various direct-to-patient marketing initiatives.</w:t>
      </w:r>
    </w:p>
    <w:p>
      <w:pPr>
        <w:spacing w:after="0" w:line="116" w:lineRule="exact"/>
        <w:rPr>
          <w:rFonts w:ascii="Times New Roman" w:cs="Times New Roman" w:eastAsia="Times New Roman" w:hAnsi="Times New Roman"/>
          <w:sz w:val="17"/>
          <w:szCs w:val="17"/>
          <w:color w:val="auto"/>
        </w:rPr>
      </w:pPr>
    </w:p>
    <w:p>
      <w:pPr>
        <w:ind w:left="620" w:right="120" w:hanging="307"/>
        <w:spacing w:after="0" w:line="26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Further penetrate and expand into existing and new international markets. </w:t>
      </w:r>
      <w:r>
        <w:rPr>
          <w:rFonts w:ascii="Times New Roman" w:cs="Times New Roman" w:eastAsia="Times New Roman" w:hAnsi="Times New Roman"/>
          <w:sz w:val="17"/>
          <w:szCs w:val="17"/>
          <w:color w:val="auto"/>
        </w:rPr>
        <w:t>We plan to establish and strengthen our presence internationally. While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United States remains our primary focus in the near-term, we are growing our existing presence in other markets by continuing to promote the clinical benefits of Aquablation therapy, supporting investments in clinical studies to improve coverage and reimbursement and fostering relationships with KOLs. We plan to strategically invest in new markets based on our assessment of market size and opportunity and prospects for compelling reimbursement.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Overview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Addressable Market Opportunity in BPH</w:t>
      </w:r>
    </w:p>
    <w:p>
      <w:pPr>
        <w:spacing w:after="0" w:line="171"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In the United States, BPH is the number one reason men visit a urologist. BPH is estimated to occur in more than 50% of men in their 50s, growing to 70% of men in their 60s, and is the fourth most common diagnosed disease in men above 50 years old, ranking behind coronary artery disease, hypertension and type 2 diabetes. BPH often results in uncomfortable LUTS, which can have a significant impact on quality of life. If left untreated, BPH may eventually lead to more serious complications.</w:t>
      </w:r>
    </w:p>
    <w:p>
      <w:pPr>
        <w:spacing w:after="0" w:line="120" w:lineRule="exact"/>
        <w:rPr>
          <w:sz w:val="20"/>
          <w:szCs w:val="20"/>
          <w:color w:val="auto"/>
        </w:rPr>
      </w:pPr>
    </w:p>
    <w:p>
      <w:pPr>
        <w:ind w:right="80" w:firstLine="309"/>
        <w:spacing w:after="0" w:line="256" w:lineRule="auto"/>
        <w:rPr>
          <w:sz w:val="20"/>
          <w:szCs w:val="20"/>
          <w:color w:val="auto"/>
        </w:rPr>
      </w:pPr>
      <w:r>
        <w:rPr>
          <w:rFonts w:ascii="Times New Roman" w:cs="Times New Roman" w:eastAsia="Times New Roman" w:hAnsi="Times New Roman"/>
          <w:sz w:val="17"/>
          <w:szCs w:val="17"/>
          <w:color w:val="auto"/>
        </w:rPr>
        <w:t>In the United States, we estimate that approximately 40 million men are impacted by symptoms of BPH, with aging demographics expected to drive future growth. By 2060,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8.2 million patients, comprised of 6.7 million receiving drug therapy, 1.1 million who have tried but failed drug therapy and 400,000 undergoing surgical intervention each year.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 of the Prostate</w:t>
      </w:r>
    </w:p>
    <w:p>
      <w:pPr>
        <w:spacing w:after="0" w:line="171"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The prostate is a small gland in the male reproductive system. The prostate sits underneath the bladder and surrounds the top part of the urethra, which carries urine from the bladder.</w:t>
      </w:r>
    </w:p>
    <w:p>
      <w:pPr>
        <w:spacing w:after="0" w:line="100"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The prostate is approximately the size of a walnut in men younger than 30 years old; as men age, the prostate grows larger. At puberty, testosterone levels in boys start to increase and the prostate grows to about eight times its size. The prostate continues to grow, doubling in size between the ages of 21 and 50 years, and almost doubles again in size between the ages of 50 and 80 years. Prostate size is generally measured in volume using milliliters, or ml.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BPH Disease Overview and Diagnosis</w:t>
      </w:r>
    </w:p>
    <w:p>
      <w:pPr>
        <w:spacing w:after="0" w:line="171"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BPH refers to the non-malignant enlargement of the prostate gland.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114"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According to the AUA guidelines, it is estimated that 90% of men between the ages of 45 and 80 will experience LUTS, and 50% of them will experience moderate-to-severe symptoms by the eighth decade of life, which we believe are predominantly caused by BPH. Furthermore, 50% of men between the ages of 51-60 have BPH pathology. According to our internal marketing survey, 99% of men diagnosed with BPH say symptoms impact their quality of life.</w:t>
      </w:r>
    </w:p>
    <w:p>
      <w:pPr>
        <w:spacing w:after="0" w:line="114"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Clinical diagnosis of BPH typically involves a number of tests that are used to assess the degree of LUTS and determine whether the symptoms are caused by BPH or another condition. LUTS are classified as either mild, moderate or severe. Patients suffering from symptoms of BPH are typically first seen by a primary care physician, who may diagnose and manage the patient, or refer the patient to a urologist. Urologists are trained to perform surgery for various types of urologic conditions, including BPH.</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BPH Treatment Options</w:t>
      </w:r>
    </w:p>
    <w:p>
      <w:pPr>
        <w:spacing w:after="0" w:line="171" w:lineRule="exact"/>
        <w:rPr>
          <w:sz w:val="20"/>
          <w:szCs w:val="20"/>
          <w:color w:val="auto"/>
        </w:rPr>
      </w:pPr>
    </w:p>
    <w:p>
      <w:pPr>
        <w:ind w:right="240" w:firstLine="309"/>
        <w:spacing w:after="0" w:line="261" w:lineRule="auto"/>
        <w:rPr>
          <w:sz w:val="20"/>
          <w:szCs w:val="20"/>
          <w:color w:val="auto"/>
        </w:rPr>
      </w:pPr>
      <w:r>
        <w:rPr>
          <w:rFonts w:ascii="Times New Roman" w:cs="Times New Roman" w:eastAsia="Times New Roman" w:hAnsi="Times New Roman"/>
          <w:sz w:val="17"/>
          <w:szCs w:val="17"/>
          <w:color w:val="auto"/>
        </w:rPr>
        <w:t>The main goal of BPH treatment is to alleviate the symptoms associated with the disease and improve the patient’s quality of life. As such, a patient’s recommended course of treatment is largely based on the patient’s degree of symptoms. Patients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Drug Therapy</w:t>
      </w:r>
    </w:p>
    <w:p>
      <w:pPr>
        <w:spacing w:after="0" w:line="169"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Drug therapy is often the first step in actively treating mild-to-moderate symptoms of BPH. While there is no pharmacological cure for BPH, drugs may be used to manage symptoms. Without surgical intervention, most men with BPH who start drug therapy will need to continue it indefinitely in order to relieve symptoms. While drug therapy can provide relief for some men, two out of three patients are not satisfied with the effectiveness of their medication.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Surgical Intervention</w:t>
      </w:r>
    </w:p>
    <w:p>
      <w:pPr>
        <w:spacing w:after="0" w:line="169"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Surgical intervention is recommended for patients who have failed or are unwilling to consider drug therapy, or are suffering from complications due to their BPH. Although more invasive than drug therapy, surgical intervention generally provides more significant, longer-lasting symptom relief.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w:t>
      </w:r>
    </w:p>
    <w:p>
      <w:pPr>
        <w:spacing w:after="0" w:line="120" w:lineRule="exact"/>
        <w:rPr>
          <w:sz w:val="20"/>
          <w:szCs w:val="20"/>
          <w:color w:val="auto"/>
        </w:rPr>
      </w:pPr>
    </w:p>
    <w:p>
      <w:pPr>
        <w:ind w:right="720" w:firstLine="309"/>
        <w:spacing w:after="0" w:line="287" w:lineRule="auto"/>
        <w:rPr>
          <w:sz w:val="20"/>
          <w:szCs w:val="20"/>
          <w:color w:val="auto"/>
        </w:rPr>
      </w:pPr>
      <w:r>
        <w:rPr>
          <w:rFonts w:ascii="Times New Roman" w:cs="Times New Roman" w:eastAsia="Times New Roman" w:hAnsi="Times New Roman"/>
          <w:sz w:val="17"/>
          <w:szCs w:val="17"/>
          <w:color w:val="auto"/>
        </w:rPr>
        <w:t>There are two categories of surgical intervention, resective, where obstructive tissue is removed at the time of intervention, and non-resective, where obstructive tissue is not removed, but rather the prostatic urethra is re-shaped.</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Resective Procedures</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Resective prostate procedures generally provide more significant and longer-lasting symptom relief than non-resective procedures, but may result in a higher incidence of irreversible complications, including urinary incontinence, erectile dysfunction and ejaculatory dysfunction.</w:t>
      </w:r>
    </w:p>
    <w:p>
      <w:pPr>
        <w:spacing w:after="0" w:line="100"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Resective surgeries may be performed endoscopically, allowing the procedure to be completed through a tubular instrument, or via an open or a laparoscopic procedure, called a simple prostatectomy.</w:t>
      </w:r>
    </w:p>
    <w:p>
      <w:pPr>
        <w:spacing w:after="0" w:line="100"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Endoscopic procedures access the prostate through the urethra, so no incisions are made in the patient’s abdomen. Common alternative endoscopic resective procedures include:</w:t>
      </w:r>
    </w:p>
    <w:p>
      <w:pPr>
        <w:spacing w:after="0" w:line="96" w:lineRule="exact"/>
        <w:rPr>
          <w:sz w:val="20"/>
          <w:szCs w:val="20"/>
          <w:color w:val="auto"/>
        </w:rPr>
      </w:pPr>
    </w:p>
    <w:p>
      <w:pPr>
        <w:ind w:left="620" w:right="220" w:hanging="307"/>
        <w:spacing w:after="0" w:line="272"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Transurethral Resection of the Prostate. </w:t>
      </w:r>
      <w:r>
        <w:rPr>
          <w:rFonts w:ascii="Times New Roman" w:cs="Times New Roman" w:eastAsia="Times New Roman" w:hAnsi="Times New Roman"/>
          <w:sz w:val="17"/>
          <w:szCs w:val="17"/>
          <w:color w:val="auto"/>
        </w:rPr>
        <w:t>TURP is a resective procedure which uses electrocautery to cut and remove prostate tissue. Despite being used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almost a century, this procedure is still the most frequently performed resective surgery and is considered the historical standard of care for the surgical treatment of BPH for prostates less than 80 ml.</w:t>
      </w:r>
    </w:p>
    <w:p>
      <w:pPr>
        <w:spacing w:after="0" w:line="108" w:lineRule="exact"/>
        <w:rPr>
          <w:rFonts w:ascii="Times New Roman" w:cs="Times New Roman" w:eastAsia="Times New Roman" w:hAnsi="Times New Roman"/>
          <w:sz w:val="17"/>
          <w:szCs w:val="17"/>
          <w:color w:val="auto"/>
        </w:rPr>
      </w:pPr>
    </w:p>
    <w:p>
      <w:pPr>
        <w:ind w:left="620" w:right="120" w:hanging="307"/>
        <w:spacing w:after="0" w:line="272"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Photoselective Vaporization of the Prostate, or PVP. </w:t>
      </w:r>
      <w:r>
        <w:rPr>
          <w:rFonts w:ascii="Times New Roman" w:cs="Times New Roman" w:eastAsia="Times New Roman" w:hAnsi="Times New Roman"/>
          <w:sz w:val="17"/>
          <w:szCs w:val="17"/>
          <w:color w:val="auto"/>
        </w:rPr>
        <w:t>PVP is a transurethral form of treatment that utilizes a laser fiber to vaporize prostate tissue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sequentially outwards until the surgeon creates a sufficient cavity through which the patient may now void. PVP is generally used in patients with small-to average-sized prostates and can be used in patients who are at high risk of bleeding complications.</w:t>
      </w:r>
    </w:p>
    <w:p>
      <w:pPr>
        <w:spacing w:after="0" w:line="108" w:lineRule="exact"/>
        <w:rPr>
          <w:rFonts w:ascii="Times New Roman" w:cs="Times New Roman" w:eastAsia="Times New Roman" w:hAnsi="Times New Roman"/>
          <w:sz w:val="17"/>
          <w:szCs w:val="17"/>
          <w:color w:val="auto"/>
        </w:rPr>
      </w:pPr>
    </w:p>
    <w:p>
      <w:pPr>
        <w:ind w:left="620" w:right="100" w:hanging="307"/>
        <w:spacing w:after="0" w:line="266"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Laser Enucleation of the Prostate. </w:t>
      </w:r>
      <w:r>
        <w:rPr>
          <w:rFonts w:ascii="Times New Roman" w:cs="Times New Roman" w:eastAsia="Times New Roman" w:hAnsi="Times New Roman"/>
          <w:sz w:val="17"/>
          <w:szCs w:val="17"/>
          <w:color w:val="auto"/>
        </w:rPr>
        <w:t>Laser enucleation utilizes a surgical laser to manually resect prostate tissue through the urethra. This procedure allows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surgeon to follow anatomic planes to separate entire lobes of the prostate. In general, separated prostate lobes are then pushed into the bladder and suctioned out via a special tool. Laser enucleation is prostate size-independent; however, this procedure is more commonly used in larger prostates, and adoption has been limited due to the high degree of skill, training and experience required.</w:t>
      </w:r>
    </w:p>
    <w:p>
      <w:pPr>
        <w:spacing w:after="0" w:line="117"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A simple prostatectomy is an invasive, open procedure that requires one or more incisions to be made in the patient’s abdomen to access and remove part or all of the prostate. This procedure is typically a last resort treatment for BPH in patients with very large prostates or those patients with severe complications due to BPH. This surgery may be done manually, or with the assistance of a robot, but in either case is a procedure that requires a high degree of surgeon skill.</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Non-Resective Procedures</w:t>
      </w:r>
    </w:p>
    <w:p>
      <w:pPr>
        <w:spacing w:after="0" w:line="169"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In non-resective procedures, prostate tissue is not removed at the time of surgery. By not removing tissue, symptom relief is generally less significant and durable compared to resective procedures. Non-resective procedures are generally approved for small- to average-sized prostates.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Alternative Surgical Interventions</w:t>
      </w:r>
    </w:p>
    <w:p>
      <w:pPr>
        <w:spacing w:after="0" w:line="171"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Two factors that surgeons and patients commonly consider when evaluating surgical intervention are efficacy and safety. Efficacy is generally measured by the degree and durability of symptom relief, and safety by the occurrence of irreversible complications such as urinary incontinence, erectile dysfunction and ejaculatory dysfunction. We believe that alternative surgical interventions for BPH require patients to compromise between efficacy and safety. 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regardless of surgeon experience level. We believe that the compromise and limitations associated with alternative surgical interventions have contributed to the relatively low penetration rate of surgical intervention.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of Endoscopic Resective Procedures</w:t>
      </w:r>
    </w:p>
    <w:p>
      <w:pPr>
        <w:spacing w:after="0" w:line="171" w:lineRule="exact"/>
        <w:rPr>
          <w:sz w:val="20"/>
          <w:szCs w:val="20"/>
          <w:color w:val="auto"/>
        </w:rPr>
      </w:pPr>
    </w:p>
    <w:p>
      <w:pPr>
        <w:ind w:right="360" w:firstLine="309"/>
        <w:spacing w:after="0" w:line="287" w:lineRule="auto"/>
        <w:rPr>
          <w:sz w:val="20"/>
          <w:szCs w:val="20"/>
          <w:color w:val="auto"/>
        </w:rPr>
      </w:pPr>
      <w:r>
        <w:rPr>
          <w:rFonts w:ascii="Times New Roman" w:cs="Times New Roman" w:eastAsia="Times New Roman" w:hAnsi="Times New Roman"/>
          <w:sz w:val="17"/>
          <w:szCs w:val="17"/>
          <w:color w:val="auto"/>
        </w:rPr>
        <w:t>While endoscopic resective surgeries such as TURP and laser-based procedures may provide BPH patients with durable symptom relief, these procedures have a number of limitations, including:</w:t>
      </w:r>
    </w:p>
    <w:p>
      <w:pPr>
        <w:spacing w:after="0" w:line="96" w:lineRule="exact"/>
        <w:rPr>
          <w:sz w:val="20"/>
          <w:szCs w:val="20"/>
          <w:color w:val="auto"/>
        </w:rPr>
      </w:pPr>
    </w:p>
    <w:p>
      <w:pPr>
        <w:ind w:left="620" w:hanging="307"/>
        <w:spacing w:after="0" w:line="261"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 rates of irreversible complications. </w:t>
      </w:r>
      <w:r>
        <w:rPr>
          <w:rFonts w:ascii="Times New Roman" w:cs="Times New Roman" w:eastAsia="Times New Roman" w:hAnsi="Times New Roman"/>
          <w:sz w:val="17"/>
          <w:szCs w:val="17"/>
          <w:color w:val="auto"/>
        </w:rPr>
        <w:t>Irreversible complications are a common side effect of endoscopic resective procedures. Published studies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shown rates of erectile dysfunction as high as 14%, 20% and 8%, ejaculatory dysfunction as high as 89%, 50% and 77%, and incontinence as high as 2%, 2%, and 33% for TURP, PVP and laser enucleation, respectively. We believe the high rates of irreversible complications are in large part due to these technologies utilizing heat to remove prostate tissue, which may lead to unintended thermal damage to critical parts of the anatomy. Furthermore, minimal intraoperative visualization, which is generally limited to a cystoscope, provides limited visibility of the prostate and makes it difficult for the surgeon to see and preserve</w:t>
      </w: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20"/>
        <w:spacing w:after="0" w:line="270" w:lineRule="auto"/>
        <w:rPr>
          <w:sz w:val="20"/>
          <w:szCs w:val="20"/>
          <w:color w:val="auto"/>
        </w:rPr>
      </w:pPr>
      <w:r>
        <w:rPr>
          <w:rFonts w:ascii="Times New Roman" w:cs="Times New Roman" w:eastAsia="Times New Roman" w:hAnsi="Times New Roman"/>
          <w:sz w:val="17"/>
          <w:szCs w:val="17"/>
          <w:color w:val="auto"/>
        </w:rPr>
        <w:t>critical parts of the prostate during tissue resection. This results in highly variable depth of tissue penetration, damage to tissue which may extend deeper than cavity created, a potential for unintended prostate capsule perforation, potential damage to nerve bundle responsible for erectile function, and delayed healing of prostatic urethra.</w:t>
      </w:r>
    </w:p>
    <w:p>
      <w:pPr>
        <w:spacing w:after="0" w:line="110" w:lineRule="exact"/>
        <w:rPr>
          <w:sz w:val="20"/>
          <w:szCs w:val="20"/>
          <w:color w:val="auto"/>
        </w:rPr>
      </w:pPr>
    </w:p>
    <w:p>
      <w:pPr>
        <w:ind w:left="620" w:right="40" w:hanging="307"/>
        <w:spacing w:after="0" w:line="27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Prostate size limitations. </w:t>
      </w:r>
      <w:r>
        <w:rPr>
          <w:rFonts w:ascii="Times New Roman" w:cs="Times New Roman" w:eastAsia="Times New Roman" w:hAnsi="Times New Roman"/>
          <w:sz w:val="17"/>
          <w:szCs w:val="17"/>
          <w:color w:val="auto"/>
        </w:rPr>
        <w:t>While TURP is considered the standard of care for surgical treatment of BPH, it is generally reserved for small- to average-sized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prostates below 80 ml given the length and manual nature of the procedure. For laser-based therapies, PVP is also most commonly used for small- to average-sized prostates, while laser enucleation is generally reserved for treating patients with larger prostates.</w:t>
      </w:r>
    </w:p>
    <w:p>
      <w:pPr>
        <w:spacing w:after="0" w:line="108" w:lineRule="exact"/>
        <w:rPr>
          <w:rFonts w:ascii="Times New Roman" w:cs="Times New Roman" w:eastAsia="Times New Roman" w:hAnsi="Times New Roman"/>
          <w:sz w:val="17"/>
          <w:szCs w:val="17"/>
          <w:color w:val="auto"/>
        </w:rPr>
      </w:pPr>
    </w:p>
    <w:p>
      <w:pPr>
        <w:ind w:left="620" w:hanging="307"/>
        <w:spacing w:after="0" w:line="261"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Experience dependent outcomes and long learning curves. </w:t>
      </w:r>
      <w:r>
        <w:rPr>
          <w:rFonts w:ascii="Times New Roman" w:cs="Times New Roman" w:eastAsia="Times New Roman" w:hAnsi="Times New Roman"/>
          <w:sz w:val="17"/>
          <w:szCs w:val="17"/>
          <w:color w:val="auto"/>
        </w:rPr>
        <w:t>Endoscopic resective procedures rely on manual resection of the prostate, with clinical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outcomes often highly dependent on the surgeon’s experience level. For example, a study of a large number of patients undergoing TURP found that the rate of reoperation was 1.2-fold higher in men treated by surgeons who had performed 172 or fewer TURP procedures versus surgeons that had performed more than 402 TURP procedures. In addition, a study of 200 procedures by a surgeon performing PVP showed that the surgeon required at least 120 procedures to achieve optimal clinical outcomes. Furthermore, a study of surgeons learning to perform laser enucleation demonstrated that one-third of the surgeons failed to complete the training program.</w:t>
      </w:r>
    </w:p>
    <w:p>
      <w:pPr>
        <w:spacing w:after="0" w:line="116" w:lineRule="exact"/>
        <w:rPr>
          <w:rFonts w:ascii="Times New Roman" w:cs="Times New Roman" w:eastAsia="Times New Roman" w:hAnsi="Times New Roman"/>
          <w:sz w:val="17"/>
          <w:szCs w:val="17"/>
          <w:color w:val="auto"/>
        </w:rPr>
      </w:pPr>
    </w:p>
    <w:p>
      <w:pPr>
        <w:jc w:val="both"/>
        <w:ind w:left="620" w:right="800" w:hanging="307"/>
        <w:spacing w:after="0" w:line="29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Inconsistent and lengthy resection times. </w:t>
      </w:r>
      <w:r>
        <w:rPr>
          <w:rFonts w:ascii="Times New Roman" w:cs="Times New Roman" w:eastAsia="Times New Roman" w:hAnsi="Times New Roman"/>
          <w:sz w:val="17"/>
          <w:szCs w:val="17"/>
          <w:color w:val="auto"/>
        </w:rPr>
        <w:t>Endoscopic resective procedures require manual resection of prostate tissue performed under limited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visualization. This manual process contributes to highly inconsistent and lengthy resection times that are strongly correlated with prostate size.</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Limitations of a Simple Prostatectomy</w:t>
      </w:r>
    </w:p>
    <w:p>
      <w:pPr>
        <w:spacing w:after="0" w:line="17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While a simple prostatectomy typically provides maximum symptom relief by removing part or all of the prostate gland, this procedure is generally considered a treatment of last resort reserved for patients with large prostates. Limitations of a simple prostatectomy include:</w:t>
      </w:r>
    </w:p>
    <w:p>
      <w:pPr>
        <w:spacing w:after="0" w:line="96" w:lineRule="exact"/>
        <w:rPr>
          <w:sz w:val="20"/>
          <w:szCs w:val="20"/>
          <w:color w:val="auto"/>
        </w:rPr>
      </w:pPr>
    </w:p>
    <w:p>
      <w:pPr>
        <w:ind w:left="620" w:right="40" w:hanging="307"/>
        <w:spacing w:after="0" w:line="29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Surgical safety concerns. </w:t>
      </w:r>
      <w:r>
        <w:rPr>
          <w:rFonts w:ascii="Times New Roman" w:cs="Times New Roman" w:eastAsia="Times New Roman" w:hAnsi="Times New Roman"/>
          <w:sz w:val="17"/>
          <w:szCs w:val="17"/>
          <w:color w:val="auto"/>
        </w:rPr>
        <w:t>Even when performed robotically, a simple prostatectomy still requires incisions to be made in the patient’s abdomen in order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access the prostate gland. Bleeding events are a key risk in these types of procedures, with transfusion rates as high as 25%.</w:t>
      </w:r>
    </w:p>
    <w:p>
      <w:pPr>
        <w:spacing w:after="0" w:line="91" w:lineRule="exact"/>
        <w:rPr>
          <w:rFonts w:ascii="Times New Roman" w:cs="Times New Roman" w:eastAsia="Times New Roman" w:hAnsi="Times New Roman"/>
          <w:sz w:val="17"/>
          <w:szCs w:val="17"/>
          <w:color w:val="auto"/>
        </w:rPr>
      </w:pPr>
    </w:p>
    <w:p>
      <w:pPr>
        <w:ind w:left="620" w:right="520" w:hanging="307"/>
        <w:spacing w:after="0" w:line="29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High rates of irreversible complications. </w:t>
      </w:r>
      <w:r>
        <w:rPr>
          <w:rFonts w:ascii="Times New Roman" w:cs="Times New Roman" w:eastAsia="Times New Roman" w:hAnsi="Times New Roman"/>
          <w:sz w:val="17"/>
          <w:szCs w:val="17"/>
          <w:color w:val="auto"/>
        </w:rPr>
        <w:t>Similar to endoscopic resective procedures, open procedures commonly result in high rates of irreversible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complications, with studies showing erectile, ejaculatory dysfunction and incontinence rates as high as 2-3%, 90% and 8%, respectively.</w:t>
      </w:r>
    </w:p>
    <w:p>
      <w:pPr>
        <w:spacing w:after="0" w:line="91" w:lineRule="exact"/>
        <w:rPr>
          <w:rFonts w:ascii="Times New Roman" w:cs="Times New Roman" w:eastAsia="Times New Roman" w:hAnsi="Times New Roman"/>
          <w:sz w:val="17"/>
          <w:szCs w:val="17"/>
          <w:color w:val="auto"/>
        </w:rPr>
      </w:pPr>
    </w:p>
    <w:p>
      <w:pPr>
        <w:ind w:left="620" w:right="540" w:hanging="307"/>
        <w:spacing w:after="0" w:line="292"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Long hospital stay and recovery time. </w:t>
      </w:r>
      <w:r>
        <w:rPr>
          <w:rFonts w:ascii="Times New Roman" w:cs="Times New Roman" w:eastAsia="Times New Roman" w:hAnsi="Times New Roman"/>
          <w:sz w:val="17"/>
          <w:szCs w:val="17"/>
          <w:color w:val="auto"/>
        </w:rPr>
        <w:t>Given the invasiveness of open procedures, long hospital stays and post-procedure recovery are common.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patients typically stay in the hospital for an average of five days after surgery and have long recovery times.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Solution</w:t>
      </w:r>
    </w:p>
    <w:p>
      <w:pPr>
        <w:spacing w:after="0" w:line="169" w:lineRule="exact"/>
        <w:rPr>
          <w:sz w:val="20"/>
          <w:szCs w:val="20"/>
          <w:color w:val="auto"/>
        </w:rPr>
      </w:pPr>
    </w:p>
    <w:p>
      <w:pPr>
        <w:ind w:right="60" w:firstLine="309"/>
        <w:spacing w:after="0" w:line="257" w:lineRule="auto"/>
        <w:rPr>
          <w:sz w:val="20"/>
          <w:szCs w:val="20"/>
          <w:color w:val="auto"/>
        </w:rPr>
      </w:pPr>
      <w:r>
        <w:rPr>
          <w:rFonts w:ascii="Times New Roman" w:cs="Times New Roman" w:eastAsia="Times New Roman" w:hAnsi="Times New Roman"/>
          <w:sz w:val="17"/>
          <w:szCs w:val="17"/>
          <w:color w:val="auto"/>
        </w:rPr>
        <w:t>We have developed the AquaBeam Robotic System, an advanced, image-guided, surgical robotic system for use in minimally invasive urologic surgery. Our proprietary AquaBeam Robotic System delivers our Aquablation therapy, the first and only image-guided robotic therapy for the treatment of BPH. We market the AquaBeam Robotic System in the United States pursuant to FDA De Novo grant that we received in December 2017. On August 30 2023, we received 510(k) clearance from FDA to remove the contraindication from our labeling that restricted Aquablation therapy from treating BPH in patients that also have an active diagnosis of prostate cancer.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20" w:firstLine="309"/>
        <w:spacing w:after="0" w:line="287" w:lineRule="auto"/>
        <w:rPr>
          <w:sz w:val="20"/>
          <w:szCs w:val="20"/>
          <w:color w:val="auto"/>
        </w:rPr>
      </w:pPr>
      <w:r>
        <w:rPr>
          <w:rFonts w:ascii="Times New Roman" w:cs="Times New Roman" w:eastAsia="Times New Roman" w:hAnsi="Times New Roman"/>
          <w:sz w:val="17"/>
          <w:szCs w:val="17"/>
          <w:color w:val="auto"/>
        </w:rPr>
        <w:t>The AquaBeam Robotic System combines the following highly differentiated features that are intended to deliver effective, safe and durable outcomes for males suffering from LUTS due to BPH that are consistent across all prostate sizes and shapes and resection independent of surgeon experience:</w:t>
      </w:r>
    </w:p>
    <w:p>
      <w:pPr>
        <w:spacing w:after="0" w:line="94" w:lineRule="exact"/>
        <w:rPr>
          <w:sz w:val="20"/>
          <w:szCs w:val="20"/>
          <w:color w:val="auto"/>
        </w:rPr>
      </w:pPr>
    </w:p>
    <w:p>
      <w:pPr>
        <w:ind w:left="620" w:right="200" w:hanging="307"/>
        <w:spacing w:after="0" w:line="294"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Real-time image guidance. </w:t>
      </w:r>
      <w:r>
        <w:rPr>
          <w:rFonts w:ascii="Times New Roman" w:cs="Times New Roman" w:eastAsia="Times New Roman" w:hAnsi="Times New Roman"/>
          <w:sz w:val="17"/>
          <w:szCs w:val="17"/>
          <w:color w:val="auto"/>
        </w:rPr>
        <w:t>Intraoperative ultrasound imaging combined with cystoscopic visualization, which provides a multidimensional view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treatment area, enabling improved decision-making and real-time treatment monitoring.</w:t>
      </w:r>
    </w:p>
    <w:p>
      <w:pPr>
        <w:spacing w:after="0" w:line="88" w:lineRule="exact"/>
        <w:rPr>
          <w:rFonts w:ascii="Times New Roman" w:cs="Times New Roman" w:eastAsia="Times New Roman" w:hAnsi="Times New Roman"/>
          <w:sz w:val="17"/>
          <w:szCs w:val="17"/>
          <w:color w:val="auto"/>
        </w:rPr>
      </w:pPr>
    </w:p>
    <w:p>
      <w:pPr>
        <w:ind w:left="620" w:right="560" w:hanging="307"/>
        <w:spacing w:after="0" w:line="294"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Personalized treatment planning. </w:t>
      </w:r>
      <w:r>
        <w:rPr>
          <w:rFonts w:ascii="Times New Roman" w:cs="Times New Roman" w:eastAsia="Times New Roman" w:hAnsi="Times New Roman"/>
          <w:sz w:val="17"/>
          <w:szCs w:val="17"/>
          <w:color w:val="auto"/>
        </w:rPr>
        <w:t>Using ultrasound imaging integrated with advanced planning software, the surgeon is able to map the treatment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contour that precisely targets the resection area, personalizing the optimal tissue removal plan based on each patient’s unique anatomy.</w:t>
      </w:r>
    </w:p>
    <w:p>
      <w:pPr>
        <w:spacing w:after="0" w:line="88" w:lineRule="exact"/>
        <w:rPr>
          <w:rFonts w:ascii="Times New Roman" w:cs="Times New Roman" w:eastAsia="Times New Roman" w:hAnsi="Times New Roman"/>
          <w:sz w:val="17"/>
          <w:szCs w:val="17"/>
          <w:color w:val="auto"/>
        </w:rPr>
      </w:pPr>
    </w:p>
    <w:p>
      <w:pPr>
        <w:ind w:left="620" w:right="300" w:hanging="307"/>
        <w:spacing w:after="0" w:line="294"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Automated robotic execution. </w:t>
      </w:r>
      <w:r>
        <w:rPr>
          <w:rFonts w:ascii="Times New Roman" w:cs="Times New Roman" w:eastAsia="Times New Roman" w:hAnsi="Times New Roman"/>
          <w:sz w:val="17"/>
          <w:szCs w:val="17"/>
          <w:color w:val="auto"/>
        </w:rPr>
        <w:t>Once the treatment plan is finalized, the robot automatically executes the plan, guiding the precisely calibrated waterjet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speed and accuracy while the surgeon monitors.</w:t>
      </w:r>
    </w:p>
    <w:p>
      <w:pPr>
        <w:spacing w:after="0" w:line="88" w:lineRule="exact"/>
        <w:rPr>
          <w:rFonts w:ascii="Times New Roman" w:cs="Times New Roman" w:eastAsia="Times New Roman" w:hAnsi="Times New Roman"/>
          <w:sz w:val="17"/>
          <w:szCs w:val="17"/>
          <w:color w:val="auto"/>
        </w:rPr>
      </w:pPr>
    </w:p>
    <w:p>
      <w:pPr>
        <w:ind w:left="620" w:right="300" w:hanging="307"/>
        <w:spacing w:after="0" w:line="294"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Heat-free waterjet resection. </w:t>
      </w:r>
      <w:r>
        <w:rPr>
          <w:rFonts w:ascii="Times New Roman" w:cs="Times New Roman" w:eastAsia="Times New Roman" w:hAnsi="Times New Roman"/>
          <w:sz w:val="17"/>
          <w:szCs w:val="17"/>
          <w:color w:val="auto"/>
        </w:rPr>
        <w:t>Utilizing the unique power of a pulsating waterjet near the speed of sound, Aquablation therapy removes prostatic tissue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a heat-free waterjet, minimizing the risk of complications arising from prolonged thermal injury.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Components of the AquaBeam Robotic System</w:t>
      </w:r>
    </w:p>
    <w:p>
      <w:pPr>
        <w:spacing w:after="0" w:line="171" w:lineRule="exact"/>
        <w:rPr>
          <w:sz w:val="20"/>
          <w:szCs w:val="20"/>
          <w:color w:val="auto"/>
        </w:rPr>
      </w:pPr>
    </w:p>
    <w:p>
      <w:pPr>
        <w:ind w:right="520" w:firstLine="309"/>
        <w:spacing w:after="0" w:line="287" w:lineRule="auto"/>
        <w:rPr>
          <w:sz w:val="20"/>
          <w:szCs w:val="20"/>
          <w:color w:val="auto"/>
        </w:rPr>
      </w:pPr>
      <w:r>
        <w:rPr>
          <w:rFonts w:ascii="Times New Roman" w:cs="Times New Roman" w:eastAsia="Times New Roman" w:hAnsi="Times New Roman"/>
          <w:sz w:val="17"/>
          <w:szCs w:val="17"/>
          <w:color w:val="auto"/>
        </w:rPr>
        <w:t>The AquaBeam Robotic System is highly mobile and compact, requiring no retrofitting of the operating room. The main components of the AquaBeam Robotic System are the conformal planning unit, or CPU, console, motorpack and handpiece with integrated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2032000</wp:posOffset>
            </wp:positionH>
            <wp:positionV relativeFrom="paragraph">
              <wp:posOffset>73660</wp:posOffset>
            </wp:positionV>
            <wp:extent cx="3274695" cy="2783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278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The CPU serves as the primary user interface of the AquaBeam Robotic System, displaying live transrectal ultrasound, or TRUS, video which allows the surgeon to visualize the prostate and surrounding structures, identify key anatomical markers and personalize the resection based on the patient’s unique anatomy. Through an intuitive user interface, the CPU allows the surgeon to map the contour of the prostate and plan the resection pathway by selecting the resection angles, length and depth. During the procedure, the surgeon utilizes the CPU to observe the progress of the resection in real time and has the option to make adjustments to the treatment area as needed.</w:t>
      </w:r>
    </w:p>
    <w:p>
      <w:pPr>
        <w:spacing w:after="0" w:line="123"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The console contains a high-pressure pumping system that is responsible for generating the high-velocity waterjet used in Aquablation therapy. The console interfaces with both the CPU and motorpack and handpiece assembly, generating the water flow rates based on instructions received from the CPU. The console is activated by a foot pedal and has a small screen that displays the pump level and procedure mode.</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40" w:firstLine="309"/>
        <w:spacing w:after="0" w:line="270" w:lineRule="auto"/>
        <w:rPr>
          <w:sz w:val="20"/>
          <w:szCs w:val="20"/>
          <w:color w:val="auto"/>
        </w:rPr>
      </w:pPr>
      <w:r>
        <w:rPr>
          <w:rFonts w:ascii="Times New Roman" w:cs="Times New Roman" w:eastAsia="Times New Roman" w:hAnsi="Times New Roman"/>
          <w:sz w:val="17"/>
          <w:szCs w:val="17"/>
          <w:color w:val="auto"/>
        </w:rPr>
        <w:t>The motorpack is connected to the console with a flexible cable that provides power and control instructions to the motorpack. The motorpack consists of a motor control system that drives the movement and position of the waterjet nozzle in the handpiece. The motorpack has buttons that allow a surgeon to manually increase or decrease the pump power level during resection, if needed.</w:t>
      </w:r>
    </w:p>
    <w:p>
      <w:pPr>
        <w:spacing w:after="0" w:line="114"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The handpiece is the sterile, single-use component of the AquaBeam Robotic System that delivers the high-velocity waterjet. The tip of the handpiece is inserted transurethrally into the patient, advanced through the prostatic urethra into the bladder and positioned using both TRUS imaging and cystoscopic guidance from the integrated, reusable scope.</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AquaBeam Robotic System also includes a customized ultrasound set through which ultrasound images are integrated with our system.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Key Benefits of Aquablation Therapy</w:t>
      </w:r>
    </w:p>
    <w:p>
      <w:pPr>
        <w:spacing w:after="0" w:line="249" w:lineRule="exact"/>
        <w:rPr>
          <w:sz w:val="20"/>
          <w:szCs w:val="20"/>
          <w:color w:val="auto"/>
        </w:rPr>
      </w:pPr>
    </w:p>
    <w:p>
      <w:pPr>
        <w:ind w:right="420" w:firstLine="309"/>
        <w:spacing w:after="0" w:line="287" w:lineRule="auto"/>
        <w:rPr>
          <w:sz w:val="20"/>
          <w:szCs w:val="20"/>
          <w:color w:val="auto"/>
        </w:rPr>
      </w:pPr>
      <w:r>
        <w:rPr>
          <w:rFonts w:ascii="Times New Roman" w:cs="Times New Roman" w:eastAsia="Times New Roman" w:hAnsi="Times New Roman"/>
          <w:sz w:val="17"/>
          <w:szCs w:val="17"/>
          <w:color w:val="auto"/>
        </w:rPr>
        <w:t>We believe our Aquablation therapy addresses the compromise between safety and efficacy of alternative surgical interventions, providing the following unique benefits:</w:t>
      </w:r>
    </w:p>
    <w:p>
      <w:pPr>
        <w:spacing w:after="0" w:line="197"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and durable symptom relief;</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favorable safety profile compared to other BPH resective procedures;</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outcomes consistent across all prostate sizes and shapes and resection independent of surgeon experience;</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personalized treatment planning and improved decision-making; and</w:t>
      </w:r>
    </w:p>
    <w:p>
      <w:pPr>
        <w:spacing w:after="0" w:line="14" w:lineRule="exact"/>
        <w:rPr>
          <w:rFonts w:ascii="Arial" w:cs="Arial" w:eastAsia="Arial" w:hAnsi="Arial"/>
          <w:sz w:val="21"/>
          <w:szCs w:val="21"/>
          <w:color w:val="auto"/>
        </w:rPr>
      </w:pPr>
    </w:p>
    <w:p>
      <w:pPr>
        <w:ind w:left="620" w:hanging="307"/>
        <w:spacing w:after="0" w:line="229" w:lineRule="auto"/>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targeted and controlled resection with consistent resection times.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Clinical Results and Studies</w:t>
      </w:r>
    </w:p>
    <w:p>
      <w:pPr>
        <w:spacing w:after="0" w:line="247"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A significant body of clinical evidence supports the efficacy, safety and durability of Aquablation therapy across prostate sizes and shapes as well as surgeon experience. This robust body of evidence includes more than 150 peer-reviewed publications in premier journals, such as the Journal of Urology, European Urology and BJU International, as well as nine clinical studies, including our three core studies: WATER, WATER II and OPEN WATER.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Prostate Therapy</w:t>
      </w:r>
    </w:p>
    <w:p>
      <w:pPr>
        <w:spacing w:after="0" w:line="243" w:lineRule="exact"/>
        <w:rPr>
          <w:sz w:val="20"/>
          <w:szCs w:val="20"/>
          <w:color w:val="auto"/>
        </w:rPr>
      </w:pPr>
    </w:p>
    <w:p>
      <w:pPr>
        <w:ind w:left="620" w:hanging="307"/>
        <w:spacing w:after="0" w:line="26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WATER. </w:t>
      </w:r>
      <w:r>
        <w:rPr>
          <w:rFonts w:ascii="Times New Roman" w:cs="Times New Roman" w:eastAsia="Times New Roman" w:hAnsi="Times New Roman"/>
          <w:sz w:val="17"/>
          <w:szCs w:val="17"/>
          <w:color w:val="auto"/>
        </w:rPr>
        <w:t>The WATER study was double-blind, randomized, controlled study of Aquablation therapy against TURP in men with prostate sizes between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ml and 80 ml. This study is the only FDA pivotal trial for BPH randomized against TURP. The study was designed with 80% power to show superiority in safety and more than 80% power to show non-inferiority in efficacy. The results of our WATER study served as the basis for FDA grant of our De Novo request and were first published in the Journal of Urology in 2018. The study has concluded with five-year data.</w:t>
      </w:r>
    </w:p>
    <w:p>
      <w:pPr>
        <w:spacing w:after="0" w:line="187" w:lineRule="exact"/>
        <w:rPr>
          <w:rFonts w:ascii="Times New Roman" w:cs="Times New Roman" w:eastAsia="Times New Roman" w:hAnsi="Times New Roman"/>
          <w:sz w:val="17"/>
          <w:szCs w:val="17"/>
          <w:color w:val="auto"/>
        </w:rPr>
      </w:pPr>
    </w:p>
    <w:p>
      <w:pPr>
        <w:ind w:left="620" w:right="140" w:hanging="307"/>
        <w:spacing w:after="0" w:line="267" w:lineRule="auto"/>
        <w:tabs>
          <w:tab w:leader="none" w:pos="616"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WATER II. </w:t>
      </w:r>
      <w:r>
        <w:rPr>
          <w:rFonts w:ascii="Times New Roman" w:cs="Times New Roman" w:eastAsia="Times New Roman" w:hAnsi="Times New Roman"/>
          <w:sz w:val="17"/>
          <w:szCs w:val="17"/>
          <w:color w:val="auto"/>
        </w:rPr>
        <w:t>The WATER II study was a prospective, multicenter study of Aquablation therapy in patients with prostate sizes between 80 ml and 150 ml.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study was designed with 80% power for safety and 99% power for efficacy against an objective performance criteria, or OPC, based upon TURP data, even though TURP procedures are typically performed in smaller prostates. The results of the WATER II study served as the basis for increased reimbursement and coverage and were first published in BJU International in 2019. The study has concluded with five-year data.</w:t>
      </w:r>
    </w:p>
    <w:p>
      <w:pPr>
        <w:spacing w:after="0" w:line="187" w:lineRule="exact"/>
        <w:rPr>
          <w:rFonts w:ascii="Times New Roman" w:cs="Times New Roman" w:eastAsia="Times New Roman" w:hAnsi="Times New Roman"/>
          <w:sz w:val="17"/>
          <w:szCs w:val="17"/>
          <w:b w:val="1"/>
          <w:bCs w:val="1"/>
          <w:i w:val="1"/>
          <w:iCs w:val="1"/>
          <w:color w:val="auto"/>
        </w:rPr>
      </w:pPr>
    </w:p>
    <w:p>
      <w:pPr>
        <w:ind w:left="620" w:right="200" w:hanging="307"/>
        <w:spacing w:after="0" w:line="26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OPEN WATER. </w:t>
      </w:r>
      <w:r>
        <w:rPr>
          <w:rFonts w:ascii="Times New Roman" w:cs="Times New Roman" w:eastAsia="Times New Roman" w:hAnsi="Times New Roman"/>
          <w:sz w:val="17"/>
          <w:szCs w:val="17"/>
          <w:color w:val="auto"/>
        </w:rPr>
        <w:t>The OPEN WATER study was a prospective, multicenter, all-comer study conducted in a commercial setting spanning patients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prostate sizes between 20 ml and 150 ml. Due to the size of this study, it was sufficiently powered to statistical conclusions with the data. There was no OPC established for this study. The results of the OPEN WATER study were first published in Journal of Clinical Medicine in 2020. The study has concluded with one-year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Cancer Therapy</w:t>
      </w:r>
    </w:p>
    <w:p>
      <w:pPr>
        <w:spacing w:after="0" w:line="243" w:lineRule="exact"/>
        <w:rPr>
          <w:sz w:val="20"/>
          <w:szCs w:val="20"/>
          <w:color w:val="auto"/>
        </w:rPr>
      </w:pPr>
    </w:p>
    <w:p>
      <w:pPr>
        <w:ind w:left="620" w:right="460" w:hanging="307"/>
        <w:spacing w:after="0" w:line="294"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PRCT001</w:t>
      </w:r>
      <w:r>
        <w:rPr>
          <w:rFonts w:ascii="Times New Roman" w:cs="Times New Roman" w:eastAsia="Times New Roman" w:hAnsi="Times New Roman"/>
          <w:sz w:val="17"/>
          <w:szCs w:val="17"/>
          <w:color w:val="auto"/>
        </w:rPr>
        <w:t>. The PRCT001 study is a global, prospective, post-market, multi-center study of Aquablation therapy in patients with BPH and localized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prostate cancer. The study is designed to assess safety in this population. The</w:t>
      </w: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samples size of the study is 125 and is planned to be conducted in the United States, Hong Kong, Lebanon, and Portugal.</w:t>
      </w:r>
    </w:p>
    <w:p>
      <w:pPr>
        <w:spacing w:after="0" w:line="237" w:lineRule="exact"/>
        <w:rPr>
          <w:sz w:val="20"/>
          <w:szCs w:val="20"/>
          <w:color w:val="auto"/>
        </w:rPr>
      </w:pPr>
    </w:p>
    <w:p>
      <w:pPr>
        <w:jc w:val="both"/>
        <w:ind w:left="620" w:right="240" w:hanging="307"/>
        <w:spacing w:after="0" w:line="27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PRCT002</w:t>
      </w:r>
      <w:r>
        <w:rPr>
          <w:rFonts w:ascii="Times New Roman" w:cs="Times New Roman" w:eastAsia="Times New Roman" w:hAnsi="Times New Roman"/>
          <w:sz w:val="17"/>
          <w:szCs w:val="17"/>
          <w:color w:val="auto"/>
        </w:rPr>
        <w:t>. The PRCT002 study is a investigational device exemption, or IDE (G230155), prospective, post-market, multi-center study of Aquablation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therapy in patients with localized prostate cancer. The study is designed to assess feasibility for the treatment of prostate cancer. The sample size of the study is twenty and is planned to enroll across five United States centers.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Activities in the United States</w:t>
      </w:r>
    </w:p>
    <w:p>
      <w:pPr>
        <w:spacing w:after="0" w:line="171"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We designed our commercial strategy and built our direct sales team to target primarily urologists across the United States, who we believe represent the primary physician specialty managing the care of patients with BPH. We estimate that there are approximately 12,000 urologists who manage approximately 4.3 million BPH patients, comprised of 400,000 undergoing BPH surgery annually, 3.3 million who are on drug therapy and 600,000 who have tried but failed drug therapy. We are first focused on driving adoption of Aquablation therapy among urologists who perform hospital-based BPH resective surgery. We estimate that approximately 290,000 of the 400,000 annual BPH surgeries are resective procedures performed across approximately 2,700 hospitals. We are initially targeting 860 high-volume hospitals that perform, on average, more than 200 resective procedures annually and account for approximately 70% of all hospital-based resective procedures. Additionally, there are approximately 1,840 U.S. hospitals that perform the remaining 30% of resective BPH procedures we are also targeting Within each hospital, we are focused on targeting urologists who perform medium-to-high volumes of resective procedures and converting their resective cases to Aquablation therapy. As urologists gain experience with Aquablation therapy, we will leverage their experiences to capture more surgical volumes and establish Aquablation therapy as the surgical standard of care. We also intend to leverage our relationships with urologists to drive utilization of Aquablation therapy beyond the current surgical market.</w:t>
      </w:r>
    </w:p>
    <w:p>
      <w:pPr>
        <w:spacing w:after="0" w:line="130"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Our direct sales organization actively engages with providers to drive awareness, adoption and utilization of our Aquablation therapy. This team is supported by clinical specialists who are responsible for training and supporting surgeons, reimbursement specialists, who are responsible for customer and physician education on coding, coverage and payment, and field support employees, who provide preventative maintenance and technical support for our customers. We intend to expand the size of our direct sales organization to support our efforts for adoption and utilization of Aquablation therapy.</w:t>
      </w:r>
    </w:p>
    <w:p>
      <w:pPr>
        <w:spacing w:after="0" w:line="120"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In addition to our direct sales efforts, we support our sales organization with marketing and market development initiatives. We plan to continue to expand and enhance our marketing capabilities to support our growing commercial organization and customer base. Our near-term marketing efforts center principally on increasing awareness and driving adoption of Aquablation therapy among urologists by continuing to publish clinical data in various industry and scientific journals, present our clinical data at various industry conferences, expand our network of KOLs and sponsor peer-to-peer education programs and proctorships. We believe these initiatives will further deepen our relationships with urologists and key medical societies, contributing to our goal of Aquablation therapy becoming the surgical standard of care for BPH surgery. Longer-term, as we expand our network of urologists and grow our installed base, we intend to increase awareness and brand recognition of Aquablation therapy beyond urologists, primarily among primary care physicians who manage BPH patients. To achieve this objective, we will invest in marketing initiatives directed at primary care physicians in order to expand networks for BPH patients to visit a urologist. Once we have established a broader installed base of systems, we may seek to further increase patient awareness through various direct-to-patient marketing initiatives.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Activities Outside of the United States</w:t>
      </w:r>
    </w:p>
    <w:p>
      <w:pPr>
        <w:spacing w:after="0" w:line="171"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Our commercialization strategy outside the United States is focused on large addressable markets through a broad range of market development activities, including increasing awareness, obtaining regulatory approvals and establishing reimbursement. We sell our products using both our direct sales organization and, in certain regions, our network of distribution partners.</w:t>
      </w:r>
    </w:p>
    <w:p>
      <w:pPr>
        <w:spacing w:after="0" w:line="114"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We engage distribution partners to assist us with market development and sales activities. As of December 31, 2023, we employed 16 personnel to support sales and marketing activities in EMEA. We will opportunistically choose distribution partners with clinical and marketing expertise to enter new markets. We are focused on distribution partners that have the capability to assist with surgeon training and, when required, obtaining regulatory approvals.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Third-Party Reimbursement</w:t>
      </w:r>
    </w:p>
    <w:p>
      <w:pPr>
        <w:spacing w:after="0" w:line="169" w:lineRule="exact"/>
        <w:rPr>
          <w:sz w:val="20"/>
          <w:szCs w:val="20"/>
          <w:color w:val="auto"/>
        </w:rPr>
      </w:pPr>
    </w:p>
    <w:p>
      <w:pPr>
        <w:ind w:right="80" w:firstLine="309"/>
        <w:spacing w:after="0" w:line="264" w:lineRule="auto"/>
        <w:rPr>
          <w:sz w:val="20"/>
          <w:szCs w:val="20"/>
          <w:color w:val="auto"/>
        </w:rPr>
      </w:pPr>
      <w:r>
        <w:rPr>
          <w:rFonts w:ascii="Times New Roman" w:cs="Times New Roman" w:eastAsia="Times New Roman" w:hAnsi="Times New Roman"/>
          <w:sz w:val="17"/>
          <w:szCs w:val="17"/>
          <w:color w:val="auto"/>
        </w:rPr>
        <w:t>In the United States, we sell our products to hospitals. These customers in turn bill various third-party payors, such as commercial payors and government agencies, for reimbursement for the procedures using our products. Our market access team includes professionals who are focused on all key aspects of reimbursement, which include securing appropriate coding, payment and coverage policies for our products and procedures using our products. This team focuses both on payer engagement as well as providing support to the providers.</w:t>
      </w:r>
    </w:p>
    <w:p>
      <w:pPr>
        <w:spacing w:after="0" w:line="120"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Coverage and reimbursement by governmental and third-party payors may depend upon a number of factors, including the determination that the product or service and its use or administration for a particular patient is:</w:t>
      </w:r>
    </w:p>
    <w:p>
      <w:pPr>
        <w:spacing w:after="0" w:line="100"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supported by guidelines established by the relevant professional societies;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165"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exists among third-party payors. Therefore, coverage and reimbursement for procedures can differ significantly from payor to payor. Obtaining coverage and reimbursement can be a time-consuming process that could require supporting scientific, clinical and cost-effectiveness data.</w:t>
      </w:r>
    </w:p>
    <w:p>
      <w:pPr>
        <w:spacing w:after="0" w:line="120"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Payors continually review new and existing technologies for possible coverage and can, without notice, deny or reverse coverage for new or existing products and procedures. Further, future coverage and reimbursement may be subject to increased restrictions, such as additional prior authorization requirements, both in the United States and in international markets. In addition, Medicare Administrative Contractors could issue a local coverage determination decision that could restrict the patients eligible for a treatment with our products. Third-party coverage and reimbursement may not be available or adequate in either the United States or international markets. Further, other BPH treatments may be more widely covered or subject to different co-pay policies and requirements, which could impact demand for our products.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Coding and Payment</w:t>
      </w:r>
    </w:p>
    <w:p>
      <w:pPr>
        <w:spacing w:after="0" w:line="171"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Third-party payors require physicians and hospitals to identify the service for which they are seeking reimbursement by using Current Procedural Terminology, or CPT, codes, which are created and maintained by the American Medical Association, or AMA. The surgical treatment of BPH using Aquablation therapy is described by CPT code 0421T, which is the code describing transurethral waterjet ablation of the prostate, a Category III code published by the AMA in January 2017. In February 2021, the AMA approved an extension for CPT code 0421T through December 31, 2026.</w:t>
      </w:r>
    </w:p>
    <w:p>
      <w:pPr>
        <w:spacing w:after="0" w:line="120" w:lineRule="exact"/>
        <w:rPr>
          <w:sz w:val="20"/>
          <w:szCs w:val="20"/>
          <w:color w:val="auto"/>
        </w:rPr>
      </w:pPr>
    </w:p>
    <w:p>
      <w:pPr>
        <w:ind w:right="200" w:firstLine="309"/>
        <w:spacing w:after="0" w:line="270" w:lineRule="auto"/>
        <w:rPr>
          <w:sz w:val="20"/>
          <w:szCs w:val="20"/>
          <w:color w:val="auto"/>
        </w:rPr>
      </w:pPr>
      <w:r>
        <w:rPr>
          <w:rFonts w:ascii="Times New Roman" w:cs="Times New Roman" w:eastAsia="Times New Roman" w:hAnsi="Times New Roman"/>
          <w:sz w:val="17"/>
          <w:szCs w:val="17"/>
          <w:color w:val="auto"/>
        </w:rPr>
        <w:t>Physician reimbursement under Medicare generally is based on a defined fee schedule, the Medicare Physician Fee Schedule, through which payment amounts are determined by the relative values of the professional service rendered. Physician payment rates for Category III codes are determined by the MACs and vary from jurisdiction to jurisdiction. The payment to the surgeon using CPT code 0421T is currently similar to that for a TURP procedure.</w:t>
      </w:r>
    </w:p>
    <w:p>
      <w:pPr>
        <w:spacing w:after="0" w:line="114" w:lineRule="exact"/>
        <w:rPr>
          <w:sz w:val="20"/>
          <w:szCs w:val="20"/>
          <w:color w:val="auto"/>
        </w:rPr>
      </w:pPr>
    </w:p>
    <w:p>
      <w:pPr>
        <w:jc w:val="both"/>
        <w:ind w:right="60" w:firstLine="309"/>
        <w:spacing w:after="0" w:line="260" w:lineRule="auto"/>
        <w:rPr>
          <w:sz w:val="20"/>
          <w:szCs w:val="20"/>
          <w:color w:val="auto"/>
        </w:rPr>
      </w:pPr>
      <w:r>
        <w:rPr>
          <w:rFonts w:ascii="Times New Roman" w:cs="Times New Roman" w:eastAsia="Times New Roman" w:hAnsi="Times New Roman"/>
          <w:sz w:val="17"/>
          <w:szCs w:val="17"/>
          <w:color w:val="auto"/>
        </w:rPr>
        <w:t>In addition to payment to the surgeon for professional services, Medicare provides reimbursement to our hospital customers for procedures under the hospital outpatient prospective payment system, or HOPPS, and inpatient prospective payment system, or IPPS. The HOPPS and IPPS provide bundled amounts generally intended to reimburse the hospital for all facility costs related to procedures performed in the hospital outpatient setting and inpatient setting, respectively.</w:t>
      </w:r>
    </w:p>
    <w:p>
      <w:pPr>
        <w:ind w:right="420"/>
        <w:spacing w:after="0" w:line="266" w:lineRule="auto"/>
        <w:rPr>
          <w:sz w:val="20"/>
          <w:szCs w:val="20"/>
          <w:color w:val="auto"/>
        </w:rPr>
      </w:pPr>
      <w:r>
        <w:rPr>
          <w:rFonts w:ascii="Times New Roman" w:cs="Times New Roman" w:eastAsia="Times New Roman" w:hAnsi="Times New Roman"/>
          <w:sz w:val="17"/>
          <w:szCs w:val="17"/>
          <w:color w:val="auto"/>
        </w:rPr>
        <w:t>Medicare also provides reimbursement for procedures performed in ASCs. Reimbursement rates from commercial payors vary depending on the commercial payor, contract terms, and other factors.</w:t>
      </w: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Payor and Government Program Coverage</w:t>
      </w:r>
    </w:p>
    <w:p>
      <w:pPr>
        <w:spacing w:after="0" w:line="171"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A core pillar of our reimbursement strategy involves broadening our third-party payor coverage. We continue to have active discussions with commercial payors to establish positive national coverage policies by highlighting our compelling and robust clinical data, increased patient demand and support from leading medical societies and key opinion leaders.</w:t>
      </w:r>
    </w:p>
    <w:p>
      <w:pPr>
        <w:spacing w:after="0" w:line="114" w:lineRule="exact"/>
        <w:rPr>
          <w:sz w:val="20"/>
          <w:szCs w:val="20"/>
          <w:color w:val="auto"/>
        </w:rPr>
      </w:pPr>
    </w:p>
    <w:p>
      <w:pPr>
        <w:ind w:right="360" w:firstLine="309"/>
        <w:spacing w:after="0" w:line="287" w:lineRule="auto"/>
        <w:rPr>
          <w:sz w:val="20"/>
          <w:szCs w:val="20"/>
          <w:color w:val="auto"/>
        </w:rPr>
      </w:pPr>
      <w:r>
        <w:rPr>
          <w:rFonts w:ascii="Times New Roman" w:cs="Times New Roman" w:eastAsia="Times New Roman" w:hAnsi="Times New Roman"/>
          <w:sz w:val="17"/>
          <w:szCs w:val="17"/>
          <w:color w:val="auto"/>
        </w:rPr>
        <w:t>As of December 27, 2020, all MACs cover procedures involving Aquablation therapy are covered for Medicare patients (including Medicare Advantage plans). We believe Medicare accounts for approximately 50% of all hospital-based resective BPH procedures performed in the United States.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Prior Authorization Approval Process</w:t>
      </w:r>
    </w:p>
    <w:p>
      <w:pPr>
        <w:spacing w:after="0" w:line="171"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For certain customers, our reimbursement strategy includes leveraging our market access team as advisors when needed to support in obtaining appropriate prior authorization approvals in advance of treatment. We believe we are highly effective in providing guidance to obtain prior authorizations when needed.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Outside of the United States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Outside of the United States, reimbursement levels vary significantly by country, and within some countries by region, as well as by payor type.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Reimbursement is obtained from a variety of sources, including government sponsors, hospital budgets or private health insurance plans, or combinations thereof.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Obtaining reimbursement is a key part of our market development strategy outside of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69"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We have established a dedicated research and development team with strong capabilities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w:t>
      </w:r>
    </w:p>
    <w:p>
      <w:pPr>
        <w:spacing w:after="0" w:line="114"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To improve customer experience, we are continually innovating our 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enable artificial intelligence assisted anatomy recognition and improved treatment planning and personalization. We are evaluating the application of the AquaBeam Robotic System in prostate cancer.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and Supply</w:t>
      </w:r>
    </w:p>
    <w:p>
      <w:pPr>
        <w:spacing w:after="0" w:line="169"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We directly manufacture the AquaBeam Robotic System, the handpiece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probes. We utilize a well-known third-party logistics provider located in United States and the Netherlands to ship our products to our customers globally. We rely on third-party suppliers, almost all of whom are single source suppliers, to provide us with certain components, sub-assemblies and materials for our products. Currently our principal suppliers include Shantou Institute of Ultrasonic Instruments Co. Ltd. (which manufactures our transrectal ultrasound set), Myriad Fiber Imaging Tech., Inc. (which manufactures our integrated scope), HydroCision, Inc. (which manufactures our pump cartridge), and Medical Targeting Technologies GmbH (which manufactures our articulating arms). Our suppliers manufacture the components they produce for us and test our components and devices to our specifications. We have entered into manufacturing and supply agreements with several of our single-source suppliers pursuant to which they supply the components we need. In addition, we intend to maintain sufficient levels of inventory to enable us to continue our operations while we obtain another supplier in the event that one or more of our single-source suppliers were to encounter a delay in supply or end supply.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69" w:lineRule="exact"/>
        <w:rPr>
          <w:sz w:val="20"/>
          <w:szCs w:val="20"/>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The industry in which we operate is subject to rapid change from the introduction of new products and technologies and other activities of industry participants. While we believe Aquablation therapy and the AquaBeam Robotic System provide us with a competitive advantage against other competing BPH treatment modalities, our currently marketed products are, and any future products we commercialize will be, subject to intense competition.</w:t>
      </w:r>
    </w:p>
    <w:p>
      <w:pPr>
        <w:spacing w:after="0" w:line="200" w:lineRule="exact"/>
        <w:rPr>
          <w:sz w:val="20"/>
          <w:szCs w:val="20"/>
          <w:color w:val="auto"/>
        </w:rPr>
      </w:pPr>
    </w:p>
    <w:p>
      <w:pPr>
        <w:spacing w:after="0" w:line="32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Certain of our current and potential competitors may have significantly greater financial, technical, marketing and other resources than we do and may be able to devote greater resources to the development, regulatory approval, promotion, sale and support of their products. Our competitors may also have more extensive customer bases and broader customer relationships than we do, including relationships with our potential customers. In addition, many of these companies have longer operating histories and greater brand recognition than we do. Additionally, many of these companies have overcome reimbursement barriers and their procedures are covered by nearly all major insurance carriers. Because of the size of the BPH market, we anticipate that companies will dedicate significant resources to developing competing products.</w:t>
      </w:r>
    </w:p>
    <w:p>
      <w:pPr>
        <w:spacing w:after="0" w:line="122"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We consider our primary competition to be resective surgical treatments. These include among others, those manufacturers producing devices for the TURP procedure and laser-based therapies marketed by Boston Scientific Corporation. We also believe we will eventually compete with non-resective and non-surgical treatments. The non-resective treatments include, among others, UroLift marketed by Teleflex Incorporated and Rezum marketed by Boston Scientific Corporation. Non-surgical treatments for BPH are primarily pharmaceuticals.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that the primary basis on which we compete include:</w:t>
      </w:r>
    </w:p>
    <w:p>
      <w:pPr>
        <w:spacing w:after="0" w:line="165"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outcomes for patients;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efficacy, reliability and durability;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and volume of clinical data;</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marketing to and education of patients, physicians and hospitals;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product and brand recognition;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force experience and access;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support and service;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innovation, product enhancements and speed of innovation;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and revenue strategies;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of reimbursement teams and strategies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status and speed to market;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dedicated clinical representatives.</w:t>
      </w:r>
    </w:p>
    <w:p>
      <w:pPr>
        <w:spacing w:after="0" w:line="165" w:lineRule="exact"/>
        <w:rPr>
          <w:sz w:val="20"/>
          <w:szCs w:val="20"/>
          <w:color w:val="auto"/>
        </w:rPr>
      </w:pPr>
    </w:p>
    <w:p>
      <w:pPr>
        <w:ind w:right="1820" w:firstLine="309"/>
        <w:spacing w:after="0" w:line="443" w:lineRule="auto"/>
        <w:rPr>
          <w:sz w:val="20"/>
          <w:szCs w:val="20"/>
          <w:color w:val="auto"/>
        </w:rPr>
      </w:pPr>
      <w:r>
        <w:rPr>
          <w:rFonts w:ascii="Times New Roman" w:cs="Times New Roman" w:eastAsia="Times New Roman" w:hAnsi="Times New Roman"/>
          <w:sz w:val="17"/>
          <w:szCs w:val="17"/>
          <w:color w:val="auto"/>
        </w:rPr>
        <w:t xml:space="preserve">We cannot assure you that we will be able to compete effectively against our competitors in regard to any one or all of these factors. </w:t>
      </w:r>
      <w:r>
        <w:rPr>
          <w:rFonts w:ascii="Times New Roman" w:cs="Times New Roman" w:eastAsia="Times New Roman" w:hAnsi="Times New Roman"/>
          <w:sz w:val="17"/>
          <w:szCs w:val="17"/>
          <w:b w:val="1"/>
          <w:bCs w:val="1"/>
          <w:color w:val="auto"/>
        </w:rPr>
        <w:t>Intellectual Property</w:t>
      </w: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Our success depends in part on our ability to obtain, maintain, protect and enforce our proprietary technology and intellectual property rights, in particular, defend our patent rights, preserve the confidentiality of our trade secrets, and operate without infringing the valid and enforceable patents and other proprietary rights of third parties. We rely on a combination of patent, copyright, trademark and trade secret laws and confidentiality and invention assignment agreements to protect our intellectual property rights.</w:t>
      </w:r>
    </w:p>
    <w:p>
      <w:pPr>
        <w:spacing w:after="0" w:line="120"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2023, we had rights to 47 issued U.S. patents, expiring between 2028 and 2040, 120 issued foreign patents, expiring between 2028 and 2041, 39 pending U.S. patent applications, three pending PCT applications, and 64 foreign patent applications.</w:t>
      </w:r>
    </w:p>
    <w:p>
      <w:pPr>
        <w:spacing w:after="0" w:line="100"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2023, our rights to foreign issued patents include 17 granted Chinese patents, 22 granted Japanese patents, seven Brazilian patents, two Indian patents, and 12 granted European patents, of which 11 have been validated in Germany, 10 in Spain, 11 in France, 12 in the United Kingdom, six in Ireland, nine in Italy, one in Switzerland, and one European patent with unitary effect. As of December 31, 2023, our rights to foreign patent applications include 16 pending European applications, 19 pending Chinese applications, 16 pending Japanese applications, two pending Brazilian applications, five pending Indian applications and two pending Hong Kong applications.</w:t>
      </w:r>
    </w:p>
    <w:p>
      <w:pPr>
        <w:spacing w:after="0" w:line="200" w:lineRule="exact"/>
        <w:rPr>
          <w:sz w:val="20"/>
          <w:szCs w:val="20"/>
          <w:color w:val="auto"/>
        </w:rPr>
      </w:pPr>
    </w:p>
    <w:p>
      <w:pPr>
        <w:spacing w:after="0" w:line="3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As of December 31, 2023, we have the rights to issued patents and pending patent applications directed to our current AquaBeam Robotic System, including 19 issued U.S. patents and 48 foreign issued or granted patents. The 19 issued U.S. patents, expiring between 2028 and 2038, include machine and process claims, with twelve issued patents directed to the handpiece and seven issued patents directed to the system. The 48 foreign issued patents, expiring between 2028 and 2038, include machine claims, with 29 issued patents directed to the handpiece and 19 issued patents directed to the system. The 48 foreign issued patents include one European patent with unitary effect, one Brazilian patent, six Chinese patents, nine Japanese patents, five German patents, five Spanish patents, five French patents, six United Kingdom patents, four Irish patents, four Italian patents, one Swiss patent, and one Indian patent. The remaining 28 of the 47 issued U.S. patents and the remaining 72 of the 120 foreign issued patents have machine and process claims directed to prostate treatments with laser energy, enucleation of the prostate, radiation therapy, cell sampling and hemostasis.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is no active patent litigation involving any of our patents and we have not received any notices of patent infringement.</w:t>
      </w:r>
    </w:p>
    <w:p>
      <w:pPr>
        <w:spacing w:after="0" w:line="165" w:lineRule="exact"/>
        <w:rPr>
          <w:sz w:val="20"/>
          <w:szCs w:val="20"/>
          <w:color w:val="auto"/>
        </w:rPr>
      </w:pPr>
    </w:p>
    <w:p>
      <w:pPr>
        <w:ind w:right="48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2023, we had 44 pending and registered trademark filings worldwide, some of which may provide trademark protection in multiple countries.</w:t>
      </w:r>
    </w:p>
    <w:p>
      <w:pPr>
        <w:spacing w:after="0" w:line="100" w:lineRule="exact"/>
        <w:rPr>
          <w:sz w:val="20"/>
          <w:szCs w:val="20"/>
          <w:color w:val="auto"/>
        </w:rPr>
      </w:pPr>
    </w:p>
    <w:p>
      <w:pPr>
        <w:ind w:right="420" w:firstLine="309"/>
        <w:spacing w:after="0" w:line="270" w:lineRule="auto"/>
        <w:rPr>
          <w:sz w:val="20"/>
          <w:szCs w:val="20"/>
          <w:color w:val="auto"/>
        </w:rPr>
      </w:pPr>
      <w:r>
        <w:rPr>
          <w:rFonts w:ascii="Times New Roman" w:cs="Times New Roman" w:eastAsia="Times New Roman" w:hAnsi="Times New Roman"/>
          <w:sz w:val="17"/>
          <w:szCs w:val="17"/>
          <w:color w:val="auto"/>
        </w:rPr>
        <w:t>We also rely, in part, upon unpatented trade secrets, know-how and continuing technological innovation, and may in the future rely upon licensing opportunities,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14"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Our pending patent applications may not result in issued patents, and we cannot assure you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the section titled “Risk Factors—Risks Related to Our Intellectual Property” for additional information regarding these and other risks related to our intellectual property portfolio and their potential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AquaBeam</w:t>
      </w:r>
    </w:p>
    <w:p>
      <w:pPr>
        <w:spacing w:after="0" w:line="17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In 2008, we assigned to AquaBeam LLC, or AquaBeam, certain provisional patent applications, or AquaBeam Patent Applications, which have since issued as patents, and any future patent applications that claim priority to the AquaBeam Patent Applications, or AquaBeam Patents.</w:t>
      </w:r>
    </w:p>
    <w:p>
      <w:pPr>
        <w:spacing w:after="0" w:line="10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In September 2019, we entered into an amended and restated license agreement, or the AquaBeam License Agreement, with AquaBeam. Pursuant to the AquaBeam License Agreement, AquaBeam granted us a worldwide, exclusive (even as to AquaBeam), sublicensable, royalty-free license under the AquaBeam Patents and to all other patent rights owned by AquaBeam, that claim certain technology related to delivering energy to tissues by directing a liquid fluid stream, or together with AquaBeam Patents, Licensed Patents, in the field of urology, or Field. Pursuant to the AquaBeam License Agreement, and subject to the terms therein, we granted AquaBeam a worldwide, exclusive (even as to us), sublicensable, royalty-free license under certain of our patents rights until October 2021, that claim certain technology related to delivering energy to tissues by directing a liquid fluid stream, or PROCEPT Patents, outside the Field. No payments (except for patent prosecution and maintenance costs) have been made or are otherwise required under the AquaBeam License Agreement.</w:t>
      </w:r>
    </w:p>
    <w:p>
      <w:pPr>
        <w:spacing w:after="0" w:line="128" w:lineRule="exact"/>
        <w:rPr>
          <w:sz w:val="20"/>
          <w:szCs w:val="20"/>
          <w:color w:val="auto"/>
        </w:rPr>
      </w:pPr>
    </w:p>
    <w:p>
      <w:pPr>
        <w:ind w:right="180" w:firstLine="309"/>
        <w:spacing w:after="0" w:line="264" w:lineRule="auto"/>
        <w:rPr>
          <w:sz w:val="20"/>
          <w:szCs w:val="20"/>
          <w:color w:val="auto"/>
        </w:rPr>
      </w:pPr>
      <w:r>
        <w:rPr>
          <w:rFonts w:ascii="Times New Roman" w:cs="Times New Roman" w:eastAsia="Times New Roman" w:hAnsi="Times New Roman"/>
          <w:sz w:val="17"/>
          <w:szCs w:val="17"/>
          <w:color w:val="auto"/>
        </w:rPr>
        <w:t>The AquaBeam License Agreement will remain in full force and effect on a country-by-country basis until the last to expire of the Licensed Patents and the PROCEPT Patents in such country. The expiration date of the last-to-expire of the Licensed Patents and PROCEPT Patents will not be earlier than 2037. The AquaBeam License Agreement may be terminated by either party in the event of uncured material breach by the other party that remains uncured for 90 days (or 30 days for payment related breaches), or bankruptcy of the other party.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 with HydroCision</w:t>
      </w:r>
    </w:p>
    <w:p>
      <w:pPr>
        <w:spacing w:after="0" w:line="169" w:lineRule="exact"/>
        <w:rPr>
          <w:sz w:val="20"/>
          <w:szCs w:val="20"/>
          <w:color w:val="auto"/>
        </w:rPr>
      </w:pPr>
    </w:p>
    <w:p>
      <w:pPr>
        <w:ind w:right="400" w:firstLine="309"/>
        <w:spacing w:after="0" w:line="261" w:lineRule="auto"/>
        <w:rPr>
          <w:sz w:val="20"/>
          <w:szCs w:val="20"/>
          <w:color w:val="auto"/>
        </w:rPr>
      </w:pPr>
      <w:r>
        <w:rPr>
          <w:rFonts w:ascii="Times New Roman" w:cs="Times New Roman" w:eastAsia="Times New Roman" w:hAnsi="Times New Roman"/>
          <w:sz w:val="17"/>
          <w:szCs w:val="17"/>
          <w:color w:val="auto"/>
        </w:rPr>
        <w:t>We are party to a Confidential Exclusive Patent License and Covenant Not To Sue, or the HydroCision License Agreement, with HydroCision, Inc., or HydroCision. Pursuant to the HydroCision License Agreement, HydroCision granted us a worldwide, exclusive, sublicensable, royalty-free license to certain patents related to fluid jet technology in the field of urology, or the Fluid Jet Technology Patents and related know-how and documentation. HydroCision also granted us a non-exclusive license to patents allowing us to make, sell, import, export, or otherwise dispose of products made using the Fluid Jet Technology Patents.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In exchange for the license from HyrdoCision, we paid HydroCision $2,500,000 in 2019. No further payments have been made or are otherwise required under the HydoCision License Agreement. HydroCision is responsible for all patent prosecution and maintenance costs related to the Fluid Jet Technology Patents.</w:t>
      </w:r>
    </w:p>
    <w:p>
      <w:pPr>
        <w:spacing w:after="0" w:line="177"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The HydoCision License Agreement will remain in full force and effect until the last to expire of the Fluid Jet Technology Patents. The expiration date of the last-to-expire of the Fluid Jet Technology Patents will not be earlier than 2039.</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69"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Our products and our operations are subject to extensive regulation by the FDA and other federal and state authorities in the United States, as well as comparable authorities outside the United States. Our products are subject to regulation as medical devices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22"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In addition to United States regulations, we are subject to a variety of regulations outside the United States governing clinical trials and the commercial sales and distribution of our products. Whether or not we have or are required to obtain FDA clearance or approval for a product, we will be required to obtain authorization before commencing clinical trials and to obtain marketing authorization or approval of our products under the comparable regulatory authorities of countries outside of the United States before we can commence clinical trials or commercialize our products in those countries. The approval process varies from country to country and the time may be longer or shorter than that required for FDA clearance or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FDA Premarket Clearance and Approval Requirements</w:t>
      </w:r>
    </w:p>
    <w:p>
      <w:pPr>
        <w:spacing w:after="0" w:line="171"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FDA’s Quality System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to through the 510(k) process.</w:t>
      </w:r>
    </w:p>
    <w:p>
      <w:pPr>
        <w:spacing w:after="0" w:line="126"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are unclassified, but are subject to the FDA’s premarket notification and clearance process in order to be commercially distributed.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 Novo Classification</w:t>
      </w:r>
    </w:p>
    <w:p>
      <w:pPr>
        <w:spacing w:after="0" w:line="171" w:lineRule="exact"/>
        <w:rPr>
          <w:sz w:val="20"/>
          <w:szCs w:val="20"/>
          <w:color w:val="auto"/>
        </w:rPr>
      </w:pPr>
    </w:p>
    <w:p>
      <w:pPr>
        <w:ind w:right="320" w:firstLine="309"/>
        <w:spacing w:after="0" w:line="264" w:lineRule="auto"/>
        <w:rPr>
          <w:sz w:val="20"/>
          <w:szCs w:val="20"/>
          <w:color w:val="auto"/>
        </w:rPr>
      </w:pPr>
      <w:r>
        <w:rPr>
          <w:rFonts w:ascii="Times New Roman" w:cs="Times New Roman" w:eastAsia="Times New Roman" w:hAnsi="Times New Roman"/>
          <w:sz w:val="17"/>
          <w:szCs w:val="17"/>
          <w:color w:val="auto"/>
        </w:rPr>
        <w:t>Medical device types that the FDA has not previously classified as Class I, II or III are automatically classified into Class III regardless of the level of risk they pose. The Food and Drug Administration Modernization Act of 1997 established a route to market for low to moderate risk medical devices that are automatically placed into Class III due to the absence of a predicate device, called the “Request for Evaluation of Automatic Class III Designation,” or the de novo classification procedure.</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 device within 120 days following receipt of the de novo request. If the manufacturer seeks reclassification into Class II, the manufacturer must include a draft proposal for special controls that are necessary to provide a reasonable assurance of the safety and effectiveness of the medical device. In addition, the FDA may reject the de novo request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24" w:lineRule="exact"/>
        <w:rPr>
          <w:sz w:val="20"/>
          <w:szCs w:val="20"/>
          <w:color w:val="auto"/>
        </w:rPr>
      </w:pPr>
    </w:p>
    <w:p>
      <w:pPr>
        <w:ind w:right="260" w:firstLine="309"/>
        <w:spacing w:after="0" w:line="270" w:lineRule="auto"/>
        <w:rPr>
          <w:sz w:val="20"/>
          <w:szCs w:val="20"/>
          <w:color w:val="auto"/>
        </w:rPr>
      </w:pPr>
      <w:r>
        <w:rPr>
          <w:rFonts w:ascii="Times New Roman" w:cs="Times New Roman" w:eastAsia="Times New Roman" w:hAnsi="Times New Roman"/>
          <w:sz w:val="17"/>
          <w:szCs w:val="17"/>
          <w:color w:val="auto"/>
        </w:rPr>
        <w:t>Our currently marketed AquaBeam Robotic System is a Class II device, which was initially granted marketing authorization pursuant to a de novo classification. We have subsequently received FDA clearance of a 510(k) pre-market notification for modifications to the AquaBeam Robotic System where we used the initially authorized device as the predicate device for our more recent 510(k) clearance.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PMA Approval Pathway</w:t>
      </w:r>
    </w:p>
    <w:p>
      <w:pPr>
        <w:spacing w:after="0" w:line="171"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24"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2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Clinical Trials</w:t>
      </w:r>
    </w:p>
    <w:p>
      <w:pPr>
        <w:spacing w:after="0" w:line="171"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Clinical trials are almost always required to support a PMA or de novo request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30"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24"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Post-Market Regulation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After a device is cleared or approved for marketing, numerous and pervasive regulatory requirements continue to apply. These include:</w:t>
      </w:r>
    </w:p>
    <w:p>
      <w:pPr>
        <w:spacing w:after="0" w:line="165"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registration and device listing with the FDA;</w:t>
      </w:r>
    </w:p>
    <w:p>
      <w:pPr>
        <w:spacing w:after="0" w:line="165"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99" w:lineRule="exact"/>
        <w:rPr>
          <w:rFonts w:ascii="Times New Roman" w:cs="Times New Roman" w:eastAsia="Times New Roman" w:hAnsi="Times New Roman"/>
          <w:sz w:val="17"/>
          <w:szCs w:val="17"/>
          <w:color w:val="auto"/>
        </w:rPr>
      </w:pPr>
    </w:p>
    <w:p>
      <w:pPr>
        <w:ind w:left="620" w:right="80" w:hanging="307"/>
        <w:spacing w:after="0" w:line="270"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113"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w:t>
      </w: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2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13"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9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complying with the new federal law and regulations requiring Unique Device Identifiers, or UDI, on devices and also requiring the submission of certain information about each device to the FDA’s Global Unique Device Identification Database;</w:t>
      </w:r>
    </w:p>
    <w:p>
      <w:pPr>
        <w:spacing w:after="0" w:line="99"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FDA’s recall authority, whereby the agency can order device manufacturers to recall from the market a product that is in violation of governing laws and regulations; and</w:t>
      </w:r>
    </w:p>
    <w:p>
      <w:pPr>
        <w:spacing w:after="0" w:line="99" w:lineRule="exact"/>
        <w:rPr>
          <w:rFonts w:ascii="Times New Roman" w:cs="Times New Roman" w:eastAsia="Times New Roman" w:hAnsi="Times New Roman"/>
          <w:sz w:val="17"/>
          <w:szCs w:val="17"/>
          <w:color w:val="auto"/>
        </w:rPr>
      </w:pPr>
    </w:p>
    <w:p>
      <w:pPr>
        <w:ind w:left="620" w:right="480" w:hanging="307"/>
        <w:spacing w:after="0" w:line="287"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activities and regulations, which apply when deemed by the FDA to be necessary to protect the public health or to provide additional safety and effectiveness data for the device.</w:t>
      </w:r>
    </w:p>
    <w:p>
      <w:pPr>
        <w:spacing w:after="0" w:line="100" w:lineRule="exact"/>
        <w:rPr>
          <w:sz w:val="20"/>
          <w:szCs w:val="20"/>
          <w:color w:val="auto"/>
        </w:rPr>
      </w:pPr>
    </w:p>
    <w:p>
      <w:pPr>
        <w:ind w:right="100" w:firstLine="309"/>
        <w:spacing w:after="0" w:line="258" w:lineRule="auto"/>
        <w:rPr>
          <w:sz w:val="20"/>
          <w:szCs w:val="20"/>
          <w:color w:val="auto"/>
        </w:rPr>
      </w:pPr>
      <w:r>
        <w:rPr>
          <w:rFonts w:ascii="Times New Roman" w:cs="Times New Roman" w:eastAsia="Times New Roman" w:hAnsi="Times New Roman"/>
          <w:sz w:val="17"/>
          <w:szCs w:val="17"/>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24"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00"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 untitled letters, fines, injunctions, consent decrees and civil penalties;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withdrawals, or administrative detention or seizure of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requests for 510(k) marketing clearance or PMA approvals of new products or modified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withdrawing 510(k) clearances or PMA approvals that have already been granted;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or import approvals for our products;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California Regulation</w:t>
      </w:r>
    </w:p>
    <w:p>
      <w:pPr>
        <w:spacing w:after="0" w:line="171"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The State of California requires that we obtain a license to manufacture medical devices. In accordance with the State of California regulations, our license to manufacture is renewed annually with any updated manufacturing information. Although the State of California has announced the suspension of routine periodic inspections, there can be no assurance that the State of California will not resume such inspections or conduct such inspections under specific circumstances that are not yet known.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of Medical Devices Outside the United States</w:t>
      </w:r>
    </w:p>
    <w:p>
      <w:pPr>
        <w:spacing w:after="0" w:line="171"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In order for us to market our products in countries outside the United States, we must obtain regulatory approvals and comply with extensive product and quality system regulations in other countries. These regulations, such as requirements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 approvals or clearance and the time required for regulatory review, will vary from country to country. Some countries have regulatory review processes that are significantly longer than United States regulatory approval. Failure to obtain regulatory approval in a timely manner and meet all the local requirements (including language and specific safety standards) in any foreign country in which we plan to market our products could prevent us from marketing products in such countries or subject us to fines.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Regulation of Medical Devices, European Economic Area (“EEA”)</w:t>
      </w:r>
    </w:p>
    <w:p>
      <w:pPr>
        <w:spacing w:after="0" w:line="171" w:lineRule="exact"/>
        <w:rPr>
          <w:sz w:val="20"/>
          <w:szCs w:val="20"/>
          <w:color w:val="auto"/>
        </w:rPr>
      </w:pPr>
    </w:p>
    <w:p>
      <w:pPr>
        <w:ind w:right="160" w:firstLine="309"/>
        <w:spacing w:after="0" w:line="256" w:lineRule="auto"/>
        <w:rPr>
          <w:sz w:val="20"/>
          <w:szCs w:val="20"/>
          <w:color w:val="auto"/>
        </w:rPr>
      </w:pPr>
      <w:r>
        <w:rPr>
          <w:rFonts w:ascii="Times New Roman" w:cs="Times New Roman" w:eastAsia="Times New Roman" w:hAnsi="Times New Roman"/>
          <w:sz w:val="17"/>
          <w:szCs w:val="17"/>
          <w:color w:val="auto"/>
        </w:rPr>
        <w:t>There is currently no premarket government of medical devices in the EEA (which is comprised of the 28 Member States of the EU plus Norway, Liechtenstein and Iceland). However, all medical devices placed on the market in the EEA must meet the relevant essential requirements laid down in Annex I of Directive 93/42/EEC concerning medical devices, or the Medical Devices Directive, and the regulations laid down in the 2017/745, or the Medical Device Regulations. There is also a directive specifically addressing Active Implantable Medical Devices (Directive 90/385/EEC). The most fundamental essential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Compliance with a standard developed to implement an essential requirement also creates a rebuttable presumption that the device satisfies that essential requirement.</w:t>
      </w:r>
    </w:p>
    <w:p>
      <w:pPr>
        <w:spacing w:after="0" w:line="130"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To demonstrate compliance with the essential requirements laid down in Annex I to the Medical Devices Directive, medical device manufacturers must undergo a conformity assessment procedure, which varies according to the type of medical device and its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often separate entities and are authorized or licensed to perform such assessments by government authorities. The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EEA. Once the product has been placed on the market in the EEA, the manufacturer must comply with requirements for reporting incidents and field safety corrective actions associated with the medical device.</w:t>
      </w:r>
    </w:p>
    <w:p>
      <w:pPr>
        <w:spacing w:after="0" w:line="124"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In order to demonstrate safety and efficacy for their medical devices, manufacturers must conduct clinical investigations in accordance with the requirements of Annex X to the Medical Devices Directive, Annex 7 of the Active Implantable Medical Devices Directive, and applicable European and International Organization for Standardization standards, as implemented or adopted in the EEA member states. Clinical trials for medical devices usually require the approval of an ethics review board and approval by or notification to the national regulatory authorities. Both regulators and ethics committees also require the submission of serious adverse event reports during a study and may request a copy of the final study report.</w:t>
      </w:r>
    </w:p>
    <w:p>
      <w:pPr>
        <w:spacing w:after="0" w:line="123"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On May 25, 2017 the new Medical Devices Regulation, or 2017/745 or MDR, was adopted by the European Parliament, which repeals and replaces the EU Medical Devices Directive and the Active Implantable Medical Devices Directive. Following its entry into application on May 26, 2021, the MDR will introduce substantial changes to the obligations with which medical device manufacturers must comply in the EU. High risk medical devices will be subject to additional scrutiny during the conformity assessment procedure.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the effective date, May 26, 2021, the new regulations, among other things:</w:t>
      </w:r>
    </w:p>
    <w:p>
      <w:pPr>
        <w:spacing w:after="0" w:line="165" w:lineRule="exact"/>
        <w:rPr>
          <w:sz w:val="20"/>
          <w:szCs w:val="20"/>
          <w:color w:val="auto"/>
        </w:rPr>
      </w:pPr>
    </w:p>
    <w:p>
      <w:pPr>
        <w:ind w:left="5700" w:right="3300" w:hanging="5387"/>
        <w:spacing w:after="0" w:line="983" w:lineRule="auto"/>
        <w:tabs>
          <w:tab w:leader="none" w:pos="62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strengthened the rules on placing devices on the market and reinforce surveillance once they are available;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explicit provisions on manufacturers’ responsibilities for the follow-up of the quality, performance and safety of devices placed on the market;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improved the traceability of medical devices throughout the supply chain to the end-user or patient through a unique identification number;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up a central database to provide patients, healthcare professionals and the public with comprehensive information on products available in the EU; and</w:t>
      </w:r>
    </w:p>
    <w:p>
      <w:pPr>
        <w:spacing w:after="0" w:line="165"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strengthened rules for the assessment of certain high-risk devices, such as implants, which may have to undergo an additional check by experts before they are placed on the market.</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subject to regulations and product registration requirements in many foreign countries in which we may sell our products, including in the areas of:</w:t>
      </w:r>
    </w:p>
    <w:p>
      <w:pPr>
        <w:spacing w:after="0" w:line="165"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 development, manufacturing and testing;</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standards;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reporting;</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sales and distribution;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packaging and storage requirements;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requirements;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content and language of instructions for use;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keeping procedures;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and promotion;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and field corrective actions;</w:t>
      </w:r>
    </w:p>
    <w:p>
      <w:pPr>
        <w:spacing w:after="0" w:line="165" w:lineRule="exact"/>
        <w:rPr>
          <w:rFonts w:ascii="Times New Roman" w:cs="Times New Roman" w:eastAsia="Times New Roman" w:hAnsi="Times New Roman"/>
          <w:sz w:val="17"/>
          <w:szCs w:val="17"/>
          <w:color w:val="auto"/>
        </w:rPr>
      </w:pPr>
    </w:p>
    <w:p>
      <w:pPr>
        <w:ind w:left="620" w:right="46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surveillance, including reporting of deaths or serious injuries and malfunctions that, if they were to recur, could lead to death or serious injury;</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restrictions;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 regulations, duties and tax requirements;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for reimbursement;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necessity of testing performed in country by distributors for licensees.</w:t>
      </w:r>
    </w:p>
    <w:p>
      <w:pPr>
        <w:spacing w:after="0" w:line="165" w:lineRule="exact"/>
        <w:rPr>
          <w:sz w:val="20"/>
          <w:szCs w:val="20"/>
          <w:color w:val="auto"/>
        </w:rPr>
      </w:pPr>
    </w:p>
    <w:p>
      <w:pPr>
        <w:ind w:right="460" w:firstLine="309"/>
        <w:spacing w:after="0" w:line="287" w:lineRule="auto"/>
        <w:rPr>
          <w:sz w:val="20"/>
          <w:szCs w:val="20"/>
          <w:color w:val="auto"/>
        </w:rPr>
      </w:pPr>
      <w:r>
        <w:rPr>
          <w:rFonts w:ascii="Times New Roman" w:cs="Times New Roman" w:eastAsia="Times New Roman" w:hAnsi="Times New Roman"/>
          <w:sz w:val="17"/>
          <w:szCs w:val="17"/>
          <w:color w:val="auto"/>
        </w:rPr>
        <w:t>The time required to obtain clearance required by foreign countries may be longer or shorter than that required for FDA clearance, and requirements for licensing a product in a foreign country may differ significantly from FDA requirements.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expect this revised regulation to include further controls and requirements on the following activities:</w:t>
      </w:r>
    </w:p>
    <w:p>
      <w:pPr>
        <w:spacing w:after="0" w:line="165"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level of request for premarket clinical evidence for high risk devices;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scrutiny of technical files for implantable devices;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of notified bodies, by independent auditors;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requirements regarding vigilance and product traceability (specifically related to labeling requirements); and</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regulation for non-traditional roles such as importer and distributor.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Regions</w:t>
      </w:r>
    </w:p>
    <w:p>
      <w:pPr>
        <w:spacing w:after="0" w:line="171"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Most medical devices must undergo thorough safety examinations and demonstrate medical efficacy before they receive regulatory approval to be sold in Japan.</w:t>
      </w:r>
    </w:p>
    <w:p>
      <w:pPr>
        <w:spacing w:after="0" w:line="100" w:lineRule="exact"/>
        <w:rPr>
          <w:sz w:val="20"/>
          <w:szCs w:val="20"/>
          <w:color w:val="auto"/>
        </w:rPr>
      </w:pPr>
    </w:p>
    <w:p>
      <w:pPr>
        <w:ind w:right="580" w:firstLine="309"/>
        <w:spacing w:after="0" w:line="287" w:lineRule="auto"/>
        <w:rPr>
          <w:sz w:val="20"/>
          <w:szCs w:val="20"/>
          <w:color w:val="auto"/>
        </w:rPr>
      </w:pPr>
      <w:r>
        <w:rPr>
          <w:rFonts w:ascii="Times New Roman" w:cs="Times New Roman" w:eastAsia="Times New Roman" w:hAnsi="Times New Roman"/>
          <w:sz w:val="17"/>
          <w:szCs w:val="17"/>
          <w:color w:val="auto"/>
        </w:rPr>
        <w:t>Regulations in other countries, including the requirements for approvals or clearance and the time required for regulatory review, vary from country to country. These countries typically require regulatory approvals and compliance with extensive safety and quality system regulations.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State and Foreign Fraud and Abuse and Physician Payment Transparency Laws</w:t>
      </w:r>
    </w:p>
    <w:p>
      <w:pPr>
        <w:spacing w:after="0" w:line="159" w:lineRule="exact"/>
        <w:rPr>
          <w:sz w:val="20"/>
          <w:szCs w:val="20"/>
          <w:color w:val="auto"/>
        </w:rPr>
      </w:pPr>
    </w:p>
    <w:p>
      <w:pPr>
        <w:ind w:right="60" w:firstLine="309"/>
        <w:spacing w:after="0" w:line="270" w:lineRule="auto"/>
        <w:rPr>
          <w:sz w:val="20"/>
          <w:szCs w:val="20"/>
          <w:color w:val="auto"/>
        </w:rPr>
      </w:pPr>
      <w:r>
        <w:rPr>
          <w:rFonts w:ascii="Times New Roman" w:cs="Times New Roman" w:eastAsia="Times New Roman" w:hAnsi="Times New Roman"/>
          <w:sz w:val="17"/>
          <w:szCs w:val="17"/>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1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123" w:lineRule="exact"/>
        <w:rPr>
          <w:sz w:val="20"/>
          <w:szCs w:val="20"/>
          <w:color w:val="auto"/>
        </w:rPr>
      </w:pPr>
    </w:p>
    <w:p>
      <w:pPr>
        <w:ind w:right="60" w:firstLine="309"/>
        <w:spacing w:after="0" w:line="257" w:lineRule="auto"/>
        <w:rPr>
          <w:sz w:val="20"/>
          <w:szCs w:val="20"/>
          <w:color w:val="auto"/>
        </w:rPr>
      </w:pPr>
      <w:r>
        <w:rPr>
          <w:rFonts w:ascii="Times New Roman" w:cs="Times New Roman" w:eastAsia="Times New Roman" w:hAnsi="Times New Roman"/>
          <w:sz w:val="17"/>
          <w:szCs w:val="17"/>
          <w:color w:val="auto"/>
        </w:rPr>
        <w:t>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and may result in increased scrutiny by government enforcement authorities.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w:t>
      </w:r>
    </w:p>
    <w:p>
      <w:pPr>
        <w:spacing w:after="0" w:line="127" w:lineRule="exact"/>
        <w:rPr>
          <w:sz w:val="20"/>
          <w:szCs w:val="20"/>
          <w:color w:val="auto"/>
        </w:rPr>
      </w:pPr>
    </w:p>
    <w:p>
      <w:pPr>
        <w:ind w:right="440" w:firstLine="309"/>
        <w:spacing w:after="0" w:line="287" w:lineRule="auto"/>
        <w:rPr>
          <w:sz w:val="20"/>
          <w:szCs w:val="20"/>
          <w:color w:val="auto"/>
        </w:rPr>
      </w:pPr>
      <w:r>
        <w:rPr>
          <w:rFonts w:ascii="Times New Roman" w:cs="Times New Roman" w:eastAsia="Times New Roman" w:hAnsi="Times New Roman"/>
          <w:sz w:val="17"/>
          <w:szCs w:val="17"/>
          <w:color w:val="auto"/>
        </w:rPr>
        <w:t>The majority of states also have anti-kickback laws which establish similar prohibitions and, in some cases, may apply more broadly to items or services covered by any third-party payor, including commercial insurers and self-pay patients.</w:t>
      </w:r>
    </w:p>
    <w:p>
      <w:pPr>
        <w:spacing w:after="0" w:line="10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The federal civil False Claims Act prohibits, among other things, any person or entity from knowingly presenting, or causing to be presented, a false or fraudulent claim for payment of government funds or knowingly making, using or causing to be made or used a false record or statement material to a false or fraudulent claim to the federal government. In addition, private parties may initiate “qui tam” whistleblower lawsuits against any person or entity under the federal civil False Claims Act in the name of the government and share in the proceeds of any monetary recovery. Moreover, a claim including items or services resulting from a violation of the federal Anti-Kickback Statute constitutes a false or fraudulent claim for purposes of the federal civil False Claims Act. Penalties for federal civil False Claim Act violations include penalties for each false claim, plus up to three times the amount of damages sustained by the federal government and, most critically, may provide the basis for exclusion from the federally funded healthcare program. There are also criminal penalties for making or presenting of a claim to the government knowing such claim to be false, fictitious or fraudulent.</w:t>
      </w:r>
    </w:p>
    <w:p>
      <w:pPr>
        <w:spacing w:after="0" w:line="124"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33" w:lineRule="exact"/>
        <w:rPr>
          <w:sz w:val="20"/>
          <w:szCs w:val="20"/>
          <w:color w:val="auto"/>
        </w:rPr>
      </w:pPr>
    </w:p>
    <w:p>
      <w:pPr>
        <w:ind w:right="620" w:firstLine="309"/>
        <w:spacing w:after="0" w:line="287" w:lineRule="auto"/>
        <w:rPr>
          <w:sz w:val="20"/>
          <w:szCs w:val="20"/>
          <w:color w:val="auto"/>
        </w:rPr>
      </w:pPr>
      <w:r>
        <w:rPr>
          <w:rFonts w:ascii="Times New Roman" w:cs="Times New Roman" w:eastAsia="Times New Roman" w:hAnsi="Times New Roman"/>
          <w:sz w:val="17"/>
          <w:szCs w:val="17"/>
          <w:color w:val="auto"/>
        </w:rPr>
        <w:t>Additionally, there has been a recent trend of increased foreign, federal, and state regulation of payments and transfers of value provided to healthcare professionals or entities. The federal Physician Payments Sunshine Act requires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manufacturers of drugs, devices, biologics and medical supplies for which payment is available under Medicare, Medicaid, or the Children’s Health Insurance Program to report annually to the CMS, information related to payments or and other “transfers of value” made to physicians (currently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requires applicable manufacturers to report annually to CMS ownership and investment interests held by physicians and their immediate family members and payments or other “transfers of value” to such physician owners.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28" w:lineRule="exact"/>
        <w:rPr>
          <w:sz w:val="20"/>
          <w:szCs w:val="20"/>
          <w:color w:val="auto"/>
        </w:rPr>
      </w:pPr>
    </w:p>
    <w:p>
      <w:pPr>
        <w:ind w:right="160" w:firstLine="309"/>
        <w:spacing w:after="0" w:line="264" w:lineRule="auto"/>
        <w:rPr>
          <w:sz w:val="20"/>
          <w:szCs w:val="20"/>
          <w:color w:val="auto"/>
        </w:rPr>
      </w:pPr>
      <w:r>
        <w:rPr>
          <w:rFonts w:ascii="Times New Roman" w:cs="Times New Roman" w:eastAsia="Times New Roman" w:hAnsi="Times New Roman"/>
          <w:sz w:val="17"/>
          <w:szCs w:val="17"/>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Violations of any of these laws or any other governmental regulations that apply may result in significant penalties including administrative, civil, and</w:t>
      </w:r>
    </w:p>
    <w:p>
      <w:pPr>
        <w:spacing w:after="0" w:line="4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criminal damages, disgorgement, fines, additional reporting requirements and compliance oversight obligations in the event that a corporate integrity agreement or other agreement is required to resolve allegations of noncompliance with these laws, the curtailment or restructuring of operations, exclusion from participation in government healthcare programs and/or individual imprisonment,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Reform Measures</w:t>
      </w:r>
    </w:p>
    <w:p>
      <w:pPr>
        <w:spacing w:after="0" w:line="171" w:lineRule="exact"/>
        <w:rPr>
          <w:sz w:val="20"/>
          <w:szCs w:val="20"/>
          <w:color w:val="auto"/>
        </w:rPr>
      </w:pPr>
    </w:p>
    <w:p>
      <w:pPr>
        <w:jc w:val="both"/>
        <w:ind w:right="460" w:firstLine="309"/>
        <w:spacing w:after="0" w:line="270" w:lineRule="auto"/>
        <w:rPr>
          <w:sz w:val="20"/>
          <w:szCs w:val="20"/>
          <w:color w:val="auto"/>
        </w:rPr>
      </w:pPr>
      <w:r>
        <w:rPr>
          <w:rFonts w:ascii="Times New Roman" w:cs="Times New Roman" w:eastAsia="Times New Roman" w:hAnsi="Times New Roman"/>
          <w:sz w:val="17"/>
          <w:szCs w:val="17"/>
          <w:color w:val="auto"/>
        </w:rPr>
        <w:t>In the United States, there have been, and may continue to be, a number of legislative and regulatory changes to the healthcare system. Federal and state lawmakers regularly propose and, at times, enact legislation that would result in significant changes to the healthcare system, some of which are intended to contain or reduce the costs of medical products and services.</w:t>
      </w:r>
    </w:p>
    <w:p>
      <w:pPr>
        <w:spacing w:after="0" w:line="114"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from February 15, 2021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24" w:lineRule="exact"/>
        <w:rPr>
          <w:sz w:val="20"/>
          <w:szCs w:val="20"/>
          <w:color w:val="auto"/>
        </w:rPr>
      </w:pPr>
    </w:p>
    <w:p>
      <w:pPr>
        <w:ind w:firstLine="309"/>
        <w:spacing w:after="0" w:line="259"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For example, the Budget Control Act of 2011, among other things, and in connection with subsequent legislation, reduced Medicare payments to providers which went into effect on April 1, 2013 and, due to subsequent legislative amendments to the statute, will remain in effect through 2030, with the exception of a temporary suspension from May 1, 2020 through March 31, 2022,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 The current presidential administration and Congress may continue to pursue significant changes to the current healthcare laws.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Privacy and Security Laws</w:t>
      </w:r>
    </w:p>
    <w:p>
      <w:pPr>
        <w:spacing w:after="0" w:line="171" w:lineRule="exact"/>
        <w:rPr>
          <w:sz w:val="20"/>
          <w:szCs w:val="20"/>
          <w:color w:val="auto"/>
        </w:rPr>
      </w:pPr>
    </w:p>
    <w:p>
      <w:pPr>
        <w:ind w:right="240" w:firstLine="309"/>
        <w:spacing w:after="0" w:line="270" w:lineRule="auto"/>
        <w:rPr>
          <w:sz w:val="20"/>
          <w:szCs w:val="20"/>
          <w:color w:val="auto"/>
        </w:rPr>
      </w:pPr>
      <w:r>
        <w:rPr>
          <w:rFonts w:ascii="Times New Roman" w:cs="Times New Roman" w:eastAsia="Times New Roman" w:hAnsi="Times New Roman"/>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information privacy and security laws, and consumer protection laws and regulations that govern the collection, use, disclosure, and protection of health-related and other personal information could apply to our operations or the operations of our partners. In addition, certain foreign laws govern the privacy and security of personal information, including health-related information in certain circumstances,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Anti-Bribery and Corruption Laws</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Our U.S. operations are subject to the FCPA. We are required to comply with the FCPA, which generally prohibits covered entities and their employees, agents and intermediaries from engaging in bribery or authorizing, promising, providing, or offering, directly or indirectly, anything of value to foreign officials for the purpose of obtaining or retaining business or other benefits. In addition, the FCPA imposes accounting standards and requirements on publicly traded U.S. corporations and their foreign affiliates, which requires such companies to maintain complete and accurate books and records and maintain a system of internal accounting controls. We also are subject to similar anticorruption laws and regulations implementing the Organization for Economic Co-operation and Development’s Convention on Combating Bribery of Foreign Public Officials in International Business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and Human Capital Resources</w:t>
      </w:r>
    </w:p>
    <w:p>
      <w:pPr>
        <w:spacing w:after="0" w:line="169" w:lineRule="exact"/>
        <w:rPr>
          <w:sz w:val="20"/>
          <w:szCs w:val="20"/>
          <w:color w:val="auto"/>
        </w:rPr>
      </w:pPr>
    </w:p>
    <w:p>
      <w:pPr>
        <w:ind w:right="60" w:firstLine="309"/>
        <w:spacing w:after="0" w:line="287" w:lineRule="auto"/>
        <w:rPr>
          <w:sz w:val="20"/>
          <w:szCs w:val="20"/>
          <w:color w:val="auto"/>
        </w:rPr>
      </w:pPr>
      <w:r>
        <w:rPr>
          <w:rFonts w:ascii="Times New Roman" w:cs="Times New Roman" w:eastAsia="Times New Roman" w:hAnsi="Times New Roman"/>
          <w:sz w:val="17"/>
          <w:szCs w:val="17"/>
          <w:color w:val="auto"/>
        </w:rPr>
        <w:t>Our growing and skilled employee base drives our success and helps us progress towards our vision of restoring patient lives by delivering the BPH treatment of choice. As of December 31, 2023, we had 626 employees.</w:t>
      </w:r>
    </w:p>
    <w:p>
      <w:pPr>
        <w:spacing w:after="0" w:line="100" w:lineRule="exact"/>
        <w:rPr>
          <w:sz w:val="20"/>
          <w:szCs w:val="20"/>
          <w:color w:val="auto"/>
        </w:rPr>
      </w:pPr>
    </w:p>
    <w:p>
      <w:pPr>
        <w:ind w:right="380" w:firstLine="309"/>
        <w:spacing w:after="0" w:line="270" w:lineRule="auto"/>
        <w:rPr>
          <w:sz w:val="20"/>
          <w:szCs w:val="20"/>
          <w:color w:val="auto"/>
        </w:rPr>
      </w:pPr>
      <w:r>
        <w:rPr>
          <w:rFonts w:ascii="Times New Roman" w:cs="Times New Roman" w:eastAsia="Times New Roman" w:hAnsi="Times New Roman"/>
          <w:sz w:val="17"/>
          <w:szCs w:val="17"/>
          <w:color w:val="auto"/>
        </w:rPr>
        <w:t>Our future success depends on our ability to attract, retain, engage and further develop top talent. To facilitate talent attraction, retention, engagement and development, we strive for a diverse workplace with a superior employee experience that provides opportunities for our employees to grow within the organization, supported by strong compensation, benefits, and health and wellness programs and an inclusive environment.</w:t>
      </w:r>
    </w:p>
    <w:p>
      <w:pPr>
        <w:spacing w:after="0" w:line="114" w:lineRule="exact"/>
        <w:rPr>
          <w:sz w:val="20"/>
          <w:szCs w:val="20"/>
          <w:color w:val="auto"/>
        </w:rPr>
      </w:pPr>
    </w:p>
    <w:p>
      <w:pPr>
        <w:ind w:right="200" w:firstLine="309"/>
        <w:spacing w:after="0" w:line="270" w:lineRule="auto"/>
        <w:rPr>
          <w:sz w:val="20"/>
          <w:szCs w:val="20"/>
          <w:color w:val="auto"/>
        </w:rPr>
      </w:pPr>
      <w:r>
        <w:rPr>
          <w:rFonts w:ascii="Times New Roman" w:cs="Times New Roman" w:eastAsia="Times New Roman" w:hAnsi="Times New Roman"/>
          <w:sz w:val="17"/>
          <w:szCs w:val="17"/>
          <w:color w:val="auto"/>
        </w:rPr>
        <w:t>In 2023, we published our Environmental, Social, and Governance or ESG Report which is available on our website and includes more detailed information on our human capital programs and initiatives. Nothing contained on or accessible through our website, including our ESG Report or sections thereof, shall be deemed incorporated by reference into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Diversity, Equity and Inclusion</w:t>
      </w:r>
    </w:p>
    <w:p>
      <w:pPr>
        <w:spacing w:after="0" w:line="171" w:lineRule="exact"/>
        <w:rPr>
          <w:sz w:val="20"/>
          <w:szCs w:val="20"/>
          <w:color w:val="auto"/>
        </w:rPr>
      </w:pPr>
    </w:p>
    <w:p>
      <w:pPr>
        <w:ind w:right="300" w:firstLine="309"/>
        <w:spacing w:after="0" w:line="264" w:lineRule="auto"/>
        <w:rPr>
          <w:sz w:val="20"/>
          <w:szCs w:val="20"/>
          <w:color w:val="auto"/>
        </w:rPr>
      </w:pPr>
      <w:r>
        <w:rPr>
          <w:rFonts w:ascii="Times New Roman" w:cs="Times New Roman" w:eastAsia="Times New Roman" w:hAnsi="Times New Roman"/>
          <w:sz w:val="17"/>
          <w:szCs w:val="17"/>
          <w:color w:val="auto"/>
        </w:rPr>
        <w:t>Diversity, equity and inclusion, or DEI, are pillars around which we build our organization because we strongly believe that it drives superior results – and truly reflects the communities we serve and in which we work. We believe that everyone should feel included and fairly treated, and we embrace the unique qualities of our employees including all genders and gender identities, races, ethnicities, ages, national origins, disabilities, sexual orientations, military and socioeconomic backgrounds, and religions, as well as any other protected characteristics.</w:t>
      </w:r>
    </w:p>
    <w:p>
      <w:pPr>
        <w:spacing w:after="0" w:line="120"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Additionally, from a governance perspective, we maintain a mix of skills, backgrounds and experience on our executive team and on our board to serve the needs of our diverse stakeholders.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 Safety and Wellness</w:t>
      </w:r>
    </w:p>
    <w:p>
      <w:pPr>
        <w:spacing w:after="0" w:line="171"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The health, safety and wellness of our employees is an area where we continued to invest and expand throughout 2023. We provide our employees and their families with access to a variety of comprehensive health, wellness and time off programs that support physical, mental, emotional and financial well-being. We have a zero-tolerance policy concerning workplace violence including any threatening behavior on our premises or during any work-related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71"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Our compensation programs are designed to align the compensation of our employees with our Company’s performance and to provide the proper incentives to attract, retain and motivate employees to achieve superior results. We believe compensation and rewards should be fair and merit based and free from discrimination on the basis of race, gender or any other protected characteristics. We provide a comprehensive suite of compensation and benefits programs including annual bonuses, equity awards, an Employee Stock Purchase Plan, retirement savings plans with a company match,</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0"/>
        <w:spacing w:after="0" w:line="443" w:lineRule="auto"/>
        <w:rPr>
          <w:sz w:val="20"/>
          <w:szCs w:val="20"/>
          <w:color w:val="auto"/>
        </w:rPr>
      </w:pPr>
      <w:r>
        <w:rPr>
          <w:rFonts w:ascii="Times New Roman" w:cs="Times New Roman" w:eastAsia="Times New Roman" w:hAnsi="Times New Roman"/>
          <w:sz w:val="17"/>
          <w:szCs w:val="17"/>
          <w:color w:val="auto"/>
        </w:rPr>
        <w:t xml:space="preserve">healthcare, income protection benefits, paid time off, leave of absence benefits, flexible work arrangements, and numerous well-being benefits. </w:t>
      </w:r>
      <w:r>
        <w:rPr>
          <w:rFonts w:ascii="Times New Roman" w:cs="Times New Roman" w:eastAsia="Times New Roman" w:hAnsi="Times New Roman"/>
          <w:sz w:val="17"/>
          <w:szCs w:val="17"/>
          <w:b w:val="1"/>
          <w:bCs w:val="1"/>
          <w:i w:val="1"/>
          <w:iCs w:val="1"/>
          <w:color w:val="auto"/>
        </w:rPr>
        <w:t>Talent Development</w:t>
      </w:r>
    </w:p>
    <w:p>
      <w:pPr>
        <w:ind w:firstLine="309"/>
        <w:spacing w:after="0" w:line="264" w:lineRule="auto"/>
        <w:rPr>
          <w:sz w:val="20"/>
          <w:szCs w:val="20"/>
          <w:color w:val="auto"/>
        </w:rPr>
      </w:pPr>
      <w:r>
        <w:rPr>
          <w:rFonts w:ascii="Times New Roman" w:cs="Times New Roman" w:eastAsia="Times New Roman" w:hAnsi="Times New Roman"/>
          <w:sz w:val="17"/>
          <w:szCs w:val="17"/>
          <w:color w:val="auto"/>
        </w:rPr>
        <w:t>Professional growth is a key indicator of employee satisfaction and helping our employees reach and exceed their goals helps us retain and engage our outstanding talent. We foster professional growth by providing stretch assignments, projects and manager-led coaching and mentoring to help employees meet their career goals. We continuously work on improving manager effectiveness by providing just-in-time training on people processes and a program that focuses on building connection and trust, high performing teams, and fostering a growth mindset.</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an annual global performance review process for reviewing all employees’ performance and encourage ongoing conversations and a mid-year review</w:t>
      </w:r>
    </w:p>
    <w:p>
      <w:pPr>
        <w:spacing w:after="0" w:line="4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7"/>
          <w:szCs w:val="17"/>
          <w:color w:val="auto"/>
        </w:rPr>
        <w:t>as well. We also have an annual compensation process to review pay. To support our managers, we train them on conducting effective performance reflections and making equitable compensation recommendations, considering market pay data, experience in role and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Engagement</w:t>
      </w:r>
    </w:p>
    <w:p>
      <w:pPr>
        <w:spacing w:after="0" w:line="171" w:lineRule="exact"/>
        <w:rPr>
          <w:sz w:val="20"/>
          <w:szCs w:val="20"/>
          <w:color w:val="auto"/>
        </w:rPr>
      </w:pPr>
    </w:p>
    <w:p>
      <w:pPr>
        <w:ind w:right="460" w:firstLine="309"/>
        <w:spacing w:after="0" w:line="287" w:lineRule="auto"/>
        <w:rPr>
          <w:sz w:val="20"/>
          <w:szCs w:val="20"/>
          <w:color w:val="auto"/>
        </w:rPr>
      </w:pPr>
      <w:r>
        <w:rPr>
          <w:rFonts w:ascii="Times New Roman" w:cs="Times New Roman" w:eastAsia="Times New Roman" w:hAnsi="Times New Roman"/>
          <w:sz w:val="17"/>
          <w:szCs w:val="17"/>
          <w:color w:val="auto"/>
        </w:rPr>
        <w:t>We strive to continuously improve our employee experience to impact employee retention and engagement, and we periodically conduct an engagement survey and take actions to address areas of employee concern.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69" w:lineRule="exact"/>
        <w:rPr>
          <w:sz w:val="20"/>
          <w:szCs w:val="20"/>
          <w:color w:val="auto"/>
        </w:rPr>
      </w:pPr>
    </w:p>
    <w:p>
      <w:pPr>
        <w:ind w:right="460" w:firstLine="309"/>
        <w:spacing w:after="0" w:line="270"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69"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www.procept-biorobotics.com. Information on our website is not part of this report. The SEC maintains a website that contains the materials we file with the SEC at www.sec.gov.</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5"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63"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an early-stage company with a history of significant net losses, we expect to continue to incur operating losses for the foreseeable future and we may not be able to achieve or sustain profitability.</w:t>
      </w:r>
    </w:p>
    <w:p>
      <w:pPr>
        <w:spacing w:after="0" w:line="94" w:lineRule="exact"/>
        <w:rPr>
          <w:sz w:val="20"/>
          <w:szCs w:val="20"/>
          <w:color w:val="auto"/>
        </w:rPr>
      </w:pPr>
    </w:p>
    <w:p>
      <w:pPr>
        <w:ind w:right="120" w:firstLine="309"/>
        <w:spacing w:after="0" w:line="260" w:lineRule="auto"/>
        <w:rPr>
          <w:sz w:val="20"/>
          <w:szCs w:val="20"/>
          <w:color w:val="auto"/>
        </w:rPr>
      </w:pPr>
      <w:r>
        <w:rPr>
          <w:rFonts w:ascii="Times New Roman" w:cs="Times New Roman" w:eastAsia="Times New Roman" w:hAnsi="Times New Roman"/>
          <w:sz w:val="17"/>
          <w:szCs w:val="17"/>
          <w:color w:val="auto"/>
        </w:rPr>
        <w:t>We have incurred significant net losses in each reporting period since our inception. For the years ended December 31, 2023 and 2022, we had a net loss of and $105.9 million and $87.2 million, respectively. We expect to continue to incur additional losses in the future. As of December 31, 2023, we had an accumulated deficit of $454.6 million. To date, we have financed our operations primarily through net proceeds from sales of our equity securities, indebtedness, including our loan and security agreement, and, to a lesser extent, product revenue from sales of our AquaBeam Robotic System and single-use disposable handpieces. The losses and accumulated deficit have primarily been due to the substantial investments we have made to develop our products, costs related to our sales and marketing efforts, including costs related to clinical and regulatory initiatives to obtain marketing approval, and infrastructure improvements.</w:t>
      </w:r>
    </w:p>
    <w:p>
      <w:pPr>
        <w:spacing w:after="0" w:line="122" w:lineRule="exact"/>
        <w:rPr>
          <w:sz w:val="20"/>
          <w:szCs w:val="20"/>
          <w:color w:val="auto"/>
        </w:rPr>
      </w:pPr>
    </w:p>
    <w:p>
      <w:pPr>
        <w:ind w:right="140" w:firstLine="309"/>
        <w:spacing w:after="0" w:line="260" w:lineRule="auto"/>
        <w:rPr>
          <w:sz w:val="20"/>
          <w:szCs w:val="20"/>
          <w:color w:val="auto"/>
        </w:rPr>
      </w:pPr>
      <w:r>
        <w:rPr>
          <w:rFonts w:ascii="Times New Roman" w:cs="Times New Roman" w:eastAsia="Times New Roman" w:hAnsi="Times New Roman"/>
          <w:sz w:val="17"/>
          <w:szCs w:val="17"/>
          <w:color w:val="auto"/>
        </w:rPr>
        <w:t>We may also encounter unforeseen expenses, difficulties, complications, delays and other known and unknown factors and risks frequently experienced by early-stage medical technology companies in rapidly evolving fields. In addition, as a public company, we will continue to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our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16" w:lineRule="exact"/>
        <w:rPr>
          <w:sz w:val="20"/>
          <w:szCs w:val="20"/>
          <w:color w:val="auto"/>
        </w:rPr>
      </w:pPr>
    </w:p>
    <w:p>
      <w:pPr>
        <w:ind w:right="6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revenue is primarily generated from sales of our AquaBeam Robotic System and the accompanying single-use disposable handpieces, and we are therefore highly dependent on the success of those products.</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To date, substantially all of our revenue has been derived, and we expect it to continue to be substantially derived, from sales of our AquaBeam Robotic System and its accompanying single-use disposable handpieces. Our products deliver our Aquablation therapy, the first and only image-guided, heat-free robotic therapy for BPH. We began commercializing our products in the United States in 2017 and physician awareness of, and experience with, our products has been and is currently limited. As a result, our products have limited product and brand recognition within the medical industry for the treatment of BPH. We do not have a long history operating as a commercial company, and the novelty of our products, together with our limited commercialization experience, makes it difficult to evaluate our current business and predict our future prospects with precision. These factors also make it difficult for us to forecast our financial performance and future growth, and such forecasts are subject to a number of uncertainties, including those outside of our control.</w:t>
      </w:r>
    </w:p>
    <w:p>
      <w:pPr>
        <w:spacing w:after="0" w:line="12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94" w:lineRule="exact"/>
        <w:rPr>
          <w:sz w:val="20"/>
          <w:szCs w:val="20"/>
          <w:color w:val="auto"/>
        </w:rPr>
      </w:pPr>
    </w:p>
    <w:p>
      <w:pPr>
        <w:ind w:right="80" w:firstLine="309"/>
        <w:spacing w:after="0" w:line="258" w:lineRule="auto"/>
        <w:rPr>
          <w:sz w:val="20"/>
          <w:szCs w:val="20"/>
          <w:color w:val="auto"/>
        </w:rPr>
      </w:pPr>
      <w:r>
        <w:rPr>
          <w:rFonts w:ascii="Times New Roman" w:cs="Times New Roman" w:eastAsia="Times New Roman" w:hAnsi="Times New Roman"/>
          <w:sz w:val="17"/>
          <w:szCs w:val="17"/>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operating results may fluctuate significantly as a result of a variety of factors, many of which are outside our control and, as a result, may not fully reflect the underlying performance of our business. Such fluctuations in quarterly and annual operating results may decrease the value of our common stock. Because our quarterly operating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spacing w:after="0" w:line="128" w:lineRule="exact"/>
        <w:rPr>
          <w:sz w:val="20"/>
          <w:szCs w:val="20"/>
          <w:color w:val="auto"/>
        </w:rPr>
      </w:pPr>
    </w:p>
    <w:p>
      <w:pPr>
        <w:ind w:left="5700" w:right="3920" w:hanging="5387"/>
        <w:spacing w:after="0" w:line="983" w:lineRule="auto"/>
        <w:tabs>
          <w:tab w:leader="none" w:pos="62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surgeon and hospital adoption and demand for our products and Aquablation therapy;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rates by government or commercial payors;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positive or negative coverage in the media or clinical publications, or changes in public, patient and/or physician perception, of our products or competing products and treatments, including our brand reputation;</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competition in our industry and any change in the competitive landscape, including consolidation among competitors or future partners;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safety, reliability or effectiveness concerns that arise regarding our products or other procedures to treat BPH;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pricing pressures in connection with the sale of our products and downward pressure on healthcare costs in general;</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sales and marketing efforts, including our ability to deploy a sufficient number of qualified sales representatives to sell and market our products;</w:t>
      </w:r>
    </w:p>
    <w:p>
      <w:pPr>
        <w:spacing w:after="0" w:line="9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delays in product development or product launches;</w:t>
      </w:r>
    </w:p>
    <w:p>
      <w:pPr>
        <w:spacing w:after="0" w:line="165" w:lineRule="exact"/>
        <w:rPr>
          <w:rFonts w:ascii="Times New Roman" w:cs="Times New Roman" w:eastAsia="Times New Roman" w:hAnsi="Times New Roman"/>
          <w:sz w:val="17"/>
          <w:szCs w:val="17"/>
          <w:color w:val="auto"/>
        </w:rPr>
      </w:pPr>
    </w:p>
    <w:p>
      <w:pPr>
        <w:ind w:left="620" w:right="56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our products, which may vary depending on the quantity of production and the terms of our agreements with third-party suppliers;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on acceptable terms, or at all, if needed to support the commercialization of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and maintain compliance with all regulatory requirements applicable to our products and services;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and enforce our intellectual property rights;</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our third-party suppliers’ ability to supply the components of our products in a timely manner, in accordance with our specifications, and in compliance with applicable regulatory requirements;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technologies or alternative treatments for BPH that compete with our products.</w:t>
      </w:r>
    </w:p>
    <w:p>
      <w:pPr>
        <w:spacing w:after="0" w:line="165" w:lineRule="exact"/>
        <w:rPr>
          <w:sz w:val="20"/>
          <w:szCs w:val="20"/>
          <w:color w:val="auto"/>
        </w:rPr>
      </w:pPr>
    </w:p>
    <w:p>
      <w:pPr>
        <w:jc w:val="both"/>
        <w:ind w:right="80" w:firstLine="309"/>
        <w:spacing w:after="0" w:line="270"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If our assumptions regarding the risks and uncertainties we face, which we use to plan our business, are incorrect or change due to circumstances in our business or our markets, or if we do not address these risks successfully, our operating and financial results could deviate materially from our expectations and our business could suffer.</w:t>
      </w:r>
    </w:p>
    <w:p>
      <w:pPr>
        <w:spacing w:after="0" w:line="114" w:lineRule="exact"/>
        <w:rPr>
          <w:sz w:val="20"/>
          <w:szCs w:val="20"/>
          <w:color w:val="auto"/>
        </w:rPr>
      </w:pPr>
    </w:p>
    <w:p>
      <w:pPr>
        <w:jc w:val="both"/>
        <w:ind w:right="60" w:firstLine="309"/>
        <w:spacing w:after="0" w:line="270" w:lineRule="auto"/>
        <w:rPr>
          <w:sz w:val="20"/>
          <w:szCs w:val="20"/>
          <w:color w:val="auto"/>
        </w:rPr>
      </w:pPr>
      <w:r>
        <w:rPr>
          <w:rFonts w:ascii="Times New Roman" w:cs="Times New Roman" w:eastAsia="Times New Roman" w:hAnsi="Times New Roman"/>
          <w:sz w:val="17"/>
          <w:szCs w:val="17"/>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08"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9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2023, we had $52.0 million outstanding in the form of a term loan under our loan and security agreement with Canadian Imperial Bank of Commerce, which was entered into in October 2022 and amended in June 2023. The loan is secured by substantially all of our assets, including all of the capital stock held by us, if any. The loan and security agreement contains a number of restrictive covenants, and the terms may restrict our current and future operations, particularly our ability to respond to certain changes in our business or industry, or take future actions. See the section of this Annual Report on Form 10-K titled “Management’s Discussion and Analysis of Financial Condition and Results of Operations—Liquidity and Capital Resources—Indebtedness.”</w:t>
      </w:r>
    </w:p>
    <w:p>
      <w:pPr>
        <w:spacing w:after="0" w:line="123" w:lineRule="exact"/>
        <w:rPr>
          <w:sz w:val="20"/>
          <w:szCs w:val="20"/>
          <w:color w:val="auto"/>
        </w:rPr>
      </w:pPr>
    </w:p>
    <w:p>
      <w:pPr>
        <w:ind w:right="100" w:firstLine="309"/>
        <w:spacing w:after="0" w:line="287" w:lineRule="auto"/>
        <w:rPr>
          <w:sz w:val="20"/>
          <w:szCs w:val="20"/>
          <w:color w:val="auto"/>
        </w:rPr>
      </w:pPr>
      <w:r>
        <w:rPr>
          <w:rFonts w:ascii="Times New Roman" w:cs="Times New Roman" w:eastAsia="Times New Roman" w:hAnsi="Times New Roman"/>
          <w:sz w:val="17"/>
          <w:szCs w:val="17"/>
          <w:color w:val="auto"/>
        </w:rPr>
        <w:t>The loan and security agreement contains customary representations and warranties and affirmative covenants and also contains certain restrictive covenants, including, among others, limitations on: the incurrence of additional debt, liens or</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other encumbrances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loan and security agreement also includes financial covenants for us to maintain in deposit accounts held at CIBC the lesser of (i) $90.0 million or (ii) all of our non-operating cash or require us to, among other things, either meet certain revenue targets detailed in an approved forecast or maintain a minimum amount of unrestricted cash. The loan and security agreement also contains customary events of default. If we fail to comply with such covenants, payments or other terms of the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loan and security agreement. If the debt under the loan and security agreement were accelerated, we may not have sufficient cash or be able to sell sufficient assets to repay this debt, which would harm our business and financial condition.</w:t>
      </w:r>
    </w:p>
    <w:p>
      <w:pPr>
        <w:spacing w:after="0" w:line="12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need additional funding to finance our planned operations, and may not be able to raise capital when needed, which could force us to delay, reduce or eliminate one or more of our product development programs and future commercialization efforts.</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Since our inception, we have incurred significant net losses and expect to continue to incur net losses for the foreseeable future. Since our inception, our operations have been financed primarily by net proceeds from sales of our equity securities, indebtedness and, to a lesser extent, product revenue from sales of our AquaBeam Robotic System and single-use disposable handpieces. As of December 31, 2023, we had $257.2 million in cash and cash equivalents, and an accumulated deficit of $454.6 million. Based on our current operating plan, we currently believe that our cash and cash equivalents and anticipated revenue will be sufficient to meet our capital requirements and fund our operations through at least the next 12 months. However, we have based these estimates on assumptions that may prove to be wrong, and we could utilize our available capital resources sooner than we currently expect.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spacing w:after="0" w:line="124"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We may require additional capital in the future as we expect to continue to expand our sales and marketing organization, invest in clinical trials and registries that are designed to provide clinical evidence of the safety and efficacy of our products and research and development of product improvements and future products. Moreover, we expect to continue to incur additional expenses associated with operating as a public company, including legal, accounting, insurance, exchange listing and SEC compliance, investor relations and other expenses.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122"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rate of market acceptance of our current and future products and Aquablation therapy;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and timing of investment in our sales force and expansion of our commercial organization;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and cost of our current or future clinical trials and registries;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our research and development activities;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additional regulatory clearances or approvals;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any product recall that may occur;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the manufacturing of our products at increased production levels;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attaining, defending and enforcing our intellectual property rights;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acquire third-party companies, products or technologies;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other collaborative, licensing and other arrangements that we may establish;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of competing technologies or other adverse market developments;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at which we expand internationally.</w:t>
      </w:r>
    </w:p>
    <w:p>
      <w:pPr>
        <w:spacing w:after="0" w:line="165" w:lineRule="exact"/>
        <w:rPr>
          <w:sz w:val="20"/>
          <w:szCs w:val="20"/>
          <w:color w:val="auto"/>
        </w:rPr>
      </w:pPr>
    </w:p>
    <w:p>
      <w:pPr>
        <w:ind w:right="340" w:firstLine="309"/>
        <w:spacing w:after="0" w:line="287" w:lineRule="auto"/>
        <w:rPr>
          <w:sz w:val="20"/>
          <w:szCs w:val="20"/>
          <w:color w:val="auto"/>
        </w:rPr>
      </w:pPr>
      <w:r>
        <w:rPr>
          <w:rFonts w:ascii="Times New Roman" w:cs="Times New Roman" w:eastAsia="Times New Roman" w:hAnsi="Times New Roman"/>
          <w:sz w:val="17"/>
          <w:szCs w:val="17"/>
          <w:color w:val="auto"/>
        </w:rPr>
        <w:t>We may seek to raise additional capital through equity offerings or debt financings and such additional financing may not be available to us on acceptable terms, or at all. In addition, any additional equity or debt financing that we raise may</w:t>
      </w:r>
    </w:p>
    <w:p>
      <w:pPr>
        <w:spacing w:after="0" w:line="200" w:lineRule="exact"/>
        <w:rPr>
          <w:sz w:val="20"/>
          <w:szCs w:val="20"/>
          <w:color w:val="auto"/>
        </w:rPr>
      </w:pPr>
    </w:p>
    <w:p>
      <w:pPr>
        <w:spacing w:after="0" w:line="3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our prior offerings.</w:t>
      </w:r>
    </w:p>
    <w:p>
      <w:pPr>
        <w:spacing w:after="0" w:line="123" w:lineRule="exact"/>
        <w:rPr>
          <w:sz w:val="20"/>
          <w:szCs w:val="20"/>
          <w:color w:val="auto"/>
        </w:rPr>
      </w:pPr>
    </w:p>
    <w:p>
      <w:pPr>
        <w:ind w:right="220" w:firstLine="309"/>
        <w:spacing w:after="0" w:line="258" w:lineRule="auto"/>
        <w:rPr>
          <w:sz w:val="20"/>
          <w:szCs w:val="20"/>
          <w:color w:val="auto"/>
        </w:rPr>
      </w:pPr>
      <w:r>
        <w:rPr>
          <w:rFonts w:ascii="Times New Roman" w:cs="Times New Roman" w:eastAsia="Times New Roman" w:hAnsi="Times New Roman"/>
          <w:sz w:val="17"/>
          <w:szCs w:val="17"/>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For example, our current loan and security agreement prohibits us from incurring additional indebtedness without the prior written consent of our lender.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4"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If we are unable to obtain adequate financing on terms satisfactory to us when we require it, we may be required to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14"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commercial success of our AquaBeam Robotic System and Aquablation therapy will depend upon the degree of market acceptance of our products among hospitals, surgeons and patients.</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Our success will depend, in large part, on the acceptance of our AquaBeam Robotic System as safe, effective, reliable and durable and, with respect to hospitals, healthcare providers and patients, as cost-effective. We believe Aquablation therapy represents a new approach for treating BPH, employing a computer-assisted patient-specific visualization system, a heat-free waterjet and automated robotic system to target and remove prostate tissue. We believe that market acceptance will be driven primarily by surgeons and hospitals, and if they do not adopt the concept of computer-assisted robotics-enabled technology and perceive such technology as having significant advantages over other surgical alternatives, patients will be less likely to accept or be offered Aquablation therapy and we will fail to meet our business objectives. Surgeons’ and hospitals’ perceptions of such technology having significant advantages are likely to be based on a determination that, among other factors, our products are safe, cost-effective and represent acceptable methods of treatment. Even if we can prove the effectiveness of Aquablation therapy through clinical trials, there may not be broad adoption and use of our products and surgeons may elect not to use our products for any number of other reasons, including:</w:t>
      </w:r>
    </w:p>
    <w:p>
      <w:pPr>
        <w:spacing w:after="0" w:line="127"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with our products and concerns that we are relatively new to market;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liability risk generally associated with the use of new products and treatment options;</w:t>
      </w:r>
    </w:p>
    <w:p>
      <w:pPr>
        <w:spacing w:after="0" w:line="165"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or perceived lack of sufficient clinical evidence, including long-term data, supporting clinical benefits or the cost-effectiveness of our products over existing treatment alternatives;</w:t>
      </w:r>
    </w:p>
    <w:p>
      <w:pPr>
        <w:spacing w:after="0" w:line="99"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key opinion leaders to provide recommendations regarding our products, or to assure surgeons, patients and healthcare payors of the benefits of our products as an attractive alternative to other treatment options;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perception that our products are unproven;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long-standing relationships with companies and distributors that sell other products or treatment options for BPH;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over the capital investment required to purchase our AquaBeam Robotic System and perform Aquablation therapy procedures;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availability of adequate third-party payor coverage or reimbursement;</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80" w:hanging="307"/>
        <w:spacing w:after="0" w:line="287"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 pressure, including from Group Purchasing Organizations, or GPOs, and Integrated Delivery Networks, or IDNs, seeking to obtain discounts on our AquaBeam Robotic System based on the collective buying power of the GPO and IDN members;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response and negative selling efforts from providers of alternative treatments;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labeling cleared or approved by the FDA or other authorities.</w:t>
      </w:r>
    </w:p>
    <w:p>
      <w:pPr>
        <w:spacing w:after="0" w:line="165"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Even if our AquaBeam Robotic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hospitals, surgeons and patients will accept our AquaBeam Robotic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16" w:lineRule="exact"/>
        <w:rPr>
          <w:sz w:val="20"/>
          <w:szCs w:val="20"/>
          <w:color w:val="auto"/>
        </w:rPr>
      </w:pPr>
    </w:p>
    <w:p>
      <w:pPr>
        <w:ind w:right="6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94"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We have limited experience marketing and selling our products. We currently rely on our direct sales force and distributors to sell our products in targeted geographic regions and territories, and any failure to maintain and grow our direct sales force and distributor relationships could harm our business. The members of our direct sales force are adequately trained and possess technical expertise, which we believe is critical in driving the awareness and adoption of our products. The members of our U.S. sales force are at-will employees. The loss of these personnel to competitors, or otherwise, could materially harm our business. If we are unable to retain our direct sales force personnel or replace them with individuals of comparable expertise and qualifications, or if we are unable to successfully instill such expertise in replacement personnel, our product sales, revenues and results of operations could be materially harmed.</w:t>
      </w:r>
    </w:p>
    <w:p>
      <w:pPr>
        <w:spacing w:after="0" w:line="122"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In order to generate future growth, we plan to continue to significantly expand and leverage our commercial infrastructure to increase our customer base and increase awareness and adoption by existing customers to drive our growth. Identifying and recruiting qualified sales and marketing professionals and training them on our products and Aquablation therapy, on applicable federal and state laws and regulations and on our internal policies and procedures requires significant time, expense and attention. It can take several months or more before a sales representative is fully trained and productive. Our sales force may subject us to higher fixed costs than those of companies with competing products or treatments that can utilize independent third parties, placing us at a competitive disadvantage. Our business may be harmed if our efforts to expand and train our sales force do not generate a corresponding increase in product sales and revenue, and our higher fixed costs may slow our ability to reduce costs in the face of a sudden decline in demand for our products. Any failure to hire, develop and retain talented sales personnel, to achieve desired productivity levels in a reasonable period of time or timely reduce fixed costs, could have material adverse effect on our business, financial condition and results of operations.</w:t>
      </w:r>
    </w:p>
    <w:p>
      <w:pPr>
        <w:spacing w:after="0" w:line="127"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and educational programs. Our business may be harmed if these efforts and expenditures do not generate a corresponding increase in revenue. In addition, we believe that developing and maintaining broad awareness of our Aquablation therapy in a cost-effective manner is critical to achieving broad acceptance of our products and reaching new physicians, hospitals and patients. Promotion and educational activities may not generate hospital or surgeon awareness or increase revenue, and even if they do, any increase in revenue may not offset the costs and expenses we incur. If we fail to successfully promote Aquablation therapy in a cost-effective manner, we may fail to attract or retain the market acceptance necessary to realize a sufficient return on our promotional and educational efforts, or to achieve broad adoption of our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third-party distributors to effectively distribute our products in certain markets.</w:t>
      </w:r>
    </w:p>
    <w:p>
      <w:pPr>
        <w:spacing w:after="0" w:line="200" w:lineRule="exact"/>
        <w:rPr>
          <w:sz w:val="20"/>
          <w:szCs w:val="20"/>
          <w:color w:val="auto"/>
        </w:rPr>
      </w:pPr>
    </w:p>
    <w:p>
      <w:pPr>
        <w:spacing w:after="0" w:line="204"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We depend or expect to depend in the future on qualified distributors for the marketing and selling of our products in certain markets. If our distributors fail to effectively market and sell our AquaBeam Robotic System in full compliance with applicable laws, our operating results and business may suffer. Screening, recruiting and retaining qualified third-party distributors and training them in our technology and product offering and business practices requires significant time and resources. To develop and expand our distribution, we may be required to scale and improve our processes and procedures</w:t>
      </w:r>
    </w:p>
    <w:p>
      <w:pPr>
        <w:spacing w:after="0" w:line="200" w:lineRule="exact"/>
        <w:rPr>
          <w:sz w:val="20"/>
          <w:szCs w:val="20"/>
          <w:color w:val="auto"/>
        </w:rPr>
      </w:pPr>
    </w:p>
    <w:p>
      <w:pPr>
        <w:spacing w:after="0" w:line="3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that support our distributors. Further, if our relationship with a successful distributor terminates, we may be unable to replace that distributor without disruption to our business. If we fail to develop or maintain positive relationships with our distributors, including in new markets, fail to manage, train or incentivize these distributors effectively, or fail to provide distributors with competitive products on attractive terms, or if these distributors are not successful in their sales efforts, we may not achieve expected revenues or may have a reduction in revenue and our operating results, reputation and business would be harmed.</w:t>
      </w:r>
    </w:p>
    <w:p>
      <w:pPr>
        <w:spacing w:after="0" w:line="114"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maintain adequate levels of third-party coverage and reimbursement, and third parties may rescind or modify their coverage or delay payments related to our products.</w:t>
      </w:r>
    </w:p>
    <w:p>
      <w:pPr>
        <w:spacing w:after="0" w:line="94"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We derive the majority of our revenue from sales of our AquaBeam Robotic System and single-use disposable handpieces to hospitals. Sales of our products will depend, in part, on the extent to which the procedures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As a result, maintaining access to adequate coverage and reimbursement for our products by third-party payors is essential to the acceptance and adoption of our products.</w:t>
      </w:r>
    </w:p>
    <w:p>
      <w:pPr>
        <w:spacing w:after="0" w:line="123"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Coverage and reimbursement by governmental and third-party payors may depend upon a number of factors, including the determination that the product or service and its use or administration for a particular patient is:</w:t>
      </w:r>
    </w:p>
    <w:p>
      <w:pPr>
        <w:spacing w:after="0" w:line="100" w:lineRule="exact"/>
        <w:rPr>
          <w:sz w:val="20"/>
          <w:szCs w:val="20"/>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covered benefit;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 effective and medically necessary;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 for the specific patient;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supported by guidelines established by the relevant professional societies;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experimental nor investigational.</w:t>
      </w:r>
    </w:p>
    <w:p>
      <w:pPr>
        <w:spacing w:after="0" w:line="16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Our customers typically bill third-party payors for the costs and fees associated with the procedures in which our products are used. Any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20"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using our products exists among third-party payors. Therefore, coverage and reimbursement for procedures using our products can differ significantly from payor to payor. Obtaining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spacing w:after="0" w:line="122"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7"/>
          <w:szCs w:val="17"/>
          <w:color w:val="auto"/>
        </w:rPr>
        <w:t>Payors continually review new and existing technologies for possible coverage and can, without notice, deny or reverse coverage for new or existing products and procedures. There can be no assurance that third-party payor policies will provide or maintain coverage for procedures in which our products are used. Many third-party payors do not currently cover our products and the related procedures because they have determined that our products and the related procedures are experimental or investigational. When our products and the related procedures are reimbursed, they are reimbursed primarily on a per-patient prior authorization basis for patients covered by commercial insurers.</w:t>
      </w:r>
    </w:p>
    <w:p>
      <w:pPr>
        <w:spacing w:after="0" w:line="123"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Further, we believe that future coverage and reimbursement may be subject to increased restrictions, such as additional prior authorization requirements, both in the United States and in relevant international markets in which we plan to operate. If Medicare no longer covers any of our products, there would be a material adverse effect on our business, financial condition and results of operations. In addition, Medicare Administrative Contractors could issue a local coverage determination decision that could restrict the patients eligible for the treatment with our products or in another manner unfavorable to our business. Third-party coverage and reimbursement for procedures using our products or any of our</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products in development for which we may receive regulatory clearance or approval may not be available or adequate in either the United States or international markets. Further, other BPH treatments may be more widely covered or subject to different co-pay policies and requirements, which could impact demand for our products. If hospital, surgeon and/or patient demand for our products is adversely affected by changes in third-party reimbursement policies and decisions, it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competition from many sources, including larger companies, and we may be unable to compete successfully.</w:t>
      </w:r>
    </w:p>
    <w:p>
      <w:pPr>
        <w:spacing w:after="0" w:line="171"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The medical device industry is highly competitive, subject to rapid change and significantly affected by the introduction of new products and technologies and other activities of industry participants. We compete with pharmaceutical products marketed to treat BPH, and with medical device companies that manufacture resective or non-resective surgical alternatives for treating BPH. Resective alternatives include devices for the TURP procedure, laser-based therapies and simple prostatectomy, each of which is intended to remove the prostate tissue, and non-resective alternatives such as UroLift marketed by Teleflex Incorporated and Rezum marketed by Boston Scientific Corporation, which are intended to reshape the prostate and widen the cavity. Our primary medical device competitors are Boston Scientific Corporation and smaller companies that have single products or a limited range of products. Moreover, other products that are in current clinical trials, new drugs or additional indications for existing drugs could demonstrate better safety, effectiveness, clinical results, lower costs or greater physician and market acceptance than our products.</w:t>
      </w:r>
    </w:p>
    <w:p>
      <w:pPr>
        <w:spacing w:after="0" w:line="124"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14"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treatment patterns pursuant to which drugs are generally first-line or concurrent therapies for the treatment of BPH;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relationships with hospitals and physicians who are familiar with other surgical alternatives for the treatment of BPH;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financial and human capital resources;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significantly greater name recognition;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lines of products, and the ability to offer rebates or bundle products to offer greater discounts or incentives to gain a competitive advantage;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sales, marketing and worldwide distribution networks.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continued success depends on our ability to:</w:t>
      </w:r>
    </w:p>
    <w:p>
      <w:pPr>
        <w:spacing w:after="0" w:line="165"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outcomes for patients;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product safety, efficacy, reliability and durability;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the quality and volume of our clinical data;</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market to and educate patients, physicians and hospitals;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company, product and brand recognition;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broaden our sales force experience and access;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product support and service;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widen our technology lead over competitors by continuing to innovate and deliver new product enhancements on a continuous basis;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successful pricing and revenue strategies;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maintain and expand reimbursement coverage for procedures using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desired regulatory status and speed to market; and</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dedicated clinical representatives.</w:t>
      </w:r>
    </w:p>
    <w:p>
      <w:pPr>
        <w:spacing w:after="0" w:line="165"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One of the major hurdles to adoption of our products will be overcoming established treatment patterns, which will require education of surgeons and supportive clinical data. However, because of the size of the market opportunity for the treatment of BPH, we believe current and potential future competitors will dedicate significant resources to aggressively promote their products or develop new products or treatments. New treatment options may be developed that could compete more effectively with our products due to the prevalence of BPH and the research and technological progress that exist within the market.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continue to innovate and improve our AquaBeam Robotic System, we could lose customers or market share.</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Our success will depend on our ability to keep ahead of innovative developments in the treatment of BPH. It is critical to our competitiveness that we continue to innovate and make improvements to our AquaBeam Robotic System’s functionality and efficiency. If we fail to make improvements to our AquaBeam Robotic System’s functionality over time, our competitors may develop products that offer features and functionality similar or superior to those of our AquaBeam Robotic System. If we fail to make improvements to our AquaBeam Robotic System’s efficiency, our competitors may develop products that are more cost-effective than our AquaBeam Robotic System. Our failure to make continuous improvements to our AquaBeam Robotic System to keep ahead of the products of our competitors could result in the loss of customers or market share that would adversely affect our business, results of operations, and financial condition.</w:t>
      </w:r>
    </w:p>
    <w:p>
      <w:pPr>
        <w:spacing w:after="0" w:line="116" w:lineRule="exact"/>
        <w:rPr>
          <w:sz w:val="20"/>
          <w:szCs w:val="20"/>
          <w:color w:val="auto"/>
        </w:rPr>
      </w:pPr>
    </w:p>
    <w:p>
      <w:pPr>
        <w:ind w:right="320"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94" w:lineRule="exact"/>
        <w:rPr>
          <w:sz w:val="20"/>
          <w:szCs w:val="20"/>
          <w:color w:val="auto"/>
        </w:rPr>
      </w:pPr>
    </w:p>
    <w:p>
      <w:pPr>
        <w:ind w:right="260" w:firstLine="309"/>
        <w:spacing w:after="0" w:line="258" w:lineRule="auto"/>
        <w:rPr>
          <w:sz w:val="20"/>
          <w:szCs w:val="20"/>
          <w:color w:val="auto"/>
        </w:rPr>
      </w:pPr>
      <w:r>
        <w:rPr>
          <w:rFonts w:ascii="Times New Roman" w:cs="Times New Roman" w:eastAsia="Times New Roman" w:hAnsi="Times New Roman"/>
          <w:sz w:val="17"/>
          <w:szCs w:val="17"/>
          <w:color w:val="auto"/>
        </w:rPr>
        <w:t>Our growth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in our current manufacturing facility or any future manufacturing facilities. Currently, we have a sole manufacturing facility located in San Jose, California, where we manufacture, assemble, inspect, test, package and ship our products. We currently assemble all of our AquaBeam Robotic System and single-use disposable handpieces at this one facility, and we do not have additional facilities. If this facility, or any of our future manufacturing facilities, suffers damage, or a force majeure event were to occur, such damage or event could materially impact our ability to operate, which could materially and adversely affect our business and financial performance.</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subject to numerous other risks relating to our manufacturing capabilities, including:</w:t>
      </w:r>
    </w:p>
    <w:p>
      <w:pPr>
        <w:spacing w:after="0" w:line="165" w:lineRule="exact"/>
        <w:rPr>
          <w:sz w:val="20"/>
          <w:szCs w:val="20"/>
          <w:color w:val="auto"/>
        </w:rPr>
      </w:pPr>
    </w:p>
    <w:p>
      <w:pPr>
        <w:ind w:left="620" w:right="520" w:hanging="307"/>
        <w:spacing w:after="0" w:line="28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and reliability of components, sub-assemblies and materials that we source from third-party suppliers, who are required to meet our quality specifications, almost all of whom are single source suppliers for the items and materials that they supply;</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secure components, sub-assemblies and materials in a timely manner, in sufficient quantities or on commercially reasonable terms;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compliance with quality system requirements or pass regulatory quality inspections;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increase production capacity or volumes to meet demand;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risks associated with disruptions in our supply chain, such as on account of geopolitical or macroeconomic events;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times associated with securing key components;</w:t>
      </w:r>
    </w:p>
    <w:p>
      <w:pPr>
        <w:spacing w:after="0" w:line="165"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design or modify production processes to enable us to produce future products efficiently or implement changes in current products in response to design or regulatory requirements;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and qualifying, and obtaining new regulatory approvals, for alternative suppliers for components in a timely manner.</w:t>
      </w:r>
    </w:p>
    <w:p>
      <w:pPr>
        <w:spacing w:after="0" w:line="165" w:lineRule="exact"/>
        <w:rPr>
          <w:sz w:val="20"/>
          <w:szCs w:val="20"/>
          <w:color w:val="auto"/>
        </w:rPr>
      </w:pPr>
    </w:p>
    <w:p>
      <w:pPr>
        <w:ind w:right="560" w:firstLine="309"/>
        <w:spacing w:after="0" w:line="270" w:lineRule="auto"/>
        <w:rPr>
          <w:sz w:val="20"/>
          <w:szCs w:val="20"/>
          <w:color w:val="auto"/>
        </w:rPr>
      </w:pPr>
      <w:r>
        <w:rPr>
          <w:rFonts w:ascii="Times New Roman" w:cs="Times New Roman" w:eastAsia="Times New Roman" w:hAnsi="Times New Roman"/>
          <w:sz w:val="17"/>
          <w:szCs w:val="17"/>
          <w:color w:val="auto"/>
        </w:rPr>
        <w:t>These risks are likely to be exacerbated by our limited experience with our current products and manufacturing processes. As demand for our products increases, we will have to invest additional resources to purchase components, sub-assemblies and materials, hire and train employees and enhance our manufacturing processes. If we fail to increase our</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 development of new manufacturing technologies. It may not be possible for us to manufacture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19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107" w:lineRule="exact"/>
        <w:rPr>
          <w:sz w:val="20"/>
          <w:szCs w:val="20"/>
          <w:color w:val="auto"/>
        </w:rPr>
      </w:pPr>
    </w:p>
    <w:p>
      <w:pPr>
        <w:ind w:firstLine="309"/>
        <w:spacing w:after="0" w:line="245" w:lineRule="auto"/>
        <w:rPr>
          <w:sz w:val="20"/>
          <w:szCs w:val="20"/>
          <w:color w:val="auto"/>
        </w:rPr>
      </w:pPr>
      <w:r>
        <w:rPr>
          <w:rFonts w:ascii="Times New Roman" w:cs="Times New Roman" w:eastAsia="Times New Roman" w:hAnsi="Times New Roman"/>
          <w:sz w:val="17"/>
          <w:szCs w:val="17"/>
          <w:color w:val="auto"/>
        </w:rPr>
        <w:t>We rely on third-party suppliers, almost all of whom are single source suppliers, to provide us with certain components, sub-assemblies and materials for our products. These components, sub-assemblies and materials are critical and, for certain items, there are relatively few alternative sources of supply. These single source suppliers may be unwilling or unable to supply the necessary materials and components or manufacture and assemble our products in a reliable manner and at the levels we anticipate or at levels adequate to satisfy demand for our products. While our suppliers have generally met our demand for their products and services on a timely basis in the past, we cannot guarantee that they will in the future be able to meet our demand for such products, either because of acts of nature, the nature of our agreements with those suppliers or our relative importance to them as a customer, and our suppliers may decide in the future to discontinue or reduce the level of business they conduct with us. Further, we maintain limited volumes of inventory from most of our suppliers and contract manufacturers. If we inaccurately forecast demand for finished goods, we may be unable to meet customer demand which could harm our competitive position and reputation.</w:t>
      </w:r>
    </w:p>
    <w:p>
      <w:pPr>
        <w:spacing w:after="0" w:line="337"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We have not been qualified or obtained necessary regulatory approvals for additional suppliers for most of these components, sub-assemblies and materials. While we currently believe that alternative sources of supply or sterilization may be available, we cannot be certain whether they will be available if and when we need them, or that any alternative suppliers or providers would be able to provide the quantity and quality of components, materials and sterilization that we would need to manufacture and ship our products if our existing suppliers and providers were unable to satisfy our requirements. To utilize other sources, we would need to identify and qualify new providers to our quality standards and obtain any additional regulatory approvals required to change providers, which could result in manufacturing delays and increase our expenses.</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dependence on third-parties subjects us to a number of risks that could impact our ability to manufacture our products and harm our business, including:</w:t>
      </w:r>
    </w:p>
    <w:p>
      <w:pPr>
        <w:spacing w:after="0" w:line="165" w:lineRule="exact"/>
        <w:rPr>
          <w:sz w:val="20"/>
          <w:szCs w:val="20"/>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of supply or sterilization resulting from modifications to, or discontinuation of, a third party’s operations;</w:t>
      </w:r>
    </w:p>
    <w:p>
      <w:pPr>
        <w:spacing w:after="0" w:line="165" w:lineRule="exact"/>
        <w:rPr>
          <w:rFonts w:ascii="Times New Roman" w:cs="Times New Roman" w:eastAsia="Times New Roman" w:hAnsi="Times New Roman"/>
          <w:sz w:val="17"/>
          <w:szCs w:val="17"/>
          <w:color w:val="auto"/>
        </w:rPr>
      </w:pPr>
    </w:p>
    <w:p>
      <w:pPr>
        <w:ind w:left="620" w:right="880" w:hanging="307"/>
        <w:spacing w:after="0" w:line="287"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product shipments resulting from uncorrected defects, reliability issues or a third party’s failure to produce components or complete sterilizations that consistently meet our quality specifications;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fluctuations due to a lack of long-term supply arrangements with our third parties for key components or sterilization requirements;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adequate supply or services in a timely manner or on commercially reasonable terms;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and qualifying alternative third parties for the supply of components or for sterilization of our products in a timely manner;</w:t>
      </w:r>
    </w:p>
    <w:p>
      <w:pPr>
        <w:spacing w:after="0" w:line="165" w:lineRule="exact"/>
        <w:rPr>
          <w:rFonts w:ascii="Times New Roman" w:cs="Times New Roman" w:eastAsia="Times New Roman" w:hAnsi="Times New Roman"/>
          <w:sz w:val="17"/>
          <w:szCs w:val="17"/>
          <w:color w:val="auto"/>
        </w:rPr>
      </w:pPr>
    </w:p>
    <w:p>
      <w:pPr>
        <w:ind w:left="620" w:right="160" w:hanging="307"/>
        <w:spacing w:after="0" w:line="287"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third parties to comply with applicable provisions of the FDA’s Quality System Regulations, or QSR, or other applicable laws or regulations enforced by the FDA, state and global regulatory authorities;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ensure the quality of products manufactured or sterilization conducted by third parties;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production delays related to the evaluation and testing of products and services from alternative third parties and corresponding regulatory qualifications;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towards consolidation within the medical device manufacturing supplier industry;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delivery by our suppliers and service providers.</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 w:right="40" w:firstLine="309"/>
        <w:spacing w:after="0" w:line="264" w:lineRule="auto"/>
        <w:rPr>
          <w:sz w:val="20"/>
          <w:szCs w:val="20"/>
          <w:color w:val="auto"/>
        </w:rPr>
      </w:pPr>
      <w:r>
        <w:rPr>
          <w:rFonts w:ascii="Times New Roman" w:cs="Times New Roman" w:eastAsia="Times New Roman" w:hAnsi="Times New Roman"/>
          <w:sz w:val="17"/>
          <w:szCs w:val="17"/>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w:t>
      </w:r>
    </w:p>
    <w:p>
      <w:pPr>
        <w:spacing w:after="0" w:line="114" w:lineRule="exact"/>
        <w:rPr>
          <w:sz w:val="20"/>
          <w:szCs w:val="20"/>
          <w:color w:val="auto"/>
        </w:rPr>
      </w:pPr>
    </w:p>
    <w:p>
      <w:pPr>
        <w:ind w:left="80"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receive a significant number of warranty claims or our AquaBeam Robotic Systems require significant amounts of service after sale, our operating expenses may substantially increase and our business and financial results will be adversely affected.</w:t>
      </w:r>
    </w:p>
    <w:p>
      <w:pPr>
        <w:spacing w:after="0" w:line="94" w:lineRule="exact"/>
        <w:rPr>
          <w:sz w:val="20"/>
          <w:szCs w:val="20"/>
          <w:color w:val="auto"/>
        </w:rPr>
      </w:pPr>
    </w:p>
    <w:p>
      <w:pPr>
        <w:ind w:left="80" w:firstLine="309"/>
        <w:spacing w:after="0" w:line="258" w:lineRule="auto"/>
        <w:rPr>
          <w:sz w:val="20"/>
          <w:szCs w:val="20"/>
          <w:color w:val="auto"/>
        </w:rPr>
      </w:pPr>
      <w:r>
        <w:rPr>
          <w:rFonts w:ascii="Times New Roman" w:cs="Times New Roman" w:eastAsia="Times New Roman" w:hAnsi="Times New Roman"/>
          <w:sz w:val="17"/>
          <w:szCs w:val="17"/>
          <w:color w:val="auto"/>
        </w:rPr>
        <w:t>We currently warrant each AquaBeam Robotic System against defects in materials and workmanship for a period of approximately 12 months from the installation of our product by a customer. We also expect to continue to provide technical and other services to customers beyond the warranty period pursuant to a supplemental service plan that we sell for our AquaBeam Robotic System.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 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Unforeseen warranty exposure could negatively impact our business and financial results.</w:t>
      </w:r>
    </w:p>
    <w:p>
      <w:pPr>
        <w:spacing w:after="0" w:line="1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We need to ensure strong product performance and reliability to maintain and grow our business.</w:t>
      </w:r>
    </w:p>
    <w:p>
      <w:pPr>
        <w:spacing w:after="0" w:line="171" w:lineRule="exact"/>
        <w:rPr>
          <w:sz w:val="20"/>
          <w:szCs w:val="20"/>
          <w:color w:val="auto"/>
        </w:rPr>
      </w:pPr>
    </w:p>
    <w:p>
      <w:pPr>
        <w:ind w:left="80" w:right="40" w:firstLine="309"/>
        <w:spacing w:after="0" w:line="261" w:lineRule="auto"/>
        <w:rPr>
          <w:sz w:val="20"/>
          <w:szCs w:val="20"/>
          <w:color w:val="auto"/>
        </w:rPr>
      </w:pPr>
      <w:r>
        <w:rPr>
          <w:rFonts w:ascii="Times New Roman" w:cs="Times New Roman" w:eastAsia="Times New Roman" w:hAnsi="Times New Roman"/>
          <w:sz w:val="17"/>
          <w:szCs w:val="17"/>
          <w:color w:val="auto"/>
        </w:rPr>
        <w:t>We need to maintain and continuously improve the performance and reliability of our AquaBeam Robotic System to achieve our profitability objectives. Poor product performance and reliability could lead to customer dissatisfaction, adversely affect our reputation and revenues, and increase our service and distribution costs and working capital requirements. In addition, software and hardware incorporated into our AquaBeam Robotic System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achieve or maintain satisfactory pricing and margins for our products.</w:t>
      </w:r>
    </w:p>
    <w:p>
      <w:pPr>
        <w:spacing w:after="0" w:line="236" w:lineRule="exact"/>
        <w:rPr>
          <w:sz w:val="20"/>
          <w:szCs w:val="20"/>
          <w:color w:val="auto"/>
        </w:rPr>
      </w:pPr>
    </w:p>
    <w:p>
      <w:pPr>
        <w:ind w:left="80" w:firstLine="309"/>
        <w:spacing w:after="0" w:line="243" w:lineRule="auto"/>
        <w:rPr>
          <w:sz w:val="20"/>
          <w:szCs w:val="20"/>
          <w:color w:val="auto"/>
        </w:rPr>
      </w:pPr>
      <w:r>
        <w:rPr>
          <w:rFonts w:ascii="Times New Roman" w:cs="Times New Roman" w:eastAsia="Times New Roman" w:hAnsi="Times New Roman"/>
          <w:sz w:val="17"/>
          <w:szCs w:val="17"/>
          <w:color w:val="auto"/>
        </w:rPr>
        <w:t>Manufacturers of medical devices have a history of price competition, and we can give no assurance that we will be able to achieve satisfactory prices for our current or any new products or maintain prices at the levels we have historically achieved. Any decline in the amount that payors reimburse our customers for our products could make it difficult for customers to continue using, or to adopt, our products and could create additional pricing pressure for us. If we are forced to lower the price we charge for our products, or if we add more components to our systems, our gross margins will decrease, which will adversely affect our ability to invest in and grow our business. If we are unable to maintain our prices, including during any international expansion, or if our costs increase and we are unable to offset such increase with an increase in our prices, our margins could erode. We will continue to be subject to significant pricing pressure, which could harm negatively affect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difficulties in managing our growth, which could disrupt our operations.</w:t>
      </w:r>
    </w:p>
    <w:p>
      <w:pPr>
        <w:spacing w:after="0" w:line="171" w:lineRule="exact"/>
        <w:rPr>
          <w:sz w:val="20"/>
          <w:szCs w:val="20"/>
          <w:color w:val="auto"/>
        </w:rPr>
      </w:pPr>
    </w:p>
    <w:p>
      <w:pPr>
        <w:ind w:left="80" w:right="20" w:firstLine="309"/>
        <w:spacing w:after="0" w:line="258" w:lineRule="auto"/>
        <w:rPr>
          <w:sz w:val="20"/>
          <w:szCs w:val="20"/>
          <w:color w:val="auto"/>
        </w:rPr>
      </w:pPr>
      <w:r>
        <w:rPr>
          <w:rFonts w:ascii="Times New Roman" w:cs="Times New Roman" w:eastAsia="Times New Roman" w:hAnsi="Times New Roman"/>
          <w:sz w:val="17"/>
          <w:szCs w:val="17"/>
          <w:color w:val="auto"/>
        </w:rPr>
        <w:t>We have experienced substantial growth in our operations, and we expect to experience continued substantial growth in our business. Over the next several years, we expect to increase significantly the scope of our operations, particularly in the areas of manufacturing, sales and support, research and development, product development, regulatory affairs, marketing and other functional areas, including finance, accounting, quality control,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22" w:lineRule="exact"/>
        <w:rPr>
          <w:sz w:val="20"/>
          <w:szCs w:val="20"/>
          <w:color w:val="auto"/>
        </w:rPr>
      </w:pPr>
    </w:p>
    <w:p>
      <w:pPr>
        <w:ind w:left="80"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will be materially harmed if we are unable to accurately forecast customer demand for, and utilization of, our AquaBeam Robotic System and manage our inventory.</w:t>
      </w:r>
    </w:p>
    <w:p>
      <w:pPr>
        <w:spacing w:after="0" w:line="94" w:lineRule="exact"/>
        <w:rPr>
          <w:sz w:val="20"/>
          <w:szCs w:val="20"/>
          <w:color w:val="auto"/>
        </w:rPr>
      </w:pPr>
    </w:p>
    <w:p>
      <w:pPr>
        <w:ind w:left="80" w:right="720" w:firstLine="309"/>
        <w:spacing w:after="0" w:line="287" w:lineRule="auto"/>
        <w:rPr>
          <w:sz w:val="20"/>
          <w:szCs w:val="20"/>
          <w:color w:val="auto"/>
        </w:rPr>
      </w:pPr>
      <w:r>
        <w:rPr>
          <w:rFonts w:ascii="Times New Roman" w:cs="Times New Roman" w:eastAsia="Times New Roman" w:hAnsi="Times New Roman"/>
          <w:sz w:val="17"/>
          <w:szCs w:val="17"/>
          <w:color w:val="auto"/>
        </w:rPr>
        <w:t>To ensure adequate inventory supply, we must forecast inventory needs and manufacture our AquaBeam Robotic System console and the single-use disposable handpieces based on our estimates of future demand for, and utilization of,</w:t>
      </w:r>
    </w:p>
    <w:p>
      <w:pPr>
        <w:spacing w:after="0" w:line="200" w:lineRule="exact"/>
        <w:rPr>
          <w:sz w:val="20"/>
          <w:szCs w:val="20"/>
          <w:color w:val="auto"/>
        </w:rPr>
      </w:pPr>
    </w:p>
    <w:p>
      <w:pPr>
        <w:spacing w:after="0" w:line="312"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80"/>
          </w:cols>
          <w:pgMar w:left="240" w:top="27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our AquaBeam Robotic System. Our ability to accurately forecast demand and utilization could be negatively affected by many factors,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and utilization,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or utilization,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18"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information technology systems, or those used by third party service providers, partners, our contractors or consultants, may fail or suffer security breaches, and such failure could negatively affect our business, financial condition and results of operations.</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 and could subject us to significant liabilities and regulatory and enforcement actions, and reputational damage.</w:t>
      </w:r>
    </w:p>
    <w:p>
      <w:pPr>
        <w:spacing w:after="0" w:line="12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We and certain of our partners or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If we or our third-party partners, consultants, contractors, suppliers, or service providers were to suffer an attack or breach, for example, that resulted in the unauthorized access to or use or disclosure of health-related or other personal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third parties to conduct clinical trials, and similar events relating to their computer systems and networks could also have a material adverse effect on our business.</w:t>
      </w:r>
    </w:p>
    <w:p>
      <w:pPr>
        <w:spacing w:after="0" w:line="12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 We maintain cyber liability insurance; however, this insurance may not be sufficient to cover the financial, legal, business or reputational losses that may result from an interruption or breach of our systems.</w:t>
      </w:r>
    </w:p>
    <w:p>
      <w:pPr>
        <w:spacing w:after="0" w:line="117"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Actual or perceived failure to comply with data protection, privacy and security laws, regulations, standards and other requirements could lead to government enforcement actions (which could include civil or criminal penalties), private litigation, and/or adverse publicity and could negatively affect our operating results and business.</w:t>
      </w:r>
    </w:p>
    <w:p>
      <w:pPr>
        <w:spacing w:after="0" w:line="112" w:lineRule="exact"/>
        <w:rPr>
          <w:sz w:val="20"/>
          <w:szCs w:val="20"/>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The global data protection landscape is rapidly evolving, and we are or we may become subject to federal, state, and foreign data protection laws, regulations and requirements governing the collection, use, disclosure, retention and security of personal information. In the United States, numerous federal and state laws and regulations, including state data breach</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7"/>
          <w:szCs w:val="17"/>
          <w:color w:val="auto"/>
        </w:rPr>
        <w:t>notification laws, state health information privacy laws, and federal and state consumer protection laws and regulations that govern the collection, processing, use, disclosure, and protection of health-related and other personal information could apply to our operations or the operations of our partners. For example, the federal Health Insurance Portability and Accountability Act of 1996, as amended by the Health Information Technology for Economic and Clinical Health Act of 2009, and regulations promulgated thereunder, or collectively, HIPAA, imposes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Entities that are found to be in violation of HIPAA, whether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30"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and many state Attorneys General continue to enforce federal and state consumer protection laws against companies for online collection, use, dissemination and security practices that appear to be unfair or deceptive.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23" w:lineRule="exact"/>
        <w:rPr>
          <w:sz w:val="20"/>
          <w:szCs w:val="20"/>
          <w:color w:val="auto"/>
        </w:rPr>
      </w:pPr>
    </w:p>
    <w:p>
      <w:pPr>
        <w:ind w:right="100" w:firstLine="309"/>
        <w:spacing w:after="0" w:line="256" w:lineRule="auto"/>
        <w:rPr>
          <w:sz w:val="20"/>
          <w:szCs w:val="20"/>
          <w:color w:val="auto"/>
        </w:rPr>
      </w:pPr>
      <w:r>
        <w:rPr>
          <w:rFonts w:ascii="Times New Roman" w:cs="Times New Roman" w:eastAsia="Times New Roman" w:hAnsi="Times New Roman"/>
          <w:sz w:val="17"/>
          <w:szCs w:val="17"/>
          <w:color w:val="auto"/>
        </w:rPr>
        <w:t>In addition, certain state laws govern the privacy and security of health-related and other personal information, many of which may differ from each other, thus, complicating compliance efforts. For example, the California Consumer Privacy Act, or CCPA, went into effect on January 1, 2020. It created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right of action for certain data breaches that has increased the likelihood of, and risks associated with, breach litigation. Further, the California Privacy Rights Act, or CPRA, generally went into effect on January 1, 2023, and amends the CCPA. The CPRA imposes additional data protection obligations on covered businesses, including additional consumer rights processes, limitations on data uses, new audit requirements for higher risk data, and opt outs for certain uses of sensitive data. It creates a new California data protection agency authorized to issue substantive regulations and could result in increased privacy and information security enforcement. Additional compliance investment and potential business process changes may also be required. Following the lead of California, several other states, including Virginia, Colorado, Connecticut and Utah, have each enacted laws similar to the CCPA/CPRA and other states are considering enacting privacy laws as well. The multiple layers of privacy law within the United States could increase our potential liability, increase our compliance costs, and adversely affect our financial condition.</w:t>
      </w:r>
    </w:p>
    <w:p>
      <w:pPr>
        <w:spacing w:after="0" w:line="205"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color w:val="auto"/>
        </w:rPr>
        <w:t>Foreign data protection laws, including the General Data Protection Regulation, or GDPR, which went into effect in May 2018, may also apply to our processing of health-related and other personal data regardless of where the processing in question is carried out. The GDPR imposes stringent requirements for controllers and processors of personal data of individuals within the European Economic Area, or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Member States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to jurisdictions deemed to have inadequate,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In March 2022,</w:t>
      </w: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5"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e.g. fines up to the greater of €20 million (£17.5 million) or 4% of global turnover. As we continue to expand into other foreign countries and jurisdictions, we may be subject to additional laws and regulations that may affect how we conduct business.</w:t>
      </w:r>
    </w:p>
    <w:p>
      <w:pPr>
        <w:spacing w:after="0" w:line="197"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Compliance with US, foreign, and local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18"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Natural or man-made disasters and other similar events may significantly disrupt our business, and negatively impact our business, financial condition and results of operations.</w:t>
      </w:r>
    </w:p>
    <w:p>
      <w:pPr>
        <w:spacing w:after="0" w:line="94"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A significant portion of our employee base, and our primary operating facility and infrastructure are centralized in Northern California. Our facility may be harmed or rendered inoperable by natural or man-made disasters, including earthquakes, wildfires, floods, nuclear disasters, riots, acts of terrorism or other criminal activities, public health emergencies such as infectious disease outbreaks,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suppliers and manufacturers may be harmed or rendered inoperable by such natural or man-made disasters, which may cause disruptions, difficulties or otherwise materially and adversely affect our business, financial condition and results of operations.</w:t>
      </w:r>
    </w:p>
    <w:p>
      <w:pPr>
        <w:spacing w:after="0" w:line="12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sizes of the addressable markets for our AquaBeam Robotic System have not been established with precision and our potential market opportunity may be smaller than we estimate and may decline.</w:t>
      </w:r>
    </w:p>
    <w:p>
      <w:pPr>
        <w:spacing w:after="0" w:line="94" w:lineRule="exact"/>
        <w:rPr>
          <w:sz w:val="20"/>
          <w:szCs w:val="20"/>
          <w:color w:val="auto"/>
        </w:rPr>
      </w:pPr>
    </w:p>
    <w:p>
      <w:pPr>
        <w:ind w:right="80" w:firstLine="309"/>
        <w:spacing w:after="0" w:line="258" w:lineRule="auto"/>
        <w:rPr>
          <w:sz w:val="20"/>
          <w:szCs w:val="20"/>
          <w:color w:val="auto"/>
        </w:rPr>
      </w:pPr>
      <w:r>
        <w:rPr>
          <w:rFonts w:ascii="Times New Roman" w:cs="Times New Roman" w:eastAsia="Times New Roman" w:hAnsi="Times New Roman"/>
          <w:sz w:val="17"/>
          <w:szCs w:val="17"/>
          <w:color w:val="auto"/>
        </w:rPr>
        <w:t>Our estimates of the annual total addressable market for our AquaBeam Robotic System are based on a number of internal and third-party estimates, including, without limitation, the assumed prices at which we can sell our AquaBeam Robotic System and the single-use disposable handpieces.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AquaBeam Robotic System may prove to be incorrect. If the actual number of patients who would benefit from our AquaBeam Robotic System, the price at which we can sell our AquaBeam Robotic System, or the total addressable market for our AquaBeam Robotic System is smaller than we have estimated, it may impair our sales growth and materially and adversely affect our business,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Until we are able to achieve broader market acceptance of our AquaBeam Robotic System and Aquablation therapy, we may face risks associated with a more concentrated customer base.</w:t>
      </w:r>
    </w:p>
    <w:p>
      <w:pPr>
        <w:spacing w:after="0" w:line="94"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Until we are able to achieve broader market acceptance of our AquaBeam Robotic System and Aquablation therapy, we may face risks associated with a more concentrated customer base. There are risks whenever a significant percentage of revenue is concentrated with a limited number of customers. For example, revenue from these customers may fluctuate from time to time based on these customers’ business needs, the timing of which may be affected by market conditions or other facts outside of our control. These customers could also potentially pressure us to reduce the prices we charge for our single-use disposable handpieces, which could have an adverse effect on our margins and financial position and could negatively affect our revenue and results of operations. If any of our largest customers terminates its relationship with us, such termination could negatively affect our revenues and results of operations.</w:t>
      </w:r>
    </w:p>
    <w:p>
      <w:pPr>
        <w:spacing w:after="0" w:line="116"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12"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marketing and sale of our products. For example, we may be sued if our AquaBeam Robotic System, the single-use disposable handpiece or any of their component parts causes, or is perceived to cause, injury or is found to be otherwise unsuitable during manufacturing, marketing or sale. We may also be subject to product liability claims if our products or services are deemed non-compliant with applicable laws or regulations.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We may also be subject to claims that are caused by the activities of our suppliers, such as those who provide us with components and sub-assemblies, or manufacturers who produce our AquaBeam Robotic System and the single-use disposable handpieces.</w:t>
      </w:r>
    </w:p>
    <w:p>
      <w:pPr>
        <w:spacing w:after="0" w:line="128"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If we cannot successfully defend ourselves against product liability claims, we may incur substantial liabilities or be required to limit or halt the marketing and sale of our products.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to our reputation;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of investigations by regulators, which could result in enforcement action against us or our contract manufacturers;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defend the related litigation;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diversion of management’s time and our resources;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trial participants or patients;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exhaustion of any available insurance and our capital resources.</w:t>
      </w:r>
    </w:p>
    <w:p>
      <w:pPr>
        <w:spacing w:after="0" w:line="165"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The risk of a product liability lawsuit may increase if our products were deemed to be non-compliant with applicable laws and regulation. In the event we face a product liability lawsuit, 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products.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w:t>
      </w: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prevent us from securing continuing coverage, harm our reputation in the industry, significantly increase our expenses and reduce product sales.</w:t>
      </w:r>
    </w:p>
    <w:p>
      <w:pPr>
        <w:spacing w:after="0" w:line="159" w:lineRule="exact"/>
        <w:rPr>
          <w:sz w:val="20"/>
          <w:szCs w:val="20"/>
          <w:color w:val="auto"/>
        </w:rPr>
      </w:pPr>
    </w:p>
    <w:p>
      <w:pPr>
        <w:ind w:right="7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Cost-containment efforts of our customers, purchasing groups and governmental organizations could have a material adverse effect on our sales and profitability.</w:t>
      </w:r>
    </w:p>
    <w:p>
      <w:pPr>
        <w:spacing w:after="0" w:line="9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In an effort to reduce costs, many hospitals in the United States have become members of GPOs and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AquaBeam Robotic System, thereby reducing our revenue and margins.</w:t>
      </w:r>
    </w:p>
    <w:p>
      <w:pPr>
        <w:spacing w:after="0" w:line="122"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17"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94"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We may form or seek strategic alliances, create joint ventures or collaborations or enter into licensing or partnership arrangements with third parties that we believe will compliment or augment our sales and marketing efforts with respect to our AquaBeam Robotic System. We may not be successful in our efforts to establish such collaborations.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w:t>
      </w:r>
    </w:p>
    <w:p>
      <w:pPr>
        <w:spacing w:after="0" w:line="12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94"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We currently market and sell our products in countries outside of the United States. The sale and shipment of our products across international borders, as well as the purchase of components and products from international sources, subjects us to extensive U.S. and other foreign governmental trade, import and export and customs laws and regulations. Compliance with these laws and regulations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123"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and geographically dispersed operations, to the extent we establish non-U.S. operations;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and multiple payor reimbursement regimes, government payors or patient self-pay systems;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determining and creating the proper sales pathway in new, international markets;</w:t>
      </w:r>
    </w:p>
    <w:p>
      <w:pPr>
        <w:spacing w:after="0" w:line="165"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we utilize third-party distributors in foreign markets, our ability to effectively screen, recruit and retain qualified third-party distributors and training them in our technology and product offering and business;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8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various U.S. and international laws, including export control laws and the U.S. Foreign Corrupt Practices Act of 1977, or the FCPA, and anti-money laundering laws;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regulatory requirements for obtaining clearances or approvals to market our products;</w:t>
      </w:r>
    </w:p>
    <w:p>
      <w:pPr>
        <w:spacing w:after="0" w:line="165" w:lineRule="exact"/>
        <w:rPr>
          <w:rFonts w:ascii="Times New Roman" w:cs="Times New Roman" w:eastAsia="Times New Roman" w:hAnsi="Times New Roman"/>
          <w:sz w:val="17"/>
          <w:szCs w:val="17"/>
          <w:color w:val="auto"/>
        </w:rPr>
      </w:pPr>
    </w:p>
    <w:p>
      <w:pPr>
        <w:ind w:left="620" w:right="6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uncertainties relating to, foreign rules and regulations that may impact our ability to sell our products, perform services or repatriate profits to the United States;</w:t>
      </w:r>
    </w:p>
    <w:p>
      <w:pPr>
        <w:spacing w:after="0" w:line="99"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and trade barriers, export regulations, sanctions and other regulatory and contractual limitations on our ability to sell our products in certain foreign markets;</w:t>
      </w:r>
    </w:p>
    <w:p>
      <w:pPr>
        <w:spacing w:after="0" w:line="99"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including imposition of limitations on or increase of withholding and other taxes on remittances and other payments by foreign subsidiaries or joint ventures;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differing labor laws and standards;</w:t>
      </w:r>
    </w:p>
    <w:p>
      <w:pPr>
        <w:spacing w:after="0" w:line="165"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armed conflicts or economic, political or social instability in foreign countries and regions, such as the conflicts between Russia and Ukraine, tensions across the Taiwan Strait, the Israel-Hamas conflict and other hostilities in the Middle East;</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currency exchange rates;</w:t>
      </w:r>
    </w:p>
    <w:p>
      <w:pPr>
        <w:spacing w:after="0" w:line="165"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or reduced ability, to protect our intellectual property in various countries around the world, including any effect of compulsory licensing imposed by government action;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government subsidies or other incentives that benefit competitors in their local markets that are not available to us.</w:t>
      </w:r>
    </w:p>
    <w:p>
      <w:pPr>
        <w:spacing w:after="0" w:line="165" w:lineRule="exact"/>
        <w:rPr>
          <w:sz w:val="20"/>
          <w:szCs w:val="20"/>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108" w:lineRule="exact"/>
        <w:rPr>
          <w:sz w:val="20"/>
          <w:szCs w:val="20"/>
          <w:color w:val="auto"/>
        </w:rPr>
      </w:pPr>
    </w:p>
    <w:p>
      <w:pPr>
        <w:ind w:right="6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are highly dependent on our senior management, including our chief executive officer, Reza Zadno, Ph.D., and other key personnel. Our success will depend on our ability to retain senior management and to attract, recruit, retain, manage and motivate qualified personnel in the future, particularly with respect to an expected increase in hiring in connection with becoming a public company,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28"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Competition for skilled personnel in our market is intense and may limit our ability to hire and retain highly qualified personnel on acceptable terms, or at all. To induce valuable employees to remain at our company, we have issued and may continue to issue equity awards that vest over time, in addition to salary and cash incentives.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This lack of insurance means that we may not have adequate compensation for the loss of the services of these individuals.</w:t>
      </w:r>
    </w:p>
    <w:p>
      <w:pPr>
        <w:spacing w:after="0" w:line="118" w:lineRule="exact"/>
        <w:rPr>
          <w:sz w:val="20"/>
          <w:szCs w:val="20"/>
          <w:color w:val="auto"/>
        </w:rPr>
      </w:pPr>
    </w:p>
    <w:p>
      <w:pPr>
        <w:ind w:right="6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could be adversely affected by violations of the FCPA and similar worldwide anti-bribery laws, as well as violations of export or import controls or economic sanctions laws and regulations. Any investigation, and the outcome of any</w:t>
      </w: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investigation, by government agencies of possible violations by us of such laws and regulations could have a material adverse effect on our business.</w:t>
      </w:r>
    </w:p>
    <w:p>
      <w:pPr>
        <w:spacing w:after="0" w:line="171"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We are subject to anti-corruption laws and regulations, including the U.S. Foreign Corrupt Practices Act of 1977, as amended, the U.S. domestic bribery statute in 18 U.S.C. 201, the International Travel Act of 1961, as amended, or the U.S. Travel Act, the U.K. Bribery Act 2010, or the Bribery Act, and similar anti-bribery laws in jurisdictions in which we conduct activities. Anti-corruption laws are interpreted broadly and prohibit companies and their employees, agents, and intermediaries from corruptly authorizing, promising, providing, or offering, directly or indirectly, improper payments or anything else of value to government officials and persons in the private sector for the purpose of obtaining or retaining business. In addition, an organization that fails to prevent bribery by anyone associated with the organization can be charged under the Bribery Act, unless the organization can establish the defense of having implemented adequate procedures to prevent bribery.</w:t>
      </w:r>
    </w:p>
    <w:p>
      <w:pPr>
        <w:spacing w:after="0" w:line="128" w:lineRule="exact"/>
        <w:rPr>
          <w:sz w:val="20"/>
          <w:szCs w:val="20"/>
          <w:color w:val="auto"/>
        </w:rPr>
      </w:pPr>
    </w:p>
    <w:p>
      <w:pPr>
        <w:jc w:val="both"/>
        <w:ind w:right="40" w:firstLine="309"/>
        <w:spacing w:after="0" w:line="261" w:lineRule="auto"/>
        <w:rPr>
          <w:sz w:val="20"/>
          <w:szCs w:val="20"/>
          <w:color w:val="auto"/>
        </w:rPr>
      </w:pPr>
      <w:r>
        <w:rPr>
          <w:rFonts w:ascii="Times New Roman" w:cs="Times New Roman" w:eastAsia="Times New Roman" w:hAnsi="Times New Roman"/>
          <w:sz w:val="17"/>
          <w:szCs w:val="17"/>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require us to obtain licenses and authorizations prior to export, create delays in the introduction of our products in certain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123" w:lineRule="exact"/>
        <w:rPr>
          <w:sz w:val="20"/>
          <w:szCs w:val="20"/>
          <w:color w:val="auto"/>
        </w:rPr>
      </w:pPr>
    </w:p>
    <w:p>
      <w:pPr>
        <w:ind w:right="40" w:firstLine="309"/>
        <w:spacing w:after="0" w:line="256" w:lineRule="auto"/>
        <w:rPr>
          <w:sz w:val="20"/>
          <w:szCs w:val="20"/>
          <w:color w:val="auto"/>
        </w:rPr>
      </w:pPr>
      <w:r>
        <w:rPr>
          <w:rFonts w:ascii="Times New Roman" w:cs="Times New Roman" w:eastAsia="Times New Roman" w:hAnsi="Times New Roman"/>
          <w:sz w:val="17"/>
          <w:szCs w:val="17"/>
          <w:color w:val="auto"/>
        </w:rPr>
        <w:t>We are in the process of further enhancing policies designed to ensure compliance by us and our directors, officers, employees, representatives, consultants and agents with the FCPA, the Bribery Act, OFAC laws and regulations, and other export control, anti-corruption, anti-money-laundering and anti-terrorism laws and regulations. In the future, we may operate in parts of the world that pose a heightened corruption risk. Moreover, because of the significant role government entities play in the regulation of many foreign healthcare markets, we may be exposed to heightened FCPA and similar risks arising from our efforts to seek regulatory approval of and reimbursement for our products in such countries. We cannot assure you that our internal control policies and procedures will protect us from improper acts committed by our employees or agents, nor can we assure you that our business partners have not engaged and will not engage in improper conduct that could materially affect their ability to perform their contractual obligations to us or even result in our being held liable for such conduct. The U.S. Departments of Justice, Commerce, State and Treasury and other federal agencies and authorities have a broad range of civil and criminal penalties they may seek to impose against corporations and individuals for violations of anti-corruption laws, economic sanctions laws, and export control and import laws. In addition, violations of these laws, or allegations of such violations, would significantly disrupt our business and have a material adverse effect on our business,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research and development credit may be limited.</w:t>
      </w:r>
    </w:p>
    <w:p>
      <w:pPr>
        <w:spacing w:after="0" w:line="171"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As of December 31, 2023, we had U.S. federal and state net operating loss, or NOL, carryforwards of approximately $326.3 million and $194.0 million, respectively, and U.S. federal and state research and development credit carryforwards of $7.5 million and $6.0 million, respectively. NOLs incurred in taxable years beginning after December 31, 2017, may be carried forward indefinitely, but the deductibility of such federal NOLs in taxable years beginning after December 31, 2020, is limited to 80% of current year taxable income.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NOLs and its research and development credit carryforwards to offset post-change taxable income. Similar rules may apply under state tax laws. Our existing NOLs and research and development credit carryforwards have been, and may in the future be, subject to limitations arising from previous ownership changes, and if we undergo an ownership change, our ability to utilize NOLs and research and development credit carryforwards could be further limited by Sections 382 and 383 of the Code. Future changes in our stock ownership, some of which might be beyond our control, could result in an ownership change under Section 382 of the Code. For these reasons, in the event we experience a future change of control, we may not be able to utilize a material portion of the NOLs, research and development credit carryforwards or disallowed interest expense carryovers, even if we attain profitability. In addition, for state income tax purposes, the extent to which states will conform to the federal laws is uncertain and there may be periods during which the use of NOL carryforwards is suspended or otherwise limited, which could accelerate or permanently increase state taxes owed.</w:t>
      </w:r>
    </w:p>
    <w:p>
      <w:pPr>
        <w:spacing w:after="0" w:line="342" w:lineRule="exact"/>
        <w:rPr>
          <w:sz w:val="20"/>
          <w:szCs w:val="20"/>
          <w:color w:val="auto"/>
        </w:rPr>
      </w:pPr>
    </w:p>
    <w:p>
      <w:pPr>
        <w:ind w:right="280" w:firstLine="309"/>
        <w:spacing w:after="0" w:line="287" w:lineRule="auto"/>
        <w:rPr>
          <w:sz w:val="20"/>
          <w:szCs w:val="20"/>
          <w:color w:val="auto"/>
        </w:rPr>
      </w:pPr>
      <w:r>
        <w:rPr>
          <w:rFonts w:ascii="Times New Roman" w:cs="Times New Roman" w:eastAsia="Times New Roman" w:hAnsi="Times New Roman"/>
          <w:sz w:val="17"/>
          <w:szCs w:val="17"/>
          <w:color w:val="auto"/>
        </w:rPr>
        <w:t>In addition, the tax benefit of NOLs, temporary differences and credit carryforwards are required to be recorded as an asset to the extent that we assess that realization is more likely than not. We believe that recognition of the deferred tax</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 arising from these future tax benefits is not likely to be realized and, accordingly, have provided a full valuation allowance against our net deferred tax asset.</w:t>
      </w:r>
    </w:p>
    <w:p>
      <w:pPr>
        <w:spacing w:after="0" w:line="15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As part of our business strategy, we may in the future make acquisitions or investments in complementary companies, products or technologies that we believe fit within our business model and can address the needs of our existing and potential customers. However,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28"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27"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Also, the anticipated benefit of any acquisition may not materialize, or such acquisition may be prohibited. Our loan and security agreement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Governmental Regulation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to the reimbursement rates for BPH treatments and measures to reduce healthcare costs may adversely impact our business.</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We derive our revenue from sales of our products to hospitals, ambulatory surgery centers and other healthcare facilities, which typically bill all or a portion of the costs and fees associated with using our products to various third-party payors, including Medicare, Medicaid, private commercial insurance companies, health maintenance organizations and other healthcare-related organizations. Because a vast majority of U.S. patients with BPH are covered by Medicare, the Medicare coverage policy and reimbursement rate are important factors in a physician’s decision to use Aquablation therapy and limits the prices we may charge for our products.</w:t>
      </w:r>
    </w:p>
    <w:p>
      <w:pPr>
        <w:spacing w:after="0" w:line="123"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Many BPH patients have Medicaid coverage that is supplemental to Medicare coverage, and some BPH patients may have Medicaid as their primary coverage. Because Medicaid is a state-administered program, Medicaid coverage policies and reimbursement vary by state. Changes in state Medicaid or other non-Medicare government-based programs or payment rates could have an adverse effect on our customer’s business.</w:t>
      </w:r>
    </w:p>
    <w:p>
      <w:pPr>
        <w:spacing w:after="0" w:line="114" w:lineRule="exact"/>
        <w:rPr>
          <w:sz w:val="20"/>
          <w:szCs w:val="20"/>
          <w:color w:val="auto"/>
        </w:rPr>
      </w:pPr>
    </w:p>
    <w:p>
      <w:pPr>
        <w:ind w:right="240" w:firstLine="309"/>
        <w:spacing w:after="0" w:line="261" w:lineRule="auto"/>
        <w:rPr>
          <w:sz w:val="20"/>
          <w:szCs w:val="20"/>
          <w:color w:val="auto"/>
        </w:rPr>
      </w:pPr>
      <w:r>
        <w:rPr>
          <w:rFonts w:ascii="Times New Roman" w:cs="Times New Roman" w:eastAsia="Times New Roman" w:hAnsi="Times New Roman"/>
          <w:sz w:val="17"/>
          <w:szCs w:val="17"/>
          <w:color w:val="auto"/>
        </w:rPr>
        <w:t>Finally, some patients may have coverage through private insurance, for example through a marketplace plan set up under the Patient Protection and Affordable Care Act, as amended by the Health Care and Education Reconciliation Act, or collectively, the ACA, or through an employer or union group health plan. Private insurance coverage policies can vary and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0" w:firstLine="309"/>
        <w:spacing w:after="0" w:line="287" w:lineRule="auto"/>
        <w:rPr>
          <w:sz w:val="20"/>
          <w:szCs w:val="20"/>
          <w:color w:val="auto"/>
        </w:rPr>
      </w:pPr>
      <w:r>
        <w:rPr>
          <w:rFonts w:ascii="Times New Roman" w:cs="Times New Roman" w:eastAsia="Times New Roman" w:hAnsi="Times New Roman"/>
          <w:sz w:val="17"/>
          <w:szCs w:val="17"/>
          <w:color w:val="auto"/>
        </w:rPr>
        <w:t>Any reduction in reimbursement rates for Aquablation therapy may adversely affect our customers’ businesses and cause them to enact cost reduction measures that may include reducing the scope of their programs, which could result in a reduced demand for our product or additional pricing pressures.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Healthcare reform measures could hinder or prevent the commercial success of our AquaBeam Robotic System.</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In the United States, there have been, and we expect there will continue to be, a number of legislative and regulatory changes to the healthcare system in ways that may harm our future revenues and profitability and the demand for our AquaBeam Robotic System.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AquaBeam Robotic System. The cost containment measures that payors and providers are instituting and the effect of any healthcare reform initiative implemented in the future could impact our revenue from the sale of our AquaBeam Robotic System.</w:t>
      </w:r>
    </w:p>
    <w:p>
      <w:pPr>
        <w:spacing w:after="0" w:line="122"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from February 15, 2021 to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24"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For example, the Budget Control Act of 2011, among other things, and in connection with subsequent legislation, reduced Medicare payments to providers of, on average, 2% per fiscal year, which went into effect on April 1, 2013 and, due to subsequent legislative amendments to the statute, will remain in effect through 2030, with the exception of a temporary suspension from May 1, 2020 through March 31, 2022 and a 1% reduction from April 1, 2022 through June 30, 2022,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w:t>
      </w:r>
    </w:p>
    <w:p>
      <w:pPr>
        <w:spacing w:after="0" w:line="122" w:lineRule="exact"/>
        <w:rPr>
          <w:sz w:val="20"/>
          <w:szCs w:val="20"/>
          <w:color w:val="auto"/>
        </w:rPr>
      </w:pPr>
    </w:p>
    <w:p>
      <w:pPr>
        <w:ind w:right="40" w:firstLine="309"/>
        <w:spacing w:after="0" w:line="287" w:lineRule="auto"/>
        <w:rPr>
          <w:sz w:val="20"/>
          <w:szCs w:val="20"/>
          <w:color w:val="auto"/>
        </w:rPr>
      </w:pPr>
      <w:r>
        <w:rPr>
          <w:rFonts w:ascii="Times New Roman" w:cs="Times New Roman" w:eastAsia="Times New Roman" w:hAnsi="Times New Roman"/>
          <w:sz w:val="17"/>
          <w:szCs w:val="17"/>
          <w:color w:val="auto"/>
        </w:rPr>
        <w:t>The continuing efforts of the government, insurance companies, managed care organizations and other payors of healthcare services to contain or reduce costs of healthcare may harm:</w:t>
      </w:r>
    </w:p>
    <w:p>
      <w:pPr>
        <w:spacing w:after="0" w:line="100"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set a price that we believe is fair for our AquaBeam Robotic System;</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revenue and achieve or maintain profitability;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capital.</w:t>
      </w:r>
    </w:p>
    <w:p>
      <w:pPr>
        <w:spacing w:after="0" w:line="165" w:lineRule="exact"/>
        <w:rPr>
          <w:sz w:val="20"/>
          <w:szCs w:val="20"/>
          <w:color w:val="auto"/>
        </w:rPr>
      </w:pPr>
    </w:p>
    <w:p>
      <w:pPr>
        <w:ind w:right="20" w:firstLine="309"/>
        <w:spacing w:after="0" w:line="263" w:lineRule="auto"/>
        <w:rPr>
          <w:sz w:val="20"/>
          <w:szCs w:val="20"/>
          <w:color w:val="auto"/>
        </w:rPr>
      </w:pPr>
      <w:r>
        <w:rPr>
          <w:rFonts w:ascii="Times New Roman" w:cs="Times New Roman" w:eastAsia="Times New Roman" w:hAnsi="Times New Roman"/>
          <w:sz w:val="17"/>
          <w:szCs w:val="17"/>
          <w:color w:val="auto"/>
        </w:rPr>
        <w:t>The current presidential administration and Congress may continue to pursue significant changes to the current healthcare laws. We cannot predict what other laws and regulations will ultimately be enacted and implemented at the federal or state level or the effect of any future legislation or regulation in the United States on our business, financial condition,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comply with anti-kickback, fraud and abuse, false claims, transparency, and other healthcare laws and regulations.</w:t>
      </w:r>
    </w:p>
    <w:p>
      <w:pPr>
        <w:spacing w:after="0" w:line="171"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hospitals, physicians or other potential purchasers or users, including patients, of medical</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devices and services. They also impose additional administrative and compliance burdens on us. In particular, these laws influence, among other things, how we structure our sales, placement and rental offerings, including discount practices, customer support, education and training programs and physician consulting and other service arrangements. The laws that affect our practices and arrangements include, but are not limited to:</w:t>
      </w:r>
    </w:p>
    <w:p>
      <w:pPr>
        <w:spacing w:after="0" w:line="114" w:lineRule="exact"/>
        <w:rPr>
          <w:sz w:val="20"/>
          <w:szCs w:val="20"/>
          <w:color w:val="auto"/>
        </w:rPr>
      </w:pPr>
    </w:p>
    <w:p>
      <w:pPr>
        <w:ind w:left="620" w:hanging="307"/>
        <w:spacing w:after="0" w:line="255"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340" w:lineRule="exact"/>
        <w:rPr>
          <w:rFonts w:ascii="Times New Roman" w:cs="Times New Roman" w:eastAsia="Times New Roman" w:hAnsi="Times New Roman"/>
          <w:sz w:val="17"/>
          <w:szCs w:val="17"/>
          <w:color w:val="auto"/>
        </w:rPr>
      </w:pPr>
    </w:p>
    <w:p>
      <w:pPr>
        <w:ind w:left="620" w:hanging="307"/>
        <w:spacing w:after="0" w:line="255"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 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 customers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131" w:lineRule="exact"/>
        <w:rPr>
          <w:rFonts w:ascii="Times New Roman" w:cs="Times New Roman" w:eastAsia="Times New Roman" w:hAnsi="Times New Roman"/>
          <w:sz w:val="17"/>
          <w:szCs w:val="17"/>
          <w:color w:val="auto"/>
        </w:rPr>
      </w:pPr>
    </w:p>
    <w:p>
      <w:pPr>
        <w:ind w:left="620" w:right="20" w:hanging="307"/>
        <w:spacing w:after="0" w:line="260" w:lineRule="auto"/>
        <w:tabs>
          <w:tab w:leader="none" w:pos="6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healthcare statutes that were added by HIPAA, and its implementing regulations,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20" w:hanging="307"/>
        <w:spacing w:after="0" w:line="260"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or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p>
      <w:pPr>
        <w:spacing w:after="0" w:line="121" w:lineRule="exact"/>
        <w:rPr>
          <w:rFonts w:ascii="Times New Roman" w:cs="Times New Roman" w:eastAsia="Times New Roman" w:hAnsi="Times New Roman"/>
          <w:sz w:val="17"/>
          <w:szCs w:val="17"/>
          <w:color w:val="auto"/>
        </w:rPr>
      </w:pPr>
    </w:p>
    <w:p>
      <w:pPr>
        <w:ind w:left="620" w:right="20" w:hanging="307"/>
        <w:spacing w:after="0" w:line="258" w:lineRule="auto"/>
        <w:tabs>
          <w:tab w:leader="none" w:pos="6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28"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activities, such as stock-option compensation paid to physicians or our practice of loaning equipment to customers at no additional cost,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2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AquaBeam Robotic System and our operations are subject to extensive government regulation and oversight in the United States. If we fail to maintain necessary marketing authorizations for our AquaBeam Robotic System, or if approvals or clearances for future products or modifications to existing products are delayed or not issued, it will negatively affect our business, financial condition and results of operations.</w:t>
      </w:r>
    </w:p>
    <w:p>
      <w:pPr>
        <w:spacing w:after="0" w:line="112"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Our AquaBeam Robotic System is a medical device subject to extensive regulation in the United States and elsewhere, including by the FDA and its foreign counterparts. Government regulations specific to medical devices are wide ranging and govern, among other things:</w:t>
      </w:r>
    </w:p>
    <w:p>
      <w:pPr>
        <w:spacing w:after="0" w:line="100" w:lineRule="exact"/>
        <w:rPr>
          <w:sz w:val="20"/>
          <w:szCs w:val="20"/>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design, development, manufacture, and release;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and clinical testing, labeling, packaging, storage and distribution;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and efficacy;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premarketing clearance or approval;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operations, including relationships with healthcare providers;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 keeping;</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marketing, promotion and advertising, registration, sales and distribution;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post-marketing surveillance, including reporting of deaths or serious injuries and recalls and correction and removals;</w:t>
      </w: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278"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 approval studies;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import and export.</w:t>
      </w:r>
    </w:p>
    <w:p>
      <w:pPr>
        <w:spacing w:after="0" w:line="165" w:lineRule="exact"/>
        <w:rPr>
          <w:sz w:val="20"/>
          <w:szCs w:val="20"/>
          <w:color w:val="auto"/>
        </w:rPr>
      </w:pPr>
    </w:p>
    <w:p>
      <w:pPr>
        <w:ind w:right="160" w:firstLine="309"/>
        <w:spacing w:after="0" w:line="261" w:lineRule="auto"/>
        <w:rPr>
          <w:sz w:val="20"/>
          <w:szCs w:val="20"/>
          <w:color w:val="auto"/>
        </w:rPr>
      </w:pPr>
      <w:r>
        <w:rPr>
          <w:rFonts w:ascii="Times New Roman" w:cs="Times New Roman" w:eastAsia="Times New Roman" w:hAnsi="Times New Roman"/>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23" w:lineRule="exact"/>
        <w:rPr>
          <w:sz w:val="20"/>
          <w:szCs w:val="20"/>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warning letters, untitled letters, it has come to our attention letters, fines, injunctions, consent decrees and civil penalties;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repair, replacement, refunds, recall or seizure of our AquaBeam Robotic System;</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partial suspension or total shutdown of production;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denial of our requests for regulatory clearance or approval of new products, new intended uses or modifications to existing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or suspension of regulatory clearance or approval that have already been granted;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any of these events were to occur, it will negatively affect our business, financial condition and results of operations.</w:t>
      </w:r>
    </w:p>
    <w:p>
      <w:pPr>
        <w:spacing w:after="0" w:line="165"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We may not receive, or may be delayed in receiving, the necessary clearances or approvals for our future products or modifications to our current products, and failure to timely obtain necessary clearances or approvals for our future products or modifications to our current products would adversely affect our ability to grow our business.</w:t>
      </w:r>
    </w:p>
    <w:p>
      <w:pPr>
        <w:spacing w:after="0" w:line="114"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100"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23"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premarket approval application, or PMA. Some pre-amendment devices are unclassified, but are subject to FDA’s premarket notification and clearance process in order to be commercially distributed. Our AquaBeam Robotic System is a Class II device subject to 510(k) clearance.</w:t>
      </w:r>
    </w:p>
    <w:p>
      <w:pPr>
        <w:spacing w:after="0" w:line="128"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 Section 510(k) of the FDCA, de novo classification, or approval of a PMA from the FDA, unless an exemption applies. Most Class I devices and some Class II devices are exempt from these premarket review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00"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In the process of obtaining PMA approval the FDA must determine that a proposed device is safe and effective for its intended use based, in part, on extensive data, including, but not limited to, technical, clinical trial, manufacturing and labeling data.</w:t>
      </w:r>
    </w:p>
    <w:p>
      <w:pPr>
        <w:spacing w:after="0" w:line="100"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In the de novo classification process, a manufacturer whose novel device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120"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The 510(k), de 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or de novo request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22" w:lineRule="exact"/>
        <w:rPr>
          <w:sz w:val="20"/>
          <w:szCs w:val="20"/>
          <w:color w:val="auto"/>
        </w:rPr>
      </w:pPr>
    </w:p>
    <w:p>
      <w:pPr>
        <w:ind w:right="40" w:firstLine="309"/>
        <w:spacing w:after="0" w:line="255" w:lineRule="auto"/>
        <w:rPr>
          <w:sz w:val="20"/>
          <w:szCs w:val="20"/>
          <w:color w:val="auto"/>
        </w:rPr>
      </w:pPr>
      <w:r>
        <w:rPr>
          <w:rFonts w:ascii="Times New Roman" w:cs="Times New Roman" w:eastAsia="Times New Roman" w:hAnsi="Times New Roman"/>
          <w:sz w:val="17"/>
          <w:szCs w:val="17"/>
          <w:color w:val="auto"/>
        </w:rPr>
        <w:t>We originally obtained de novo classification of our AquaBeam Robotic System for use in patients with BPH, and have subsequently obtained 510(k) clearances for modifications to the system. Any modification to these systems that has not been previously cleared may require us to submit a new 510(k) premarket notification and obtain clearance, or depending on the change, we may be required to submit a PMA and obtain FDA approval before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FDA or other regulators can delay, limit, or deny clearance or approval of a device for many reasons, including:</w:t>
      </w:r>
    </w:p>
    <w:p>
      <w:pPr>
        <w:spacing w:after="0" w:line="165" w:lineRule="exact"/>
        <w:rPr>
          <w:sz w:val="20"/>
          <w:szCs w:val="20"/>
          <w:color w:val="auto"/>
        </w:rPr>
      </w:pPr>
    </w:p>
    <w:p>
      <w:pPr>
        <w:jc w:val="both"/>
        <w:ind w:left="620" w:right="60" w:hanging="307"/>
        <w:spacing w:after="0" w:line="270" w:lineRule="auto"/>
        <w:tabs>
          <w:tab w:leader="none" w:pos="616"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demonstrate to the satisfaction of the FDA or the applicable regulatory entity or notified body that our AquaBeam Robotic System, or any other future device, and any accessories are substantially equivalent to a legally marketed predicate device or safe or effective for their proposed intended uses;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disagreement of the FDA with the design or implementation of any clinical trials or the interpretation of data from preclinical studies or clinical trials;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serious and unexpected adverse device effects experienced by participants in our clinical trials;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insufficiency of the data from preclinical studies or clinical trials to support clearance or approval, where required;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demonstrate that the clinical and other benefits of the device outweigh the risks;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manufacturing process or facilities to meet applicable requirements; and</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340" w:hanging="307"/>
        <w:spacing w:after="0" w:line="287"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9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112" w:lineRule="exact"/>
        <w:rPr>
          <w:sz w:val="20"/>
          <w:szCs w:val="20"/>
          <w:color w:val="auto"/>
        </w:rPr>
      </w:pPr>
    </w:p>
    <w:p>
      <w:pPr>
        <w:ind w:right="60" w:firstLine="309"/>
        <w:spacing w:after="0" w:line="264" w:lineRule="auto"/>
        <w:rPr>
          <w:sz w:val="20"/>
          <w:szCs w:val="20"/>
          <w:color w:val="auto"/>
        </w:rPr>
      </w:pPr>
      <w:r>
        <w:rPr>
          <w:rFonts w:ascii="Times New Roman" w:cs="Times New Roman" w:eastAsia="Times New Roman" w:hAnsi="Times New Roman"/>
          <w:sz w:val="17"/>
          <w:szCs w:val="17"/>
          <w:color w:val="auto"/>
        </w:rPr>
        <w:t>It is important to our business that we build a pipeline of product offerings that address limitations of current BPH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success of any new product offering or enhancement to an existing product will depend on a number of factors, including our ability to, among others:</w:t>
      </w:r>
    </w:p>
    <w:p>
      <w:pPr>
        <w:spacing w:after="0" w:line="165" w:lineRule="exact"/>
        <w:rPr>
          <w:sz w:val="20"/>
          <w:szCs w:val="20"/>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anticipate physician and patient needs properly;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introduce new products or product enhancements in a timely manner;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infringing upon the intellectual property rights of third parties;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 if required, the safety and efficacy of new products with data from clinical studies;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the necessary regulatory clearances or approvals for new products or product enhancements;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fully with the FDA and foreign regulations on marketing of new products or modified products;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adequate training to potential users of our AquaBeam Robotic System.</w:t>
      </w:r>
    </w:p>
    <w:p>
      <w:pPr>
        <w:spacing w:after="0" w:line="165" w:lineRule="exact"/>
        <w:rPr>
          <w:sz w:val="20"/>
          <w:szCs w:val="20"/>
          <w:color w:val="auto"/>
        </w:rPr>
      </w:pPr>
    </w:p>
    <w:p>
      <w:pPr>
        <w:ind w:right="840" w:firstLine="309"/>
        <w:spacing w:after="0" w:line="287" w:lineRule="auto"/>
        <w:rPr>
          <w:sz w:val="20"/>
          <w:szCs w:val="20"/>
          <w:color w:val="auto"/>
        </w:rPr>
      </w:pPr>
      <w:r>
        <w:rPr>
          <w:rFonts w:ascii="Times New Roman" w:cs="Times New Roman" w:eastAsia="Times New Roman" w:hAnsi="Times New Roman"/>
          <w:sz w:val="17"/>
          <w:szCs w:val="17"/>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100" w:lineRule="exact"/>
        <w:rPr>
          <w:sz w:val="20"/>
          <w:szCs w:val="20"/>
          <w:color w:val="auto"/>
        </w:rPr>
      </w:pPr>
    </w:p>
    <w:p>
      <w:pPr>
        <w:jc w:val="both"/>
        <w:ind w:right="140" w:firstLine="309"/>
        <w:spacing w:after="0" w:line="261" w:lineRule="auto"/>
        <w:rPr>
          <w:sz w:val="20"/>
          <w:szCs w:val="20"/>
          <w:color w:val="auto"/>
        </w:rPr>
      </w:pPr>
      <w:r>
        <w:rPr>
          <w:rFonts w:ascii="Times New Roman" w:cs="Times New Roman" w:eastAsia="Times New Roman" w:hAnsi="Times New Roman"/>
          <w:sz w:val="17"/>
          <w:szCs w:val="17"/>
          <w:color w:val="auto"/>
        </w:rPr>
        <w:t>We believe some of our future products will require FDA clearance of a 510(k). Other future products may require the approval of a PMA. In addition, some of our future products may require clinical trials to support marketing authorization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w:t>
      </w:r>
    </w:p>
    <w:p>
      <w:pPr>
        <w:spacing w:after="0" w:line="117"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Modifications to our marketed products may require new 510(k) clearances or PMA approvals, or may require us to cease marketing or recall the modified products until clearances or approvals are obtained.</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Modifications to our AquaBeam Robotic System and associated consumables may require new regulatory approvals or clearances, including 510(k) clearances or PMAs,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AquaBeam Robotic System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AquaBeam Robotic System as modified, which could require us to redesign our AquaBeam Robotic System and/or seek new marketing authorizations and harm our operating results. In these circumstances, we may be subject to significant enforcement actions.</w:t>
      </w:r>
    </w:p>
    <w:p>
      <w:pPr>
        <w:spacing w:after="0" w:line="127" w:lineRule="exact"/>
        <w:rPr>
          <w:sz w:val="20"/>
          <w:szCs w:val="20"/>
          <w:color w:val="auto"/>
        </w:rPr>
      </w:pPr>
    </w:p>
    <w:p>
      <w:pPr>
        <w:jc w:val="both"/>
        <w:ind w:right="280" w:firstLine="309"/>
        <w:spacing w:after="0" w:line="270" w:lineRule="auto"/>
        <w:rPr>
          <w:sz w:val="20"/>
          <w:szCs w:val="20"/>
          <w:color w:val="auto"/>
        </w:rPr>
      </w:pPr>
      <w:r>
        <w:rPr>
          <w:rFonts w:ascii="Times New Roman" w:cs="Times New Roman" w:eastAsia="Times New Roman" w:hAnsi="Times New Roman"/>
          <w:sz w:val="17"/>
          <w:szCs w:val="17"/>
          <w:color w:val="auto"/>
        </w:rPr>
        <w:t>If a manufacturer determines that a modification to an FDA-cleared device could significantly affect its safety or effectiveness, or would constitute a major change in its intended use, then the manufacturer must apply for a new 510(k) clearance or possibly a PMA approval. If we determine that modifications to our AquaBeam Robotic System require a new 510(k) clearance or PMA application, we may not be able to obtain those additional clearances or approvals for the</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08"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though we have obtained marketing authorization for our AquaBeam Robotic System,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12"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Even though we have obtained marketing authorization for our AquaBeam Robotic System, it and any other product for which we obtain clearance or approval, and the manufacturing processes, post-market surveillance, post-approval clinical data and promotional activities for such product, are or, in the case of future products,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24" w:lineRule="exact"/>
        <w:rPr>
          <w:sz w:val="20"/>
          <w:szCs w:val="20"/>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untitled letters, warning letters, fines, injunctions, consent decrees and civil penalties;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expenditures to address or defend such actions;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notifications for repair, replacement, refunds;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detention or seizure of our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 or partial suspension or total shutdown of production;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refusing or delaying our requests for 510(k) clearance or PMA of new products or modified products;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restrictions;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510(k) clearances on PMA approvals that have already been granted;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grant export approval for our products;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w:t>
      </w:r>
    </w:p>
    <w:p>
      <w:pPr>
        <w:spacing w:after="0" w:line="165" w:lineRule="exact"/>
        <w:rPr>
          <w:sz w:val="20"/>
          <w:szCs w:val="20"/>
          <w:color w:val="auto"/>
        </w:rPr>
      </w:pPr>
    </w:p>
    <w:p>
      <w:pPr>
        <w:ind w:right="160" w:firstLine="309"/>
        <w:spacing w:after="0" w:line="270" w:lineRule="auto"/>
        <w:rPr>
          <w:sz w:val="20"/>
          <w:szCs w:val="20"/>
          <w:color w:val="auto"/>
        </w:rPr>
      </w:pPr>
      <w:r>
        <w:rPr>
          <w:rFonts w:ascii="Times New Roman" w:cs="Times New Roman" w:eastAsia="Times New Roman" w:hAnsi="Times New Roman"/>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22"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recall of our products either voluntarily or at the direction of the FDA or another governmental authority, could have a negative impact on us.</w:t>
      </w:r>
    </w:p>
    <w:p>
      <w:pPr>
        <w:spacing w:after="0" w:line="171"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24"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22" w:lineRule="exact"/>
        <w:rPr>
          <w:sz w:val="20"/>
          <w:szCs w:val="20"/>
          <w:color w:val="auto"/>
        </w:rPr>
      </w:pPr>
    </w:p>
    <w:p>
      <w:pPr>
        <w:ind w:right="80" w:firstLine="309"/>
        <w:spacing w:after="0" w:line="264" w:lineRule="auto"/>
        <w:rPr>
          <w:sz w:val="20"/>
          <w:szCs w:val="20"/>
          <w:color w:val="auto"/>
        </w:rPr>
      </w:pPr>
      <w:r>
        <w:rPr>
          <w:rFonts w:ascii="Times New Roman" w:cs="Times New Roman" w:eastAsia="Times New Roman" w:hAnsi="Times New Roman"/>
          <w:sz w:val="17"/>
          <w:szCs w:val="17"/>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20"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16"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94" w:lineRule="exact"/>
        <w:rPr>
          <w:sz w:val="20"/>
          <w:szCs w:val="20"/>
          <w:color w:val="auto"/>
        </w:rPr>
      </w:pPr>
    </w:p>
    <w:p>
      <w:pPr>
        <w:ind w:right="240" w:firstLine="309"/>
        <w:spacing w:after="0" w:line="260" w:lineRule="auto"/>
        <w:rPr>
          <w:sz w:val="20"/>
          <w:szCs w:val="20"/>
          <w:color w:val="auto"/>
        </w:rPr>
      </w:pPr>
      <w:r>
        <w:rPr>
          <w:rFonts w:ascii="Times New Roman" w:cs="Times New Roman" w:eastAsia="Times New Roman" w:hAnsi="Times New Roman"/>
          <w:sz w:val="17"/>
          <w:szCs w:val="17"/>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22" w:lineRule="exact"/>
        <w:rPr>
          <w:sz w:val="20"/>
          <w:szCs w:val="20"/>
          <w:color w:val="auto"/>
        </w:rPr>
      </w:pPr>
    </w:p>
    <w:p>
      <w:pPr>
        <w:ind w:right="200" w:firstLine="309"/>
        <w:spacing w:after="0" w:line="258" w:lineRule="auto"/>
        <w:rPr>
          <w:sz w:val="20"/>
          <w:szCs w:val="20"/>
          <w:color w:val="auto"/>
        </w:rPr>
      </w:pPr>
      <w:r>
        <w:rPr>
          <w:rFonts w:ascii="Times New Roman" w:cs="Times New Roman" w:eastAsia="Times New Roman" w:hAnsi="Times New Roman"/>
          <w:sz w:val="17"/>
          <w:szCs w:val="17"/>
          <w:color w:val="auto"/>
        </w:rPr>
        <w:t>We or our third-party manufacturers may not take the necessary steps to comply with applicable regulations, which could cause delays in the delivery of our products. For instance, in 2021 we initiated a voluntary recall for a limited number of lots of our handpiece due to certain issues related to our supply chain. We have remedied these issues as we developed our manufacturing processes to scale the production of our handpieces at a higher volume.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approvals for our products; clinical holds; refusal to permit the import or export of our products; and criminal prosecution of us, our suppliers, or our employees.</w:t>
      </w:r>
    </w:p>
    <w:p>
      <w:pPr>
        <w:spacing w:after="0" w:line="165"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94"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products, such as our AquaBeam Robotic System, may in the future be subject to product recalls that could harm our reputation, business and financial results.</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corrections and removals be reported to the FDA within 10 working days after such correction or removal is initiated. Companies are required to maintain certain records of recalls, even if they are not reportable to the FDA. We may initiate voluntary recalls involving our AquaBeam Robotic System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regulatory or enforcement actions if we engage in improper marketing or promotion of our AquaBeam Robotic System.</w:t>
      </w:r>
    </w:p>
    <w:p>
      <w:pPr>
        <w:spacing w:after="0" w:line="171"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our AquaBeam Robotic System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w:t>
      </w:r>
    </w:p>
    <w:p>
      <w:pPr>
        <w:spacing w:after="0" w:line="128"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AquaBeam Robotic System, the FDA or another regulatory agency could disagree and conclude that we have engaged in off-label promotion. It is also possible that other federal, state or foreign enforcement authorities might take action, including, but not limited to, through a whistleblower action under the federal civil False Claims Act, or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27" w:lineRule="exact"/>
        <w:rPr>
          <w:sz w:val="20"/>
          <w:szCs w:val="20"/>
          <w:color w:val="auto"/>
        </w:rPr>
      </w:pPr>
    </w:p>
    <w:p>
      <w:pPr>
        <w:ind w:right="80" w:firstLine="309"/>
        <w:spacing w:after="0" w:line="264" w:lineRule="auto"/>
        <w:rPr>
          <w:sz w:val="20"/>
          <w:szCs w:val="20"/>
          <w:color w:val="auto"/>
        </w:rPr>
      </w:pPr>
      <w:r>
        <w:rPr>
          <w:rFonts w:ascii="Times New Roman" w:cs="Times New Roman" w:eastAsia="Times New Roman" w:hAnsi="Times New Roman"/>
          <w:sz w:val="17"/>
          <w:szCs w:val="17"/>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are expensive to defend and could divert our management’s attention, result in substantial damage awards against us, and harm our reputation.</w:t>
      </w:r>
    </w:p>
    <w:p>
      <w:pPr>
        <w:spacing w:after="0" w:line="120" w:lineRule="exact"/>
        <w:rPr>
          <w:sz w:val="20"/>
          <w:szCs w:val="20"/>
          <w:color w:val="auto"/>
        </w:rPr>
      </w:pPr>
    </w:p>
    <w:p>
      <w:pPr>
        <w:ind w:right="280" w:firstLine="309"/>
        <w:spacing w:after="0" w:line="287" w:lineRule="auto"/>
        <w:rPr>
          <w:sz w:val="20"/>
          <w:szCs w:val="20"/>
          <w:color w:val="auto"/>
        </w:rPr>
      </w:pPr>
      <w:r>
        <w:rPr>
          <w:rFonts w:ascii="Times New Roman" w:cs="Times New Roman" w:eastAsia="Times New Roman" w:hAnsi="Times New Roman"/>
          <w:sz w:val="17"/>
          <w:szCs w:val="17"/>
          <w:color w:val="auto"/>
        </w:rPr>
        <w:t>Product liability claims are expensive to defend and could divert our management’s attention, result in substantial damage awards against us, and harm our reputation.</w:t>
      </w:r>
    </w:p>
    <w:p>
      <w:pPr>
        <w:spacing w:after="0" w:line="94"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94"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From time to time, legislation is drafted and introduced in Congress that could significantly change the statutory provisions governing the regulatory approval, manufacture and marketing of regulated products or the reimbursement</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7"/>
          <w:szCs w:val="17"/>
          <w:color w:val="auto"/>
        </w:rPr>
        <w:t>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23"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128" w:lineRule="exact"/>
        <w:rPr>
          <w:sz w:val="20"/>
          <w:szCs w:val="20"/>
          <w:color w:val="auto"/>
        </w:rPr>
      </w:pPr>
    </w:p>
    <w:p>
      <w:pPr>
        <w:ind w:right="120" w:firstLine="309"/>
        <w:spacing w:after="0" w:line="258" w:lineRule="auto"/>
        <w:rPr>
          <w:sz w:val="20"/>
          <w:szCs w:val="20"/>
          <w:color w:val="auto"/>
        </w:rPr>
      </w:pPr>
      <w:r>
        <w:rPr>
          <w:rFonts w:ascii="Times New Roman" w:cs="Times New Roman" w:eastAsia="Times New Roman" w:hAnsi="Times New Roman"/>
          <w:sz w:val="17"/>
          <w:szCs w:val="17"/>
          <w:color w:val="auto"/>
        </w:rPr>
        <w:t>Additionally,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24"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14" w:lineRule="exact"/>
        <w:rPr>
          <w:sz w:val="20"/>
          <w:szCs w:val="20"/>
          <w:color w:val="auto"/>
        </w:rPr>
      </w:pPr>
    </w:p>
    <w:p>
      <w:pPr>
        <w:ind w:right="600" w:firstLine="309"/>
        <w:spacing w:after="0" w:line="287" w:lineRule="auto"/>
        <w:rPr>
          <w:sz w:val="20"/>
          <w:szCs w:val="20"/>
          <w:color w:val="auto"/>
        </w:rPr>
      </w:pPr>
      <w:r>
        <w:rPr>
          <w:rFonts w:ascii="Times New Roman" w:cs="Times New Roman" w:eastAsia="Times New Roman" w:hAnsi="Times New Roman"/>
          <w:sz w:val="17"/>
          <w:szCs w:val="17"/>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00"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14"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Initiating and completing clinical trials necessary to support any future PMA applications or de novo requests, or to provide additional safety and efficacy data beyond those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30" w:lineRule="exact"/>
        <w:rPr>
          <w:sz w:val="20"/>
          <w:szCs w:val="20"/>
          <w:color w:val="auto"/>
        </w:rPr>
      </w:pPr>
    </w:p>
    <w:p>
      <w:pPr>
        <w:ind w:right="280" w:firstLine="309"/>
        <w:spacing w:after="0" w:line="270" w:lineRule="auto"/>
        <w:rPr>
          <w:sz w:val="20"/>
          <w:szCs w:val="20"/>
          <w:color w:val="auto"/>
        </w:rPr>
      </w:pPr>
      <w:r>
        <w:rPr>
          <w:rFonts w:ascii="Times New Roman" w:cs="Times New Roman" w:eastAsia="Times New Roman" w:hAnsi="Times New Roman"/>
          <w:sz w:val="17"/>
          <w:szCs w:val="17"/>
          <w:color w:val="auto"/>
        </w:rPr>
        <w:t>The initiation and completion of any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24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submit an investigational device exemption application, or IDE, to the FDA, which must become effective prior to commencing certain human clinical trials of medical devices, and the FDA may reject our IDE and notify us that we may not begin clinical trials;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and other comparable foreign regulatory authorities may disagree as to the design or implementation of our clinical trials;</w:t>
      </w:r>
    </w:p>
    <w:p>
      <w:pPr>
        <w:spacing w:after="0" w:line="165"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and/or an Institutional Review Board, or IRB, or other reviewing bodies may not authorize us or our investigators to commence a clinical trial, or to conduct or continue a clinical trial at a prospective or specific trial site;</w:t>
      </w:r>
    </w:p>
    <w:p>
      <w:pPr>
        <w:spacing w:after="0" w:line="9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99" w:lineRule="exact"/>
        <w:rPr>
          <w:rFonts w:ascii="Times New Roman" w:cs="Times New Roman" w:eastAsia="Times New Roman" w:hAnsi="Times New Roman"/>
          <w:sz w:val="17"/>
          <w:szCs w:val="17"/>
          <w:color w:val="auto"/>
        </w:rPr>
      </w:pPr>
    </w:p>
    <w:p>
      <w:pPr>
        <w:ind w:left="620" w:right="50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may produce negative or inconclusive results, and we may decide, or regulators may require us, to conduct additional clinical trials or abandon product development programs;</w:t>
      </w:r>
    </w:p>
    <w:p>
      <w:pPr>
        <w:spacing w:after="0" w:line="99"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13" w:lineRule="exact"/>
        <w:rPr>
          <w:rFonts w:ascii="Times New Roman" w:cs="Times New Roman" w:eastAsia="Times New Roman" w:hAnsi="Times New Roman"/>
          <w:sz w:val="17"/>
          <w:szCs w:val="17"/>
          <w:color w:val="auto"/>
        </w:rPr>
      </w:pPr>
    </w:p>
    <w:p>
      <w:pPr>
        <w:ind w:left="620" w:right="62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99" w:lineRule="exact"/>
        <w:rPr>
          <w:rFonts w:ascii="Times New Roman" w:cs="Times New Roman" w:eastAsia="Times New Roman" w:hAnsi="Times New Roman"/>
          <w:sz w:val="17"/>
          <w:szCs w:val="17"/>
          <w:color w:val="auto"/>
        </w:rPr>
      </w:pPr>
    </w:p>
    <w:p>
      <w:pPr>
        <w:ind w:left="620" w:right="26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have to suspend or terminate clinical trials for various reasons, including a finding that the subjects are being exposed to unacceptable health risks;</w:t>
      </w:r>
    </w:p>
    <w:p>
      <w:pPr>
        <w:spacing w:after="0" w:line="99" w:lineRule="exact"/>
        <w:rPr>
          <w:rFonts w:ascii="Times New Roman" w:cs="Times New Roman" w:eastAsia="Times New Roman" w:hAnsi="Times New Roman"/>
          <w:sz w:val="17"/>
          <w:szCs w:val="17"/>
          <w:color w:val="auto"/>
        </w:rPr>
      </w:pPr>
    </w:p>
    <w:p>
      <w:pPr>
        <w:ind w:left="620" w:right="20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99" w:lineRule="exact"/>
        <w:rPr>
          <w:rFonts w:ascii="Times New Roman" w:cs="Times New Roman" w:eastAsia="Times New Roman" w:hAnsi="Times New Roman"/>
          <w:sz w:val="17"/>
          <w:szCs w:val="17"/>
          <w:color w:val="auto"/>
        </w:rPr>
      </w:pPr>
    </w:p>
    <w:p>
      <w:pPr>
        <w:ind w:left="620" w:right="50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or other parties may require or recommend that we or our investigators suspend or terminate clinical research for various reasons, including safety signals or noncompliance with regulatory requirements;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may be greater than we anticipate;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sites may not adhere to the clinical protocol or may drop out of a clinical trial;</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recruit a sufficient number of clinical trial sites;</w:t>
      </w:r>
    </w:p>
    <w:p>
      <w:pPr>
        <w:spacing w:after="0" w:line="165" w:lineRule="exact"/>
        <w:rPr>
          <w:rFonts w:ascii="Times New Roman" w:cs="Times New Roman" w:eastAsia="Times New Roman" w:hAnsi="Times New Roman"/>
          <w:sz w:val="17"/>
          <w:szCs w:val="17"/>
          <w:color w:val="auto"/>
        </w:rPr>
      </w:pPr>
    </w:p>
    <w:p>
      <w:pPr>
        <w:jc w:val="both"/>
        <w:ind w:left="620" w:right="320" w:hanging="307"/>
        <w:spacing w:after="0" w:line="270"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13" w:lineRule="exact"/>
        <w:rPr>
          <w:rFonts w:ascii="Times New Roman" w:cs="Times New Roman" w:eastAsia="Times New Roman" w:hAnsi="Times New Roman"/>
          <w:sz w:val="17"/>
          <w:szCs w:val="17"/>
          <w:color w:val="auto"/>
        </w:rPr>
      </w:pPr>
    </w:p>
    <w:p>
      <w:pPr>
        <w:ind w:left="620" w:right="120" w:hanging="307"/>
        <w:spacing w:after="0" w:line="287"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policies or regulations of the FDA or applicable foreign regulatory agencies may change in a manner rendering our clinical data insufficient for approval; and</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current or future products may have undesirable side effects or other unexpected characteristics.</w:t>
      </w:r>
    </w:p>
    <w:p>
      <w:pPr>
        <w:spacing w:after="0" w:line="165"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00"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23"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in accordance with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22" w:lineRule="exact"/>
        <w:rPr>
          <w:sz w:val="20"/>
          <w:szCs w:val="20"/>
          <w:color w:val="auto"/>
        </w:rPr>
      </w:pPr>
    </w:p>
    <w:p>
      <w:pPr>
        <w:ind w:right="120" w:firstLine="309"/>
        <w:spacing w:after="0" w:line="260" w:lineRule="auto"/>
        <w:rPr>
          <w:sz w:val="20"/>
          <w:szCs w:val="20"/>
          <w:color w:val="auto"/>
        </w:rPr>
      </w:pPr>
      <w:r>
        <w:rPr>
          <w:rFonts w:ascii="Times New Roman" w:cs="Times New Roman" w:eastAsia="Times New Roman" w:hAnsi="Times New Roman"/>
          <w:sz w:val="17"/>
          <w:szCs w:val="17"/>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1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9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We may not have the ability to independently conduct our pre-clinical and clinical trials for our future products and we may need to rely on third parties, such as CROs, medical institutions, collaborators, clinical investigators and contract laboratories to conduct such trials.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products in clinical development. Regulatory authorities enforce these GCP requirements through periodic inspections of trial sponsors, principal investigators and trial sites.</w:t>
      </w:r>
    </w:p>
    <w:p>
      <w:pPr>
        <w:spacing w:after="0" w:line="122"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If we or any of these third parties fail to comply with applicable GCP regulations, the clinical data generated in our clinical trials may be deemed unreliable and the FDA or comparable foreign regulatory authorities may require us to perform additional clinical trials before clearing or approving our marketing applications. We cannot assure you that, upon inspection, such regulatory authorities will determine that any of our future clinical trials complies with the GCP regulations.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we may be affected by increased costs, program delays or both, any resulting data may be unreliable or unusable for regulatory purposes, and we may be subject to enforcement action.</w:t>
      </w:r>
    </w:p>
    <w:p>
      <w:pPr>
        <w:spacing w:after="0" w:line="122"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17"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prevent those agencies from performing normal business functions on which the operation of our business may rely, which could negatively impact our business.</w:t>
      </w:r>
    </w:p>
    <w:p>
      <w:pPr>
        <w:spacing w:after="0" w:line="9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23" w:lineRule="exact"/>
        <w:rPr>
          <w:sz w:val="20"/>
          <w:szCs w:val="20"/>
          <w:color w:val="auto"/>
        </w:rPr>
      </w:pPr>
    </w:p>
    <w:p>
      <w:pPr>
        <w:ind w:right="180" w:firstLine="309"/>
        <w:spacing w:after="0" w:line="270"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product applications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14" w:lineRule="exact"/>
        <w:rPr>
          <w:sz w:val="20"/>
          <w:szCs w:val="20"/>
          <w:color w:val="auto"/>
        </w:rPr>
      </w:pPr>
    </w:p>
    <w:p>
      <w:pPr>
        <w:jc w:val="both"/>
        <w:ind w:right="100" w:firstLine="309"/>
        <w:spacing w:after="0" w:line="270" w:lineRule="auto"/>
        <w:rPr>
          <w:sz w:val="20"/>
          <w:szCs w:val="20"/>
          <w:color w:val="auto"/>
        </w:rPr>
      </w:pPr>
      <w:r>
        <w:rPr>
          <w:rFonts w:ascii="Times New Roman" w:cs="Times New Roman" w:eastAsia="Times New Roman" w:hAnsi="Times New Roman"/>
          <w:sz w:val="17"/>
          <w:szCs w:val="17"/>
          <w:color w:val="auto"/>
        </w:rPr>
        <w:t>If a prolonged government shutdown occurs, or if any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08"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94"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00" w:lineRule="exact"/>
        <w:rPr>
          <w:sz w:val="20"/>
          <w:szCs w:val="20"/>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FDA requirements, including those laws requiring the reporting of true, complete and accurate information to the FDA authorities;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standards;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healthcare fraud and abuse laws and regulations;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that require the true, complete and accurate reporting of financial information or data.</w:t>
      </w:r>
    </w:p>
    <w:p>
      <w:pPr>
        <w:spacing w:after="0" w:line="165" w:lineRule="exact"/>
        <w:rPr>
          <w:sz w:val="20"/>
          <w:szCs w:val="20"/>
          <w:color w:val="auto"/>
        </w:rPr>
      </w:pPr>
    </w:p>
    <w:p>
      <w:pPr>
        <w:ind w:right="180" w:firstLine="309"/>
        <w:spacing w:after="0" w:line="260" w:lineRule="auto"/>
        <w:rPr>
          <w:sz w:val="20"/>
          <w:szCs w:val="20"/>
          <w:color w:val="auto"/>
        </w:rPr>
      </w:pPr>
      <w:r>
        <w:rPr>
          <w:rFonts w:ascii="Times New Roman" w:cs="Times New Roman" w:eastAsia="Times New Roman" w:hAnsi="Times New Roman"/>
          <w:sz w:val="17"/>
          <w:szCs w:val="17"/>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22"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must comply with environmental and occupational safety laws.</w:t>
      </w:r>
    </w:p>
    <w:p>
      <w:pPr>
        <w:spacing w:after="0" w:line="171" w:lineRule="exact"/>
        <w:rPr>
          <w:sz w:val="20"/>
          <w:szCs w:val="20"/>
          <w:color w:val="auto"/>
        </w:rPr>
      </w:pPr>
    </w:p>
    <w:p>
      <w:pPr>
        <w:jc w:val="both"/>
        <w:ind w:right="400" w:firstLine="309"/>
        <w:spacing w:after="0" w:line="270" w:lineRule="auto"/>
        <w:rPr>
          <w:sz w:val="20"/>
          <w:szCs w:val="20"/>
          <w:color w:val="auto"/>
        </w:rPr>
      </w:pPr>
      <w:r>
        <w:rPr>
          <w:rFonts w:ascii="Times New Roman" w:cs="Times New Roman" w:eastAsia="Times New Roman" w:hAnsi="Times New Roman"/>
          <w:sz w:val="17"/>
          <w:szCs w:val="17"/>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environmental or occupational safety laws, we could be held liable for resulting damages, and any such liability could exceed our insurance coverage.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to obtain, maintain and protect our intellectual property and failure to do so may adversely impact our competitive position.</w:t>
      </w:r>
    </w:p>
    <w:p>
      <w:pPr>
        <w:spacing w:after="0" w:line="171" w:lineRule="exact"/>
        <w:rPr>
          <w:sz w:val="20"/>
          <w:szCs w:val="20"/>
          <w:color w:val="auto"/>
        </w:rPr>
      </w:pPr>
    </w:p>
    <w:p>
      <w:pPr>
        <w:ind w:right="200" w:firstLine="309"/>
        <w:spacing w:after="0" w:line="261" w:lineRule="auto"/>
        <w:rPr>
          <w:sz w:val="20"/>
          <w:szCs w:val="20"/>
          <w:color w:val="auto"/>
        </w:rPr>
      </w:pPr>
      <w:r>
        <w:rPr>
          <w:rFonts w:ascii="Times New Roman" w:cs="Times New Roman" w:eastAsia="Times New Roman" w:hAnsi="Times New Roman"/>
          <w:sz w:val="17"/>
          <w:szCs w:val="17"/>
          <w:color w:val="auto"/>
        </w:rPr>
        <w:t>Our commercial success and ability to compete will depend in part in our ability to obtain, maintain and enforce issued patents, trademark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123" w:lineRule="exact"/>
        <w:rPr>
          <w:sz w:val="20"/>
          <w:szCs w:val="20"/>
          <w:color w:val="auto"/>
        </w:rPr>
      </w:pPr>
    </w:p>
    <w:p>
      <w:pPr>
        <w:ind w:right="260" w:firstLine="309"/>
        <w:spacing w:after="0" w:line="264" w:lineRule="auto"/>
        <w:rPr>
          <w:sz w:val="20"/>
          <w:szCs w:val="20"/>
          <w:color w:val="auto"/>
        </w:rPr>
      </w:pPr>
      <w:r>
        <w:rPr>
          <w:rFonts w:ascii="Times New Roman" w:cs="Times New Roman" w:eastAsia="Times New Roman" w:hAnsi="Times New Roman"/>
          <w:sz w:val="17"/>
          <w:szCs w:val="17"/>
          <w:color w:val="auto"/>
        </w:rPr>
        <w:t>We rely on a combination of contractual provisions, confidentiality procedures and patent, trade secret, copyright and trademark laws to protect our proprietary technology, products, services, brands, trade secrets, know-how and data and prevent others from duplicating our AquaBeam Robotic System or its disposable components, and our other current and future products, services and technology. However, these legal means afford only limited protection and may not:</w:t>
      </w:r>
    </w:p>
    <w:p>
      <w:pPr>
        <w:spacing w:after="0" w:line="120" w:lineRule="exact"/>
        <w:rPr>
          <w:sz w:val="20"/>
          <w:szCs w:val="20"/>
          <w:color w:val="auto"/>
        </w:rPr>
      </w:pPr>
    </w:p>
    <w:p>
      <w:pPr>
        <w:ind w:left="620" w:right="280" w:hanging="307"/>
        <w:spacing w:after="0" w:line="287" w:lineRule="auto"/>
        <w:tabs>
          <w:tab w:leader="none" w:pos="616"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or business partners from duplicating our AquaBeam Robotic System or its disposable components, and our other current and future products;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prevent our competitors from gaining access to our proprietary information and technology; or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us to gain or maintain a competitive advantage.</w:t>
      </w:r>
    </w:p>
    <w:p>
      <w:pPr>
        <w:spacing w:after="0" w:line="165"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14" w:lineRule="exact"/>
        <w:rPr>
          <w:sz w:val="20"/>
          <w:szCs w:val="20"/>
          <w:color w:val="auto"/>
        </w:rPr>
      </w:pPr>
    </w:p>
    <w:p>
      <w:pPr>
        <w:ind w:right="160" w:firstLine="309"/>
        <w:spacing w:after="0" w:line="261" w:lineRule="auto"/>
        <w:rPr>
          <w:sz w:val="20"/>
          <w:szCs w:val="20"/>
          <w:color w:val="auto"/>
        </w:rPr>
      </w:pPr>
      <w:r>
        <w:rPr>
          <w:rFonts w:ascii="Times New Roman" w:cs="Times New Roman" w:eastAsia="Times New Roman" w:hAnsi="Times New Roman"/>
          <w:sz w:val="17"/>
          <w:szCs w:val="17"/>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products and services, and may not provide an adequate remedy if our intellectual property rights are infringed, misappropriated or otherwise violated.</w:t>
      </w:r>
    </w:p>
    <w:p>
      <w:pPr>
        <w:spacing w:after="0" w:line="123"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We rely in part on our portfolio of issued patents and pending patent applications in the United States and other countries to protect our intellectual property and competitive position. However,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It is also possible that we will fail to identify patentable aspects of inventions made in the course of our development, manufacture and commercialization activities before it is too late to obtain patent protection on them. If we fail to timely file for a patent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to sell or sell patented products, we may not accurately</w:t>
      </w: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predict all of the countries where patent protection will ultimately be desirable. Furthermore, the issuance of a patent does not give us the right to practice the patented invention. Third parties may have blocking patents that could prevent us from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2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The patent positions of medical device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The scope of a patent may also be reinterpreted after issuance. The rights that may be granted under our future issued patents may not provide us with the proprietary protection or competitive advantages we are seeking.</w:t>
      </w:r>
    </w:p>
    <w:p>
      <w:pPr>
        <w:spacing w:after="0" w:line="124"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The requirements for patentability may differ in certain countries, particularly in developing countries. The laws of some foreign countries may not protect our patent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sufficient patent protection to develop their own products or may export otherwise infringing products to territories where we have patent protection, but enforcement is not as strong as that in the United States. These products may compete with our products, and our patents rights may not be effective or sufficient to prevent them from competing. We cannot offer any assurances that the breadth of our granted patents will be sufficient to stop a competitor from developing, manufacturing and commercializing a product or a service in a non-infringing manner that would be competitive with one or more of our products or services,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24"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Patents have a limited lifespan. In the United States, the natural expiration of a utility patent is generally 20 years from the earliest effective non-provisional filing date. Further, if we encounter delays in any future regulatory approvals, the period of time during which we could market a product or a service under patent protection could be reduced, and, given the amount of time required for the development, testing and regulatory review of planned or future products or services, patents protecting such products or services might expire before or shortly after such products or services are commercialized. As a result, our patent rights may not provide us with sufficient rights to exclude others from manufacturing or commercializing products or services similar or identical to ours.</w:t>
      </w:r>
    </w:p>
    <w:p>
      <w:pPr>
        <w:spacing w:after="0" w:line="123"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If we are unable to obtain, maintain and enforce our issued patent, trademarks and other intellectual property rights related to our products, services or technology, or if the scope of the issued patents, trademarks or other intellectual property right protection is insufficient, our competitors could develop, manufacture and commercialize products, services or technology similar or superior to ours, and our competitive position may be adversely affected.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23" w:lineRule="exact"/>
        <w:rPr>
          <w:sz w:val="20"/>
          <w:szCs w:val="20"/>
          <w:color w:val="auto"/>
        </w:rPr>
      </w:pPr>
    </w:p>
    <w:p>
      <w:pPr>
        <w:jc w:val="both"/>
        <w:ind w:right="40" w:firstLine="309"/>
        <w:spacing w:after="0" w:line="264" w:lineRule="auto"/>
        <w:rPr>
          <w:sz w:val="20"/>
          <w:szCs w:val="20"/>
          <w:color w:val="auto"/>
        </w:rPr>
      </w:pPr>
      <w:r>
        <w:rPr>
          <w:rFonts w:ascii="Times New Roman" w:cs="Times New Roman" w:eastAsia="Times New Roman" w:hAnsi="Times New Roman"/>
          <w:sz w:val="17"/>
          <w:szCs w:val="17"/>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20"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 “nonexclusive, partially exclusive, or exclusive license” to a “responsible applicant or applicants.” If the patent owner refuses to do so, the government may grant the license to itself. We cannot be sure that if we acquire intellectual property rights in the future it will be free from government rights or regulations pursuant to the Bayh-Dole Act. If, in the future, we own, co-own or</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license in technology that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spacing w:after="0" w:line="114" w:lineRule="exact"/>
        <w:rPr>
          <w:sz w:val="20"/>
          <w:szCs w:val="20"/>
          <w:color w:val="auto"/>
        </w:rPr>
      </w:pPr>
    </w:p>
    <w:p>
      <w:pPr>
        <w:jc w:val="both"/>
        <w:ind w:right="20" w:firstLine="309"/>
        <w:spacing w:after="0" w:line="270" w:lineRule="auto"/>
        <w:rPr>
          <w:sz w:val="20"/>
          <w:szCs w:val="20"/>
          <w:color w:val="auto"/>
        </w:rPr>
      </w:pPr>
      <w:r>
        <w:rPr>
          <w:rFonts w:ascii="Times New Roman" w:cs="Times New Roman" w:eastAsia="Times New Roman" w:hAnsi="Times New Roman"/>
          <w:sz w:val="17"/>
          <w:szCs w:val="17"/>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108"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services, we may not be able to stop a competitor from marketing products or services that are the same as or similar to our products or services, which would have a material adverse effect on our business, financial condition and results of operations.</w:t>
      </w:r>
    </w:p>
    <w:p>
      <w:pPr>
        <w:spacing w:after="0" w:line="118"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and other intellectual property rights, which could be expensive, time-consuming and unsuccessful, and if unsuccessful, the commercial value of our products and services will be adversely affected and our competitive position may be harmed.</w:t>
      </w:r>
    </w:p>
    <w:p>
      <w:pPr>
        <w:spacing w:after="0" w:line="94"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Third parties my also challenge the validity, enforceability, or scope of such patents, which may result in such patents being narrowed, invalidated, or held unenforceable. While we are not aware of any unauthorized use of our intellectual property rights, we do not regularly conduct monitoring for unauthorized use at this time. In the future, we may, from time to time, seek to analyze our competitors’ products and services, or seek to enforce our rights against potential infringement, misappropriation or violation of our intellectual property rights. The steps we have taken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Thus,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spacing w:after="0" w:line="135" w:lineRule="exact"/>
        <w:rPr>
          <w:sz w:val="20"/>
          <w:szCs w:val="20"/>
          <w:color w:val="auto"/>
        </w:rPr>
      </w:pPr>
    </w:p>
    <w:p>
      <w:pPr>
        <w:ind w:right="100" w:firstLine="309"/>
        <w:spacing w:after="0" w:line="258" w:lineRule="auto"/>
        <w:rPr>
          <w:sz w:val="20"/>
          <w:szCs w:val="20"/>
          <w:color w:val="auto"/>
        </w:rPr>
      </w:pPr>
      <w:r>
        <w:rPr>
          <w:rFonts w:ascii="Times New Roman" w:cs="Times New Roman" w:eastAsia="Times New Roman" w:hAnsi="Times New Roman"/>
          <w:sz w:val="17"/>
          <w:szCs w:val="17"/>
          <w:color w:val="auto"/>
        </w:rPr>
        <w:t>In the future, we may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product or a service,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rights. Grounds for a validity challenge could be an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inter partes review, interference proceedings, derivation proceedings, and equivalent proceedings in foreign jurisdictions (e.g., opposition proceedings).</w:t>
      </w:r>
    </w:p>
    <w:p>
      <w:pPr>
        <w:spacing w:after="0" w:line="120" w:lineRule="exact"/>
        <w:rPr>
          <w:sz w:val="20"/>
          <w:szCs w:val="20"/>
          <w:color w:val="auto"/>
        </w:rPr>
      </w:pPr>
    </w:p>
    <w:p>
      <w:pPr>
        <w:ind w:right="240" w:firstLine="309"/>
        <w:spacing w:after="0" w:line="261" w:lineRule="auto"/>
        <w:rPr>
          <w:sz w:val="20"/>
          <w:szCs w:val="20"/>
          <w:color w:val="auto"/>
        </w:rPr>
      </w:pPr>
      <w:r>
        <w:rPr>
          <w:rFonts w:ascii="Times New Roman" w:cs="Times New Roman" w:eastAsia="Times New Roman" w:hAnsi="Times New Roman"/>
          <w:sz w:val="17"/>
          <w:szCs w:val="17"/>
          <w:color w:val="auto"/>
        </w:rPr>
        <w:t>Decisions by courts and governmental patent agencies may introduce uncertainty in the enforceability or scope of patents and other intellectual properties owned by us. A court may decide that a patent or other intellectual property right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An adverse result in any litigation proceeding could put one or more of our patents at risk of being invalidated or interpreted narrowly.</w:t>
      </w:r>
    </w:p>
    <w:p>
      <w:pPr>
        <w:spacing w:after="0" w:line="123" w:lineRule="exact"/>
        <w:rPr>
          <w:sz w:val="20"/>
          <w:szCs w:val="20"/>
          <w:color w:val="auto"/>
        </w:rPr>
      </w:pPr>
    </w:p>
    <w:p>
      <w:pPr>
        <w:ind w:right="20" w:firstLine="309"/>
        <w:spacing w:after="0" w:line="255" w:lineRule="auto"/>
        <w:rPr>
          <w:sz w:val="20"/>
          <w:szCs w:val="20"/>
          <w:color w:val="auto"/>
        </w:rPr>
      </w:pPr>
      <w:r>
        <w:rPr>
          <w:rFonts w:ascii="Times New Roman" w:cs="Times New Roman" w:eastAsia="Times New Roman" w:hAnsi="Times New Roman"/>
          <w:sz w:val="17"/>
          <w:szCs w:val="17"/>
          <w:color w:val="auto"/>
        </w:rPr>
        <w:t>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 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27" w:lineRule="exact"/>
        <w:rPr>
          <w:sz w:val="20"/>
          <w:szCs w:val="20"/>
          <w:color w:val="auto"/>
        </w:rPr>
      </w:pPr>
    </w:p>
    <w:p>
      <w:pPr>
        <w:ind w:right="6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unsuccessful in licensing or acquiring intellectual property rights from third parties that may be necessary to develop, manufacture and/or commercialize our current and/or future products or services.</w:t>
      </w:r>
    </w:p>
    <w:p>
      <w:pPr>
        <w:spacing w:after="0" w:line="94"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A third party may hold intellectual property rights, including patent rights, that are important or necessary to the development, manufacture and/or commercialization of our current and/or future products or services, in which case we would be need to acquire or obtain a license to such intellectual property rights from such third party. A third party that perceive us to be a competitor may be unwilling to assign or license its intellectual property rights to us. In addition, the licensing or acquisition of third party intellectual property rights is a competitive area, and other companies may also pursue similar strategies to license or acquire such third party’s intellectual property rights. Some of these companies may be established and may have a competitive advantage over us due to their size, capital resources and greater development, manufacture and commercialization capabilities. We also may be unable to license or acquire third party intellectual property rights on commercially reasonable terms that would allow us to make an appropriate return on our investment, or at all, or we may be unable to obtain any such license or acquisition at all. If we are unable to successfully obtain rights to necessary third party intellectual property rights, we may not be able to develop, manufacture or commercialize our current and/or future products or services, which could have a material adverse effect on our business, financial condition and results of operations.</w:t>
      </w:r>
    </w:p>
    <w:p>
      <w:pPr>
        <w:spacing w:after="0" w:line="11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AquaBeam Robotic System and our other current and future products.</w:t>
      </w:r>
    </w:p>
    <w:p>
      <w:pPr>
        <w:spacing w:after="0" w:line="112"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We may be subject to claims that current or former employees, collaborators or other third parties have an interest in our current or future patents, patent applications, trade secrets or other intellectual property rights as an inventor or co-inventor. For example, we may have inventorship disputes arise from conflicting obligations of employees, consultants or others who are involved in developing our AquaBeam Robotic System or our other current or future products, services or</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technology.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27"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If we fail in defending any such claims, in addition to paying monetary damages, we may lose valuable intellectual property rights, such as exclusive ownership of, or right to use, intellectual property that is important to our AquaBeam Robotic System and our other current and future products, services or technology.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our AquaBeam Robotic System, or our other current or future products, services and technologies, and we could be prohibited from using our other technologies, features or intellectual property rights that are essential to our products or services,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selling our products or services.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right="120" w:firstLine="309"/>
        <w:spacing w:after="0" w:line="260" w:lineRule="auto"/>
        <w:rPr>
          <w:sz w:val="20"/>
          <w:szCs w:val="20"/>
          <w:color w:val="auto"/>
        </w:rPr>
      </w:pPr>
      <w:r>
        <w:rPr>
          <w:rFonts w:ascii="Times New Roman" w:cs="Times New Roman" w:eastAsia="Times New Roman" w:hAnsi="Times New Roman"/>
          <w:sz w:val="17"/>
          <w:szCs w:val="17"/>
          <w:color w:val="auto"/>
        </w:rPr>
        <w:t>In addition to seeking patent protection for our AquaBeam Robotic System and our other current and future products and services,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22"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We cannot guarantee that we have entered into such agreements with each party that has or may have had access to our trade secrets or proprietary information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information, or technology to enter into confidentiality agreements, we cannot provide any assurances that all such agreements have been duly executed. In addition, despite the protections we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33"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the movement of personnel within the industry and from academic to industry scientific positions.</w:t>
      </w:r>
    </w:p>
    <w:p>
      <w:pPr>
        <w:spacing w:after="0" w:line="128" w:lineRule="exact"/>
        <w:rPr>
          <w:sz w:val="20"/>
          <w:szCs w:val="20"/>
          <w:color w:val="auto"/>
        </w:rPr>
      </w:pPr>
    </w:p>
    <w:p>
      <w:pPr>
        <w:ind w:right="160" w:firstLine="309"/>
        <w:spacing w:after="0" w:line="260" w:lineRule="auto"/>
        <w:rPr>
          <w:sz w:val="20"/>
          <w:szCs w:val="20"/>
          <w:color w:val="auto"/>
        </w:rPr>
      </w:pPr>
      <w:r>
        <w:rPr>
          <w:rFonts w:ascii="Times New Roman" w:cs="Times New Roman" w:eastAsia="Times New Roman" w:hAnsi="Times New Roman"/>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could have a material adverse effect on our competitive position, business, financial condition, results of operations and prospects.</w:t>
      </w:r>
    </w:p>
    <w:p>
      <w:pPr>
        <w:spacing w:after="0" w:line="11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12" w:lineRule="exact"/>
        <w:rPr>
          <w:sz w:val="20"/>
          <w:szCs w:val="20"/>
          <w:color w:val="auto"/>
        </w:rPr>
      </w:pPr>
    </w:p>
    <w:p>
      <w:pPr>
        <w:ind w:right="200" w:firstLine="309"/>
        <w:spacing w:after="0" w:line="260" w:lineRule="auto"/>
        <w:rPr>
          <w:sz w:val="20"/>
          <w:szCs w:val="20"/>
          <w:color w:val="auto"/>
        </w:rPr>
      </w:pPr>
      <w:r>
        <w:rPr>
          <w:rFonts w:ascii="Times New Roman" w:cs="Times New Roman" w:eastAsia="Times New Roman" w:hAnsi="Times New Roman"/>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22"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AquaBeam Robotic System or our other current and future products or services, if such</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technologies or features are found to incorporate or be derived from the trade secrets or other proprietary information of the former employers.</w:t>
      </w:r>
    </w:p>
    <w:p>
      <w:pPr>
        <w:spacing w:after="0" w:line="165"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An inability to incorporate technologies or features that are important or essential to our product could have a material adverse effect on our business, financial condition and results of operations, and may prevent us from selling our AquaBeam Robotic System or our other current and future products or services.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116"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Changes in patent law could diminish the value of patents in general, thereby impairing our ability to protect our existing and future products or services, and could increase the uncertainties and costs surrounding the prosecution of our patent applications and the enforcement or defense of our current or future patents.</w:t>
      </w:r>
    </w:p>
    <w:p>
      <w:pPr>
        <w:spacing w:after="0" w:line="112" w:lineRule="exact"/>
        <w:rPr>
          <w:sz w:val="20"/>
          <w:szCs w:val="20"/>
          <w:color w:val="auto"/>
        </w:rPr>
      </w:pPr>
    </w:p>
    <w:p>
      <w:pPr>
        <w:ind w:right="220" w:firstLine="309"/>
        <w:spacing w:after="0" w:line="264" w:lineRule="auto"/>
        <w:rPr>
          <w:sz w:val="20"/>
          <w:szCs w:val="20"/>
          <w:color w:val="auto"/>
        </w:rPr>
      </w:pPr>
      <w:r>
        <w:rPr>
          <w:rFonts w:ascii="Times New Roman" w:cs="Times New Roman" w:eastAsia="Times New Roman" w:hAnsi="Times New Roman"/>
          <w:sz w:val="17"/>
          <w:szCs w:val="17"/>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and services.</w:t>
      </w:r>
    </w:p>
    <w:p>
      <w:pPr>
        <w:spacing w:after="0" w:line="120" w:lineRule="exact"/>
        <w:rPr>
          <w:sz w:val="20"/>
          <w:szCs w:val="20"/>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w:t>
      </w:r>
    </w:p>
    <w:p>
      <w:pPr>
        <w:spacing w:after="0" w:line="114"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22"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120"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our trademarks and tradenames are not adequately protected, then we may not be able to build name recognition in our markets and our business may be adversely affected.</w:t>
      </w:r>
    </w:p>
    <w:p>
      <w:pPr>
        <w:spacing w:after="0" w:line="94" w:lineRule="exact"/>
        <w:rPr>
          <w:sz w:val="20"/>
          <w:szCs w:val="20"/>
          <w:color w:val="auto"/>
        </w:rPr>
      </w:pPr>
    </w:p>
    <w:p>
      <w:pPr>
        <w:ind w:right="40" w:firstLine="309"/>
        <w:spacing w:after="0" w:line="287" w:lineRule="auto"/>
        <w:rPr>
          <w:sz w:val="20"/>
          <w:szCs w:val="20"/>
          <w:color w:val="auto"/>
        </w:rPr>
      </w:pPr>
      <w:r>
        <w:rPr>
          <w:rFonts w:ascii="Times New Roman" w:cs="Times New Roman" w:eastAsia="Times New Roman" w:hAnsi="Times New Roman"/>
          <w:sz w:val="17"/>
          <w:szCs w:val="17"/>
          <w:color w:val="auto"/>
        </w:rPr>
        <w:t>We rely on our trademarks, trade names and brand names to distinguish our products and services from the products and services of our competitors, and have registered or applied to register many of these trademarks in the United States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and certain countries outside the United States.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w:t>
      </w:r>
    </w:p>
    <w:p>
      <w:pPr>
        <w:spacing w:after="0" w:line="128" w:lineRule="exact"/>
        <w:rPr>
          <w:sz w:val="20"/>
          <w:szCs w:val="20"/>
          <w:color w:val="auto"/>
        </w:rPr>
      </w:pPr>
    </w:p>
    <w:p>
      <w:pPr>
        <w:ind w:right="20" w:firstLine="309"/>
        <w:spacing w:after="0" w:line="256" w:lineRule="auto"/>
        <w:rPr>
          <w:sz w:val="20"/>
          <w:szCs w:val="20"/>
          <w:color w:val="auto"/>
        </w:rPr>
      </w:pPr>
      <w:r>
        <w:rPr>
          <w:rFonts w:ascii="Times New Roman" w:cs="Times New Roman" w:eastAsia="Times New Roman" w:hAnsi="Times New Roman"/>
          <w:sz w:val="17"/>
          <w:szCs w:val="17"/>
          <w:color w:val="auto"/>
        </w:rPr>
        <w:t>Our trademarks or trade names may be challenged, invalidated, infringed, circumvented and circumvented by third parties, and our trademarks could also be diluted, declared generic or determined to be violating or infringing on other marks. We may not be able to protect our rights to these trademarks and trade names, which we need to build name recognition among potential partners and customers in our markets of interest. If any of the foregoing occurs, we could be forced to re-brand our products or services,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or other third parties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may be adversely affected. Any of the foregoing could have a material adverse effect on our competitive position, business, financial condition, operating results and prospects.</w:t>
      </w:r>
    </w:p>
    <w:p>
      <w:pPr>
        <w:spacing w:after="0" w:line="124"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94" w:lineRule="exact"/>
        <w:rPr>
          <w:sz w:val="20"/>
          <w:szCs w:val="20"/>
          <w:color w:val="auto"/>
        </w:rPr>
      </w:pPr>
    </w:p>
    <w:p>
      <w:pPr>
        <w:ind w:right="180" w:firstLine="309"/>
        <w:spacing w:after="0" w:line="261" w:lineRule="auto"/>
        <w:rPr>
          <w:sz w:val="20"/>
          <w:szCs w:val="20"/>
          <w:color w:val="auto"/>
        </w:rPr>
      </w:pPr>
      <w:r>
        <w:rPr>
          <w:rFonts w:ascii="Times New Roman" w:cs="Times New Roman" w:eastAsia="Times New Roman" w:hAnsi="Times New Roman"/>
          <w:sz w:val="17"/>
          <w:szCs w:val="17"/>
          <w:color w:val="auto"/>
        </w:rPr>
        <w:t>Our commercial success depends, in part, on our ability to develop, manufacture, market and sell our products and services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w:t>
      </w:r>
    </w:p>
    <w:p>
      <w:pPr>
        <w:spacing w:after="0" w:line="123"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Third parties may initiate legal proceedings alleging that we are infringing, misappropriating or otherwise violating their intellectual property rights, or challenging the validity, enforceability or scope of our patents, the outcome of which would be uncertain and could have a negative impact on the success of our business. It is possible that U.S. and foreign patents and pending patent applications controlled by third parties may be alleged to cover our products and services,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or services, including interference proceedings, post grant review and inter partes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 party patents are valid and enforceable, and infringed by the use of our products and/or services, which could have a negative impact on the commercial success of our current and any future products or services.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in the United States, the patent owner need only prove infringement by a</w:t>
      </w:r>
    </w:p>
    <w:p>
      <w:pPr>
        <w:spacing w:after="0" w:line="200" w:lineRule="exact"/>
        <w:rPr>
          <w:sz w:val="20"/>
          <w:szCs w:val="20"/>
          <w:color w:val="auto"/>
        </w:rPr>
      </w:pPr>
    </w:p>
    <w:p>
      <w:pPr>
        <w:spacing w:after="0" w:line="3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preponderance of the evidence, which is a lower burden of proof. We will have similar burdens to overcome in foreign courts in order to successfully challenge a third party claim of patent infringement.</w:t>
      </w:r>
    </w:p>
    <w:p>
      <w:pPr>
        <w:spacing w:after="0" w:line="100" w:lineRule="exact"/>
        <w:rPr>
          <w:sz w:val="20"/>
          <w:szCs w:val="20"/>
          <w:color w:val="auto"/>
        </w:rPr>
      </w:pPr>
    </w:p>
    <w:p>
      <w:pPr>
        <w:ind w:right="60" w:firstLine="309"/>
        <w:spacing w:after="0" w:line="256" w:lineRule="auto"/>
        <w:rPr>
          <w:sz w:val="20"/>
          <w:szCs w:val="20"/>
          <w:color w:val="auto"/>
        </w:rPr>
      </w:pPr>
      <w:r>
        <w:rPr>
          <w:rFonts w:ascii="Times New Roman" w:cs="Times New Roman" w:eastAsia="Times New Roman" w:hAnsi="Times New Roman"/>
          <w:sz w:val="17"/>
          <w:szCs w:val="17"/>
          <w:color w:val="auto"/>
        </w:rPr>
        <w:t>Our defense of any litigation or interference proceedings may fail and, even if successful, defending such claims brought against us would cause us to incur substantial expenses. If such claims are successfully asserted against us, they may result in substantial costs and distract our management and other employees and could cause us to pay substantial damages. Further, if a patent infringement or other intellectual property rights-related lawsuit were brought against us, we could be forced, including by court order, to cease developing, manufacturing and/or commercializing the infringing product or service. In addition, we could be found liable for monetary damages, including treble damages and attorneys’ fees, if we are found to have willfully infringed a patent or other intellectual property right. Although patent, trademark, trade secret, and other intellectual property disputes in the medical device area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spacing w:after="0" w:line="130"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A finding of infringement, or an unfavorable interference or derivation proceedings outcome could prevent us from developing, manufacturing and/or commercializing our products or services,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or service introductions while we attempt to develop alternative products or services.</w:t>
      </w:r>
    </w:p>
    <w:p>
      <w:pPr>
        <w:spacing w:after="0" w:line="128" w:lineRule="exact"/>
        <w:rPr>
          <w:sz w:val="20"/>
          <w:szCs w:val="20"/>
          <w:color w:val="auto"/>
        </w:rPr>
      </w:pPr>
    </w:p>
    <w:p>
      <w:pPr>
        <w:ind w:right="160" w:firstLine="309"/>
        <w:spacing w:after="0" w:line="264" w:lineRule="auto"/>
        <w:rPr>
          <w:sz w:val="20"/>
          <w:szCs w:val="20"/>
          <w:color w:val="auto"/>
        </w:rPr>
      </w:pPr>
      <w:r>
        <w:rPr>
          <w:rFonts w:ascii="Times New Roman" w:cs="Times New Roman" w:eastAsia="Times New Roman" w:hAnsi="Times New Roman"/>
          <w:sz w:val="17"/>
          <w:szCs w:val="17"/>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services.</w:t>
      </w:r>
    </w:p>
    <w:p>
      <w:pPr>
        <w:spacing w:after="0" w:line="120" w:lineRule="exact"/>
        <w:rPr>
          <w:sz w:val="20"/>
          <w:szCs w:val="20"/>
          <w:color w:val="auto"/>
        </w:rPr>
      </w:pPr>
    </w:p>
    <w:p>
      <w:pPr>
        <w:ind w:right="40" w:firstLine="309"/>
        <w:spacing w:after="0" w:line="256" w:lineRule="auto"/>
        <w:rPr>
          <w:sz w:val="20"/>
          <w:szCs w:val="20"/>
          <w:color w:val="auto"/>
        </w:rPr>
      </w:pPr>
      <w:r>
        <w:rPr>
          <w:rFonts w:ascii="Times New Roman" w:cs="Times New Roman" w:eastAsia="Times New Roman" w:hAnsi="Times New Roman"/>
          <w:sz w:val="17"/>
          <w:szCs w:val="17"/>
          <w:color w:val="auto"/>
        </w:rPr>
        <w:t>Additionally, our products include components that we purchase from suppliers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services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and business operations infringe, misappropriate or otherwise violate the intellectual property rights of others. The defense of these matters can be time-consuming, costly to defend in litigation, divert management’s attention and resources, damage our reputation and brand and cause us to incur significant expenses or make substantial payments. In addition, suppliers from whom we purchase hardware or software may not indemnify us in the event that such hardware or software is accused of infringing a third party’s patent or trademark or of misappropriating a third party’s trade secret.</w:t>
      </w:r>
    </w:p>
    <w:p>
      <w:pPr>
        <w:spacing w:after="0" w:line="130" w:lineRule="exact"/>
        <w:rPr>
          <w:sz w:val="20"/>
          <w:szCs w:val="20"/>
          <w:color w:val="auto"/>
        </w:rPr>
      </w:pPr>
    </w:p>
    <w:p>
      <w:pPr>
        <w:ind w:firstLine="309"/>
        <w:spacing w:after="0" w:line="259" w:lineRule="auto"/>
        <w:rPr>
          <w:sz w:val="20"/>
          <w:szCs w:val="20"/>
          <w:color w:val="auto"/>
        </w:rPr>
      </w:pPr>
      <w:r>
        <w:rPr>
          <w:rFonts w:ascii="Times New Roman" w:cs="Times New Roman" w:eastAsia="Times New Roman" w:hAnsi="Times New Roman"/>
          <w:sz w:val="17"/>
          <w:szCs w:val="17"/>
          <w:color w:val="auto"/>
        </w:rPr>
        <w:t>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products or services. Two of our applications filed in Europe are currently subject to opposition challenges.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patent protection on our products or services. Such a loss of patent protection would have a material adverse impact on our business, financial condition, results of operations, and prospects.</w:t>
      </w:r>
    </w:p>
    <w:p>
      <w:pPr>
        <w:spacing w:after="0" w:line="100"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18"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subject our proprietary software to general release, adversely affect our ability to sell our AquaBeam Robotic System or our other current or future products and services and subject us to possible litigation.</w:t>
      </w:r>
    </w:p>
    <w:p>
      <w:pPr>
        <w:spacing w:after="0" w:line="94" w:lineRule="exact"/>
        <w:rPr>
          <w:sz w:val="20"/>
          <w:szCs w:val="20"/>
          <w:color w:val="auto"/>
        </w:rPr>
      </w:pPr>
    </w:p>
    <w:p>
      <w:pPr>
        <w:ind w:firstLine="309"/>
        <w:spacing w:after="0" w:line="255" w:lineRule="auto"/>
        <w:rPr>
          <w:sz w:val="20"/>
          <w:szCs w:val="20"/>
          <w:color w:val="auto"/>
        </w:rPr>
      </w:pPr>
      <w:r>
        <w:rPr>
          <w:rFonts w:ascii="Times New Roman" w:cs="Times New Roman" w:eastAsia="Times New Roman" w:hAnsi="Times New Roman"/>
          <w:sz w:val="17"/>
          <w:szCs w:val="17"/>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software that uses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AquaBeam Robotic System and our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AquaBeam Robotic System and our other current and future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w:t>
      </w:r>
    </w:p>
    <w:p>
      <w:pPr>
        <w:spacing w:after="0" w:line="171" w:lineRule="exact"/>
        <w:rPr>
          <w:sz w:val="20"/>
          <w:szCs w:val="20"/>
          <w:color w:val="auto"/>
        </w:rPr>
      </w:pPr>
    </w:p>
    <w:p>
      <w:pPr>
        <w:ind w:right="480" w:firstLine="309"/>
        <w:spacing w:after="0" w:line="287"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0" w:lineRule="exact"/>
        <w:rPr>
          <w:sz w:val="20"/>
          <w:szCs w:val="20"/>
          <w:color w:val="auto"/>
        </w:rPr>
      </w:pPr>
    </w:p>
    <w:p>
      <w:pPr>
        <w:ind w:left="620" w:right="260" w:hanging="307"/>
        <w:spacing w:after="0" w:line="270"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products that are similar to our AquaBeam Robotic System and our other current or future products or utilize similar technology but that are not covered by the claims of our patents or that incorporate certain technology in our AquaBeam Robotic System and our other current and future products that is in the public domain;</w:t>
      </w:r>
    </w:p>
    <w:p>
      <w:pPr>
        <w:spacing w:after="0" w:line="113"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future licensors or collaborators, might not have been the first to file patent applications covering certain of our or their inventions;</w:t>
      </w:r>
    </w:p>
    <w:p>
      <w:pPr>
        <w:spacing w:after="0" w:line="165"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1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current or future pending patent applications will not lead to issued patents;</w:t>
      </w:r>
    </w:p>
    <w:p>
      <w:pPr>
        <w:spacing w:after="0" w:line="165" w:lineRule="exact"/>
        <w:rPr>
          <w:rFonts w:ascii="Times New Roman" w:cs="Times New Roman" w:eastAsia="Times New Roman" w:hAnsi="Times New Roman"/>
          <w:sz w:val="17"/>
          <w:szCs w:val="17"/>
          <w:color w:val="auto"/>
        </w:rPr>
      </w:pPr>
    </w:p>
    <w:p>
      <w:pPr>
        <w:ind w:left="620" w:right="440" w:hanging="307"/>
        <w:spacing w:after="0" w:line="287"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hold rights to may be held invalid or unenforceable, including as a result of legal challenges by our competitors or other third parties;</w:t>
      </w:r>
    </w:p>
    <w:p>
      <w:pPr>
        <w:spacing w:after="0" w:line="99" w:lineRule="exact"/>
        <w:rPr>
          <w:rFonts w:ascii="Times New Roman" w:cs="Times New Roman" w:eastAsia="Times New Roman" w:hAnsi="Times New Roman"/>
          <w:sz w:val="17"/>
          <w:szCs w:val="17"/>
          <w:color w:val="auto"/>
        </w:rPr>
      </w:pPr>
    </w:p>
    <w:p>
      <w:pPr>
        <w:ind w:left="620" w:right="80" w:hanging="307"/>
        <w:spacing w:after="0" w:line="287"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harm our business; and</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choose not to file a patent in order to maintain certain trade secrets or know-how, and a third party may subsequently file a patent covering such intellectual property.</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Patents covering our products could be found invalid or unenforceable if challenged in court or before administrative bodies globally.</w:t>
      </w:r>
    </w:p>
    <w:p>
      <w:pPr>
        <w:spacing w:after="0" w:line="171" w:lineRule="exact"/>
        <w:rPr>
          <w:sz w:val="20"/>
          <w:szCs w:val="20"/>
          <w:color w:val="auto"/>
        </w:rPr>
      </w:pPr>
    </w:p>
    <w:p>
      <w:pPr>
        <w:ind w:right="60" w:firstLine="309"/>
        <w:spacing w:after="0" w:line="257"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patents may be challenged in the courts or patent offices globally. We may become involved in opposition, derivation, revocation, reexamination, post-grant review, inter partes review (“IPR”) or other similar proceedings challenging our patent rights. An adverse determination in any such submission, proceeding or litigation could reduce the scope of, or invalidate or render unenforceable,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our priority of invention or other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technology or products. Such proceedings also may result in substantial cost and require significant time from our scientists and management, even if the eventual outcome is favorable to us.</w:t>
      </w:r>
    </w:p>
    <w:p>
      <w:pPr>
        <w:spacing w:after="0" w:line="12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In addition, if we initiate legal proceedings against a third party to enforce a patent covering our products, the defendant could counterclaim that such patent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claims challenging the validity or enforceability of our patents before administrative bodies globally, even outside the context of litigation, including through re-examination, post-grant review, IPR, interference proceedings, derivation proceedings and equivalent proceedings in foreign jurisdictions (e.g., opposition proceedings). Such proceedings could result in the revocation of, cancellation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and proprietary rights throughout the world.</w:t>
      </w:r>
    </w:p>
    <w:p>
      <w:pPr>
        <w:spacing w:after="0" w:line="171" w:lineRule="exact"/>
        <w:rPr>
          <w:sz w:val="20"/>
          <w:szCs w:val="20"/>
          <w:color w:val="auto"/>
        </w:rPr>
      </w:pPr>
    </w:p>
    <w:p>
      <w:pPr>
        <w:ind w:right="380" w:firstLine="309"/>
        <w:spacing w:after="0" w:line="270" w:lineRule="auto"/>
        <w:rPr>
          <w:sz w:val="20"/>
          <w:szCs w:val="20"/>
          <w:color w:val="auto"/>
        </w:rPr>
      </w:pPr>
      <w:r>
        <w:rPr>
          <w:rFonts w:ascii="Times New Roman" w:cs="Times New Roman" w:eastAsia="Times New Roman" w:hAnsi="Times New Roman"/>
          <w:sz w:val="17"/>
          <w:szCs w:val="17"/>
          <w:color w:val="auto"/>
        </w:rPr>
        <w:t>Third parties may attempt to develop, manufacture and/or commercialize competitive products or services in foreign countries utilizing our proprietary technology, design, trademarks or tradenames in foreign countries where we do not have any patents or patent applications, trademarks, and/or other forms of intellectual property rights and/or where legal recourse may be limited. This may have a significant commercial impact on our foreign business operations.</w:t>
      </w:r>
    </w:p>
    <w:p>
      <w:pPr>
        <w:spacing w:after="0" w:line="114"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Filing, prosecuting and defending patents or trademarks on our AquaBeam Robotic System and all of our other current and future products and services in all countries throughout the world would be prohibitively expensive, and the laws of foreign countries particularly those of developing countries, may not protect our rights to the same extent as the laws of the United States. For example, as of May 1, 2021, the Patent Cooperation Treaty had 153 contracting states, and it is only economically feasible to file for protection in a portion of these countries. Consequently, we may not be able to prevent third parties from practicing our inventions or trademarks in all jurisdictions outside the United States to the same extent as</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United States, or from developing, manufacturing, selling or importing products or services using or incorporating our inventions or trademarks in and into the United States or other jurisdictions. Competitors may use our technologies in jurisdictions where we have not obtained patent or trademark protection to develop, manufacture and/or market their own products or services and, further, may export otherwise infringing products or services to territories where we have patent or trademark protection, but enforcement on infringing activities is inadequate or not as strong as that in the United States. These products or services may compete with our AquaBeam Robotic System or other current or future products or services, and our patents, trademarks or other intellectual property rights may not be effective or sufficient to prevent them from competing.</w:t>
      </w:r>
    </w:p>
    <w:p>
      <w:pPr>
        <w:spacing w:after="0" w:line="122"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or technology. For example, certain jurisdictions do not allow for patent protection with respect to method of treatment.</w:t>
      </w:r>
    </w:p>
    <w:p>
      <w:pPr>
        <w:spacing w:after="0" w:line="123"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While we seek to protect our intellectual property rights in our expected significant markets, we cannot ensure that we will be able to initiate or maintain similar efforts in all jurisdictions in which we may wish to manufacture or market our products or services. Accordingly, our efforts to protect our intellectual property rights in such countries may be inadequate, which may have an adverse effect on our ability to successfully manufacture or commercialize our products or services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26" w:lineRule="exact"/>
        <w:rPr>
          <w:sz w:val="20"/>
          <w:szCs w:val="20"/>
          <w:color w:val="auto"/>
        </w:rPr>
      </w:pPr>
    </w:p>
    <w:p>
      <w:pPr>
        <w:ind w:right="120" w:firstLine="309"/>
        <w:spacing w:after="0" w:line="264" w:lineRule="auto"/>
        <w:rPr>
          <w:sz w:val="20"/>
          <w:szCs w:val="20"/>
          <w:color w:val="auto"/>
        </w:rPr>
      </w:pPr>
      <w:r>
        <w:rPr>
          <w:rFonts w:ascii="Times New Roman" w:cs="Times New Roman" w:eastAsia="Times New Roman" w:hAnsi="Times New Roman"/>
          <w:sz w:val="17"/>
          <w:szCs w:val="17"/>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20" w:lineRule="exact"/>
        <w:rPr>
          <w:sz w:val="20"/>
          <w:szCs w:val="20"/>
          <w:color w:val="auto"/>
        </w:rPr>
      </w:pPr>
    </w:p>
    <w:p>
      <w:pPr>
        <w:jc w:val="both"/>
        <w:ind w:right="140" w:firstLine="309"/>
        <w:spacing w:after="0" w:line="264" w:lineRule="auto"/>
        <w:rPr>
          <w:sz w:val="20"/>
          <w:szCs w:val="20"/>
          <w:color w:val="auto"/>
        </w:rPr>
      </w:pPr>
      <w:r>
        <w:rPr>
          <w:rFonts w:ascii="Times New Roman" w:cs="Times New Roman" w:eastAsia="Times New Roman" w:hAnsi="Times New Roman"/>
          <w:sz w:val="17"/>
          <w:szCs w:val="17"/>
          <w:color w:val="auto"/>
        </w:rPr>
        <w:t>Proceedings to enforce our patent and trademark rights in foreign jurisdictions could result in substantial costs and divert our attention from other aspects of our business, could put our patents and trademarks or applications in those jurisdictions, as well as elsewhere, at risk of being invalidated or interpreted narrowly, and could provoke third parties to assert claims against us. We may not prevail in any proceedings that we initiate and the damages or other remedies awarded, if any, may not be commercially meaningful.</w:t>
      </w:r>
    </w:p>
    <w:p>
      <w:pPr>
        <w:spacing w:after="0" w:line="11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heavily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12"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We are dependent on patents, know-how and other proprietary technology licensed from AquaBeam LLC. This and other licenses we currently possess or may possess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Moreover, if we fail to comply with our obligations under such licenses, or if disputes over intellectual property that we have licensed prevent or impair our ability to maintain our current licensing arrangements on acceptable terms, we may be unable to successfully develop and commercialize the affected technology or products.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Certain provisions in our intellectual property agreements with third parties may also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results of operations, financial condition, cash flows and prospects. In spite of our efforts, our current and future licensors might also conclude that we have breached our obligations under our license agreements and might therefore seek to terminate such license agreements, thereby removing or limiting our ability to develop and commercialize products and technology covered by these license agreements. As a result, any termination of these licenses could result in the loss of significant rights and could harm our ability to commercialize our products, including, for example, the AquaBeam Robotic System, and our financial results.</w:t>
      </w:r>
    </w:p>
    <w:p>
      <w:pPr>
        <w:spacing w:after="0" w:line="128"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In addition, we may need to obtain additional licenses from our existing licensors and others to allow commercialization of products we may develop. Moreover,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technology or products. Even if we are able to obtain such additional licenses, they may be non-exclusive thereby giving our competitors and other third parties access to the same technology licensed to us. Any of the foregoing could have an adverse impact on our business and financial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63" w:lineRule="exact"/>
        <w:rPr>
          <w:sz w:val="20"/>
          <w:szCs w:val="20"/>
          <w:color w:val="auto"/>
        </w:rPr>
      </w:pPr>
    </w:p>
    <w:p>
      <w:pPr>
        <w:ind w:right="4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or may decline steeply or suddenly regardless of our operating performance, which could result in substantial losses for holders of our common stock, and we may not be able to meet investor or analyst expectations.</w:t>
      </w:r>
    </w:p>
    <w:p>
      <w:pPr>
        <w:spacing w:after="0" w:line="94" w:lineRule="exact"/>
        <w:rPr>
          <w:sz w:val="20"/>
          <w:szCs w:val="20"/>
          <w:color w:val="auto"/>
        </w:rPr>
      </w:pPr>
    </w:p>
    <w:p>
      <w:pPr>
        <w:ind w:right="500" w:firstLine="309"/>
        <w:spacing w:after="0" w:line="287" w:lineRule="auto"/>
        <w:rPr>
          <w:sz w:val="20"/>
          <w:szCs w:val="20"/>
          <w:color w:val="auto"/>
        </w:rPr>
      </w:pPr>
      <w:r>
        <w:rPr>
          <w:rFonts w:ascii="Times New Roman" w:cs="Times New Roman" w:eastAsia="Times New Roman" w:hAnsi="Times New Roman"/>
          <w:sz w:val="17"/>
          <w:szCs w:val="17"/>
          <w:color w:val="auto"/>
        </w:rPr>
        <w:t>The market price of our common stock may be highly volatile and fluctuate or decline significantly in response to numerous factors, many of which are beyond our control, including:</w:t>
      </w:r>
    </w:p>
    <w:p>
      <w:pPr>
        <w:spacing w:after="0" w:line="100" w:lineRule="exact"/>
        <w:rPr>
          <w:sz w:val="20"/>
          <w:szCs w:val="20"/>
          <w:color w:val="auto"/>
        </w:rPr>
      </w:pPr>
    </w:p>
    <w:p>
      <w:pPr>
        <w:ind w:left="620" w:right="280" w:hanging="307"/>
        <w:spacing w:after="0" w:line="287"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between our actual operating results, or those of companies that are perceived to be similar to us, and the expectations of securities analysts, investors and the financial community;</w:t>
      </w:r>
    </w:p>
    <w:p>
      <w:pPr>
        <w:spacing w:after="0" w:line="99" w:lineRule="exact"/>
        <w:rPr>
          <w:rFonts w:ascii="Times New Roman" w:cs="Times New Roman" w:eastAsia="Times New Roman" w:hAnsi="Times New Roman"/>
          <w:sz w:val="17"/>
          <w:szCs w:val="17"/>
          <w:color w:val="auto"/>
        </w:rPr>
      </w:pPr>
    </w:p>
    <w:p>
      <w:pPr>
        <w:ind w:left="620" w:right="100" w:hanging="307"/>
        <w:spacing w:after="0" w:line="287"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forward-looking financial or operating information we may provide to the public or securities analysts, any changes in this information or our failure to meet expectations based on this information;</w:t>
      </w:r>
    </w:p>
    <w:p>
      <w:pPr>
        <w:spacing w:after="0" w:line="99" w:lineRule="exact"/>
        <w:rPr>
          <w:rFonts w:ascii="Times New Roman" w:cs="Times New Roman" w:eastAsia="Times New Roman" w:hAnsi="Times New Roman"/>
          <w:sz w:val="17"/>
          <w:szCs w:val="17"/>
          <w:color w:val="auto"/>
        </w:rPr>
      </w:pPr>
    </w:p>
    <w:p>
      <w:pPr>
        <w:ind w:left="620" w:right="180" w:hanging="307"/>
        <w:spacing w:after="0" w:line="287"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of our common stock being sold into the market by us or our existing stockholders, or the anticipation of such sales;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hedging activities by market participants;</w:t>
      </w:r>
    </w:p>
    <w:p>
      <w:pPr>
        <w:spacing w:after="0" w:line="165" w:lineRule="exact"/>
        <w:rPr>
          <w:rFonts w:ascii="Times New Roman" w:cs="Times New Roman" w:eastAsia="Times New Roman" w:hAnsi="Times New Roman"/>
          <w:sz w:val="17"/>
          <w:szCs w:val="17"/>
          <w:color w:val="auto"/>
        </w:rPr>
      </w:pPr>
    </w:p>
    <w:p>
      <w:pPr>
        <w:ind w:left="620" w:right="240" w:hanging="307"/>
        <w:spacing w:after="0" w:line="287"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products or features, technical innovations, acquisitions, strategic partnerships, joint ventures or capital commitments;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companies in our industry, including our competitors;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third-party payor reimbursement policies;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obtain additional funding;</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industry and market conditions, including price and volume fluctuations in the overall stock market;</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threatened or filed against us;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new legislation and pending lawsuits or regulatory actions, including interim or final rulings by judicial or regulatory bodies; and</w:t>
      </w:r>
    </w:p>
    <w:p>
      <w:pPr>
        <w:spacing w:after="0" w:line="165"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political conditions, election cycles, war or incidents of terrorism, or responses to these events, many of which are outside of our control.</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firstLine="309"/>
        <w:spacing w:after="0" w:line="261" w:lineRule="auto"/>
        <w:rPr>
          <w:sz w:val="20"/>
          <w:szCs w:val="20"/>
          <w:color w:val="auto"/>
        </w:rPr>
      </w:pPr>
      <w:r>
        <w:rPr>
          <w:rFonts w:ascii="Times New Roman" w:cs="Times New Roman" w:eastAsia="Times New Roman" w:hAnsi="Times New Roman"/>
          <w:sz w:val="17"/>
          <w:szCs w:val="17"/>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spacing w:after="0" w:line="123" w:lineRule="exact"/>
        <w:rPr>
          <w:sz w:val="20"/>
          <w:szCs w:val="20"/>
          <w:color w:val="auto"/>
        </w:rPr>
      </w:pPr>
    </w:p>
    <w:p>
      <w:pPr>
        <w:ind w:right="140" w:firstLine="309"/>
        <w:spacing w:after="0" w:line="260" w:lineRule="auto"/>
        <w:rPr>
          <w:sz w:val="20"/>
          <w:szCs w:val="20"/>
          <w:color w:val="auto"/>
        </w:rPr>
      </w:pPr>
      <w:r>
        <w:rPr>
          <w:rFonts w:ascii="Times New Roman" w:cs="Times New Roman" w:eastAsia="Times New Roman" w:hAnsi="Times New Roman"/>
          <w:sz w:val="17"/>
          <w:szCs w:val="17"/>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16"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94" w:lineRule="exact"/>
        <w:rPr>
          <w:sz w:val="20"/>
          <w:szCs w:val="20"/>
          <w:color w:val="auto"/>
        </w:rPr>
      </w:pPr>
    </w:p>
    <w:p>
      <w:pPr>
        <w:jc w:val="both"/>
        <w:ind w:right="80" w:firstLine="309"/>
        <w:spacing w:after="0" w:line="26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loan and security agreement with Canadian Imperial Bank of Commerce restrict our ability to pay dividends to limited circumstances. Accordingly, investors must rely on sales of their common stock after price appreciation, which may never occur, as the only way to realize any future gains on their investments.</w:t>
      </w:r>
    </w:p>
    <w:p>
      <w:pPr>
        <w:spacing w:after="0" w:line="11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94"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As of December 31, 2023, our executive officers, directors and 5% stockholders beneficially own a substantial amount of our common stock. Therefore these stockholders will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securities issuances could result in significant dilution to our stockholders and impair the market price of our common stock.</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spacing w:after="0" w:line="116"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94" w:lineRule="exact"/>
        <w:rPr>
          <w:sz w:val="20"/>
          <w:szCs w:val="20"/>
          <w:color w:val="auto"/>
        </w:rPr>
      </w:pPr>
    </w:p>
    <w:p>
      <w:pPr>
        <w:ind w:right="40" w:firstLine="309"/>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and bylaws currently in effect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14" w:lineRule="exact"/>
        <w:rPr>
          <w:sz w:val="20"/>
          <w:szCs w:val="20"/>
          <w:color w:val="auto"/>
        </w:rPr>
      </w:pPr>
    </w:p>
    <w:p>
      <w:pPr>
        <w:ind w:left="5700" w:right="2720" w:hanging="5387"/>
        <w:spacing w:after="0" w:line="983" w:lineRule="auto"/>
        <w:tabs>
          <w:tab w:leader="none" w:pos="62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classified board of directors so that not all members of our board of directors are elected at one time;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permitting our board of directors to establish the number of directors and fill any vacancies and newly-created directorships;</w:t>
      </w:r>
    </w:p>
    <w:p>
      <w:pPr>
        <w:spacing w:after="0" w:line="165" w:lineRule="exact"/>
        <w:rPr>
          <w:rFonts w:ascii="Times New Roman" w:cs="Times New Roman" w:eastAsia="Times New Roman" w:hAnsi="Times New Roman"/>
          <w:sz w:val="17"/>
          <w:szCs w:val="17"/>
          <w:color w:val="auto"/>
        </w:rPr>
      </w:pPr>
    </w:p>
    <w:p>
      <w:pPr>
        <w:ind w:left="620" w:right="280" w:hanging="307"/>
        <w:spacing w:after="0" w:line="287"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directors may only be removed for cause and only by the affirmative vote of the holders of at least a majority of the voting power of all then outstanding shares of our capital stock;</w:t>
      </w:r>
    </w:p>
    <w:p>
      <w:pPr>
        <w:spacing w:after="0" w:line="99" w:lineRule="exact"/>
        <w:rPr>
          <w:rFonts w:ascii="Times New Roman" w:cs="Times New Roman" w:eastAsia="Times New Roman" w:hAnsi="Times New Roman"/>
          <w:sz w:val="17"/>
          <w:szCs w:val="17"/>
          <w:color w:val="auto"/>
        </w:rPr>
      </w:pPr>
    </w:p>
    <w:p>
      <w:pPr>
        <w:ind w:left="620" w:right="300" w:hanging="307"/>
        <w:spacing w:after="0" w:line="287"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approval of holders of two-thirds of our outstanding common stock to amend some provisions in our amended and restated certificate of incorporation and bylaws;</w:t>
      </w:r>
    </w:p>
    <w:p>
      <w:pPr>
        <w:spacing w:after="0" w:line="9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of “blank check” preferred stock that our board of directors could use to implement a stockholder rights plan;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stockholders from calling special meetings of stockholders;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 which has the effect of requiring all stockholder actions to be taken at a meeting of our stockholders;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the board of directors is expressly authorized to make, alter or repeal our bylaws;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the forum for certain litigation involving us to Delaware or federal courts, as applicable; and</w:t>
      </w:r>
    </w:p>
    <w:p>
      <w:pPr>
        <w:spacing w:after="0" w:line="165"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requirements for nominations for election to our board of directors or for proposing matters that can be acted upon by stockholders at annual stockholder meetings.</w:t>
      </w:r>
    </w:p>
    <w:p>
      <w:pPr>
        <w:spacing w:after="0" w:line="100"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Any provision of our amended and restated certificate of incorporation currently in effect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The provisions of our amended and restated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100"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Our amended and restated certificate of incorporation currently in effect provide that, unless we consent in writing to the selection of an alternative forum, the sole and exclusive forum, to the fullest extent permitted by law, for (i) any derivative action or proceeding brought on our behalf, (ii) any action asserting a breach of a fiduciary duty owed by any director, officer or other employee to us or our stockholders, (iii) any action asserting a claim against us or any director, officer, or other employee arising pursuant to the Delaware General Corporation Law, (iv) any action to interpret, apply, enforce, or determine the validity of our second amended and restated certificate of incorporation or amended and restated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124" w:lineRule="exact"/>
        <w:rPr>
          <w:sz w:val="20"/>
          <w:szCs w:val="20"/>
          <w:color w:val="auto"/>
        </w:rPr>
      </w:pPr>
    </w:p>
    <w:p>
      <w:pPr>
        <w:ind w:right="20" w:firstLine="309"/>
        <w:spacing w:after="0" w:line="257" w:lineRule="auto"/>
        <w:rPr>
          <w:sz w:val="20"/>
          <w:szCs w:val="20"/>
          <w:color w:val="auto"/>
        </w:rPr>
      </w:pPr>
      <w:r>
        <w:rPr>
          <w:rFonts w:ascii="Times New Roman" w:cs="Times New Roman" w:eastAsia="Times New Roman" w:hAnsi="Times New Roman"/>
          <w:sz w:val="17"/>
          <w:szCs w:val="17"/>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 These provisions may also result in increased costs for investors seeking to bring a claim against us or any of our directors, officers or other employees.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spacing w:after="0" w:line="94"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As a result of becoming a public company, we will be required, in order to comply with the SEC’s rules and regulations, to furnish a report by management on, among other things, the effectiveness of our 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28" w:lineRule="exact"/>
        <w:rPr>
          <w:sz w:val="20"/>
          <w:szCs w:val="20"/>
          <w:color w:val="auto"/>
        </w:rPr>
      </w:pPr>
    </w:p>
    <w:p>
      <w:pPr>
        <w:ind w:right="60" w:firstLine="309"/>
        <w:spacing w:after="0" w:line="287" w:lineRule="auto"/>
        <w:rPr>
          <w:sz w:val="20"/>
          <w:szCs w:val="20"/>
          <w:color w:val="auto"/>
        </w:rPr>
      </w:pPr>
      <w:r>
        <w:rPr>
          <w:rFonts w:ascii="Times New Roman" w:cs="Times New Roman" w:eastAsia="Times New Roman" w:hAnsi="Times New Roman"/>
          <w:sz w:val="17"/>
          <w:szCs w:val="17"/>
          <w:color w:val="auto"/>
        </w:rPr>
        <w:t>If we are not able to maintain adequate internal control over financial reporting, or if we identify material weaknesses in future periods, we may not be able to produce timely or accurate financial statements, investors may lose confidence in our operating results, and the trading price of our common stock could decline.</w:t>
      </w:r>
    </w:p>
    <w:p>
      <w:pPr>
        <w:spacing w:after="0" w:line="100"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Until December 31, 2022, we were eligible for reduced reporting and disclosure requirements as an “emerging growth company.” We are no longer an “emerging growth company” and have had to expend, and will need to continue to expend, additional resources and management time in order to comply with the disclosure obligations and requirements that were not applicable to us as an emerging growth company.</w:t>
      </w:r>
    </w:p>
    <w:p>
      <w:pPr>
        <w:spacing w:after="0" w:line="108" w:lineRule="exact"/>
        <w:rPr>
          <w:sz w:val="20"/>
          <w:szCs w:val="20"/>
          <w:color w:val="auto"/>
        </w:rPr>
      </w:pPr>
    </w:p>
    <w:p>
      <w:pPr>
        <w:jc w:val="both"/>
        <w:ind w:right="6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w:t>
      </w:r>
    </w:p>
    <w:p>
      <w:pPr>
        <w:spacing w:after="0" w:line="112" w:lineRule="exact"/>
        <w:rPr>
          <w:sz w:val="20"/>
          <w:szCs w:val="20"/>
          <w:color w:val="auto"/>
        </w:rPr>
      </w:pPr>
    </w:p>
    <w:p>
      <w:pPr>
        <w:ind w:right="40" w:firstLine="309"/>
        <w:spacing w:after="0" w:line="257" w:lineRule="auto"/>
        <w:rPr>
          <w:sz w:val="20"/>
          <w:szCs w:val="20"/>
          <w:color w:val="auto"/>
        </w:rPr>
      </w:pPr>
      <w:r>
        <w:rPr>
          <w:rFonts w:ascii="Times New Roman" w:cs="Times New Roman" w:eastAsia="Times New Roman" w:hAnsi="Times New Roman"/>
          <w:sz w:val="17"/>
          <w:szCs w:val="17"/>
          <w:color w:val="auto"/>
        </w:rPr>
        <w:t>Section 404 of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result in more litigation, and divert management’s attention.</w:t>
      </w:r>
    </w:p>
    <w:p>
      <w:pPr>
        <w:spacing w:after="0" w:line="171"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the Dodd-Frank Wall Street Reform and Consumer Protection Act, or the Dodd-Frank Act, the listing requirements of The Nasdaq Stock Market,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124"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28" w:lineRule="exact"/>
        <w:rPr>
          <w:sz w:val="20"/>
          <w:szCs w:val="20"/>
          <w:color w:val="auto"/>
        </w:rPr>
      </w:pPr>
    </w:p>
    <w:p>
      <w:pPr>
        <w:jc w:val="both"/>
        <w:ind w:right="120" w:firstLine="309"/>
        <w:spacing w:after="0" w:line="270" w:lineRule="auto"/>
        <w:rPr>
          <w:sz w:val="20"/>
          <w:szCs w:val="20"/>
          <w:color w:val="auto"/>
        </w:rPr>
      </w:pPr>
      <w:r>
        <w:rPr>
          <w:rFonts w:ascii="Times New Roman" w:cs="Times New Roman" w:eastAsia="Times New Roman" w:hAnsi="Times New Roman"/>
          <w:sz w:val="17"/>
          <w:szCs w:val="17"/>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114"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7"/>
          <w:szCs w:val="17"/>
          <w:color w:val="auto"/>
        </w:rPr>
        <w:t>By disclosing information in this Annual Report on Form 10-K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and other legal proceedings may adversely affect our business.</w:t>
      </w:r>
    </w:p>
    <w:p>
      <w:pPr>
        <w:spacing w:after="0" w:line="171"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From time-to-time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AquaBeam Robotic System, even if the regulatory or legal action is unfounded or not material to our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economic and financial market conditions may exacerbate our business risks.</w:t>
      </w:r>
    </w:p>
    <w:p>
      <w:pPr>
        <w:spacing w:after="0" w:line="171" w:lineRule="exact"/>
        <w:rPr>
          <w:sz w:val="20"/>
          <w:szCs w:val="20"/>
          <w:color w:val="auto"/>
        </w:rPr>
      </w:pPr>
    </w:p>
    <w:p>
      <w:pPr>
        <w:ind w:right="100" w:firstLine="309"/>
        <w:spacing w:after="0" w:line="261" w:lineRule="auto"/>
        <w:rPr>
          <w:sz w:val="20"/>
          <w:szCs w:val="20"/>
          <w:color w:val="auto"/>
        </w:rPr>
      </w:pPr>
      <w:r>
        <w:rPr>
          <w:rFonts w:ascii="Times New Roman" w:cs="Times New Roman" w:eastAsia="Times New Roman" w:hAnsi="Times New Roman"/>
          <w:sz w:val="17"/>
          <w:szCs w:val="17"/>
          <w:color w:val="auto"/>
        </w:rPr>
        <w:t>Global macroeconomic conditions and the world’s financial markets remain susceptible to significant stresses, including from inflation and central bank policies among other sources. Such stresses may result in reductions in available credit and government spending, economic downturn or stagnation, foreign currency fluctuations and volatility in the valuations of securities generally. Our customers and distributors may respond to such economic pressures by reducing or deferring their capital spending or reducing staff. Furthermore, unfavorable changes in foreign exchange rates versus the U.S. dollar could increase our product and labor costs, thus reducing our gross profit.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Ongoing and Potential Conflicts Could Adversely Affect our Business, Financial Condition, or Results of Operations.</w:t>
      </w:r>
    </w:p>
    <w:p>
      <w:pPr>
        <w:spacing w:after="0" w:line="171"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social and political, trade barriers or disputes, changes in consumer preferences, as well as an increase in espionage and cyberattacks. The extent and duration of the military action, sanctions, other consequences could be significant and could potentially have substantial impact on the global economy and our business for an unknown period of time. Impacts to our business may include, but are not limited to, procedures performed, demand for our products, and ability to spend on capital equipment and healthcare in general. A broadening of this conflict, or the initiation of other conflicts globally may heighten these risks. Any such disruption may also amplify the impact of other risks described.</w:t>
      </w:r>
    </w:p>
    <w:p>
      <w:pPr>
        <w:spacing w:after="0" w:line="128"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We are actively monitoring the ongoing conflict between Israel and Hamas and assessing the impacts on our business, including our business partners and customers. To date, we have not experienced any material interruptions in our</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operations. We have no way to predict the progress, outcome, or consequences of the military conflict in the Israel-Gaza regions and any potential increases in hostilities in the Middle East.</w:t>
      </w:r>
    </w:p>
    <w:p>
      <w:pPr>
        <w:spacing w:after="0" w:line="94"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94" w:lineRule="exact"/>
        <w:rPr>
          <w:sz w:val="20"/>
          <w:szCs w:val="20"/>
          <w:color w:val="auto"/>
        </w:rPr>
      </w:pPr>
    </w:p>
    <w:p>
      <w:pPr>
        <w:ind w:right="120" w:firstLine="309"/>
        <w:spacing w:after="0" w:line="261"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8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185"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199"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Risk Management and Strategy</w:t>
      </w:r>
    </w:p>
    <w:p>
      <w:pPr>
        <w:spacing w:after="0" w:line="169"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120"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Our information technology team conducts monthly security assessments to identify cybersecurity threats utilizing third-party experts retained by us, as well as assessments in the event of a material change in our business practices that may affect information systems that are vulnerable to such cybersecurity threats. Our research and development team utilizes third-party experts to evaluate cybersecurity risks during our product development process.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123"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Following these risk assessments, we reasonably address any identified gaps in existing safeguards and regularly monitor the effectiveness of our safeguards. Our head of information technology periodically make reports to the Company’s Chief Financial Officer on the results of our risk assessment and mitigation process.</w:t>
      </w:r>
    </w:p>
    <w:p>
      <w:pPr>
        <w:spacing w:after="0" w:line="114"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As part of our overall risk management system, we monitor and test our safeguards and train all of our employees on cybersecurity safeguards related to our information technology systems. Personnel at all levels and departments are made aware of our cybersecurity policies through random cybersecurity testing and remedial trainings. There can be no assurance</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7"/>
          <w:szCs w:val="17"/>
          <w:color w:val="auto"/>
        </w:rPr>
        <w:t>that our cybersecurity risk management program and processes, including our policies, controls, and procedures, will be fully implemented, complied with or effective in protecting our systems and information.</w:t>
      </w:r>
    </w:p>
    <w:p>
      <w:pPr>
        <w:spacing w:after="0" w:line="100"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the section titled “Risk Factors” in this Annual Report for additional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16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One of the key functions of our board of directors is informed oversight of our risk management process, including risks from cybersecurity threats. Our board of directors administers its cybersecurity risk oversight function directly as a whole, as well as through delegation of primary responsibility to the audit committee. The audit committee receives periodic reports, at least annually, on our cybersecurity program, industry best practices, and any incidents or trends.</w:t>
      </w:r>
    </w:p>
    <w:p>
      <w:pPr>
        <w:spacing w:after="0" w:line="114" w:lineRule="exact"/>
        <w:rPr>
          <w:sz w:val="20"/>
          <w:szCs w:val="20"/>
          <w:color w:val="auto"/>
        </w:rPr>
      </w:pPr>
    </w:p>
    <w:p>
      <w:pPr>
        <w:ind w:right="160" w:firstLine="309"/>
        <w:spacing w:after="0" w:line="270" w:lineRule="auto"/>
        <w:rPr>
          <w:sz w:val="20"/>
          <w:szCs w:val="20"/>
          <w:color w:val="auto"/>
        </w:rPr>
      </w:pPr>
      <w:r>
        <w:rPr>
          <w:rFonts w:ascii="Times New Roman" w:cs="Times New Roman" w:eastAsia="Times New Roman" w:hAnsi="Times New Roman"/>
          <w:sz w:val="17"/>
          <w:szCs w:val="17"/>
          <w:color w:val="auto"/>
        </w:rPr>
        <w:t>Our board of directors is responsible for monitoring and assessing strategic risk exposure, and our executive officers are responsible for the day-to-day management of the material risks we face. The audit committee receives annual reports from management personnel responsible for enterprise risk management, which also evaluates cybersecurity among other enterprise level risks on an annual basis.</w:t>
      </w:r>
    </w:p>
    <w:p>
      <w:pPr>
        <w:spacing w:after="0" w:line="191" w:lineRule="exact"/>
        <w:rPr>
          <w:sz w:val="20"/>
          <w:szCs w:val="20"/>
          <w:color w:val="auto"/>
        </w:rPr>
      </w:pPr>
    </w:p>
    <w:p>
      <w:pPr>
        <w:ind w:right="160" w:firstLine="309"/>
        <w:spacing w:after="0" w:line="249" w:lineRule="auto"/>
        <w:rPr>
          <w:sz w:val="20"/>
          <w:szCs w:val="20"/>
          <w:color w:val="auto"/>
        </w:rPr>
      </w:pPr>
      <w:r>
        <w:rPr>
          <w:rFonts w:ascii="Times New Roman" w:cs="Times New Roman" w:eastAsia="Times New Roman" w:hAnsi="Times New Roman"/>
          <w:sz w:val="17"/>
          <w:szCs w:val="17"/>
          <w:color w:val="auto"/>
        </w:rPr>
        <w:t>Our security officer, our Chief Financial Officer, and our head of information technology are primarily responsible to assess and manage our material risks from cybersecurity threats. Our incident response plan designates our head of information technology as primarily responsible for identifying and evaluating any cybersecurity incident or suspected incident, and reporting any such incidents to management (including the security officer, Chief Financial Officer, and Chief Legal Officer) in order for management to evaluate materiality, and to report to our audit committee, our board of directors and make public disclosures as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69" w:lineRule="exact"/>
        <w:rPr>
          <w:sz w:val="20"/>
          <w:szCs w:val="20"/>
          <w:color w:val="auto"/>
        </w:rPr>
      </w:pPr>
    </w:p>
    <w:p>
      <w:pPr>
        <w:ind w:right="520" w:firstLine="309"/>
        <w:spacing w:after="0" w:line="287" w:lineRule="auto"/>
        <w:rPr>
          <w:sz w:val="20"/>
          <w:szCs w:val="20"/>
          <w:color w:val="auto"/>
        </w:rPr>
      </w:pPr>
      <w:r>
        <w:rPr>
          <w:rFonts w:ascii="Times New Roman" w:cs="Times New Roman" w:eastAsia="Times New Roman" w:hAnsi="Times New Roman"/>
          <w:sz w:val="17"/>
          <w:szCs w:val="17"/>
          <w:color w:val="auto"/>
        </w:rPr>
        <w:t>Our principal office is located at 150 Baytech Drive, San Jose, California, where we lease approximately 158,221 square feet of office space. The lease commenced in July 2022, and will continue for 122 months following thereafter, with two five year options to extend the term of the lease.</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exited our previous principal office in Redwood City, California in September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Matters</w:t>
      </w:r>
    </w:p>
    <w:p>
      <w:pPr>
        <w:spacing w:after="0" w:line="169" w:lineRule="exact"/>
        <w:rPr>
          <w:sz w:val="20"/>
          <w:szCs w:val="20"/>
          <w:color w:val="auto"/>
        </w:rPr>
      </w:pPr>
    </w:p>
    <w:p>
      <w:pPr>
        <w:ind w:right="440" w:firstLine="309"/>
        <w:spacing w:after="0" w:line="270"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 Purchases of Equity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69"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Our common stock has been listed on the Nasdaq Global Market under the symbol “PRCT” since September 14, 2021. Prior to that date, there was no public trading market for our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Common Stock</w:t>
      </w:r>
    </w:p>
    <w:p>
      <w:pPr>
        <w:spacing w:after="0" w:line="169"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As of February 23, 2024, there were 196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69"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loan and security agreement with Canadian Imperial Bank of Commerce. Our ability to pay cash dividends on our capital stock in the future may also be limited by the terms of any preferred securities we may issue or agreements governing any additional indebtedness we may incur.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69" w:lineRule="exact"/>
        <w:rPr>
          <w:sz w:val="20"/>
          <w:szCs w:val="20"/>
          <w:color w:val="auto"/>
        </w:rPr>
      </w:pPr>
    </w:p>
    <w:p>
      <w:pPr>
        <w:ind w:right="40" w:firstLine="309"/>
        <w:spacing w:after="0" w:line="287" w:lineRule="auto"/>
        <w:rPr>
          <w:sz w:val="20"/>
          <w:szCs w:val="20"/>
          <w:color w:val="auto"/>
        </w:rPr>
      </w:pPr>
      <w:r>
        <w:rPr>
          <w:rFonts w:ascii="Times New Roman" w:cs="Times New Roman" w:eastAsia="Times New Roman" w:hAnsi="Times New Roman"/>
          <w:sz w:val="17"/>
          <w:szCs w:val="17"/>
          <w:color w:val="auto"/>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spacing w:after="0" w:line="100"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This chart compares the cumulative total return on our common stock with that of the NASDAQ Composite Index and the S&amp;P Health Care Equipment Index. The graph assumes $100 was invested in each of the Company’s common stock, the NASDAQ Composite Index and the S&amp;P Health Care Equipment Index, and assumes reinvestment of any dividends. Note that historic stock price performance is not necessarily indicative of future stock price performance.</w:t>
      </w:r>
    </w:p>
    <w:p>
      <w:pPr>
        <w:spacing w:after="0" w:line="200" w:lineRule="exact"/>
        <w:rPr>
          <w:sz w:val="20"/>
          <w:szCs w:val="20"/>
          <w:color w:val="auto"/>
        </w:rPr>
      </w:pPr>
    </w:p>
    <w:p>
      <w:pPr>
        <w:spacing w:after="0" w:line="3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475615</wp:posOffset>
            </wp:positionV>
            <wp:extent cx="5206365" cy="4354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06365" cy="435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78"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65" w:lineRule="exact"/>
        <w:rPr>
          <w:sz w:val="20"/>
          <w:szCs w:val="20"/>
          <w:color w:val="auto"/>
        </w:rPr>
      </w:pPr>
    </w:p>
    <w:p>
      <w:pPr>
        <w:ind w:firstLine="309"/>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together with our financial statements and related notes are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report. Please also see the section titled “Cautionary Note Regarding Forward-Looking Statements.”</w:t>
      </w:r>
    </w:p>
    <w:p>
      <w:pPr>
        <w:spacing w:after="0" w:line="119" w:lineRule="exact"/>
        <w:rPr>
          <w:sz w:val="20"/>
          <w:szCs w:val="20"/>
          <w:color w:val="auto"/>
        </w:rPr>
      </w:pPr>
    </w:p>
    <w:p>
      <w:pPr>
        <w:jc w:val="both"/>
        <w:ind w:right="80"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The following generally compares our results of operations for the years ended December 31, 2023 and 2022. A detailed discussion comparing our results of operations for the years ended December 31, 2022 and 2021 can be found in Part II, Item 7, “Management’s Discussion and Analysis of Financial Condition and Results of Operations” of our Annual Report on Form 10-K for the year ended December 31,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ind w:firstLine="309"/>
        <w:spacing w:after="0" w:line="256" w:lineRule="auto"/>
        <w:rPr>
          <w:sz w:val="20"/>
          <w:szCs w:val="20"/>
          <w:color w:val="auto"/>
        </w:rPr>
      </w:pPr>
      <w:r>
        <w:rPr>
          <w:rFonts w:ascii="Times New Roman" w:cs="Times New Roman" w:eastAsia="Times New Roman" w:hAnsi="Times New Roman"/>
          <w:sz w:val="17"/>
          <w:szCs w:val="17"/>
          <w:color w:val="auto"/>
        </w:rPr>
        <w:t>We are a surgical robotics company focused on advancing patient care by developing transformative solutions in urology. We develop, manufacture and sell the AquaBeam Robotic System, an advanced, image-guided, surgical robotic system for use in minimally invasive urologic surgery, with an initial focus on treating benign prostatic hyperplasia, or BPH. BPH is the most common prostate disease and impacts approximately 40 million men in the United States. The AquaBeam Robotic System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AquaBeam Robotic System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are independent of prostate size and shape, and delivers resection independent of surgeon experience. We have developed a significant and growing body of clinical evidence, which includes over 150 peer-reviewed publications, supporting the benefits and clinical advantages of Aquablation therapy. As of December 31, 2023, we had an install base of 418 AquaBeam Robotic Systems globally, including 315 in the United States.</w:t>
      </w:r>
    </w:p>
    <w:p>
      <w:pPr>
        <w:spacing w:after="0" w:line="130" w:lineRule="exact"/>
        <w:rPr>
          <w:sz w:val="20"/>
          <w:szCs w:val="20"/>
          <w:color w:val="auto"/>
        </w:rPr>
      </w:pPr>
    </w:p>
    <w:p>
      <w:pPr>
        <w:ind w:firstLine="309"/>
        <w:spacing w:after="0" w:line="254" w:lineRule="auto"/>
        <w:rPr>
          <w:sz w:val="20"/>
          <w:szCs w:val="20"/>
          <w:color w:val="auto"/>
        </w:rPr>
      </w:pPr>
      <w:r>
        <w:rPr>
          <w:rFonts w:ascii="Times New Roman" w:cs="Times New Roman" w:eastAsia="Times New Roman" w:hAnsi="Times New Roman"/>
          <w:sz w:val="17"/>
          <w:szCs w:val="17"/>
          <w:color w:val="auto"/>
        </w:rPr>
        <w:t>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color w:val="auto"/>
        </w:rPr>
        <w:t>In the United States, we sell our products to hospitals. We are initially targeting 860 high-volume hospitals that perform, on average, more than 200 resective procedures annually and account for approximately 70% of all hospital-based resective procedures. Additionally, there are approximately 1,840 U.S. hospitals that perform the remaining 30% of resective BPH procedures we are also targeting. Over time, we expect to gradually expand our focus to also include mid- and low-volume hospitals. These customers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We also have favorable coverage decisions from many large commercial payors. We plan to leverage these recent successes in our active discussions with all commercial payors to establish additional positive national and regional coverage policies. Outside of the United States, we have ongoing efforts in key markets to expand established coverage and improve payment which we believe will expand patient access to Aquablation therapy.</w:t>
      </w:r>
    </w:p>
    <w:p>
      <w:pPr>
        <w:spacing w:after="0" w:line="140" w:lineRule="exact"/>
        <w:rPr>
          <w:sz w:val="20"/>
          <w:szCs w:val="20"/>
          <w:color w:val="auto"/>
        </w:rPr>
      </w:pPr>
    </w:p>
    <w:p>
      <w:pPr>
        <w:ind w:right="140" w:firstLine="309"/>
        <w:spacing w:after="0" w:line="264" w:lineRule="auto"/>
        <w:rPr>
          <w:sz w:val="20"/>
          <w:szCs w:val="20"/>
          <w:color w:val="auto"/>
        </w:rPr>
      </w:pPr>
      <w:r>
        <w:rPr>
          <w:rFonts w:ascii="Times New Roman" w:cs="Times New Roman" w:eastAsia="Times New Roman" w:hAnsi="Times New Roman"/>
          <w:sz w:val="17"/>
          <w:szCs w:val="17"/>
          <w:color w:val="auto"/>
        </w:rPr>
        <w:t>We manufacture the AquaBeam Robotic System, the handpiece, integrated scope and other accessories at our facility in San Jose,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 We utilize a well-known third-party logistics provider located in the United States and the Netherlands to ship our products to our customers globally.</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firstLine="309"/>
        <w:spacing w:after="0" w:line="270" w:lineRule="auto"/>
        <w:rPr>
          <w:sz w:val="20"/>
          <w:szCs w:val="20"/>
          <w:color w:val="auto"/>
        </w:rPr>
      </w:pPr>
      <w:r>
        <w:rPr>
          <w:rFonts w:ascii="Times New Roman" w:cs="Times New Roman" w:eastAsia="Times New Roman" w:hAnsi="Times New Roman"/>
          <w:sz w:val="17"/>
          <w:szCs w:val="17"/>
          <w:color w:val="auto"/>
        </w:rPr>
        <w:t>We generated revenue of $136.2 million and $75.0 million, for the years ended December 31, 2023 and 2022, respectively, and incurred a net loss of $105.9 million and $87.2 million for the years ended December 31, 2023 and 2022, respectively. As of December 31, 2023, we had an accumulated deficit of $454.6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Factors Affecting Our Performance</w:t>
      </w:r>
    </w:p>
    <w:p>
      <w:pPr>
        <w:spacing w:after="0" w:line="171" w:lineRule="exact"/>
        <w:rPr>
          <w:sz w:val="20"/>
          <w:szCs w:val="20"/>
          <w:color w:val="auto"/>
        </w:rPr>
      </w:pPr>
    </w:p>
    <w:p>
      <w:pPr>
        <w:jc w:val="both"/>
        <w:ind w:right="160" w:firstLine="309"/>
        <w:spacing w:after="0" w:line="270" w:lineRule="auto"/>
        <w:rPr>
          <w:sz w:val="20"/>
          <w:szCs w:val="20"/>
          <w:color w:val="auto"/>
        </w:rPr>
      </w:pPr>
      <w:r>
        <w:rPr>
          <w:rFonts w:ascii="Times New Roman" w:cs="Times New Roman" w:eastAsia="Times New Roman" w:hAnsi="Times New Roman"/>
          <w:sz w:val="17"/>
          <w:szCs w:val="17"/>
          <w:color w:val="auto"/>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spacing w:after="0" w:line="110" w:lineRule="exact"/>
        <w:rPr>
          <w:sz w:val="20"/>
          <w:szCs w:val="20"/>
          <w:color w:val="auto"/>
        </w:rPr>
      </w:pPr>
    </w:p>
    <w:p>
      <w:pPr>
        <w:ind w:left="620" w:right="80" w:hanging="307"/>
        <w:spacing w:after="0" w:line="258" w:lineRule="auto"/>
        <w:tabs>
          <w:tab w:leader="none" w:pos="61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Grow our install base of AquaBeam Robotic Systems: </w:t>
      </w:r>
      <w:r>
        <w:rPr>
          <w:rFonts w:ascii="Times New Roman" w:cs="Times New Roman" w:eastAsia="Times New Roman" w:hAnsi="Times New Roman"/>
          <w:sz w:val="17"/>
          <w:szCs w:val="17"/>
          <w:color w:val="auto"/>
        </w:rPr>
        <w:t>As of December 31, 2023, we had an install base of 418 AquaBeam Robotic Systems globally,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315 in the United States. In the United States, we are initially focused on driving adoption of Aquablation therapy among urologists that perform hospital-based resective BPH surgery. We are initially targeting 860 high-volume hospitals that we estimate perform, on average, more than 200 resective procedures annually and account for approximately 70% of all hospital-based resective procedures. Additionally, there are approximately 1,840 additional U.S. hospitals that perform the remaining 30% of resective BPH procedures that we are targeting. To penetrate these hospitals, we expect to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 base of AquaBeam Robotic systems we expect our revenue to increase as a result of the system sale and resulting utilization.</w:t>
      </w:r>
    </w:p>
    <w:p>
      <w:pPr>
        <w:spacing w:after="0" w:line="123" w:lineRule="exact"/>
        <w:rPr>
          <w:rFonts w:ascii="Times New Roman" w:cs="Times New Roman" w:eastAsia="Times New Roman" w:hAnsi="Times New Roman"/>
          <w:sz w:val="17"/>
          <w:szCs w:val="17"/>
          <w:color w:val="auto"/>
        </w:rPr>
      </w:pPr>
    </w:p>
    <w:p>
      <w:pPr>
        <w:ind w:left="620" w:right="220" w:hanging="307"/>
        <w:spacing w:after="0" w:line="259" w:lineRule="auto"/>
        <w:tabs>
          <w:tab w:leader="none" w:pos="61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Increase system utilization: </w:t>
      </w:r>
      <w:r>
        <w:rPr>
          <w:rFonts w:ascii="Times New Roman" w:cs="Times New Roman" w:eastAsia="Times New Roman" w:hAnsi="Times New Roman"/>
          <w:sz w:val="17"/>
          <w:szCs w:val="17"/>
          <w:color w:val="auto"/>
        </w:rPr>
        <w:t>Our revenue is significantly impacted by the utilization of our AquaBeam robotic system. Once we place a system within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expect to leverage their experiences to capture more surgical volumes and establish Aquablation therapy as the surgical standard of care.</w:t>
      </w:r>
    </w:p>
    <w:p>
      <w:pPr>
        <w:spacing w:after="0" w:line="121" w:lineRule="exact"/>
        <w:rPr>
          <w:rFonts w:ascii="Times New Roman" w:cs="Times New Roman" w:eastAsia="Times New Roman" w:hAnsi="Times New Roman"/>
          <w:sz w:val="17"/>
          <w:szCs w:val="17"/>
          <w:color w:val="auto"/>
        </w:rPr>
      </w:pPr>
    </w:p>
    <w:p>
      <w:pPr>
        <w:jc w:val="both"/>
        <w:ind w:left="620" w:right="140" w:hanging="307"/>
        <w:spacing w:after="0" w:line="261" w:lineRule="auto"/>
        <w:tabs>
          <w:tab w:leader="none" w:pos="61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Reimbursement and coverage decisions by third-party payors. </w:t>
      </w:r>
      <w:r>
        <w:rPr>
          <w:rFonts w:ascii="Times New Roman" w:cs="Times New Roman" w:eastAsia="Times New Roman" w:hAnsi="Times New Roman"/>
          <w:sz w:val="17"/>
          <w:szCs w:val="17"/>
          <w:color w:val="auto"/>
        </w:rPr>
        <w:t>Healthcare providers in the United States generally rely on third-party payors, principally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Medicare, state Medicaid and private health insurance plans, to cover all or part of the cost of procedures using our AquaBeam Robotic System. The revenue we are able to generate from sales of our products depends in large part on the availability of sufficient reimbursement from such payors.</w:t>
      </w:r>
    </w:p>
    <w:p>
      <w:pPr>
        <w:spacing w:after="0" w:line="1" w:lineRule="exact"/>
        <w:rPr>
          <w:rFonts w:ascii="Times New Roman" w:cs="Times New Roman" w:eastAsia="Times New Roman" w:hAnsi="Times New Roman"/>
          <w:sz w:val="17"/>
          <w:szCs w:val="17"/>
          <w:color w:val="auto"/>
        </w:rPr>
      </w:pPr>
    </w:p>
    <w:p>
      <w:pPr>
        <w:ind w:left="62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AquaBeam Robotic System. We believe our strong body of clinical evidence and support from key societies, supplemented by the momentum from Medicare coverage, have led to favorable coverage decisions from many large commercial payors. We plan to leverage these recent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spacing w:after="0" w:line="123" w:lineRule="exact"/>
        <w:rPr>
          <w:rFonts w:ascii="Times New Roman" w:cs="Times New Roman" w:eastAsia="Times New Roman" w:hAnsi="Times New Roman"/>
          <w:sz w:val="17"/>
          <w:szCs w:val="17"/>
          <w:color w:val="auto"/>
        </w:rPr>
      </w:pPr>
    </w:p>
    <w:p>
      <w:pPr>
        <w:ind w:left="620" w:hanging="307"/>
        <w:spacing w:after="0" w:line="266" w:lineRule="auto"/>
        <w:tabs>
          <w:tab w:leader="none" w:pos="61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Cost of sales. </w:t>
      </w:r>
      <w:r>
        <w:rPr>
          <w:rFonts w:ascii="Times New Roman" w:cs="Times New Roman" w:eastAsia="Times New Roman" w:hAnsi="Times New Roman"/>
          <w:sz w:val="17"/>
          <w:szCs w:val="17"/>
          <w:color w:val="auto"/>
        </w:rPr>
        <w:t>The results of our operations will depend, in part, on our ability to increase our gross margins by more effectively managing our costs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produce our AquaBeam Robotic System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w:t>
      </w:r>
    </w:p>
    <w:p>
      <w:pPr>
        <w:spacing w:after="0" w:line="113" w:lineRule="exact"/>
        <w:rPr>
          <w:rFonts w:ascii="Times New Roman" w:cs="Times New Roman" w:eastAsia="Times New Roman" w:hAnsi="Times New Roman"/>
          <w:sz w:val="17"/>
          <w:szCs w:val="17"/>
          <w:color w:val="auto"/>
        </w:rPr>
      </w:pPr>
    </w:p>
    <w:p>
      <w:pPr>
        <w:ind w:left="620" w:right="60" w:hanging="307"/>
        <w:spacing w:after="0" w:line="266" w:lineRule="auto"/>
        <w:tabs>
          <w:tab w:leader="none" w:pos="61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Investment in research and development to drive continuous improvements and innovation. </w:t>
      </w:r>
      <w:r>
        <w:rPr>
          <w:rFonts w:ascii="Times New Roman" w:cs="Times New Roman" w:eastAsia="Times New Roman" w:hAnsi="Times New Roman"/>
          <w:sz w:val="17"/>
          <w:szCs w:val="17"/>
          <w:color w:val="auto"/>
        </w:rPr>
        <w:t>We are currently developing additional and next generation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 learning to enable computer-assisted anatomy</w:t>
      </w: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460"/>
        <w:spacing w:after="0" w:line="287" w:lineRule="auto"/>
        <w:rPr>
          <w:sz w:val="20"/>
          <w:szCs w:val="20"/>
          <w:color w:val="auto"/>
        </w:rPr>
      </w:pPr>
      <w:r>
        <w:rPr>
          <w:rFonts w:ascii="Times New Roman" w:cs="Times New Roman" w:eastAsia="Times New Roman" w:hAnsi="Times New Roman"/>
          <w:sz w:val="17"/>
          <w:szCs w:val="17"/>
          <w:color w:val="auto"/>
        </w:rPr>
        <w:t>recognition and improved treatment planning and personalization. Our future growth is dependent on these continuous improvements which require significant resources and investment.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1"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We generate our revenue primarily from the capital portion of our business, which includes sales and rentals of our AquaBeam Robotic System, and from the recurring revenue associated with sales of our single-use disposable handpieces that are used during each surgery performed with our system. Other revenue is derived primarily from service and repair and extended service contracts with our existing customers. We expect our revenue to increase in absolute dollars for the foreseeable future as we continue to focus on driving adoption of Aquablation therapy, and increased system utilization, though it may fluctuate from quarter to quarter.</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revenue by significant geographical locations for the periods indicated:</w:t>
      </w:r>
    </w:p>
    <w:p>
      <w:pPr>
        <w:spacing w:after="0" w:line="19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88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23"/>
        </w:trPr>
        <w:tc>
          <w:tcPr>
            <w:tcW w:w="90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Outside the United States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bl>
    <w:p>
      <w:pPr>
        <w:spacing w:after="0" w:line="225" w:lineRule="exact"/>
        <w:rPr>
          <w:sz w:val="20"/>
          <w:szCs w:val="20"/>
          <w:color w:val="auto"/>
        </w:rPr>
      </w:pPr>
    </w:p>
    <w:p>
      <w:pPr>
        <w:ind w:right="60" w:firstLine="309"/>
        <w:spacing w:after="0" w:line="287" w:lineRule="auto"/>
        <w:rPr>
          <w:sz w:val="20"/>
          <w:szCs w:val="20"/>
          <w:color w:val="auto"/>
        </w:rPr>
      </w:pPr>
      <w:r>
        <w:rPr>
          <w:rFonts w:ascii="Times New Roman" w:cs="Times New Roman" w:eastAsia="Times New Roman" w:hAnsi="Times New Roman"/>
          <w:sz w:val="17"/>
          <w:szCs w:val="17"/>
          <w:color w:val="auto"/>
        </w:rPr>
        <w:t>We expect that both our U.S. and international revenue will increase in the near term as we continue to expand the install base of AquaBeam Robotic Systems and increase the related customer utilization. We expect our increase in revenues in absolute dollars to be larger in the United States.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 and Gross Margin</w:t>
      </w:r>
    </w:p>
    <w:p>
      <w:pPr>
        <w:spacing w:after="0" w:line="171"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Cost of sales consists primarily of manufacturing overhead costs, material costs, warranty and service costs, direct labor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period to period.</w:t>
      </w:r>
    </w:p>
    <w:p>
      <w:pPr>
        <w:spacing w:after="0" w:line="123" w:lineRule="exact"/>
        <w:rPr>
          <w:sz w:val="20"/>
          <w:szCs w:val="20"/>
          <w:color w:val="auto"/>
        </w:rPr>
      </w:pPr>
    </w:p>
    <w:p>
      <w:pPr>
        <w:ind w:right="100" w:firstLine="309"/>
        <w:spacing w:after="0" w:line="260" w:lineRule="auto"/>
        <w:rPr>
          <w:sz w:val="20"/>
          <w:szCs w:val="20"/>
          <w:color w:val="auto"/>
        </w:rPr>
      </w:pPr>
      <w:r>
        <w:rPr>
          <w:rFonts w:ascii="Times New Roman" w:cs="Times New Roman" w:eastAsia="Times New Roman" w:hAnsi="Times New Roman"/>
          <w:sz w:val="17"/>
          <w:szCs w:val="17"/>
          <w:color w:val="auto"/>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69" w:lineRule="exact"/>
        <w:rPr>
          <w:sz w:val="20"/>
          <w:szCs w:val="20"/>
          <w:color w:val="auto"/>
        </w:rPr>
      </w:pPr>
    </w:p>
    <w:p>
      <w:pPr>
        <w:ind w:right="220" w:firstLine="309"/>
        <w:spacing w:after="0" w:line="260" w:lineRule="auto"/>
        <w:rPr>
          <w:sz w:val="20"/>
          <w:szCs w:val="20"/>
          <w:color w:val="auto"/>
        </w:rPr>
      </w:pPr>
      <w:r>
        <w:rPr>
          <w:rFonts w:ascii="Times New Roman" w:cs="Times New Roman" w:eastAsia="Times New Roman" w:hAnsi="Times New Roman"/>
          <w:sz w:val="17"/>
          <w:szCs w:val="17"/>
          <w:color w:val="auto"/>
        </w:rPr>
        <w:t>Research and development, or R&amp;D, expenses consist primarily of engineering, product development, regulatory affairs, consulting services, materials, depreciation and other costs associated with products and technologies being developed. These expenses include employee and non-employee compensation, including stock-based compensation, supplies, materials, quality assurance expenses, consulting, related travel expenses and facilities expenses. We expect our R&amp;D expenses to increase in absolute dollars for the foreseeable future as we continue to develop, enhance and commercialize new products and technologies, though it may fluctuate from quarter to quarter. However, we expect our R&amp;D expenses as a percentage of revenue to vary over time depending on the level and timing of initiating new product development efforts.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Selling, General and Administrative</w:t>
      </w:r>
    </w:p>
    <w:p>
      <w:pPr>
        <w:spacing w:after="0" w:line="169"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Selling, general and administrative, or SG&amp;A, expenses consist primarily of compensation for personnel, including stock-based compensation, related to selling, marketing, clinical affairs, professional education, finance, information technology, and human resource functions. SG&amp;A expenses also include commissions, training, travel expenses, promotional activities, conferences, trade shows, professional services fees, audit fees, legal fees, insurance costs and general corporate expenses including allocated facilities-related expenses. We expect our SG&amp;A expenses to increase in absolute dollars for the foreseeable future as we expand our commercial infrastructure and incur additional fees associated with operating as a public company, including legal, accounting, insurance, compliance with the rules and regulations of the SEC and those of any stock exchange on which our securities are traded, investor relations, and other administrative and professional services expenses, though it may fluctuate from quarter to quarter. However, over time, we expect our SG&amp;A expenses to decrease as a percentage of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Interest expense consists primarily of interest expense from our long-term debt.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and Other Income, Net</w:t>
      </w:r>
    </w:p>
    <w:p>
      <w:pPr>
        <w:spacing w:after="0" w:line="169"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Interest and other income, net, consists primarily of interest income from our cash and cash equivalents balances, and fair value adjustments from our loan facility derivative liability.</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Loss on loan extinguishment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Loss on loan extinguishment was a result of our acquisition price of our new debt exceeded the carrying amount of our existing debt.</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Years Ended December 31, 2023 and 2022</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years ended December 31, 2023 and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5"/>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136,191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75,014</w:t>
            </w: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61,177</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65,142</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rPr>
              <w:t>37,929</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27,213</w:t>
            </w: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16"/>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71,049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37,085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33,964</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19"/>
        </w:trPr>
        <w:tc>
          <w:tcPr>
            <w:tcW w:w="480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52 %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49 %</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48,446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28,981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19,465</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131,773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color w:val="auto"/>
              </w:rPr>
              <w:t>88,828</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42,945</w:t>
            </w:r>
          </w:p>
        </w:tc>
        <w:tc>
          <w:tcPr>
            <w:tcW w:w="5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16"/>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180,219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117,809</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62,410</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(109,170)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(80,724)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(28,446)</w:t>
            </w:r>
          </w:p>
        </w:tc>
        <w:tc>
          <w:tcPr>
            <w:tcW w:w="500" w:type="dxa"/>
            <w:vAlign w:val="bottom"/>
          </w:tcPr>
          <w:p>
            <w:pPr>
              <w:spacing w:after="0"/>
              <w:rPr>
                <w:sz w:val="18"/>
                <w:szCs w:val="18"/>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(3,995)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(5,183)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7,268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2,011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5,257</w:t>
            </w:r>
          </w:p>
        </w:tc>
        <w:tc>
          <w:tcPr>
            <w:tcW w:w="50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loan extinguishment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(3,258)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2"/>
        </w:trPr>
        <w:tc>
          <w:tcPr>
            <w:tcW w:w="48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rPr>
              <w:t>(105,897)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rPr>
              <w:t>(87,154)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(18,743)</w:t>
            </w:r>
          </w:p>
        </w:tc>
        <w:tc>
          <w:tcPr>
            <w:tcW w:w="500" w:type="dxa"/>
            <w:vAlign w:val="bottom"/>
          </w:tcPr>
          <w:p>
            <w:pPr>
              <w:spacing w:after="0"/>
              <w:rPr>
                <w:sz w:val="18"/>
                <w:szCs w:val="18"/>
                <w:color w:val="auto"/>
              </w:rPr>
            </w:pP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N/M - Not meaningful.</w:t>
            </w: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00" w:type="dxa"/>
            <w:vAlign w:val="bottom"/>
          </w:tcPr>
          <w:p>
            <w:pPr>
              <w:ind w:left="320"/>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System sales and rentals</w:t>
            </w:r>
          </w:p>
        </w:tc>
        <w:tc>
          <w:tcPr>
            <w:tcW w:w="4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58,920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39,728</w:t>
            </w: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19,192</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Hand pieces and other consumables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37,706</w:t>
            </w:r>
          </w:p>
        </w:tc>
        <w:tc>
          <w:tcPr>
            <w:tcW w:w="50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7,749</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4,279</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136,191</w:t>
            </w: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61,177</w:t>
            </w:r>
          </w:p>
        </w:tc>
        <w:tc>
          <w:tcPr>
            <w:tcW w:w="5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7"/>
          <w:szCs w:val="17"/>
          <w:color w:val="auto"/>
        </w:rPr>
        <w:t>Revenue increased $61.2 million, or 82%, to $136.2 million during the year ended December 31, 2023, compared to $75.0 million during the year ended December 31, 2022. The growth in revenue was primarily attributable to an increase of $19.2 million and $37.7 million in revenues from higher sales volumes of both our AquaBeam Robotic System and our single-use disposable handpieces.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Cost of Sales and Gross Margin</w:t>
      </w:r>
    </w:p>
    <w:p>
      <w:pPr>
        <w:spacing w:after="0" w:line="169"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Cost of sales increased $27.2 million, or 72%, to $65.1 million during the year ended December 31, 2023, compared to $37.9 million during the year ended December 31, 2022. The increase in cost of sales was primarily attributable to the growth in the number of units sold.</w:t>
      </w:r>
    </w:p>
    <w:p>
      <w:pPr>
        <w:spacing w:after="0" w:line="100"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Gross margin increased to 52% during the year ended December 31, 2023, compared to 49% for the year ended December 31, 2022. The increase in gross margin was primarily attributable to the growth in unit sales, which allowed us to spread the fixed portion of our manufacturing overhead costs over more production units, partially offset by increases in scrap and warranty costs.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69"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R&amp;D expenses increased $19.5 million, or 67%, to $48.4 million during the year ended December 31, 2023, compared to $29.0 million during the year ended December 31, 2022. The increase in R&amp;D expenses was primarily due to employee-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7"/>
          <w:szCs w:val="17"/>
          <w:color w:val="auto"/>
        </w:rPr>
        <w:t>related expenses from increased headcount of our R&amp;D organization, as well as increases in third-party product development costs. These expenses support ongoing product improvements and the development of additional and next generation technologies.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69" w:lineRule="exact"/>
        <w:rPr>
          <w:sz w:val="20"/>
          <w:szCs w:val="20"/>
          <w:color w:val="auto"/>
        </w:rPr>
      </w:pPr>
    </w:p>
    <w:p>
      <w:pPr>
        <w:ind w:right="340" w:firstLine="309"/>
        <w:spacing w:after="0" w:line="270" w:lineRule="auto"/>
        <w:rPr>
          <w:sz w:val="20"/>
          <w:szCs w:val="20"/>
          <w:color w:val="auto"/>
        </w:rPr>
      </w:pPr>
      <w:r>
        <w:rPr>
          <w:rFonts w:ascii="Times New Roman" w:cs="Times New Roman" w:eastAsia="Times New Roman" w:hAnsi="Times New Roman"/>
          <w:sz w:val="17"/>
          <w:szCs w:val="17"/>
          <w:color w:val="auto"/>
        </w:rPr>
        <w:t>SG&amp;A expenses increased $42.9 million, or 48%, to $131.8 million during the year ended December 31, 2023, compared to $88.8 million during the year ended December 31, 2022. The increase in SG&amp;A expenses was primarily due to employee-related expenses of our sales and marketing organization and administrative organizations as we expanded our infrastructure to drive and support our growth in revenue.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169" w:lineRule="exact"/>
        <w:rPr>
          <w:sz w:val="20"/>
          <w:szCs w:val="20"/>
          <w:color w:val="auto"/>
        </w:rPr>
      </w:pPr>
    </w:p>
    <w:p>
      <w:pPr>
        <w:ind w:right="440" w:firstLine="309"/>
        <w:spacing w:after="0" w:line="270" w:lineRule="auto"/>
        <w:rPr>
          <w:sz w:val="20"/>
          <w:szCs w:val="20"/>
          <w:color w:val="auto"/>
        </w:rPr>
      </w:pPr>
      <w:r>
        <w:rPr>
          <w:rFonts w:ascii="Times New Roman" w:cs="Times New Roman" w:eastAsia="Times New Roman" w:hAnsi="Times New Roman"/>
          <w:sz w:val="17"/>
          <w:szCs w:val="17"/>
          <w:color w:val="auto"/>
        </w:rPr>
        <w:t>Interest expense decreased $1.2 million to $4.0 million during the year ended December 31, 2023, compared to $5.2 million during the year ended December 31, 2022. The decrease in interest expense was due to entering into a new loan agreement with a lower interest rate compared to our previous loan agreement which occurred during the year ended December 31, 2022.</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and Other Income, Net</w:t>
      </w:r>
    </w:p>
    <w:p>
      <w:pPr>
        <w:spacing w:after="0" w:line="169" w:lineRule="exact"/>
        <w:rPr>
          <w:sz w:val="20"/>
          <w:szCs w:val="20"/>
          <w:color w:val="auto"/>
        </w:rPr>
      </w:pPr>
    </w:p>
    <w:p>
      <w:pPr>
        <w:ind w:right="420" w:firstLine="309"/>
        <w:spacing w:after="0" w:line="287" w:lineRule="auto"/>
        <w:rPr>
          <w:sz w:val="20"/>
          <w:szCs w:val="20"/>
          <w:color w:val="auto"/>
        </w:rPr>
      </w:pPr>
      <w:r>
        <w:rPr>
          <w:rFonts w:ascii="Times New Roman" w:cs="Times New Roman" w:eastAsia="Times New Roman" w:hAnsi="Times New Roman"/>
          <w:sz w:val="17"/>
          <w:szCs w:val="17"/>
          <w:color w:val="auto"/>
        </w:rPr>
        <w:t>Interest and other income, net, increased $5.3 million to $7.3 million during the year ended December 31, 2023 compared to $2.0 million during the year ended December 31, 2022. The increase in interest and other income, net was primarily due to higher interest rates earned on our money market funds.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Loss on loan extinguishment</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Loss on loan extinguishment decreased to zero during the year ended December 31, 2023 compared to $3.3 million during the year ended December 31, 2022.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loss on loan extinguishment was due to our reacquisition price of our new debt exceeded the carrying amount of our existing debt in the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171" w:lineRule="exact"/>
        <w:rPr>
          <w:sz w:val="20"/>
          <w:szCs w:val="20"/>
          <w:color w:val="auto"/>
        </w:rPr>
      </w:pPr>
    </w:p>
    <w:p>
      <w:pPr>
        <w:ind w:right="200" w:firstLine="309"/>
        <w:spacing w:after="0" w:line="287" w:lineRule="auto"/>
        <w:rPr>
          <w:sz w:val="20"/>
          <w:szCs w:val="20"/>
          <w:color w:val="auto"/>
        </w:rPr>
      </w:pPr>
      <w:r>
        <w:rPr>
          <w:rFonts w:ascii="Times New Roman" w:cs="Times New Roman" w:eastAsia="Times New Roman" w:hAnsi="Times New Roman"/>
          <w:sz w:val="17"/>
          <w:szCs w:val="17"/>
          <w:color w:val="auto"/>
        </w:rPr>
        <w:t>We completed a follow-on offering of common stock in August 2023, which raised $161.7 million, net of issuance costs. Previously, our primary sources of capital have been from our initial public offering, private placements of redeemable convertible preferred securities and debt financing agreements.</w:t>
      </w:r>
    </w:p>
    <w:p>
      <w:pPr>
        <w:spacing w:after="0" w:line="100"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2023, we had cash and cash equivalents of $257.2 million, an accumulated deficit of $454.6 million, and $52.0 million outstanding on our loan facility. We expect our expenses will increase for the foreseeable future, as we continue to make substantial investments in sales and marketing, operations and research and development. Moreover, we expect to incur additional expenses as a result of operating as a public company, including legal, accounting, insurance, compliance with the rules and regulations of the SEC and those of any stock exchange on which our securities are traded, investor relations, and other administrative and professional services expenses. Our future funding requirements will depend on many factors, including:</w:t>
      </w:r>
    </w:p>
    <w:p>
      <w:pPr>
        <w:spacing w:after="0" w:line="123" w:lineRule="exact"/>
        <w:rPr>
          <w:sz w:val="20"/>
          <w:szCs w:val="20"/>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and rate of market acceptance of our products and Aquablation therapy;</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and timing of investment in our sales force and expansion of our commercial organization;</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rate of progress and cost of our current or future clinical trials and registries;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our research and development activities;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additional regulatory clearances or approvals;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any product recall that may occur;</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the manufacturing of our products at increased production levels;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attaining, defending and enforcing our intellectual property rights;</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acquire third-party companies, products or technologies;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other collaborative, licensing and other arrangements that we may establish;</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emergence of competing technologies or other adverse market developments; and</w:t>
      </w:r>
    </w:p>
    <w:p>
      <w:pPr>
        <w:spacing w:after="0" w:line="16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at which we expand internationally.</w:t>
      </w:r>
    </w:p>
    <w:p>
      <w:pPr>
        <w:spacing w:after="0" w:line="165" w:lineRule="exact"/>
        <w:rPr>
          <w:sz w:val="20"/>
          <w:szCs w:val="20"/>
          <w:color w:val="auto"/>
        </w:rPr>
      </w:pPr>
    </w:p>
    <w:p>
      <w:pPr>
        <w:ind w:firstLine="309"/>
        <w:spacing w:after="0" w:line="257" w:lineRule="auto"/>
        <w:rPr>
          <w:sz w:val="20"/>
          <w:szCs w:val="20"/>
          <w:color w:val="auto"/>
        </w:rPr>
      </w:pPr>
      <w:r>
        <w:rPr>
          <w:rFonts w:ascii="Times New Roman" w:cs="Times New Roman" w:eastAsia="Times New Roman" w:hAnsi="Times New Roman"/>
          <w:sz w:val="17"/>
          <w:szCs w:val="17"/>
          <w:color w:val="auto"/>
        </w:rPr>
        <w:t>Based on our operating plan, we currently believe that our existing cash and cash equivalents and anticipated revenue will be sufficient to meet our capital requirements and fund our operations through at least the next twelve months from the issuance date of the financial statements. We have based this estimate on assumptions that may prove to be wrong, and we may need to utilize additional available capital resources. If these sources are insufficient to satisfy our liquidity requirements, we may seek to sell additional public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71" w:lineRule="exact"/>
        <w:rPr>
          <w:sz w:val="20"/>
          <w:szCs w:val="20"/>
          <w:color w:val="auto"/>
        </w:rPr>
      </w:pPr>
    </w:p>
    <w:p>
      <w:pPr>
        <w:ind w:right="160" w:firstLine="309"/>
        <w:spacing w:after="0" w:line="264" w:lineRule="auto"/>
        <w:rPr>
          <w:sz w:val="20"/>
          <w:szCs w:val="20"/>
          <w:color w:val="auto"/>
        </w:rPr>
      </w:pPr>
      <w:r>
        <w:rPr>
          <w:rFonts w:ascii="Times New Roman" w:cs="Times New Roman" w:eastAsia="Times New Roman" w:hAnsi="Times New Roman"/>
          <w:sz w:val="17"/>
          <w:szCs w:val="17"/>
          <w:color w:val="auto"/>
        </w:rPr>
        <w:t>In October 2022, we entered into a loan and security agreement with Canadian Imperial Bank of Commerce. The Agreement provides for a senior secured term loan facility in the aggregate principal amount of $52.0 million, which was borrowed in full. Proceeds from the term loan facility were used to repay and terminate our previous loan facility, transaction fees, and related expenses. Proceeds from the term loan facility was used to repay and terminate the our previous loan facility, transaction fees, and related expenses.</w:t>
      </w:r>
    </w:p>
    <w:p>
      <w:pPr>
        <w:spacing w:after="0" w:line="120" w:lineRule="exact"/>
        <w:rPr>
          <w:sz w:val="20"/>
          <w:szCs w:val="20"/>
          <w:color w:val="auto"/>
        </w:rPr>
      </w:pPr>
    </w:p>
    <w:p>
      <w:pPr>
        <w:ind w:right="160" w:firstLine="309"/>
        <w:spacing w:after="0" w:line="260" w:lineRule="auto"/>
        <w:rPr>
          <w:sz w:val="20"/>
          <w:szCs w:val="20"/>
          <w:color w:val="auto"/>
        </w:rPr>
      </w:pPr>
      <w:r>
        <w:rPr>
          <w:rFonts w:ascii="Times New Roman" w:cs="Times New Roman" w:eastAsia="Times New Roman" w:hAnsi="Times New Roman"/>
          <w:sz w:val="17"/>
          <w:szCs w:val="17"/>
          <w:color w:val="auto"/>
        </w:rPr>
        <w:t>The term loan facility is scheduled to mature on October 6, 2027, the fifth anniversary of the Closing Date (the "Maturity Date"). The loan and security agreement provides for interest-only payments on the term loan facility for the first thirty-six months following the Closing Date (the "Initial Interest-Only Period"). The Initial Interest-Only Period will be extended to an additional twelve months if we achieve either (i) $200.0 million or greater in revenue in any twelve-month period or (ii) $0 or greater in EBITDA in any six-month period. Thereafter, amortization payments on the Term Loan Facility will be payable monthly until the Maturity Date in monthly installments equal to 20% of the then outstanding principal amount of the Term Loan Facility divided by 12 plus any accrued and unpaid interest. We have the option to prepay the Term Loan Facility without any prepayment charge or fee.</w:t>
      </w:r>
    </w:p>
    <w:p>
      <w:pPr>
        <w:spacing w:after="0" w:line="122"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7"/>
          <w:szCs w:val="17"/>
          <w:color w:val="auto"/>
        </w:rPr>
        <w:t>The loan borrowed under the Term Loan Facility bears interest at an annual rate equal to the secured overnight financing rate ("SOFR") (calculated based on an adjustment of 0.10%, 0.15% and 0.25%, respectively, for one-month, three-month or six-month term SOFR as of a specified date, subject to a floor of 1.5%) plus an applicable margin of 2.25%.</w:t>
      </w:r>
    </w:p>
    <w:p>
      <w:pPr>
        <w:spacing w:after="0" w:line="114" w:lineRule="exact"/>
        <w:rPr>
          <w:sz w:val="20"/>
          <w:szCs w:val="20"/>
          <w:color w:val="auto"/>
        </w:rPr>
      </w:pPr>
    </w:p>
    <w:p>
      <w:pPr>
        <w:jc w:val="both"/>
        <w:ind w:right="120" w:firstLine="309"/>
        <w:spacing w:after="0" w:line="270" w:lineRule="auto"/>
        <w:rPr>
          <w:sz w:val="20"/>
          <w:szCs w:val="20"/>
          <w:color w:val="auto"/>
        </w:rPr>
      </w:pPr>
      <w:r>
        <w:rPr>
          <w:rFonts w:ascii="Times New Roman" w:cs="Times New Roman" w:eastAsia="Times New Roman" w:hAnsi="Times New Roman"/>
          <w:sz w:val="17"/>
          <w:szCs w:val="17"/>
          <w:color w:val="auto"/>
        </w:rPr>
        <w:t>The obligations under the loan and security agreement are secured by substantially all of our assets, including its intellectual property and by a pledge all of our equity interests in its U.S. subsidiaries and 65% of our equity interests in its non-U.S. subsidiaries that are directly owned by us. We are obligated to maintain in deposit accounts held at the lender equal to at least the lesser of (i) $90.0 million or (ii) all of our non-operating cash.</w:t>
      </w:r>
    </w:p>
    <w:p>
      <w:pPr>
        <w:spacing w:after="0" w:line="114"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The loan and security agreement contains certain customary representations and warranties, affirmative and negative covenants, and events of default. Under the loan and security agreement, if we maintain less than $100.0 million in available cash, then we are required to meet either one of two financial covenants: a minimum unrestricted cash covenant or a minimum revenue and growth covenant. The minimum unrestricted cash covenant requires that we to maintain cash reserve not less than the greater of (i) $20.0 million, (ii) the absolute value of EBITDA losses (if any) for the most recent consecutive four-month period then ended or (iii) the aggregate outstanding principal amount of $52.0 million. The minimum revenue and growth covenant requires our revenue, for the consecutive twelve-month period as of each measurement date, of not less than $50.0 million and of at least 115% as of the last day of the consecutive twelve-month period of the immediately preceding year. If we maintain at least $100.0 million in available cash, then it is not required to meet such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years ended December 31, 2023, 2022, and 2021:</w:t>
      </w:r>
    </w:p>
    <w:p>
      <w:pPr>
        <w:spacing w:after="0" w:line="195"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0"/>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9"/>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(108,003)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(80,382)</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(57,334)</w:t>
            </w:r>
          </w:p>
        </w:tc>
      </w:tr>
      <w:tr>
        <w:trPr>
          <w:trHeight w:val="219"/>
        </w:trPr>
        <w:tc>
          <w:tcPr>
            <w:tcW w:w="6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19"/>
        </w:trPr>
        <w:tc>
          <w:tcPr>
            <w:tcW w:w="66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167,795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262,116</w:t>
            </w:r>
          </w:p>
        </w:tc>
      </w:tr>
      <w:tr>
        <w:trPr>
          <w:trHeight w:val="237"/>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34,586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(79,423)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204,190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Operating Activities</w:t>
      </w:r>
    </w:p>
    <w:p>
      <w:pPr>
        <w:spacing w:after="0" w:line="171"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During the year ended December 31, 2023, net cash used in operating activities was $108.0 million, consisting primarily of a net loss of $105.9 million and an increase in net operating assets of $26.2 million, partially offset by non-cash charges of $24.1 million. The cash used in operations was primarily due to our net loss due to the increase in operating expenses to support our commercialization and development activities. The expansion of our commercialization resulted in an increases in inventory, accounts receivable, and long-term assets, a decrease in other accrued liabilities, partially offset by a decrease in prepaid expenses and other current assets, and increases in accounts payable, deferred revenue, lease liabilities, accrued compensation and accrued interest expense. Non-cash charges consisted primarily of stock-based compensation, and depreciation.</w:t>
      </w:r>
    </w:p>
    <w:p>
      <w:pPr>
        <w:spacing w:after="0" w:line="122" w:lineRule="exact"/>
        <w:rPr>
          <w:sz w:val="20"/>
          <w:szCs w:val="20"/>
          <w:color w:val="auto"/>
        </w:rPr>
      </w:pPr>
    </w:p>
    <w:p>
      <w:pPr>
        <w:ind w:right="60" w:firstLine="309"/>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2022, net cash used in operating activities was $80.4 million, consisting primarily of a net loss of $87.2 million and an increase in net operating assets of $11.5 million, partially offset by non-cash charges of $18.3 million. The cash used in operations was primarily due to our net loss due to the increase in operating expenses to support our commercialization and development activities. The expansion of our commercialization resulted in an increase in inventory, accounts receivable and prepaid expenses and other current assets, partially offset by an increase in other current liabilities, accrued compensation and accrued interest expense. Non-cash charges consisted primarily of stock-based compensation, depreciation, and loss on loan extinguishment.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2023, net cash used in investing activities was $25.2 million, consisting of purchases of property and equipment.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year ended December 31, 2022, net cash used in investing activities was $2.7 million, consisting of purchases of property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171"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2023, net cash provided by financing activities was $167.8 million, consisting primarily of proceeds from the issuance of common stock of $161.7 million, net of issuance costs, and proceeds of $2.5 million from the exercise of stock options.</w:t>
      </w:r>
    </w:p>
    <w:p>
      <w:pPr>
        <w:spacing w:after="0" w:line="100" w:lineRule="exact"/>
        <w:rPr>
          <w:sz w:val="20"/>
          <w:szCs w:val="20"/>
          <w:color w:val="auto"/>
        </w:rPr>
      </w:pPr>
    </w:p>
    <w:p>
      <w:pPr>
        <w:jc w:val="both"/>
        <w:ind w:right="200" w:firstLine="30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2022, net cash provided by financing activities was $3.6 million, consisting primarily of proceeds from the issuance of long-term debt of $51.2 million, net of issuance costs, proceeds of $4.0 million from the exercise of stock options, partially offset by the payment of principal of long-term debt of $50.0 million and prepayment fees associated with our previous loan facility.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Commitments and Contingencies</w:t>
      </w:r>
    </w:p>
    <w:p>
      <w:pPr>
        <w:spacing w:after="0" w:line="169" w:lineRule="exact"/>
        <w:rPr>
          <w:sz w:val="20"/>
          <w:szCs w:val="20"/>
          <w:color w:val="auto"/>
        </w:rPr>
      </w:pPr>
    </w:p>
    <w:p>
      <w:pPr>
        <w:jc w:val="both"/>
        <w:ind w:right="200" w:firstLine="309"/>
        <w:spacing w:after="0" w:line="287" w:lineRule="auto"/>
        <w:rPr>
          <w:sz w:val="20"/>
          <w:szCs w:val="20"/>
          <w:color w:val="auto"/>
        </w:rPr>
      </w:pPr>
      <w:r>
        <w:rPr>
          <w:rFonts w:ascii="Times New Roman" w:cs="Times New Roman" w:eastAsia="Times New Roman" w:hAnsi="Times New Roman"/>
          <w:sz w:val="17"/>
          <w:szCs w:val="17"/>
          <w:color w:val="auto"/>
        </w:rPr>
        <w:t>The information included in Note 11 to the consolidated financial statements included in Part II, Item 8 of this Annual Report on Form 10-K is incorporated herein by reference.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69"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such as structured finance, special purpose entities or variable interest entities.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69" w:lineRule="exact"/>
        <w:rPr>
          <w:sz w:val="20"/>
          <w:szCs w:val="20"/>
          <w:color w:val="auto"/>
        </w:rPr>
      </w:pPr>
    </w:p>
    <w:p>
      <w:pPr>
        <w:jc w:val="both"/>
        <w:ind w:right="60" w:firstLine="309"/>
        <w:spacing w:after="0" w:line="260" w:lineRule="auto"/>
        <w:rPr>
          <w:sz w:val="20"/>
          <w:szCs w:val="20"/>
          <w:color w:val="auto"/>
        </w:rPr>
      </w:pPr>
      <w:r>
        <w:rPr>
          <w:rFonts w:ascii="Times New Roman" w:cs="Times New Roman" w:eastAsia="Times New Roman" w:hAnsi="Times New Roman"/>
          <w:sz w:val="17"/>
          <w:szCs w:val="17"/>
          <w:color w:val="auto"/>
        </w:rPr>
        <w:t>Management’s discussion and analysis of our financial condition and results of operations is based on our financial statements, which have been prepared in accordance with U.S. generally accepted accounting principles. The preparation of the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22"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While our significant accounting policies are more fully described in Note 2 of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Revenue is derived primarily from the sales of the AquaBeam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14" w:lineRule="exact"/>
        <w:rPr>
          <w:sz w:val="20"/>
          <w:szCs w:val="20"/>
          <w:color w:val="auto"/>
        </w:rPr>
      </w:pPr>
    </w:p>
    <w:p>
      <w:pPr>
        <w:ind w:right="140" w:firstLine="309"/>
        <w:spacing w:after="0" w:line="260" w:lineRule="auto"/>
        <w:rPr>
          <w:sz w:val="20"/>
          <w:szCs w:val="20"/>
          <w:color w:val="auto"/>
        </w:rPr>
      </w:pPr>
      <w:r>
        <w:rPr>
          <w:rFonts w:ascii="Times New Roman" w:cs="Times New Roman" w:eastAsia="Times New Roman" w:hAnsi="Times New Roman"/>
          <w:sz w:val="17"/>
          <w:szCs w:val="17"/>
          <w:color w:val="auto"/>
        </w:rPr>
        <w:t>To determine revenue recognition for arrangements that we determine are within the scope of Accounting Standards Codification, or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we perform the following five steps: (i) identify the contract with a customer; (ii) identify the performance obligations in the contract; (iii) determine the transaction price; (iv) allocate the transaction price to the performance obligations in the contract; and</w:t>
      </w:r>
    </w:p>
    <w:p>
      <w:pPr>
        <w:jc w:val="both"/>
        <w:ind w:right="140" w:firstLine="3"/>
        <w:spacing w:after="0" w:line="257" w:lineRule="auto"/>
        <w:tabs>
          <w:tab w:leader="none" w:pos="243"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we satisfy the performance obligations.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based on the contract.</w:t>
      </w:r>
    </w:p>
    <w:p>
      <w:pPr>
        <w:spacing w:after="0" w:line="126" w:lineRule="exact"/>
        <w:rPr>
          <w:sz w:val="20"/>
          <w:szCs w:val="20"/>
          <w:color w:val="auto"/>
        </w:rPr>
      </w:pPr>
    </w:p>
    <w:p>
      <w:pPr>
        <w:jc w:val="both"/>
        <w:ind w:right="40" w:firstLine="309"/>
        <w:spacing w:after="0" w:line="287" w:lineRule="auto"/>
        <w:rPr>
          <w:sz w:val="20"/>
          <w:szCs w:val="20"/>
          <w:color w:val="auto"/>
        </w:rPr>
      </w:pPr>
      <w:r>
        <w:rPr>
          <w:rFonts w:ascii="Times New Roman" w:cs="Times New Roman" w:eastAsia="Times New Roman" w:hAnsi="Times New Roman"/>
          <w:sz w:val="17"/>
          <w:szCs w:val="17"/>
          <w:color w:val="auto"/>
        </w:rPr>
        <w:t>The contracts are typically in the form of a master agreement and a purchase order from the customer. Our AquaBeam Robotic System sales generally contain multiple products and services and can include a combination of the following performance obligations: robotic system, handpieces and consumables, and service.</w:t>
      </w:r>
    </w:p>
    <w:p>
      <w:pPr>
        <w:spacing w:after="0" w:line="100"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7"/>
          <w:szCs w:val="17"/>
          <w:color w:val="auto"/>
        </w:rPr>
        <w:t>The Company determines the transaction price it expects to be entitled to in exchange for transferring the promised product to the customer, which is based on the invoiced price for the products. All prices are at fixed amounts per the sales agreement with the customer. The Company generally issues no discounts or other price concessions or a right of return, once the agreement is signed. The Company has granted rebates on a limited basis, and those rebates have been historically immaterial.</w:t>
      </w:r>
    </w:p>
    <w:p>
      <w:pPr>
        <w:spacing w:after="0" w:line="120"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considering market conditions and entity-specific factors including, but not limited to, features and functionality of the products and services, geographies, and type of customer. We regularly review standalone selling prices and update these estimates as necessary.</w:t>
      </w:r>
    </w:p>
    <w:p>
      <w:pPr>
        <w:spacing w:after="0" w:line="120"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We recognize revenue as the performance obligations are satisfied by transferring control of the product or service to a customer. We generally recognize revenue for the performance obligations at the following points in time:</w:t>
      </w:r>
    </w:p>
    <w:p>
      <w:pPr>
        <w:spacing w:after="0" w:line="96" w:lineRule="exact"/>
        <w:rPr>
          <w:sz w:val="20"/>
          <w:szCs w:val="20"/>
          <w:color w:val="auto"/>
        </w:rPr>
      </w:pPr>
    </w:p>
    <w:p>
      <w:pPr>
        <w:ind w:right="60" w:firstLine="30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AquaBeam Robotic Systems </w:t>
      </w:r>
      <w:r>
        <w:rPr>
          <w:rFonts w:ascii="Times New Roman" w:cs="Times New Roman" w:eastAsia="Times New Roman" w:hAnsi="Times New Roman"/>
          <w:sz w:val="17"/>
          <w:szCs w:val="17"/>
          <w:color w:val="auto"/>
        </w:rPr>
        <w:t>- For systems (including system components and system accessories) sold directly to end customers, revenue is recognized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transfer control to the customer, which is generally at the time of delivery. For systems sold through distributors, revenue is recognized generally at the time of delivery. Our system arrangements generally do not provide a right of return. The systems are generally covered by a one-year service agreement. The service agreements have a stand alone selling price and are typically recognized as deferred revenue and amortized over the one-year service period.</w:t>
      </w:r>
    </w:p>
    <w:p>
      <w:pPr>
        <w:spacing w:after="0" w:line="113" w:lineRule="exact"/>
        <w:rPr>
          <w:sz w:val="20"/>
          <w:szCs w:val="20"/>
          <w:color w:val="auto"/>
        </w:rPr>
      </w:pPr>
    </w:p>
    <w:p>
      <w:pPr>
        <w:ind w:right="26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Hand pieces and other consumables </w:t>
      </w:r>
      <w:r>
        <w:rPr>
          <w:rFonts w:ascii="Times New Roman" w:cs="Times New Roman" w:eastAsia="Times New Roman" w:hAnsi="Times New Roman"/>
          <w:sz w:val="17"/>
          <w:szCs w:val="17"/>
          <w:color w:val="auto"/>
        </w:rPr>
        <w:t>- Revenue from sales of handpieces and other consumables is recognized when control is transferred to the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generally occurs at the time of shipment but also occurs at the time of delivery.</w:t>
      </w:r>
    </w:p>
    <w:p>
      <w:pPr>
        <w:spacing w:after="0" w:line="200" w:lineRule="exact"/>
        <w:rPr>
          <w:sz w:val="20"/>
          <w:szCs w:val="20"/>
          <w:color w:val="auto"/>
        </w:rPr>
      </w:pPr>
    </w:p>
    <w:p>
      <w:pPr>
        <w:spacing w:after="0" w:line="3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78"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42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Service </w:t>
      </w:r>
      <w:r>
        <w:rPr>
          <w:rFonts w:ascii="Times New Roman" w:cs="Times New Roman" w:eastAsia="Times New Roman" w:hAnsi="Times New Roman"/>
          <w:sz w:val="17"/>
          <w:szCs w:val="17"/>
          <w:color w:val="auto"/>
        </w:rPr>
        <w:t>- Service revenue, inclusive of the amounts associated with the AquaBeam Robotic System warranties, is recognized over the term of the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as the customer benefits from the services throughout the service period.</w:t>
      </w:r>
    </w:p>
    <w:p>
      <w:pPr>
        <w:spacing w:after="0" w:line="96"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We determined that certain promises in the multiple-element arrangements, such as installation, training and certain ancillary products, are immaterial, and do not represent separate performance obligations for which transaction price is allocated.</w:t>
      </w:r>
    </w:p>
    <w:p>
      <w:pPr>
        <w:spacing w:after="0" w:line="100" w:lineRule="exact"/>
        <w:rPr>
          <w:sz w:val="20"/>
          <w:szCs w:val="20"/>
          <w:color w:val="auto"/>
        </w:rPr>
      </w:pPr>
    </w:p>
    <w:p>
      <w:pPr>
        <w:ind w:right="320" w:firstLine="309"/>
        <w:spacing w:after="0" w:line="264" w:lineRule="auto"/>
        <w:rPr>
          <w:sz w:val="20"/>
          <w:szCs w:val="20"/>
          <w:color w:val="auto"/>
        </w:rPr>
      </w:pPr>
      <w:r>
        <w:rPr>
          <w:rFonts w:ascii="Times New Roman" w:cs="Times New Roman" w:eastAsia="Times New Roman" w:hAnsi="Times New Roman"/>
          <w:sz w:val="17"/>
          <w:szCs w:val="17"/>
          <w:color w:val="auto"/>
        </w:rPr>
        <w:t>We must make significant assumptions regarding the future collectability of amounts receivable from customers to determine whether revenue recognition criteria have been met. If collectability is not assured at the time of shipment, we defer revenue until such criteria have been met. Our standard terms and conditions of sale do not allow for product returns, and we generally do not allow product returns, except in the case of damaged goods, and we have not experienced any significant returns of our products.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6" w:lineRule="exact"/>
        <w:rPr>
          <w:sz w:val="20"/>
          <w:szCs w:val="20"/>
          <w:color w:val="auto"/>
        </w:rPr>
      </w:pPr>
    </w:p>
    <w:p>
      <w:pPr>
        <w:jc w:val="both"/>
        <w:ind w:right="20" w:firstLine="309"/>
        <w:spacing w:after="0" w:line="246" w:lineRule="auto"/>
        <w:rPr>
          <w:sz w:val="20"/>
          <w:szCs w:val="20"/>
          <w:color w:val="auto"/>
        </w:rPr>
      </w:pPr>
      <w:r>
        <w:rPr>
          <w:rFonts w:ascii="Times New Roman" w:cs="Times New Roman" w:eastAsia="Times New Roman" w:hAnsi="Times New Roman"/>
          <w:sz w:val="17"/>
          <w:szCs w:val="17"/>
          <w:color w:val="auto"/>
        </w:rPr>
        <w:t>We account for stock options granted to employees and directors under the fair value recognition provision of ASC 718, Compensation - Stock Compensation. Stock-based compensation expense is recognized over the requisite service period in the statements of operations and comprehensive loss. We use the straight-line method for expense attribution.</w:t>
      </w:r>
    </w:p>
    <w:p>
      <w:pPr>
        <w:spacing w:after="0" w:line="121" w:lineRule="exact"/>
        <w:rPr>
          <w:sz w:val="20"/>
          <w:szCs w:val="20"/>
          <w:color w:val="auto"/>
        </w:rPr>
      </w:pPr>
    </w:p>
    <w:p>
      <w:pPr>
        <w:ind w:right="440" w:firstLine="309"/>
        <w:spacing w:after="0" w:line="287" w:lineRule="auto"/>
        <w:rPr>
          <w:sz w:val="20"/>
          <w:szCs w:val="20"/>
          <w:color w:val="auto"/>
        </w:rPr>
      </w:pPr>
      <w:r>
        <w:rPr>
          <w:rFonts w:ascii="Times New Roman" w:cs="Times New Roman" w:eastAsia="Times New Roman" w:hAnsi="Times New Roman"/>
          <w:sz w:val="17"/>
          <w:szCs w:val="17"/>
          <w:color w:val="auto"/>
        </w:rPr>
        <w:t>The valuation model used for calculating the fair value of awards for stock options is the Black-Scholes option pricing model. The Black-Scholes option pricing model requires us to make assumptions and judgments about the variables used in the calculation, including the following:</w:t>
      </w:r>
    </w:p>
    <w:p>
      <w:pPr>
        <w:spacing w:after="0" w:line="96" w:lineRule="exact"/>
        <w:rPr>
          <w:sz w:val="20"/>
          <w:szCs w:val="20"/>
          <w:color w:val="auto"/>
        </w:rPr>
      </w:pPr>
    </w:p>
    <w:p>
      <w:pPr>
        <w:ind w:right="40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 The expected term of stock options represents the weighted-average period that the stock options are expected to remain outstanding.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the expected term based on the simplified method, which is the average of the weighted-average vesting period and contractual term of the option.</w:t>
      </w:r>
    </w:p>
    <w:p>
      <w:pPr>
        <w:spacing w:after="0" w:line="92" w:lineRule="exact"/>
        <w:rPr>
          <w:sz w:val="20"/>
          <w:szCs w:val="20"/>
          <w:color w:val="auto"/>
        </w:rPr>
      </w:pPr>
    </w:p>
    <w:p>
      <w:pPr>
        <w:ind w:right="180" w:firstLine="30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Since there has been limited public market for our common stock and limited company specific historical volatility, we have determined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share price volatility for options granted based on an analysis of the volatility of a peer group of publicly traded companies. In evaluating similarity, we consider factors such as industry, stage of life cycle and size.</w:t>
      </w:r>
    </w:p>
    <w:p>
      <w:pPr>
        <w:spacing w:after="0" w:line="109" w:lineRule="exact"/>
        <w:rPr>
          <w:sz w:val="20"/>
          <w:szCs w:val="20"/>
          <w:color w:val="auto"/>
        </w:rPr>
      </w:pPr>
    </w:p>
    <w:p>
      <w:pPr>
        <w:ind w:right="32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interest rate is based on the U.S. Treasury yield in effect at the time of the grant for zero-coupon U.S. Treasury notes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remaining terms similar to the expected term of the options.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Expected Dividend Rate. </w:t>
      </w:r>
      <w:r>
        <w:rPr>
          <w:rFonts w:ascii="Times New Roman" w:cs="Times New Roman" w:eastAsia="Times New Roman" w:hAnsi="Times New Roman"/>
          <w:sz w:val="17"/>
          <w:szCs w:val="17"/>
          <w:color w:val="auto"/>
        </w:rPr>
        <w:t>We assumed the expected dividend rate to be zero as we have never paid dividends and have no current plans to do so.</w:t>
      </w:r>
    </w:p>
    <w:p>
      <w:pPr>
        <w:spacing w:after="0" w:line="169"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See Note 7 to our consolidated financial statements included elsewhere in this Annual Report Form 10-K for information concerning certain of the specific assumption we used in applying the Black-Scholes option pricing model to determine the fair value of our stock options granted in the years ended December 31, 2023 and 2022. If factors change and we employ different assumptions, stock-based compensation expense may differ significantly from what we have recorded in the past. If there are any modifications or cancellations of the underlying unvested securities, we may be required to accelerate, increase or cancel any remaining unearned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Facility Derivative Liability</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We have determined that our obligation to pay success fees to a lender upon a successful liquidation event or achieving a revenue target represents freestanding financial instruments. The instrument is classified as a current liability in the consolidated balance sheets and is subject to remeasurement at each consolidated balance sheet date. Any change in fair value is recognized through other income (expense) in the consolidated statements of operations and comprehensive loss. We adjust the carrying values of the loan facility derivative liability for changes in fair value and will continue to do so until the earlier of cash payment or expiration. The assumptions used in determining the fair value of the obligation require significant judgment.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discussion of recent accounting pronouncements is included in Note 2 to our financial statements contained in this Annual Report on Form 10-K.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71"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Cash and cash equivalents of $257.2 million as of December 31, 2023, consisted of securities carried at quoted market prices with an original maturity of three months or less and therefore there is minimal risk associated with fluctuating interest rates. We do not currently use or plan to use financial derivatives in our investment portfolio.</w:t>
      </w:r>
    </w:p>
    <w:p>
      <w:pPr>
        <w:spacing w:after="0" w:line="11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In addition, as described above under the subsection titled “Indebtedness,” amounts outstanding under our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 As a result, we are exposed to risks from changes in interest rates. We do not believe that a hypothetical 100 basis point increase or decrease in interest rates or 30-day SOFR would have had a material impact on our financial statements included elsewhere in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71" w:lineRule="exact"/>
        <w:rPr>
          <w:sz w:val="20"/>
          <w:szCs w:val="20"/>
          <w:color w:val="auto"/>
        </w:rPr>
      </w:pPr>
    </w:p>
    <w:p>
      <w:pPr>
        <w:ind w:right="20" w:firstLine="309"/>
        <w:spacing w:after="0" w:line="270" w:lineRule="auto"/>
        <w:rPr>
          <w:sz w:val="20"/>
          <w:szCs w:val="20"/>
          <w:color w:val="auto"/>
        </w:rPr>
      </w:pPr>
      <w:r>
        <w:rPr>
          <w:rFonts w:ascii="Times New Roman" w:cs="Times New Roman" w:eastAsia="Times New Roman" w:hAnsi="Times New Roman"/>
          <w:sz w:val="17"/>
          <w:szCs w:val="17"/>
          <w:color w:val="auto"/>
        </w:rPr>
        <w:t>We maintain our cash and cash equivalents with multiple financial institutions in the United States, and our current deposits are in excess of insured limits. We have reviewed the financial statements of these institutions and believe it has sufficient assets and liquidity to conduct its operations in the ordinary course of business with little or no credit risk to us.</w:t>
      </w:r>
    </w:p>
    <w:p>
      <w:pPr>
        <w:spacing w:after="0" w:line="114"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Our accounts receivable primarily relate to revenue from the sale or rental of our products. No customers accounted for greater than 10% of accounts receivable at December 31, 2023. We believe that credit risk in our accounts receivable is mitigated by our credit evaluation process, relatively short collection terms and diversity of our customer base.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Risk</w:t>
      </w:r>
    </w:p>
    <w:p>
      <w:pPr>
        <w:spacing w:after="0" w:line="171" w:lineRule="exact"/>
        <w:rPr>
          <w:sz w:val="20"/>
          <w:szCs w:val="20"/>
          <w:color w:val="auto"/>
        </w:rPr>
      </w:pPr>
    </w:p>
    <w:p>
      <w:pPr>
        <w:ind w:right="80" w:firstLine="309"/>
        <w:spacing w:after="0" w:line="260" w:lineRule="auto"/>
        <w:rPr>
          <w:sz w:val="20"/>
          <w:szCs w:val="20"/>
          <w:color w:val="auto"/>
        </w:rPr>
      </w:pPr>
      <w:r>
        <w:rPr>
          <w:rFonts w:ascii="Times New Roman" w:cs="Times New Roman" w:eastAsia="Times New Roman" w:hAnsi="Times New Roman"/>
          <w:sz w:val="17"/>
          <w:szCs w:val="17"/>
          <w:color w:val="auto"/>
        </w:rPr>
        <w:t>A portion of our net sales and expenses are denominated in foreign currencies, most notably the Euro. Future fluctuations in the value of the U.S. Dollar may affect the price competitiveness of our products outside the United States. For direct sales outside the United States, we sell in both U.S. Dollars and local currencies, which could expose us to additional foreign currency risks, including changes in currency exchange rates.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impact on our financial statements included elsewhere in this Annual Report on Form 10-K.</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do not currently maintain a program to hedge exposures to non-U.S. dollar currencies.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Effects of Inflation</w:t>
      </w:r>
    </w:p>
    <w:p>
      <w:pPr>
        <w:spacing w:after="0" w:line="171"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research and development contract costs. We do not believe that inflation had a material effect on our financial statements included elsewhere in this Annual Report on Form 10-K.</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2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47"/>
        </w:trPr>
        <w:tc>
          <w:tcPr>
            <w:tcW w:w="10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 Audited Financial Statements</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Years Ended December 31, 2023 and 2022</w:t>
            </w:r>
          </w:p>
        </w:tc>
        <w:tc>
          <w:tcPr>
            <w:tcW w:w="920" w:type="dxa"/>
            <w:vAlign w:val="bottom"/>
          </w:tcPr>
          <w:p>
            <w:pPr>
              <w:spacing w:after="0"/>
              <w:rPr>
                <w:sz w:val="24"/>
                <w:szCs w:val="24"/>
                <w:color w:val="auto"/>
              </w:rPr>
            </w:pPr>
          </w:p>
        </w:tc>
      </w:tr>
      <w:tr>
        <w:trPr>
          <w:trHeight w:val="786"/>
        </w:trPr>
        <w:tc>
          <w:tcPr>
            <w:tcW w:w="12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209"/>
        </w:trPr>
        <w:tc>
          <w:tcPr>
            <w:tcW w:w="10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(PCAOB Firm ID 238)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r>
      <w:tr>
        <w:trPr>
          <w:trHeight w:val="219"/>
        </w:trPr>
        <w:tc>
          <w:tcPr>
            <w:tcW w:w="10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920" w:type="dxa"/>
            <w:vAlign w:val="bottom"/>
          </w:tcPr>
          <w:p>
            <w:pPr>
              <w:spacing w:after="0"/>
              <w:rPr>
                <w:sz w:val="19"/>
                <w:szCs w:val="19"/>
                <w:color w:val="auto"/>
              </w:rPr>
            </w:pP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F-4</w:t>
            </w: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F-5</w:t>
            </w: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Statements of Redeemable Convertible Preferred Stock and Stockholders’ Equity (Deficit)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F-6</w:t>
            </w:r>
          </w:p>
        </w:tc>
      </w:tr>
      <w:tr>
        <w:trPr>
          <w:trHeight w:val="219"/>
        </w:trPr>
        <w:tc>
          <w:tcPr>
            <w:tcW w:w="103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F-7</w:t>
            </w:r>
          </w:p>
        </w:tc>
      </w:tr>
      <w:tr>
        <w:trPr>
          <w:trHeight w:val="223"/>
        </w:trPr>
        <w:tc>
          <w:tcPr>
            <w:tcW w:w="10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F-9</w:t>
            </w:r>
          </w:p>
        </w:tc>
      </w:tr>
      <w:tr>
        <w:trPr>
          <w:trHeight w:val="864"/>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Times New Roman" w:cs="Times New Roman" w:eastAsia="Times New Roman" w:hAnsi="Times New Roman"/>
                <w:sz w:val="17"/>
                <w:szCs w:val="17"/>
                <w:color w:val="auto"/>
              </w:rPr>
              <w:t>F-1</w:t>
            </w:r>
          </w:p>
        </w:tc>
        <w:tc>
          <w:tcPr>
            <w:tcW w:w="920" w:type="dxa"/>
            <w:vAlign w:val="bottom"/>
          </w:tcPr>
          <w:p>
            <w:pPr>
              <w:spacing w:after="0"/>
              <w:rPr>
                <w:sz w:val="24"/>
                <w:szCs w:val="24"/>
                <w:color w:val="auto"/>
              </w:rPr>
            </w:pPr>
          </w:p>
        </w:tc>
      </w:tr>
      <w:tr>
        <w:trPr>
          <w:trHeight w:val="108"/>
        </w:trPr>
        <w:tc>
          <w:tcPr>
            <w:tcW w:w="1220" w:type="dxa"/>
            <w:vAlign w:val="bottom"/>
            <w:tcBorders>
              <w:bottom w:val="single" w:sz="8" w:color="9A9A9A"/>
            </w:tcBorders>
          </w:tcPr>
          <w:p>
            <w:pPr>
              <w:spacing w:after="0"/>
              <w:rPr>
                <w:sz w:val="9"/>
                <w:szCs w:val="9"/>
                <w:color w:val="auto"/>
              </w:rPr>
            </w:pPr>
          </w:p>
        </w:tc>
        <w:tc>
          <w:tcPr>
            <w:tcW w:w="9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PROCEPT BioRobotics Corporation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7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PROCEPT BioRobotics Corporation and its subsidiaries (the “Company”) as of December 31, 2023 and 2022, and the related consolidated statements of operations and comprehensive loss, of redeemable convertible preferred stock and stockholders’ equity (deficit)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00" w:lineRule="exact"/>
        <w:rPr>
          <w:sz w:val="20"/>
          <w:szCs w:val="20"/>
          <w:color w:val="auto"/>
        </w:rPr>
      </w:pPr>
    </w:p>
    <w:p>
      <w:pPr>
        <w:spacing w:after="0" w:line="2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AquaBeam Robotic Systems Revenue Recognition</w:t>
      </w:r>
    </w:p>
    <w:p>
      <w:pPr>
        <w:spacing w:after="0" w:line="1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described in Notes 2 and 10 to the consolidated financial statements, for the year ended December 31, 2023, the Company recognized system sales and rentals revenue of $58.9 million, which the majority relates to AquaBeam Robotic Systems. The Company’s AquaBeam Robotic Systems sales generally contain multiple products and services and can include a combination of the following performance obligations: robotic system, handpieces and consumables, and service. The Company recognizes revenue as the performance obligations are satisfied by transferring control of the product or service to a customer. For AquaBeam Robotic Systems (including system components and system accessories) sold directly to end customers, revenue is recognized when the Company transfers control to the customer, which is generally at the time of delivery.</w:t>
      </w:r>
    </w:p>
    <w:p>
      <w:pPr>
        <w:spacing w:after="0" w:line="12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AquaBeam Robotic Systems revenue recognition is a critical audit matter are the high degree of auditor subjectivity and effort in performing procedures and evaluating audit evidence related to the AquaBeam Robotic Systems revenue recognition.</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evaluating the recognition of revenue on a sample basis by (i) evaluating the terms of master service agreements and related contracts, (ii) identifying and assessing performance obligations, and (iii) obtaining and evaluating the underlying purchase orders, shipping documents, invoices, and payment support, as applicable.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28, 2024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2020.</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8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257,222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221,859</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Restricted cash, current</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15,272</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39,756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28,543</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6,175</w:t>
            </w:r>
          </w:p>
        </w:tc>
      </w:tr>
      <w:tr>
        <w:trPr>
          <w:trHeight w:val="179"/>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current assets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350,567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272,626</w:t>
            </w:r>
          </w:p>
        </w:tc>
      </w:tr>
      <w:tr>
        <w:trPr>
          <w:trHeight w:val="201"/>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8,656</w:t>
            </w:r>
          </w:p>
        </w:tc>
      </w:tr>
      <w:tr>
        <w:trPr>
          <w:trHeight w:val="201"/>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23,481</w:t>
            </w: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r>
      <w:tr>
        <w:trPr>
          <w:trHeight w:val="19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93"/>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Total assets</w:t>
            </w:r>
          </w:p>
        </w:tc>
        <w:tc>
          <w:tcPr>
            <w:tcW w:w="9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404,717</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309,329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9"/>
        </w:trPr>
        <w:tc>
          <w:tcPr>
            <w:tcW w:w="818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9,391</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13,447</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Operating leases, current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 facility derivative liability, current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6,318</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7,468</w:t>
            </w:r>
          </w:p>
        </w:tc>
      </w:tr>
      <w:tr>
        <w:trPr>
          <w:trHeight w:val="193"/>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45,927</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35,290</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51,213</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leases, non-current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23,975</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Loan facility derivative liability, non-current</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8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123,965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112,257</w:t>
            </w:r>
          </w:p>
        </w:tc>
      </w:tr>
      <w:tr>
        <w:trPr>
          <w:trHeight w:val="18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Preferred stock, $0.00001 par value;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Authorized shares: 10,000 at December 31, 2023 and 2022, respectively</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Issued and outstanding shares: none at December 31, 2023 and 2022</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1"/>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Authorized shares: 300,000 at December 31, 2023 and 2022, respectively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6"/>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Issued and outstanding shares: 50,771 and 44,828 at December 31, 2023 and 2022, respectively</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735,240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545,753</w:t>
            </w:r>
          </w:p>
        </w:tc>
      </w:tr>
      <w:tr>
        <w:trPr>
          <w:trHeight w:val="186"/>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Accumulated other comprehensive gain (loss)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1"/>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deficit</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(454,572)</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(348,675)</w:t>
            </w:r>
          </w:p>
        </w:tc>
      </w:tr>
      <w:tr>
        <w:trPr>
          <w:trHeight w:val="17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280,752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197,072</w:t>
            </w:r>
          </w:p>
        </w:tc>
      </w:tr>
      <w:tr>
        <w:trPr>
          <w:trHeight w:val="218"/>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404,717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309,329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136,191</w:t>
            </w:r>
          </w:p>
        </w:tc>
        <w:tc>
          <w:tcPr>
            <w:tcW w:w="44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34,473</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65,142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37,929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18,608</w:t>
            </w:r>
          </w:p>
        </w:tc>
        <w:tc>
          <w:tcPr>
            <w:tcW w:w="0" w:type="dxa"/>
            <w:vAlign w:val="bottom"/>
          </w:tcPr>
          <w:p>
            <w:pPr>
              <w:spacing w:after="0"/>
              <w:rPr>
                <w:sz w:val="1"/>
                <w:szCs w:val="1"/>
                <w:color w:val="auto"/>
              </w:rPr>
            </w:pPr>
          </w:p>
        </w:tc>
      </w:tr>
      <w:tr>
        <w:trPr>
          <w:trHeight w:val="19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15,865</w:t>
            </w:r>
          </w:p>
        </w:tc>
        <w:tc>
          <w:tcPr>
            <w:tcW w:w="0" w:type="dxa"/>
            <w:vAlign w:val="bottom"/>
          </w:tcPr>
          <w:p>
            <w:pPr>
              <w:spacing w:after="0"/>
              <w:rPr>
                <w:sz w:val="1"/>
                <w:szCs w:val="1"/>
                <w:color w:val="auto"/>
              </w:rPr>
            </w:pPr>
          </w:p>
        </w:tc>
      </w:tr>
      <w:tr>
        <w:trPr>
          <w:trHeight w:val="18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18,993</w:t>
            </w: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131,773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88,828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51,036</w:t>
            </w:r>
          </w:p>
        </w:tc>
        <w:tc>
          <w:tcPr>
            <w:tcW w:w="0" w:type="dxa"/>
            <w:vAlign w:val="bottom"/>
          </w:tcPr>
          <w:p>
            <w:pPr>
              <w:spacing w:after="0"/>
              <w:rPr>
                <w:sz w:val="1"/>
                <w:szCs w:val="1"/>
                <w:color w:val="auto"/>
              </w:rPr>
            </w:pPr>
          </w:p>
        </w:tc>
      </w:tr>
      <w:tr>
        <w:trPr>
          <w:trHeight w:val="193"/>
        </w:trPr>
        <w:tc>
          <w:tcPr>
            <w:tcW w:w="6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70,029</w:t>
            </w:r>
          </w:p>
        </w:tc>
        <w:tc>
          <w:tcPr>
            <w:tcW w:w="0" w:type="dxa"/>
            <w:vAlign w:val="bottom"/>
          </w:tcPr>
          <w:p>
            <w:pPr>
              <w:spacing w:after="0"/>
              <w:rPr>
                <w:sz w:val="1"/>
                <w:szCs w:val="1"/>
                <w:color w:val="auto"/>
              </w:rPr>
            </w:pPr>
          </w:p>
        </w:tc>
      </w:tr>
      <w:tr>
        <w:trPr>
          <w:trHeight w:val="179"/>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8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(109,170)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(54,164)</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w:t>
            </w:r>
          </w:p>
        </w:tc>
        <w:tc>
          <w:tcPr>
            <w:tcW w:w="0" w:type="dxa"/>
            <w:vAlign w:val="bottom"/>
          </w:tcPr>
          <w:p>
            <w:pPr>
              <w:spacing w:after="0"/>
              <w:rPr>
                <w:sz w:val="1"/>
                <w:szCs w:val="1"/>
                <w:color w:val="auto"/>
              </w:rPr>
            </w:pPr>
          </w:p>
        </w:tc>
      </w:tr>
      <w:tr>
        <w:trPr>
          <w:trHeight w:val="18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loan extinguishment</w:t>
            </w:r>
          </w:p>
        </w:tc>
        <w:tc>
          <w:tcPr>
            <w:tcW w:w="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(105,897)</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(87,154)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(59,853)</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basic and diluted</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used to</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6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compute net loss per share attributable to</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common shareholders, basic and diluted</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47,255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44,400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16,480</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Other comprehensive gain (loss):</w:t>
            </w: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Unrealized gain (loss) on cash equivalents</w:t>
            </w: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8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(105,807)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2120" w:type="dxa"/>
            <w:vAlign w:val="bottom"/>
            <w:tcBorders>
              <w:right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2120" w:type="dxa"/>
            <w:vAlign w:val="bottom"/>
            <w:tcBorders>
              <w:right w:val="single" w:sz="8" w:color="auto"/>
            </w:tcBorders>
            <w:gridSpan w:val="4"/>
            <w:vMerge w:val="restart"/>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400" w:type="dxa"/>
            <w:vAlign w:val="bottom"/>
          </w:tcPr>
          <w:p>
            <w:pPr>
              <w:spacing w:after="0"/>
              <w:rPr>
                <w:sz w:val="6"/>
                <w:szCs w:val="6"/>
                <w:color w:val="auto"/>
              </w:rPr>
            </w:pPr>
          </w:p>
        </w:tc>
        <w:tc>
          <w:tcPr>
            <w:tcW w:w="212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restart"/>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restart"/>
          </w:tcPr>
          <w:p>
            <w:pPr>
              <w:jc w:val="center"/>
              <w:ind w:right="11"/>
              <w:spacing w:after="0" w:line="14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4"/>
        </w:trPr>
        <w:tc>
          <w:tcPr>
            <w:tcW w:w="2400" w:type="dxa"/>
            <w:vAlign w:val="bottom"/>
          </w:tcPr>
          <w:p>
            <w:pPr>
              <w:spacing w:after="0"/>
              <w:rPr>
                <w:sz w:val="5"/>
                <w:szCs w:val="5"/>
                <w:color w:val="auto"/>
              </w:rPr>
            </w:pPr>
          </w:p>
        </w:tc>
        <w:tc>
          <w:tcPr>
            <w:tcW w:w="2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400" w:type="dxa"/>
            <w:vAlign w:val="bottom"/>
          </w:tcPr>
          <w:p>
            <w:pPr>
              <w:spacing w:after="0"/>
              <w:rPr>
                <w:sz w:val="10"/>
                <w:szCs w:val="10"/>
                <w:color w:val="auto"/>
              </w:rPr>
            </w:pPr>
          </w:p>
        </w:tc>
        <w:tc>
          <w:tcPr>
            <w:tcW w:w="2020" w:type="dxa"/>
            <w:vAlign w:val="bottom"/>
            <w:tcBorders>
              <w:bottom w:val="single" w:sz="8" w:color="auto"/>
            </w:tcBorders>
            <w:gridSpan w:val="3"/>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900" w:type="dxa"/>
            <w:vAlign w:val="bottom"/>
          </w:tcPr>
          <w:p>
            <w:pPr>
              <w:jc w:val="center"/>
              <w:ind w:right="31"/>
              <w:spacing w:after="0" w:line="122"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Gain (Loss)</w:t>
            </w:r>
          </w:p>
        </w:tc>
        <w:tc>
          <w:tcPr>
            <w:tcW w:w="1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(Deficit)</w:t>
            </w:r>
          </w:p>
        </w:tc>
        <w:tc>
          <w:tcPr>
            <w:tcW w:w="0" w:type="dxa"/>
            <w:vAlign w:val="bottom"/>
          </w:tcPr>
          <w:p>
            <w:pPr>
              <w:spacing w:after="0"/>
              <w:rPr>
                <w:sz w:val="1"/>
                <w:szCs w:val="1"/>
                <w:color w:val="auto"/>
              </w:rPr>
            </w:pPr>
          </w:p>
        </w:tc>
      </w:tr>
      <w:tr>
        <w:trPr>
          <w:trHeight w:val="191"/>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25,402</w:t>
            </w:r>
          </w:p>
        </w:tc>
        <w:tc>
          <w:tcPr>
            <w:tcW w:w="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243,854</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(201,668)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(182,894)</w:t>
            </w:r>
          </w:p>
        </w:tc>
        <w:tc>
          <w:tcPr>
            <w:tcW w:w="0" w:type="dxa"/>
            <w:vAlign w:val="bottom"/>
          </w:tcPr>
          <w:p>
            <w:pPr>
              <w:spacing w:after="0"/>
              <w:rPr>
                <w:sz w:val="1"/>
                <w:szCs w:val="1"/>
                <w:color w:val="auto"/>
              </w:rPr>
            </w:pPr>
          </w:p>
        </w:tc>
      </w:tr>
      <w:tr>
        <w:trPr>
          <w:trHeight w:val="134"/>
        </w:trPr>
        <w:tc>
          <w:tcPr>
            <w:tcW w:w="24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Issuance of redeemable convertible</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tcPr>
          <w:p>
            <w:pPr>
              <w:ind w:left="380"/>
              <w:spacing w:after="0" w:line="137" w:lineRule="exact"/>
              <w:rPr>
                <w:sz w:val="20"/>
                <w:szCs w:val="20"/>
                <w:color w:val="auto"/>
              </w:rPr>
            </w:pPr>
            <w:r>
              <w:rPr>
                <w:rFonts w:ascii="Times New Roman" w:cs="Times New Roman" w:eastAsia="Times New Roman" w:hAnsi="Times New Roman"/>
                <w:sz w:val="14"/>
                <w:szCs w:val="14"/>
                <w:color w:val="auto"/>
              </w:rPr>
              <w:t>preferred stock, net of issuance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84,710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costs of $290</w:t>
            </w: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upon exercise of warrants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24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Conversion of redeemable convertible</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tcPr>
          <w:p>
            <w:pPr>
              <w:ind w:left="380"/>
              <w:spacing w:after="0" w:line="137" w:lineRule="exact"/>
              <w:rPr>
                <w:sz w:val="20"/>
                <w:szCs w:val="20"/>
                <w:color w:val="auto"/>
              </w:rPr>
            </w:pPr>
            <w:r>
              <w:rPr>
                <w:rFonts w:ascii="Times New Roman" w:cs="Times New Roman" w:eastAsia="Times New Roman" w:hAnsi="Times New Roman"/>
                <w:sz w:val="14"/>
                <w:szCs w:val="14"/>
                <w:color w:val="auto"/>
              </w:rPr>
              <w:t>preferred stock to common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(29,912)</w:t>
            </w: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(329,534)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29,912</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329,534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329,534</w:t>
            </w:r>
          </w:p>
        </w:tc>
        <w:tc>
          <w:tcPr>
            <w:tcW w:w="0" w:type="dxa"/>
            <w:vAlign w:val="bottom"/>
          </w:tcPr>
          <w:p>
            <w:pPr>
              <w:spacing w:after="0"/>
              <w:rPr>
                <w:sz w:val="1"/>
                <w:szCs w:val="1"/>
                <w:color w:val="auto"/>
              </w:rPr>
            </w:pPr>
          </w:p>
        </w:tc>
      </w:tr>
      <w:tr>
        <w:trPr>
          <w:trHeight w:val="186"/>
        </w:trPr>
        <w:tc>
          <w:tcPr>
            <w:tcW w:w="2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upon initial public offering</w:t>
            </w: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w w:val="99"/>
              </w:rPr>
              <w:t>Issuance of common stock upon initial</w:t>
            </w: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400" w:type="dxa"/>
            <w:vAlign w:val="bottom"/>
            <w:shd w:val="clear" w:color="auto" w:fill="CCEEFF"/>
          </w:tcPr>
          <w:p>
            <w:pPr>
              <w:ind w:left="380"/>
              <w:spacing w:after="0" w:line="137" w:lineRule="exact"/>
              <w:rPr>
                <w:sz w:val="20"/>
                <w:szCs w:val="20"/>
                <w:color w:val="auto"/>
              </w:rPr>
            </w:pPr>
            <w:r>
              <w:rPr>
                <w:rFonts w:ascii="Times New Roman" w:cs="Times New Roman" w:eastAsia="Times New Roman" w:hAnsi="Times New Roman"/>
                <w:sz w:val="14"/>
                <w:szCs w:val="14"/>
                <w:color w:val="auto"/>
              </w:rPr>
              <w:t>public offering, net of underwriting</w:t>
            </w: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00" w:type="dxa"/>
            <w:vAlign w:val="bottom"/>
            <w:shd w:val="clear" w:color="auto" w:fill="CCEEFF"/>
          </w:tcPr>
          <w:p>
            <w:pPr>
              <w:ind w:left="380"/>
              <w:spacing w:after="0" w:line="135" w:lineRule="exact"/>
              <w:rPr>
                <w:sz w:val="20"/>
                <w:szCs w:val="20"/>
                <w:color w:val="auto"/>
              </w:rPr>
            </w:pPr>
            <w:r>
              <w:rPr>
                <w:rFonts w:ascii="Times New Roman" w:cs="Times New Roman" w:eastAsia="Times New Roman" w:hAnsi="Times New Roman"/>
                <w:sz w:val="14"/>
                <w:szCs w:val="14"/>
                <w:color w:val="auto"/>
              </w:rPr>
              <w:t>discounts, commission and offering</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7,539</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172,364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172,364</w:t>
            </w:r>
          </w:p>
        </w:tc>
        <w:tc>
          <w:tcPr>
            <w:tcW w:w="0" w:type="dxa"/>
            <w:vAlign w:val="bottom"/>
          </w:tcPr>
          <w:p>
            <w:pPr>
              <w:spacing w:after="0"/>
              <w:rPr>
                <w:sz w:val="1"/>
                <w:szCs w:val="1"/>
                <w:color w:val="auto"/>
              </w:rPr>
            </w:pPr>
          </w:p>
        </w:tc>
      </w:tr>
      <w:tr>
        <w:trPr>
          <w:trHeight w:val="181"/>
        </w:trPr>
        <w:tc>
          <w:tcPr>
            <w:tcW w:w="2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expenses of $16,121</w:t>
            </w: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4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w w:val="99"/>
              </w:rPr>
              <w:t>Issuance of common stock under stock</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0" w:type="dxa"/>
            <w:vAlign w:val="bottom"/>
          </w:tcPr>
          <w:p>
            <w:pPr>
              <w:spacing w:after="0"/>
              <w:rPr>
                <w:sz w:val="1"/>
                <w:szCs w:val="1"/>
                <w:color w:val="auto"/>
              </w:rPr>
            </w:pPr>
          </w:p>
        </w:tc>
      </w:tr>
      <w:tr>
        <w:trPr>
          <w:trHeight w:val="183"/>
        </w:trPr>
        <w:tc>
          <w:tcPr>
            <w:tcW w:w="2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1040" w:type="dxa"/>
            <w:vAlign w:val="bottom"/>
            <w:gridSpan w:val="2"/>
            <w:vMerge w:val="continue"/>
          </w:tcPr>
          <w:p>
            <w:pPr>
              <w:spacing w:after="0"/>
              <w:rPr>
                <w:sz w:val="15"/>
                <w:szCs w:val="15"/>
                <w:color w:val="auto"/>
              </w:rPr>
            </w:pPr>
          </w:p>
        </w:tc>
        <w:tc>
          <w:tcPr>
            <w:tcW w:w="10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on cash equivalents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(59,853)</w:t>
            </w:r>
          </w:p>
        </w:tc>
        <w:tc>
          <w:tcPr>
            <w:tcW w:w="0" w:type="dxa"/>
            <w:vAlign w:val="bottom"/>
          </w:tcPr>
          <w:p>
            <w:pPr>
              <w:spacing w:after="0"/>
              <w:rPr>
                <w:sz w:val="1"/>
                <w:szCs w:val="1"/>
                <w:color w:val="auto"/>
              </w:rPr>
            </w:pPr>
          </w:p>
        </w:tc>
      </w:tr>
      <w:tr>
        <w:trPr>
          <w:trHeight w:val="179"/>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43,676</w:t>
            </w: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528,666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(261,521)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267,091</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w w:val="99"/>
              </w:rPr>
              <w:t>Issuance of common stock under stock</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1040" w:type="dxa"/>
            <w:vAlign w:val="bottom"/>
            <w:gridSpan w:val="2"/>
            <w:vMerge w:val="continue"/>
            <w:shd w:val="clear" w:color="auto" w:fill="CCEEFF"/>
          </w:tcPr>
          <w:p>
            <w:pPr>
              <w:spacing w:after="0"/>
              <w:rPr>
                <w:sz w:val="16"/>
                <w:szCs w:val="16"/>
                <w:color w:val="auto"/>
              </w:rPr>
            </w:pPr>
          </w:p>
        </w:tc>
        <w:tc>
          <w:tcPr>
            <w:tcW w:w="10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10,670</w:t>
            </w: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cash equivalents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(87,154)</w:t>
            </w:r>
          </w:p>
        </w:tc>
        <w:tc>
          <w:tcPr>
            <w:tcW w:w="0" w:type="dxa"/>
            <w:vAlign w:val="bottom"/>
          </w:tcPr>
          <w:p>
            <w:pPr>
              <w:spacing w:after="0"/>
              <w:rPr>
                <w:sz w:val="1"/>
                <w:szCs w:val="1"/>
                <w:color w:val="auto"/>
              </w:rPr>
            </w:pPr>
          </w:p>
        </w:tc>
      </w:tr>
      <w:tr>
        <w:trPr>
          <w:trHeight w:val="193"/>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44,828</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545,753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(348,675)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197,072</w:t>
            </w:r>
          </w:p>
        </w:tc>
        <w:tc>
          <w:tcPr>
            <w:tcW w:w="0" w:type="dxa"/>
            <w:vAlign w:val="bottom"/>
          </w:tcPr>
          <w:p>
            <w:pPr>
              <w:spacing w:after="0"/>
              <w:rPr>
                <w:sz w:val="1"/>
                <w:szCs w:val="1"/>
                <w:color w:val="auto"/>
              </w:rPr>
            </w:pPr>
          </w:p>
        </w:tc>
      </w:tr>
      <w:tr>
        <w:trPr>
          <w:trHeight w:val="134"/>
        </w:trPr>
        <w:tc>
          <w:tcPr>
            <w:tcW w:w="240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w w:val="99"/>
              </w:rPr>
              <w:t>Issuance of common stock under stock</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6,090</w:t>
            </w:r>
          </w:p>
        </w:tc>
        <w:tc>
          <w:tcPr>
            <w:tcW w:w="0" w:type="dxa"/>
            <w:vAlign w:val="bottom"/>
          </w:tcPr>
          <w:p>
            <w:pPr>
              <w:spacing w:after="0"/>
              <w:rPr>
                <w:sz w:val="1"/>
                <w:szCs w:val="1"/>
                <w:color w:val="auto"/>
              </w:rPr>
            </w:pPr>
          </w:p>
        </w:tc>
      </w:tr>
      <w:tr>
        <w:trPr>
          <w:trHeight w:val="183"/>
        </w:trPr>
        <w:tc>
          <w:tcPr>
            <w:tcW w:w="24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plans</w:t>
            </w:r>
          </w:p>
        </w:tc>
        <w:tc>
          <w:tcPr>
            <w:tcW w:w="1040" w:type="dxa"/>
            <w:vAlign w:val="bottom"/>
            <w:gridSpan w:val="2"/>
            <w:vMerge w:val="continue"/>
          </w:tcPr>
          <w:p>
            <w:pPr>
              <w:spacing w:after="0"/>
              <w:rPr>
                <w:sz w:val="15"/>
                <w:szCs w:val="15"/>
                <w:color w:val="auto"/>
              </w:rPr>
            </w:pPr>
          </w:p>
        </w:tc>
        <w:tc>
          <w:tcPr>
            <w:tcW w:w="10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5,085</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161,705</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issuance costs of $10,795</w:t>
            </w:r>
          </w:p>
        </w:tc>
        <w:tc>
          <w:tcPr>
            <w:tcW w:w="1040" w:type="dxa"/>
            <w:vAlign w:val="bottom"/>
            <w:gridSpan w:val="2"/>
            <w:vMerge w:val="continue"/>
            <w:shd w:val="clear" w:color="auto" w:fill="CCEEFF"/>
          </w:tcPr>
          <w:p>
            <w:pPr>
              <w:spacing w:after="0"/>
              <w:rPr>
                <w:sz w:val="16"/>
                <w:szCs w:val="16"/>
                <w:color w:val="auto"/>
              </w:rPr>
            </w:pPr>
          </w:p>
        </w:tc>
        <w:tc>
          <w:tcPr>
            <w:tcW w:w="108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21,692</w:t>
            </w:r>
          </w:p>
        </w:tc>
        <w:tc>
          <w:tcPr>
            <w:tcW w:w="0" w:type="dxa"/>
            <w:vAlign w:val="bottom"/>
          </w:tcPr>
          <w:p>
            <w:pPr>
              <w:spacing w:after="0"/>
              <w:rPr>
                <w:sz w:val="1"/>
                <w:szCs w:val="1"/>
                <w:color w:val="auto"/>
              </w:rPr>
            </w:pPr>
          </w:p>
        </w:tc>
      </w:tr>
      <w:tr>
        <w:trPr>
          <w:trHeight w:val="201"/>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on cash equivalents</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6"/>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(105,897)</w:t>
            </w:r>
          </w:p>
        </w:tc>
        <w:tc>
          <w:tcPr>
            <w:tcW w:w="0" w:type="dxa"/>
            <w:vAlign w:val="bottom"/>
          </w:tcPr>
          <w:p>
            <w:pPr>
              <w:spacing w:after="0"/>
              <w:rPr>
                <w:sz w:val="1"/>
                <w:szCs w:val="1"/>
                <w:color w:val="auto"/>
              </w:rPr>
            </w:pPr>
          </w:p>
        </w:tc>
      </w:tr>
      <w:tr>
        <w:trPr>
          <w:trHeight w:val="218"/>
        </w:trPr>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280,752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(105,897)</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(87,154)</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(59,853)</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cash used in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19,134</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in derivative liability and redeemable convertible preferred stock warrants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adjustment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Inventory write-down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loan extinguishment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0" w:type="dxa"/>
            <w:vAlign w:val="bottom"/>
          </w:tcPr>
          <w:p>
            <w:pPr>
              <w:spacing w:after="0"/>
              <w:rPr>
                <w:sz w:val="1"/>
                <w:szCs w:val="1"/>
                <w:color w:val="auto"/>
              </w:rPr>
            </w:pP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(6,124)</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0" w:type="dxa"/>
            <w:vAlign w:val="bottom"/>
          </w:tcPr>
          <w:p>
            <w:pPr>
              <w:spacing w:after="0"/>
              <w:rPr>
                <w:sz w:val="1"/>
                <w:szCs w:val="1"/>
                <w:color w:val="auto"/>
              </w:rPr>
            </w:pP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interest expense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86"/>
        </w:trPr>
        <w:tc>
          <w:tcPr>
            <w:tcW w:w="69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9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93"/>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(108,003)</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(57,334)</w:t>
            </w:r>
          </w:p>
        </w:tc>
        <w:tc>
          <w:tcPr>
            <w:tcW w:w="0" w:type="dxa"/>
            <w:vAlign w:val="bottom"/>
          </w:tcPr>
          <w:p>
            <w:pPr>
              <w:spacing w:after="0"/>
              <w:rPr>
                <w:sz w:val="1"/>
                <w:szCs w:val="1"/>
                <w:color w:val="auto"/>
              </w:rPr>
            </w:pPr>
          </w:p>
        </w:tc>
      </w:tr>
      <w:tr>
        <w:trPr>
          <w:trHeight w:val="166"/>
        </w:trPr>
        <w:tc>
          <w:tcPr>
            <w:tcW w:w="69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(25,206)</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79"/>
        </w:trPr>
        <w:tc>
          <w:tcPr>
            <w:tcW w:w="69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(25,206)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from the exercise of stock options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0" w:type="dxa"/>
            <w:vAlign w:val="bottom"/>
          </w:tcPr>
          <w:p>
            <w:pPr>
              <w:spacing w:after="0"/>
              <w:rPr>
                <w:sz w:val="1"/>
                <w:szCs w:val="1"/>
                <w:color w:val="auto"/>
              </w:rPr>
            </w:pPr>
          </w:p>
        </w:tc>
      </w:tr>
      <w:tr>
        <w:trPr>
          <w:trHeight w:val="134"/>
        </w:trPr>
        <w:tc>
          <w:tcPr>
            <w:tcW w:w="696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Proceeds from issuance of common stock from the initial public offering, net of underwriting discounts, commissions</w:t>
            </w:r>
          </w:p>
        </w:tc>
        <w:tc>
          <w:tcPr>
            <w:tcW w:w="3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172,364</w:t>
            </w:r>
          </w:p>
        </w:tc>
        <w:tc>
          <w:tcPr>
            <w:tcW w:w="0" w:type="dxa"/>
            <w:vAlign w:val="bottom"/>
          </w:tcPr>
          <w:p>
            <w:pPr>
              <w:spacing w:after="0"/>
              <w:rPr>
                <w:sz w:val="1"/>
                <w:szCs w:val="1"/>
                <w:color w:val="auto"/>
              </w:rPr>
            </w:pPr>
          </w:p>
        </w:tc>
      </w:tr>
      <w:tr>
        <w:trPr>
          <w:trHeight w:val="183"/>
        </w:trPr>
        <w:tc>
          <w:tcPr>
            <w:tcW w:w="69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and offering expenses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net of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161,705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the exercise of redeemable convertible preferred stock warrants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Series G redeemable convertible preferred stock, net of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84,710</w:t>
            </w: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long-term debt, net of issuance costs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principal on long-term debt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final payment fee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prepayment fee</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69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167,795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262,116</w:t>
            </w:r>
          </w:p>
        </w:tc>
        <w:tc>
          <w:tcPr>
            <w:tcW w:w="0" w:type="dxa"/>
            <w:vAlign w:val="bottom"/>
          </w:tcPr>
          <w:p>
            <w:pPr>
              <w:spacing w:after="0"/>
              <w:rPr>
                <w:sz w:val="1"/>
                <w:szCs w:val="1"/>
                <w:color w:val="auto"/>
              </w:rPr>
            </w:pPr>
          </w:p>
        </w:tc>
      </w:tr>
      <w:tr>
        <w:trPr>
          <w:trHeight w:val="19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204,190</w:t>
            </w:r>
          </w:p>
        </w:tc>
        <w:tc>
          <w:tcPr>
            <w:tcW w:w="0" w:type="dxa"/>
            <w:vAlign w:val="bottom"/>
          </w:tcPr>
          <w:p>
            <w:pPr>
              <w:spacing w:after="0"/>
              <w:rPr>
                <w:sz w:val="1"/>
                <w:szCs w:val="1"/>
                <w:color w:val="auto"/>
              </w:rPr>
            </w:pPr>
          </w:p>
        </w:tc>
      </w:tr>
      <w:tr>
        <w:trPr>
          <w:trHeight w:val="188"/>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Beginning of the period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225,674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305,097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100,907</w:t>
            </w: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End of the period</w:t>
            </w:r>
          </w:p>
        </w:tc>
        <w:tc>
          <w:tcPr>
            <w:tcW w:w="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260,260</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225,674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305,097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balance sheets: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257,222</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221,859</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304,320</w:t>
            </w:r>
          </w:p>
        </w:tc>
        <w:tc>
          <w:tcPr>
            <w:tcW w:w="0" w:type="dxa"/>
            <w:vAlign w:val="bottom"/>
          </w:tcPr>
          <w:p>
            <w:pPr>
              <w:spacing w:after="0"/>
              <w:rPr>
                <w:sz w:val="1"/>
                <w:szCs w:val="1"/>
                <w:color w:val="auto"/>
              </w:rPr>
            </w:pPr>
          </w:p>
        </w:tc>
      </w:tr>
      <w:tr>
        <w:trPr>
          <w:trHeight w:val="201"/>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86"/>
        </w:trPr>
        <w:tc>
          <w:tcPr>
            <w:tcW w:w="69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Cash, cash equivalents and restricted cash in balance sheets</w:t>
            </w:r>
          </w:p>
        </w:tc>
        <w:tc>
          <w:tcPr>
            <w:tcW w:w="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260,260</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225,674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305,097</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9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Transfer of evaluation units from inventory to property and equipment, net</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4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6960" w:type="dxa"/>
            <w:vAlign w:val="bottom"/>
            <w:tcBorders>
              <w:bottom w:val="single" w:sz="8" w:color="CCEEFF"/>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r>
      <w:tr>
        <w:trPr>
          <w:trHeight w:val="210"/>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included in accounts payable and accrued expenses</w:t>
            </w:r>
          </w:p>
        </w:tc>
        <w:tc>
          <w:tcPr>
            <w:tcW w:w="54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6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5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22,854</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Conversion of redeemable convertible preferred stock to common stock</w:t>
            </w:r>
          </w:p>
        </w:tc>
        <w:tc>
          <w:tcPr>
            <w:tcW w:w="54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329,534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65" w:lineRule="exact"/>
        <w:rPr>
          <w:sz w:val="20"/>
          <w:szCs w:val="20"/>
          <w:color w:val="auto"/>
        </w:rPr>
      </w:pPr>
    </w:p>
    <w:p>
      <w:pPr>
        <w:ind w:right="9520" w:firstLine="3"/>
        <w:spacing w:after="0" w:line="445" w:lineRule="auto"/>
        <w:tabs>
          <w:tab w:leader="none" w:pos="301"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Description of Business</w:t>
      </w:r>
    </w:p>
    <w:p>
      <w:pPr>
        <w:spacing w:after="0" w:line="1" w:lineRule="exact"/>
        <w:rPr>
          <w:sz w:val="20"/>
          <w:szCs w:val="20"/>
          <w:color w:val="auto"/>
        </w:rPr>
      </w:pPr>
    </w:p>
    <w:p>
      <w:pPr>
        <w:ind w:right="60" w:firstLine="309"/>
        <w:spacing w:after="0" w:line="241" w:lineRule="auto"/>
        <w:rPr>
          <w:sz w:val="20"/>
          <w:szCs w:val="20"/>
          <w:color w:val="auto"/>
        </w:rPr>
      </w:pPr>
      <w:r>
        <w:rPr>
          <w:rFonts w:ascii="Times New Roman" w:cs="Times New Roman" w:eastAsia="Times New Roman" w:hAnsi="Times New Roman"/>
          <w:sz w:val="17"/>
          <w:szCs w:val="17"/>
          <w:color w:val="auto"/>
        </w:rPr>
        <w:t>PROCEPT BioRobotics Corporation (the “Company”) was incorporated in the state of California in 2007 and its headquarters are located in San Jose, California. In April 2021, the Company re-incorporated in the state of Delaware. The Company received U.S. Food and Drug Administration clearance in December 2017 to market its AquaBeam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Robotic System, an automated surgical robot providing tissue removal for the treatment of benign prostatic hyperplasia, a prostate gland enlargement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71" w:lineRule="exact"/>
        <w:rPr>
          <w:sz w:val="20"/>
          <w:szCs w:val="20"/>
          <w:color w:val="auto"/>
        </w:rPr>
      </w:pPr>
    </w:p>
    <w:p>
      <w:pPr>
        <w:ind w:right="20"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2023, the Company had cash and cash equivalents of $257.2 million and an accumulated deficit of $454.6 million. Since its inception, the Company has financed its operations with a combination of debt and equity financing arrangements. In August 2023, the Company completed our follow-on offering, which raised $161.7 million, net of issuance costs. The Company expects its cash and cash equivalents, and revenue will be sufficient to fund its operations through at least the next twelve months from the issuance date of these consolidated financial statements. The Company has not achieved positive cash flow from operations to date and expects to continue incurring losses for the foreseeable future as it focuses on growing its business.</w:t>
      </w:r>
    </w:p>
    <w:p>
      <w:pPr>
        <w:spacing w:after="0" w:line="11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2.</w:t>
        <w:tab/>
        <w:t>Summary of Significant Accounting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Preparation</w:t>
      </w:r>
    </w:p>
    <w:p>
      <w:pPr>
        <w:spacing w:after="0" w:line="171" w:lineRule="exact"/>
        <w:rPr>
          <w:sz w:val="20"/>
          <w:szCs w:val="20"/>
          <w:color w:val="auto"/>
        </w:rPr>
      </w:pPr>
    </w:p>
    <w:p>
      <w:pPr>
        <w:jc w:val="both"/>
        <w:ind w:right="180" w:firstLine="309"/>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U.S. generally accepted accounting principles (“U.S. GAAP”) and pursuant to the rules and regulations of the United States Securities and Exchange Commission (“SEC”). These consolidated financial statements include the accounts of the Company and its consolidated subsidiaries. All intercompany balances and transactions have been eliminated upon consolidation.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amounts and disclosures reported in the consolidated financial statements. Management uses significant judgment when making estimates related to its stock-based compensation expense, right-of-use lease asset, lease liability, the valuations of the loan facility derivative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w:t>
      </w:r>
    </w:p>
    <w:p>
      <w:pPr>
        <w:spacing w:after="0" w:line="17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September 2021, the Board of Directors and stockholders approved, and the Company filed, an amended and restated certificate of incorporation effecting a 1-for-4.75 reverse stock split of common stock and all redeemable convertible preferred stock. The par value of the common and redeemable convertible preferred stock was not adjusted as a result of the reverse stock split. All authorized, issued and outstanding common stock, redeemable convertible preferred stock, warrants for preferred stock, stock options and per share amounts contained in the financial statements have been retroactively adjusted to reflect this reverse stock split for all periods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Initial Public Offering</w:t>
      </w:r>
    </w:p>
    <w:p>
      <w:pPr>
        <w:spacing w:after="0" w:line="171" w:lineRule="exact"/>
        <w:rPr>
          <w:sz w:val="20"/>
          <w:szCs w:val="20"/>
          <w:color w:val="auto"/>
        </w:rPr>
      </w:pPr>
    </w:p>
    <w:p>
      <w:pPr>
        <w:ind w:right="60" w:firstLine="309"/>
        <w:spacing w:after="0" w:line="260" w:lineRule="auto"/>
        <w:rPr>
          <w:sz w:val="20"/>
          <w:szCs w:val="20"/>
          <w:color w:val="auto"/>
        </w:rPr>
      </w:pPr>
      <w:r>
        <w:rPr>
          <w:rFonts w:ascii="Times New Roman" w:cs="Times New Roman" w:eastAsia="Times New Roman" w:hAnsi="Times New Roman"/>
          <w:sz w:val="17"/>
          <w:szCs w:val="17"/>
          <w:color w:val="auto"/>
        </w:rPr>
        <w:t>In September 2021, the Company completed its IPO by issuing 6,556,000 shares of common stock, and the exercise of the underwriters option for 983,400 shares, at an offering price of $25.00 per share, for total net proceeds of approximately $172.4 million, after deducting underwriting discounts and commissions of $13.2 million and offering expenses of $2.9 million. Offering costs are capitalized, and consist of fees and expenses incurred in connection with the sale of common stock in its IPO, including legal, accounting, printing and other IPO-related costs. Upon completion of its IPO, these deferred offering costs were reclassified to stockholders’ equity and recorded against the proceeds from the offering. In addition, all 29,912,264 shares of its then-outstanding redeemable convertible preferred stock automatically converted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20"/>
        <w:spacing w:after="0" w:line="287" w:lineRule="auto"/>
        <w:rPr>
          <w:sz w:val="20"/>
          <w:szCs w:val="20"/>
          <w:color w:val="auto"/>
        </w:rPr>
      </w:pPr>
      <w:r>
        <w:rPr>
          <w:rFonts w:ascii="Times New Roman" w:cs="Times New Roman" w:eastAsia="Times New Roman" w:hAnsi="Times New Roman"/>
          <w:sz w:val="17"/>
          <w:szCs w:val="17"/>
          <w:color w:val="auto"/>
        </w:rPr>
        <w:t>into 29,912,264 shares of common stock and it reclassified $329.5 million of redeemable convertible preferred stock to additional paid-in capital on its consolidated balance sheet.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 Value and Shares Authorized Change</w:t>
      </w:r>
    </w:p>
    <w:p>
      <w:pPr>
        <w:spacing w:after="0" w:line="171" w:lineRule="exact"/>
        <w:rPr>
          <w:sz w:val="20"/>
          <w:szCs w:val="20"/>
          <w:color w:val="auto"/>
        </w:rPr>
      </w:pPr>
    </w:p>
    <w:p>
      <w:pPr>
        <w:ind w:right="400" w:firstLine="309"/>
        <w:spacing w:after="0" w:line="287" w:lineRule="auto"/>
        <w:rPr>
          <w:sz w:val="20"/>
          <w:szCs w:val="20"/>
          <w:color w:val="auto"/>
        </w:rPr>
      </w:pPr>
      <w:r>
        <w:rPr>
          <w:rFonts w:ascii="Times New Roman" w:cs="Times New Roman" w:eastAsia="Times New Roman" w:hAnsi="Times New Roman"/>
          <w:sz w:val="17"/>
          <w:szCs w:val="17"/>
          <w:color w:val="auto"/>
        </w:rPr>
        <w:t>In June 2021, the Board of Directors and stockholders approved, and the Company filed, an amended and restated certificate of incorporation effecting a change in par value from $0.001 to $0.00001 per share of common stock and all redeemable convertible preferred stock.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71"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in banks highly liquid securities determined to be cash equivalents, which are readily convertible into cash and mature within 90 days or less from the original date of purchase. Cash and cash equivalents include money market funds and U.S. treasury bills.</w:t>
      </w:r>
    </w:p>
    <w:p>
      <w:pPr>
        <w:spacing w:after="0" w:line="100"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Cash equivalents are considered available-for-sale marketable securities and are recorded at fair value, based on quoted market prices. Unrealized gains and losses are recorded in other comprehensive gain (loss) and included as a separate component of stockholders’ equity.</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Restricted cash is related to the Company’s letter of credit for the lease of its San Jose, CA location.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The Company measures certain financial assets and liabilities at fair value on a recurring basis, including cash and cash equivalents, and accounts receivable, accounts payable and accrued liabilities, which approximate fair value due to their relatively short maturities as well as the loan facility derivative liability.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22"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7"/>
          <w:szCs w:val="17"/>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(unadjusted) for identical assets or liabilities in active markets.</w:t>
      </w:r>
    </w:p>
    <w:p>
      <w:pPr>
        <w:spacing w:after="0" w:line="165" w:lineRule="exact"/>
        <w:rPr>
          <w:sz w:val="20"/>
          <w:szCs w:val="20"/>
          <w:color w:val="auto"/>
        </w:rPr>
      </w:pPr>
    </w:p>
    <w:p>
      <w:pPr>
        <w:ind w:left="1240" w:right="100" w:hanging="927"/>
        <w:spacing w:after="0" w:line="270" w:lineRule="auto"/>
        <w:tabs>
          <w:tab w:leader="none" w:pos="1220" w:val="left"/>
        </w:tabs>
        <w:rPr>
          <w:sz w:val="20"/>
          <w:szCs w:val="20"/>
          <w:color w:val="auto"/>
        </w:rPr>
      </w:pPr>
      <w:r>
        <w:rPr>
          <w:rFonts w:ascii="Times New Roman" w:cs="Times New Roman" w:eastAsia="Times New Roman" w:hAnsi="Times New Roman"/>
          <w:sz w:val="17"/>
          <w:szCs w:val="17"/>
          <w:color w:val="auto"/>
        </w:rPr>
        <w:t>Level 2-</w:t>
      </w:r>
      <w:r>
        <w:rPr>
          <w:sz w:val="20"/>
          <w:szCs w:val="20"/>
          <w:color w:val="auto"/>
        </w:rPr>
        <w:tab/>
      </w:r>
      <w:r>
        <w:rPr>
          <w:rFonts w:ascii="Times New Roman" w:cs="Times New Roman" w:eastAsia="Times New Roman" w:hAnsi="Times New Roman"/>
          <w:sz w:val="17"/>
          <w:szCs w:val="17"/>
          <w:color w:val="auto"/>
        </w:rPr>
        <w:t>Other inputs that are based upon quoted prices for similar instruments in active markets, quoted prices for identical or similar instruments in markets that are not active and model-based valuation techniques for which all significant inputs are observable in the market or can be derived from observable market data.</w:t>
      </w:r>
    </w:p>
    <w:p>
      <w:pPr>
        <w:spacing w:after="0" w:line="114" w:lineRule="exact"/>
        <w:rPr>
          <w:sz w:val="20"/>
          <w:szCs w:val="20"/>
          <w:color w:val="auto"/>
        </w:rPr>
      </w:pPr>
    </w:p>
    <w:p>
      <w:pPr>
        <w:ind w:left="320"/>
        <w:spacing w:after="0"/>
        <w:tabs>
          <w:tab w:leader="none" w:pos="1220" w:val="left"/>
        </w:tabs>
        <w:rPr>
          <w:sz w:val="20"/>
          <w:szCs w:val="20"/>
          <w:color w:val="auto"/>
        </w:rPr>
      </w:pPr>
      <w:r>
        <w:rPr>
          <w:rFonts w:ascii="Times New Roman" w:cs="Times New Roman" w:eastAsia="Times New Roman" w:hAnsi="Times New Roman"/>
          <w:sz w:val="17"/>
          <w:szCs w:val="17"/>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activities, which would require the Company to develop its own assumptions.</w:t>
      </w:r>
    </w:p>
    <w:p>
      <w:pPr>
        <w:spacing w:after="0" w:line="165"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The fair value hierarchy also requires an entity to maximize the use of observable inputs and minimize the use of unobservable inputs when measuring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71"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Financial instruments, which potentially subject the Company to concentrations of credit risk, consist principally of cash and cash equivalents and, to a lesser extent, accounts receivable. The Company believes that credit risk in its accounts receivable is mitigated by its credit evaluation process, relatively short collection terms and diversity of its customer base. The Company generally does not require collateral and losses on accounts receivable have historically been within management’s expectations.</w:t>
      </w:r>
    </w:p>
    <w:p>
      <w:pPr>
        <w:spacing w:after="0" w:line="120" w:lineRule="exact"/>
        <w:rPr>
          <w:sz w:val="20"/>
          <w:szCs w:val="20"/>
          <w:color w:val="auto"/>
        </w:rPr>
      </w:pPr>
    </w:p>
    <w:p>
      <w:pPr>
        <w:ind w:right="300" w:firstLine="309"/>
        <w:spacing w:after="0" w:line="287" w:lineRule="auto"/>
        <w:rPr>
          <w:sz w:val="20"/>
          <w:szCs w:val="20"/>
          <w:color w:val="auto"/>
        </w:rPr>
      </w:pPr>
      <w:r>
        <w:rPr>
          <w:rFonts w:ascii="Times New Roman" w:cs="Times New Roman" w:eastAsia="Times New Roman" w:hAnsi="Times New Roman"/>
          <w:sz w:val="17"/>
          <w:szCs w:val="17"/>
          <w:color w:val="auto"/>
        </w:rPr>
        <w:t>No customers accounted for more than 10% of revenue during the year ended December 31, 2023, 2022 and 2021. No customers accounted for more than 10% of accounts receivable at December 31, 2023 and 2022.</w:t>
      </w:r>
    </w:p>
    <w:p>
      <w:pPr>
        <w:spacing w:after="0" w:line="100" w:lineRule="exact"/>
        <w:rPr>
          <w:sz w:val="20"/>
          <w:szCs w:val="20"/>
          <w:color w:val="auto"/>
        </w:rPr>
      </w:pPr>
    </w:p>
    <w:p>
      <w:pPr>
        <w:ind w:right="40" w:firstLine="309"/>
        <w:spacing w:after="0" w:line="261" w:lineRule="auto"/>
        <w:rPr>
          <w:sz w:val="20"/>
          <w:szCs w:val="20"/>
          <w:color w:val="auto"/>
        </w:rPr>
      </w:pPr>
      <w:r>
        <w:rPr>
          <w:rFonts w:ascii="Times New Roman" w:cs="Times New Roman" w:eastAsia="Times New Roman" w:hAnsi="Times New Roman"/>
          <w:sz w:val="17"/>
          <w:szCs w:val="17"/>
          <w:color w:val="auto"/>
        </w:rPr>
        <w:t>The Company’s investment policy limits investments to certain types of debt securities issued by the U.S. government, its agencies, and institutions with investment-grade credit ratings, as well as corporate debt or commercial paper issued by the highest quality financial and non-financial companies, and places restrictions on maturities and concentration by type and issuer. The Company is exposed to credit risk in the event of a default by the financial institutions holding its cash and cash equivalents and issuers of investments to the extent recorded on the balance sheets. The Company has limited its credit risk associated with cash and cash equivalents by placing its investments with banks it believes are highly creditworthy and with highly rated investments.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Doubtful Accounts</w:t>
      </w:r>
    </w:p>
    <w:p>
      <w:pPr>
        <w:spacing w:after="0" w:line="171" w:lineRule="exact"/>
        <w:rPr>
          <w:sz w:val="20"/>
          <w:szCs w:val="20"/>
          <w:color w:val="auto"/>
        </w:rPr>
      </w:pPr>
    </w:p>
    <w:p>
      <w:pPr>
        <w:ind w:right="160" w:firstLine="309"/>
        <w:spacing w:after="0" w:line="264" w:lineRule="auto"/>
        <w:rPr>
          <w:sz w:val="20"/>
          <w:szCs w:val="20"/>
          <w:color w:val="auto"/>
        </w:rPr>
      </w:pPr>
      <w:r>
        <w:rPr>
          <w:rFonts w:ascii="Times New Roman" w:cs="Times New Roman" w:eastAsia="Times New Roman" w:hAnsi="Times New Roman"/>
          <w:sz w:val="17"/>
          <w:szCs w:val="17"/>
          <w:color w:val="auto"/>
        </w:rPr>
        <w:t>The Company’s expected loss allowance methodology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 known risk of default. Balances are written off when they are ultimately determined to be uncollectible. The Company has not experienced any significant collection issues and the allowance for doubtful accounts has not been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71"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Inventories are valued at the lower of cost, computed on a first-in, first-out basis, or net realizable value. The allocation of production overhead to inventory costs is based on normal production capacity. Abnormal amounts of idle facility expense, freight, handling costs, and consumption are expensed as incurred, and not included in overhead. The Company maintains provisions for excess and obsolete inventory based on management’s estimates of forecasted demand and, where applicable, product expiration.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and Intangible Assets</w:t>
      </w:r>
    </w:p>
    <w:p>
      <w:pPr>
        <w:spacing w:after="0" w:line="171" w:lineRule="exact"/>
        <w:rPr>
          <w:sz w:val="20"/>
          <w:szCs w:val="20"/>
          <w:color w:val="auto"/>
        </w:rPr>
      </w:pPr>
    </w:p>
    <w:p>
      <w:pPr>
        <w:ind w:firstLine="309"/>
        <w:spacing w:after="0" w:line="260" w:lineRule="auto"/>
        <w:rPr>
          <w:sz w:val="20"/>
          <w:szCs w:val="20"/>
          <w:color w:val="auto"/>
        </w:rPr>
      </w:pPr>
      <w:r>
        <w:rPr>
          <w:rFonts w:ascii="Times New Roman" w:cs="Times New Roman" w:eastAsia="Times New Roman" w:hAnsi="Times New Roman"/>
          <w:sz w:val="17"/>
          <w:szCs w:val="17"/>
          <w:color w:val="auto"/>
        </w:rPr>
        <w:t>Property and equipment and intangible assets are stated at cost, less accumulated depreciation and amortization. Depreciation and amortization for property and equipment are determined using the straight-line method over the estimated useful lives of the respective assets, generally three to five years. The Company reclassifies inventory used at customer sites for evaluation purposes to property and equipment due to a limited history of sales of evaluation units. Amortization of intangible assets are determined using the straight-line method over the estimated useful lives, generally through the patent expiration date. Leasehold improvements are amortized on a straight-line basis over the shorter of their estimated useful lives or the term of the lease. Maintenance and repairs are charged to operating expenses as incurred.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71"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Long-lived assets consist primarily of property and equipment and intangible assets,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The Company determines fair value using the income approach based on the present value of expected future cash flows or other appropriate measures of estimated fair value. The Company’s cash flow assumptions consider historical and forecasted revenue and operating costs and other relevant factors. No impairment losses were incurred in the periods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171" w:lineRule="exact"/>
        <w:rPr>
          <w:sz w:val="20"/>
          <w:szCs w:val="20"/>
          <w:color w:val="auto"/>
        </w:rPr>
      </w:pPr>
    </w:p>
    <w:p>
      <w:pPr>
        <w:ind w:right="20" w:firstLine="309"/>
        <w:spacing w:after="0" w:line="264"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invoicing to customers. The Company records deferred revenue when revenue will be recognized subsequent to invoicing. Service agreements are generally invoiced annually at the beginning of each coverage period and recorded as deferred revenue and recognized as revenue ratably over the coverage period. Deferred revenue that will be recognized during the 12 months following the balance sheet date is recorded as the current portion of deferred revenue, and the remaining portion, if any, would be recorded as non-current.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Facility Derivative Liability</w:t>
      </w:r>
    </w:p>
    <w:p>
      <w:pPr>
        <w:spacing w:after="0" w:line="171"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In connection with the Company’s previous loan facility (Note 6), the Company is obligated to pay a fee upon the earlier occurrence of a defined liquidity event, including but not limited to, a merger or sale of our assets or voting stock, or achieving a $200.0 million trailing 12 months revenue target, in each case, by September 2029. The fee is calculated at the time of the liquidity event occurrence to be $1.0 million if only the first installment has been drawn, $2.0 million if the first two installments have been drawn, $2.4 million if the first three installments have been drawn, or $3.0 million if all four installments have been drawn, in each case, upon the occurrence of the liquidity event. At the time of extinguishment, the Company has drawn on the first two installments. The Company has determined this fee is a freestanding derivative instrument. The $1.9 million fair value of this loan facility derivative was initially recorded as a debt discount and a current liability on the date of issuance in connection with obtaining additional financing as applicable and will be revalued every reporting period until the earlier occurrence of a defined liquidity event or achieving a revenue target by September 2029 or termination of such fee arrangement.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71" w:lineRule="exact"/>
        <w:rPr>
          <w:sz w:val="20"/>
          <w:szCs w:val="20"/>
          <w:color w:val="auto"/>
        </w:rPr>
      </w:pPr>
    </w:p>
    <w:p>
      <w:pPr>
        <w:ind w:right="60" w:firstLine="309"/>
        <w:spacing w:after="0" w:line="258" w:lineRule="auto"/>
        <w:rPr>
          <w:sz w:val="20"/>
          <w:szCs w:val="20"/>
          <w:color w:val="auto"/>
        </w:rPr>
      </w:pPr>
      <w:r>
        <w:rPr>
          <w:rFonts w:ascii="Times New Roman" w:cs="Times New Roman" w:eastAsia="Times New Roman" w:hAnsi="Times New Roman"/>
          <w:sz w:val="17"/>
          <w:szCs w:val="17"/>
          <w:color w:val="auto"/>
        </w:rPr>
        <w:t>For agreements with a term of more than 12 months, the Company determines if the agreement contains a lease at inception. Operating lease liabilities represent an obligation to make lease payments arising from the lease agreement. Operating lease liabilities are recognized at the lease commencement date based on the present value of lease payments over the remaining lease term. In determining the present value of lease payments, the Company estimates its incremental borrowing rate as the rate of interest that the Company would have to pay to borrow on a collateralized basis over a similar term, of an amount equal to the lease payments in a similar economic environment. Operating lease liabilities are included in the Company’s consolidated balance sheet. Right-of-use assets represent our right to use an underlying asset for the lease term and are classified as non-current assets. Lease expense is recognized on a straight-line basis over the expected lease term in the Company’s consolidated statements of operations and comprehensive loss.</w:t>
      </w:r>
    </w:p>
    <w:p>
      <w:pPr>
        <w:spacing w:after="0" w:line="128"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The Company has not elected to separate lease and non-lease components for any leases within its existing classes of assets and, as a result, records a right-of-use asset and lease liability based on the present value of the future minimum lease payments over the term at commencement date. Variable lease payments are expensed as incurred.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120"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The Company has lessor arrangements with customers for a fixed monthly fee with no non-lease components, typically for 3-12 months. These arrangements are accounted for as an operating lease in accordance with ASC 842. These arrangements and related revenue are immaterial to the periods presented.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67" w:lineRule="exact"/>
        <w:rPr>
          <w:sz w:val="20"/>
          <w:szCs w:val="20"/>
          <w:color w:val="auto"/>
        </w:rPr>
      </w:pPr>
    </w:p>
    <w:p>
      <w:pPr>
        <w:ind w:right="100" w:firstLine="309"/>
        <w:spacing w:after="0" w:line="238" w:lineRule="auto"/>
        <w:rPr>
          <w:sz w:val="20"/>
          <w:szCs w:val="20"/>
          <w:color w:val="auto"/>
        </w:rPr>
      </w:pPr>
      <w:r>
        <w:rPr>
          <w:rFonts w:ascii="Times New Roman" w:cs="Times New Roman" w:eastAsia="Times New Roman" w:hAnsi="Times New Roman"/>
          <w:sz w:val="17"/>
          <w:szCs w:val="17"/>
          <w:color w:val="auto"/>
        </w:rPr>
        <w:t>Revenue is derived primarily from the sales of the AquaBeam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40" w:lineRule="exact"/>
        <w:rPr>
          <w:sz w:val="20"/>
          <w:szCs w:val="20"/>
          <w:color w:val="auto"/>
        </w:rPr>
      </w:pPr>
    </w:p>
    <w:p>
      <w:pPr>
        <w:ind w:firstLine="309"/>
        <w:spacing w:after="0" w:line="258" w:lineRule="auto"/>
        <w:rPr>
          <w:sz w:val="20"/>
          <w:szCs w:val="20"/>
          <w:color w:val="auto"/>
        </w:rPr>
      </w:pPr>
      <w:r>
        <w:rPr>
          <w:rFonts w:ascii="Times New Roman" w:cs="Times New Roman" w:eastAsia="Times New Roman" w:hAnsi="Times New Roman"/>
          <w:sz w:val="17"/>
          <w:szCs w:val="17"/>
          <w:color w:val="auto"/>
        </w:rPr>
        <w:t>To determine revenue recognition for arrangements that the Company determines are within the scope of ASC Topic 606, Revenue from Contracts with Customers (“ASC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determined those that are performance obligations and assess whether each promised good or service is distinct based on the contract.</w:t>
      </w:r>
    </w:p>
    <w:p>
      <w:pPr>
        <w:spacing w:after="0" w:line="128" w:lineRule="exact"/>
        <w:rPr>
          <w:sz w:val="20"/>
          <w:szCs w:val="20"/>
          <w:color w:val="auto"/>
        </w:rPr>
      </w:pPr>
    </w:p>
    <w:p>
      <w:pPr>
        <w:ind w:right="420" w:firstLine="309"/>
        <w:spacing w:after="0" w:line="270" w:lineRule="auto"/>
        <w:rPr>
          <w:sz w:val="20"/>
          <w:szCs w:val="20"/>
          <w:color w:val="auto"/>
        </w:rPr>
      </w:pPr>
      <w:r>
        <w:rPr>
          <w:rFonts w:ascii="Times New Roman" w:cs="Times New Roman" w:eastAsia="Times New Roman" w:hAnsi="Times New Roman"/>
          <w:sz w:val="17"/>
          <w:szCs w:val="17"/>
          <w:color w:val="auto"/>
        </w:rPr>
        <w:t>The contracts are typically in the form of a master agreement and a purchase order from the customer. The Company’s AquaBeam Robotic System sales generally contain multiple products and services and can include a combination of the following performance obligations: robotic system, handpieces and consumables, and service.</w:t>
      </w:r>
    </w:p>
    <w:p>
      <w:pPr>
        <w:spacing w:after="0" w:line="114" w:lineRule="exact"/>
        <w:rPr>
          <w:sz w:val="20"/>
          <w:szCs w:val="20"/>
          <w:color w:val="auto"/>
        </w:rPr>
      </w:pPr>
    </w:p>
    <w:p>
      <w:pPr>
        <w:ind w:firstLine="309"/>
        <w:spacing w:after="0" w:line="264" w:lineRule="auto"/>
        <w:rPr>
          <w:sz w:val="20"/>
          <w:szCs w:val="20"/>
          <w:color w:val="auto"/>
        </w:rPr>
      </w:pPr>
      <w:r>
        <w:rPr>
          <w:rFonts w:ascii="Times New Roman" w:cs="Times New Roman" w:eastAsia="Times New Roman" w:hAnsi="Times New Roman"/>
          <w:sz w:val="17"/>
          <w:szCs w:val="17"/>
          <w:color w:val="auto"/>
        </w:rPr>
        <w:t>The Company determines the transaction price it expects to be entitled to in exchange for transferring the promised product to the customer, which is based on the invoiced price for the products. All prices are at fixed amounts per the sales agreement with the customer.The Company generally issues no discounts or other price concessions or a right of return, once the agreement is signed. The Company has granted rebates on a limited basis, and those rebates have been historically immaterial.</w:t>
      </w:r>
    </w:p>
    <w:p>
      <w:pPr>
        <w:spacing w:after="0" w:line="120" w:lineRule="exact"/>
        <w:rPr>
          <w:sz w:val="20"/>
          <w:szCs w:val="20"/>
          <w:color w:val="auto"/>
        </w:rPr>
      </w:pPr>
    </w:p>
    <w:p>
      <w:pPr>
        <w:ind w:right="20" w:firstLine="309"/>
        <w:spacing w:after="0" w:line="263" w:lineRule="auto"/>
        <w:rPr>
          <w:sz w:val="20"/>
          <w:szCs w:val="20"/>
          <w:color w:val="auto"/>
        </w:rPr>
      </w:pPr>
      <w:r>
        <w:rPr>
          <w:rFonts w:ascii="Times New Roman" w:cs="Times New Roman" w:eastAsia="Times New Roman" w:hAnsi="Times New Roman"/>
          <w:sz w:val="17"/>
          <w:szCs w:val="17"/>
          <w:color w:val="auto"/>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geographies, and type of customer. The Company regularly reviews standalone selling prices and update these estimates as necessary.</w:t>
      </w:r>
    </w:p>
    <w:p>
      <w:pPr>
        <w:spacing w:after="0" w:line="329"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The Company recognizes revenue as the performance obligations are satisfied by transferring control of the product or service to a customer. The Company generally recognizes revenue for the performance obligations at the following points in time:</w:t>
      </w:r>
    </w:p>
    <w:p>
      <w:pPr>
        <w:spacing w:after="0" w:line="96" w:lineRule="exact"/>
        <w:rPr>
          <w:sz w:val="20"/>
          <w:szCs w:val="20"/>
          <w:color w:val="auto"/>
        </w:rPr>
      </w:pPr>
    </w:p>
    <w:p>
      <w:pPr>
        <w:ind w:right="6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AquaBeam Robotic Systems </w:t>
      </w:r>
      <w:r>
        <w:rPr>
          <w:rFonts w:ascii="Times New Roman" w:cs="Times New Roman" w:eastAsia="Times New Roman" w:hAnsi="Times New Roman"/>
          <w:sz w:val="17"/>
          <w:szCs w:val="17"/>
          <w:color w:val="auto"/>
        </w:rPr>
        <w:t>- For systems (including system components and system accessories) sold directly to end customers, revenue is recognized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transfers control to the customer, which is generally at the time of</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7"/>
          <w:szCs w:val="17"/>
          <w:color w:val="auto"/>
        </w:rPr>
        <w:t>delivery. For systems sold through distributors, revenue is recognized generally at the time of delivery to the distributor. The Company’s system arrangements generally do not provide a right of return. The systems are generally covered by a one-year service agreement included in the warranty. The service agreements have a stand alone selling price and are typically recognized as deferred revenue and amortized over the one-year service period.</w:t>
      </w:r>
    </w:p>
    <w:p>
      <w:pPr>
        <w:spacing w:after="0" w:line="110" w:lineRule="exact"/>
        <w:rPr>
          <w:sz w:val="20"/>
          <w:szCs w:val="20"/>
          <w:color w:val="auto"/>
        </w:rPr>
      </w:pPr>
    </w:p>
    <w:p>
      <w:pPr>
        <w:jc w:val="both"/>
        <w:ind w:right="28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Hand pieces and other consumables </w:t>
      </w:r>
      <w:r>
        <w:rPr>
          <w:rFonts w:ascii="Times New Roman" w:cs="Times New Roman" w:eastAsia="Times New Roman" w:hAnsi="Times New Roman"/>
          <w:sz w:val="17"/>
          <w:szCs w:val="17"/>
          <w:color w:val="auto"/>
        </w:rPr>
        <w:t>- Revenue from sales of handpieces and other consumables is recognized when control is transferred to the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generally occurs at the time of shipment but also occurs at the time of delivery.</w:t>
      </w:r>
    </w:p>
    <w:p>
      <w:pPr>
        <w:spacing w:after="0" w:line="92" w:lineRule="exact"/>
        <w:rPr>
          <w:sz w:val="20"/>
          <w:szCs w:val="20"/>
          <w:color w:val="auto"/>
        </w:rPr>
      </w:pPr>
    </w:p>
    <w:p>
      <w:pPr>
        <w:ind w:right="420"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Service </w:t>
      </w:r>
      <w:r>
        <w:rPr>
          <w:rFonts w:ascii="Times New Roman" w:cs="Times New Roman" w:eastAsia="Times New Roman" w:hAnsi="Times New Roman"/>
          <w:sz w:val="17"/>
          <w:szCs w:val="17"/>
          <w:color w:val="auto"/>
        </w:rPr>
        <w:t>- Service revenue, inclusive of the amounts associated with the AquaBeam Robotic System warranties, is recognized over the term of the 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as the customer benefits from the services throughout the service period.</w:t>
      </w:r>
    </w:p>
    <w:p>
      <w:pPr>
        <w:spacing w:after="0" w:line="96" w:lineRule="exact"/>
        <w:rPr>
          <w:sz w:val="20"/>
          <w:szCs w:val="20"/>
          <w:color w:val="auto"/>
        </w:rPr>
      </w:pPr>
    </w:p>
    <w:p>
      <w:pPr>
        <w:ind w:right="380" w:firstLine="309"/>
        <w:spacing w:after="0" w:line="287" w:lineRule="auto"/>
        <w:rPr>
          <w:sz w:val="20"/>
          <w:szCs w:val="20"/>
          <w:color w:val="auto"/>
        </w:rPr>
      </w:pPr>
      <w:r>
        <w:rPr>
          <w:rFonts w:ascii="Times New Roman" w:cs="Times New Roman" w:eastAsia="Times New Roman" w:hAnsi="Times New Roman"/>
          <w:sz w:val="17"/>
          <w:szCs w:val="17"/>
          <w:color w:val="auto"/>
        </w:rPr>
        <w:t>The Company has determined that certain promises in the multiple-element arrangements, such as installation, training and certain ancillary products, are immaterial, and do not represent separate performance obligations for which transaction price is allocated.</w:t>
      </w:r>
    </w:p>
    <w:p>
      <w:pPr>
        <w:spacing w:after="0" w:line="100"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invoicing to customers. The Company records deferred revenue when revenue is recognized subsequent to invoicing, such as service contracts, which are recognized ratably as revenue over the performance period.</w:t>
      </w:r>
    </w:p>
    <w:p>
      <w:pPr>
        <w:spacing w:after="0" w:line="100"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The Company’s typical payment terms are between approximately 30 to 90 days. The Company expenses shipping and handling costs as incurred and includes them in the cost of sales. In those cases where shipping and handling costs are billed to customers, the Company classifies the amounts billed as a component of revenue. Taxes collected from customers and remitted to governmental authorities are excluded from revenue. The Company expenses any incremental costs of obtaining a contract, including but not limited to, sales commissions, as and when incurred as the expected amortization period of the incremental costs would have been less than one year and are reported in selling, general and administrative expense in the statements of operations and comprehensive loss.</w:t>
      </w:r>
    </w:p>
    <w:p>
      <w:pPr>
        <w:spacing w:after="0" w:line="123"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The Company utilizes the practical expedient under ASC 606 and does not disclose unsatisfied performance obligations for service contracts as these contracts generally have an original duration of less than one year. For those contracts with an original duration exceeding one year, the aggregate amount of transaction price allocated to the performance obligations unsatisfied at December 31, 2023 was not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171"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Cost of sales consists primarily of manufacturing overhead costs, material costs and direct labor, including stock-based compensation. A significant portion of the Company’s cost of sales currently consists of manufacturing overhead costs. These overhead costs include the cost of quality assurance, material procurement, inventory control, facilities, equipment and operations supervision and management. Cost of sales also includes depreciation expense for production equipment, warranty, and field service costs, and purchased intangibles and certain direct costs such as shipping costs.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71"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consist primarily of engineering, product development, and regulatory affairs, consulting services, materials, depreciation and other costs associated with products and technologies being developed, including employee and non-employee compensation, stock-based compensation, supplies, quality assurance expenses, related travel expenses and facilities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67" w:lineRule="exact"/>
        <w:rPr>
          <w:sz w:val="20"/>
          <w:szCs w:val="20"/>
          <w:color w:val="auto"/>
        </w:rPr>
      </w:pPr>
    </w:p>
    <w:p>
      <w:pPr>
        <w:jc w:val="both"/>
        <w:ind w:right="300" w:firstLine="309"/>
        <w:spacing w:after="0" w:line="272" w:lineRule="auto"/>
        <w:rPr>
          <w:sz w:val="20"/>
          <w:szCs w:val="20"/>
          <w:color w:val="auto"/>
        </w:rPr>
      </w:pPr>
      <w:r>
        <w:rPr>
          <w:rFonts w:ascii="Times New Roman" w:cs="Times New Roman" w:eastAsia="Times New Roman" w:hAnsi="Times New Roman"/>
          <w:sz w:val="17"/>
          <w:szCs w:val="17"/>
          <w:color w:val="auto"/>
        </w:rPr>
        <w:t xml:space="preserve">The Company accounts for stock options granted to employees and directors under the fair value recognition provision of ASC 718, Compensation - </w:t>
      </w:r>
      <w:r>
        <w:rPr>
          <w:rFonts w:ascii="Times New Roman" w:cs="Times New Roman" w:eastAsia="Times New Roman" w:hAnsi="Times New Roman"/>
          <w:sz w:val="17"/>
          <w:szCs w:val="17"/>
          <w:i w:val="1"/>
          <w:iCs w:val="1"/>
          <w:color w:val="auto"/>
        </w:rPr>
        <w:t>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Stock-based compensation expense is recognized over the requisite service period in the statements of operations and comprehensive loss.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uses the straight-line method for expense attribution.</w:t>
      </w:r>
    </w:p>
    <w:p>
      <w:pPr>
        <w:spacing w:after="0" w:line="113" w:lineRule="exact"/>
        <w:rPr>
          <w:sz w:val="20"/>
          <w:szCs w:val="20"/>
          <w:color w:val="auto"/>
        </w:rPr>
      </w:pPr>
    </w:p>
    <w:p>
      <w:pPr>
        <w:ind w:right="140" w:firstLine="309"/>
        <w:spacing w:after="0" w:line="261" w:lineRule="auto"/>
        <w:rPr>
          <w:sz w:val="20"/>
          <w:szCs w:val="20"/>
          <w:color w:val="auto"/>
        </w:rPr>
      </w:pPr>
      <w:r>
        <w:rPr>
          <w:rFonts w:ascii="Times New Roman" w:cs="Times New Roman" w:eastAsia="Times New Roman" w:hAnsi="Times New Roman"/>
          <w:sz w:val="17"/>
          <w:szCs w:val="17"/>
          <w:color w:val="auto"/>
        </w:rPr>
        <w:t>The Company estimates the fair value of stock options on the date of grant using the Black-Scholes option-pricing model. The Black-Scholes model determines the fair value of stock-based payment awards based on the fair market value of the Company’s common stock on the date of grant and is affected by assumptions regarding a number of highly complex and subjective variables. These variables include, but are not limited to, the fair market value of the Company’s common stock, volatility over the expected term of the awards and actual and projected employee stock option exercise behaviors. The Company has opted to use the “simplified method” for estimating the expected term of options, whereby the expected</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term equals the arithmetic average of the vesting term and the original contractual term of the option. Due to the Company’s limited operating history and limited company specific historical and implied volatility data, the Company has based its estimate of expected volatility on the historical volatility of a group of similar companies that are publicly traded. When selecting these public companies on which it has based its expected stock price volatility, the Company generally selected companies with comparable characteristics to it, including enterprise value, stages of clinical development,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share-based payments. The Company will continue to analyze the historical stock price volatility and expected term assumptions as more historical data for the Company’s common stock becomes available. The risk-free rate assumption is based on the U.S. Treasury instruments with maturities similar to the expected term of the Company’s stock options. The expected dividend assumption is based on the Company’s history of not paying dividends and its expectation that it will not declare dividends for the foreseeable future. The Company has elected to account for forfeitures when they occur.</w:t>
      </w:r>
    </w:p>
    <w:p>
      <w:pPr>
        <w:spacing w:after="0" w:line="124" w:lineRule="exact"/>
        <w:rPr>
          <w:sz w:val="20"/>
          <w:szCs w:val="20"/>
          <w:color w:val="auto"/>
        </w:rPr>
      </w:pPr>
    </w:p>
    <w:p>
      <w:pPr>
        <w:jc w:val="both"/>
        <w:ind w:right="80" w:firstLine="309"/>
        <w:spacing w:after="0" w:line="270" w:lineRule="auto"/>
        <w:rPr>
          <w:sz w:val="20"/>
          <w:szCs w:val="20"/>
          <w:color w:val="auto"/>
        </w:rPr>
      </w:pPr>
      <w:r>
        <w:rPr>
          <w:rFonts w:ascii="Times New Roman" w:cs="Times New Roman" w:eastAsia="Times New Roman" w:hAnsi="Times New Roman"/>
          <w:sz w:val="17"/>
          <w:szCs w:val="17"/>
          <w:color w:val="auto"/>
        </w:rPr>
        <w:t>The Company accounts for the fair value of restricted stock units (“RSUs”) using the closing market price of the Company’s common stock on the date of the grant. Stock-based compensation cost for RSUs is measured at the grant date based on the estimated fair value of the award and is recognized as expense over the requisite service period (generally the vesting period), net of forfeitures.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Expenses</w:t>
      </w:r>
    </w:p>
    <w:p>
      <w:pPr>
        <w:spacing w:after="0" w:line="171" w:lineRule="exact"/>
        <w:rPr>
          <w:sz w:val="20"/>
          <w:szCs w:val="20"/>
          <w:color w:val="auto"/>
        </w:rPr>
      </w:pPr>
    </w:p>
    <w:p>
      <w:pPr>
        <w:ind w:right="180" w:firstLine="309"/>
        <w:spacing w:after="0" w:line="287" w:lineRule="auto"/>
        <w:rPr>
          <w:sz w:val="20"/>
          <w:szCs w:val="20"/>
          <w:color w:val="auto"/>
        </w:rPr>
      </w:pPr>
      <w:r>
        <w:rPr>
          <w:rFonts w:ascii="Times New Roman" w:cs="Times New Roman" w:eastAsia="Times New Roman" w:hAnsi="Times New Roman"/>
          <w:sz w:val="17"/>
          <w:szCs w:val="17"/>
          <w:color w:val="auto"/>
        </w:rPr>
        <w:t>The Company expenses the costs of advertising, including promotional expenses, as incurred. Advertising expenses for the years ended December 31, 2023, 2022, and 2021 were $0.3 million, $0.1 million, and $0.1 million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71"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Valuation allowances against deferred tax assets are established when necessary to reduce deferred tax assets to the amounts expected to be realized. Currently, the Company has recorded a full valuation allowance against its deferred tax assets and there is no provision for income taxes, as the Company has incurred operating losses to-date. The Company’s policy is to record interest and penalties related to uncertain tax positions as a component of income tax expense in the statement of operations. To date, there have been no interest or penalties charged in relation to the unrecognized tax benefits.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71"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by the weighted-average number of shares of common stock outstanding during the period. Diluted net loss per share is computed by dividing the net loss by the weighted-average number of shares of common stock and common stock equivalent shares from dilutive stock options and common stock warrants outstanding during the period. Because the Company has reported a net loss for all periods presented, diluted net loss per share is the same as basic net loss per share for those periods as all potentially dilutive securities were antidilutive in those periods.</w:t>
      </w:r>
    </w:p>
    <w:p>
      <w:pPr>
        <w:spacing w:after="0" w:line="120"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The Company allocates no loss to participating securities because they have no contractual obligation to share in the losses of the Company. The shares of the Company’s redeemable convertible preferred stock participated in any dividends declared by the Company and were therefore considered to be participating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Gain (Loss)</w:t>
      </w:r>
    </w:p>
    <w:p>
      <w:pPr>
        <w:spacing w:after="0" w:line="171" w:lineRule="exact"/>
        <w:rPr>
          <w:sz w:val="20"/>
          <w:szCs w:val="20"/>
          <w:color w:val="auto"/>
        </w:rPr>
      </w:pPr>
    </w:p>
    <w:p>
      <w:pPr>
        <w:ind w:right="240" w:firstLine="309"/>
        <w:spacing w:after="0" w:line="287" w:lineRule="auto"/>
        <w:rPr>
          <w:sz w:val="20"/>
          <w:szCs w:val="20"/>
          <w:color w:val="auto"/>
        </w:rPr>
      </w:pPr>
      <w:r>
        <w:rPr>
          <w:rFonts w:ascii="Times New Roman" w:cs="Times New Roman" w:eastAsia="Times New Roman" w:hAnsi="Times New Roman"/>
          <w:sz w:val="17"/>
          <w:szCs w:val="17"/>
          <w:color w:val="auto"/>
        </w:rPr>
        <w:t>Comprehensive gain (loss) consists of net gains (losses) and changes in unrealized gains and losses on cash equivalents. Accumulated other comprehensive loss is presented in the accompanying balance sheets, when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71" w:lineRule="exact"/>
        <w:rPr>
          <w:sz w:val="20"/>
          <w:szCs w:val="20"/>
          <w:color w:val="auto"/>
        </w:rPr>
      </w:pPr>
    </w:p>
    <w:p>
      <w:pPr>
        <w:ind w:right="740" w:firstLine="309"/>
        <w:spacing w:after="0" w:line="287" w:lineRule="auto"/>
        <w:rPr>
          <w:sz w:val="20"/>
          <w:szCs w:val="20"/>
          <w:color w:val="auto"/>
        </w:rPr>
      </w:pPr>
      <w:r>
        <w:rPr>
          <w:rFonts w:ascii="Times New Roman" w:cs="Times New Roman" w:eastAsia="Times New Roman" w:hAnsi="Times New Roman"/>
          <w:sz w:val="17"/>
          <w:szCs w:val="17"/>
          <w:color w:val="auto"/>
        </w:rPr>
        <w:t>The Company operates as a single operating segment. The Company’s chief operating decision maker, its Chief Executive Officer, reviews financial information on an aggregate basis for the purposes of allocating resources and evaluating financial performance.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1" w:lineRule="exact"/>
        <w:rPr>
          <w:sz w:val="20"/>
          <w:szCs w:val="20"/>
          <w:color w:val="auto"/>
        </w:rPr>
      </w:pPr>
    </w:p>
    <w:p>
      <w:pPr>
        <w:ind w:right="180" w:firstLine="309"/>
        <w:spacing w:after="0" w:line="261" w:lineRule="auto"/>
        <w:rPr>
          <w:sz w:val="20"/>
          <w:szCs w:val="20"/>
          <w:color w:val="auto"/>
        </w:rPr>
      </w:pPr>
      <w:r>
        <w:rPr>
          <w:rFonts w:ascii="Times New Roman" w:cs="Times New Roman" w:eastAsia="Times New Roman" w:hAnsi="Times New Roman"/>
          <w:sz w:val="17"/>
          <w:szCs w:val="17"/>
          <w:color w:val="auto"/>
        </w:rPr>
        <w:t>In December 2023, the Financial Accounting Standards Board or FASB, issued Accounting Standards Update (“ASU”) 2023-09, Income Taxes (Topic 740): Improvements to Income Tax Disclosures, which includes amendments that further enhance income tax disclosures, primarily through standardization and disaggregation of rate reconciliation categories and income taxes paid by jurisdiction. The amendments are effective for all public entities for fiscal years beginning after December 15, 2024. Early adoption is permitted and should be applied either prospectively or retrospectively. The Company plans to adopt the ASU and related updates on January 1, 2025. The Company is evaluating the impact of this ASU will have on its financial statement disclosures.</w:t>
      </w:r>
    </w:p>
    <w:p>
      <w:pPr>
        <w:spacing w:after="0" w:line="11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3.</w:t>
        <w:tab/>
        <w:t>Fair Value Measurements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assets and liabilities measured at fair value on a recurring basis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63"/>
        </w:trPr>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60"/>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60" w:type="dxa"/>
            <w:vAlign w:val="bottom"/>
          </w:tcPr>
          <w:p>
            <w:pPr>
              <w:spacing w:after="0"/>
              <w:rPr>
                <w:sz w:val="13"/>
                <w:szCs w:val="13"/>
                <w:color w:val="auto"/>
              </w:rPr>
            </w:pPr>
          </w:p>
        </w:tc>
        <w:tc>
          <w:tcPr>
            <w:tcW w:w="5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40" w:type="dxa"/>
            <w:vAlign w:val="bottom"/>
          </w:tcPr>
          <w:p>
            <w:pPr>
              <w:spacing w:after="0"/>
              <w:rPr>
                <w:sz w:val="13"/>
                <w:szCs w:val="13"/>
                <w:color w:val="auto"/>
              </w:rPr>
            </w:pPr>
          </w:p>
        </w:tc>
        <w:tc>
          <w:tcPr>
            <w:tcW w:w="5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r>
      <w:tr>
        <w:trPr>
          <w:trHeight w:val="161"/>
        </w:trPr>
        <w:tc>
          <w:tcPr>
            <w:tcW w:w="4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Cash</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6,609</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6,609</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2"/>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8,870</w:t>
            </w:r>
          </w:p>
        </w:tc>
      </w:tr>
      <w:tr>
        <w:trPr>
          <w:trHeight w:val="174"/>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Cash equivalents</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250,613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250,613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212,989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212,989</w:t>
            </w:r>
          </w:p>
        </w:tc>
      </w:tr>
      <w:tr>
        <w:trPr>
          <w:trHeight w:val="160"/>
        </w:trPr>
        <w:tc>
          <w:tcPr>
            <w:tcW w:w="48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Total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257,222</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w w:val="99"/>
              </w:rPr>
              <w:t>—</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257,222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221,859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221,859</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59"/>
        </w:trPr>
        <w:tc>
          <w:tcPr>
            <w:tcW w:w="4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68"/>
        </w:trPr>
        <w:tc>
          <w:tcPr>
            <w:tcW w:w="4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Loan facility derivative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ind w:left="38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80" w:type="dxa"/>
            <w:vAlign w:val="bottom"/>
          </w:tcPr>
          <w:p>
            <w:pPr>
              <w:spacing w:after="0"/>
              <w:rPr>
                <w:sz w:val="14"/>
                <w:szCs w:val="14"/>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82"/>
              </w:rPr>
              <w:t>—</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1,779</w:t>
            </w:r>
          </w:p>
        </w:tc>
        <w:tc>
          <w:tcPr>
            <w:tcW w:w="100" w:type="dxa"/>
            <w:vAlign w:val="bottom"/>
          </w:tcPr>
          <w:p>
            <w:pPr>
              <w:spacing w:after="0"/>
              <w:rPr>
                <w:sz w:val="14"/>
                <w:szCs w:val="14"/>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1,779</w:t>
            </w:r>
          </w:p>
        </w:tc>
      </w:tr>
      <w:tr>
        <w:trPr>
          <w:trHeight w:val="20"/>
        </w:trPr>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The carrying amounts of the Company’s cash and cash equivalents, accounts receivable and accounts payable approximate their fair values due to their short maturities. The Company’s long-term debt is recorded at its net carrying value, which approximates fair value.</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transfers in and out of Level 3 during the years ended December 31, 2023 and 2022.</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Loan facility derivative liability</w:t>
      </w:r>
    </w:p>
    <w:p>
      <w:pPr>
        <w:spacing w:after="0" w:line="169" w:lineRule="exact"/>
        <w:rPr>
          <w:sz w:val="20"/>
          <w:szCs w:val="20"/>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estimated fair value of the Company’s loan facility derivative liability, classified as Level 3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r>
      <w:tr>
        <w:trPr>
          <w:trHeight w:val="22"/>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1"/>
        </w:trPr>
        <w:tc>
          <w:tcPr>
            <w:tcW w:w="5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r>
      <w:tr>
        <w:trPr>
          <w:trHeight w:val="219"/>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Change in fair value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the loan facility derivative liability was determined using a discounted cash flow calculation discounted at 6%.</w:t>
      </w:r>
    </w:p>
    <w:p>
      <w:pPr>
        <w:spacing w:after="0" w:line="200" w:lineRule="exact"/>
        <w:rPr>
          <w:sz w:val="20"/>
          <w:szCs w:val="20"/>
          <w:color w:val="auto"/>
        </w:rPr>
      </w:pPr>
    </w:p>
    <w:p>
      <w:pPr>
        <w:spacing w:after="0" w:line="34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4.</w:t>
        <w:tab/>
        <w:t>Composition of Certain Consolidated Financial Statement Items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r>
      <w:tr>
        <w:trPr>
          <w:trHeight w:val="22"/>
        </w:trPr>
        <w:tc>
          <w:tcPr>
            <w:tcW w:w="338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1"/>
        </w:trPr>
        <w:tc>
          <w:tcPr>
            <w:tcW w:w="338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48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12,417</w:t>
            </w: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Work-in-process</w:t>
            </w:r>
          </w:p>
        </w:tc>
        <w:tc>
          <w:tcPr>
            <w:tcW w:w="4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48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14,388</w:t>
            </w:r>
          </w:p>
        </w:tc>
      </w:tr>
      <w:tr>
        <w:trPr>
          <w:trHeight w:val="212"/>
        </w:trPr>
        <w:tc>
          <w:tcPr>
            <w:tcW w:w="3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inventory</w:t>
            </w:r>
          </w:p>
        </w:tc>
        <w:tc>
          <w:tcPr>
            <w:tcW w:w="4800" w:type="dxa"/>
            <w:vAlign w:val="bottom"/>
          </w:tcPr>
          <w:p>
            <w:pPr>
              <w:spacing w:after="0"/>
              <w:rPr>
                <w:sz w:val="18"/>
                <w:szCs w:val="18"/>
                <w:color w:val="auto"/>
              </w:rPr>
            </w:pPr>
          </w:p>
        </w:tc>
        <w:tc>
          <w:tcPr>
            <w:tcW w:w="9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39,756</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28,543</w:t>
            </w:r>
          </w:p>
        </w:tc>
      </w:tr>
      <w:tr>
        <w:trPr>
          <w:trHeight w:val="20"/>
        </w:trPr>
        <w:tc>
          <w:tcPr>
            <w:tcW w:w="3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56"/>
        </w:trPr>
        <w:tc>
          <w:tcPr>
            <w:tcW w:w="3380" w:type="dxa"/>
            <w:vAlign w:val="bottom"/>
          </w:tcPr>
          <w:p>
            <w:pPr>
              <w:spacing w:after="0"/>
              <w:rPr>
                <w:sz w:val="24"/>
                <w:szCs w:val="24"/>
                <w:color w:val="auto"/>
              </w:rPr>
            </w:pPr>
          </w:p>
        </w:tc>
        <w:tc>
          <w:tcPr>
            <w:tcW w:w="5720" w:type="dxa"/>
            <w:vAlign w:val="bottom"/>
            <w:gridSpan w:val="2"/>
          </w:tcPr>
          <w:p>
            <w:pPr>
              <w:jc w:val="right"/>
              <w:ind w:right="3240"/>
              <w:spacing w:after="0"/>
              <w:rPr>
                <w:sz w:val="20"/>
                <w:szCs w:val="20"/>
                <w:color w:val="auto"/>
              </w:rPr>
            </w:pPr>
            <w:r>
              <w:rPr>
                <w:rFonts w:ascii="Times New Roman" w:cs="Times New Roman" w:eastAsia="Times New Roman" w:hAnsi="Times New Roman"/>
                <w:sz w:val="17"/>
                <w:szCs w:val="17"/>
                <w:color w:val="auto"/>
              </w:rPr>
              <w:t>F-15</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8"/>
        </w:trPr>
        <w:tc>
          <w:tcPr>
            <w:tcW w:w="338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Laboratory, manufacturing and computer equipment, and furniture and fixtures</w:t>
            </w:r>
          </w:p>
        </w:tc>
        <w:tc>
          <w:tcPr>
            <w:tcW w:w="92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Rental equipment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4,941</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Evaluation units</w:t>
            </w:r>
          </w:p>
        </w:tc>
        <w:tc>
          <w:tcPr>
            <w:tcW w:w="9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5,671</w:t>
            </w:r>
          </w:p>
        </w:tc>
        <w:tc>
          <w:tcPr>
            <w:tcW w:w="0" w:type="dxa"/>
            <w:vAlign w:val="bottom"/>
          </w:tcPr>
          <w:p>
            <w:pPr>
              <w:spacing w:after="0"/>
              <w:rPr>
                <w:sz w:val="1"/>
                <w:szCs w:val="1"/>
                <w:color w:val="auto"/>
              </w:rPr>
            </w:pPr>
          </w:p>
        </w:tc>
      </w:tr>
      <w:tr>
        <w:trPr>
          <w:trHeight w:val="21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(9,004)</w:t>
            </w:r>
          </w:p>
        </w:tc>
        <w:tc>
          <w:tcPr>
            <w:tcW w:w="0" w:type="dxa"/>
            <w:vAlign w:val="bottom"/>
          </w:tcPr>
          <w:p>
            <w:pPr>
              <w:spacing w:after="0"/>
              <w:rPr>
                <w:sz w:val="1"/>
                <w:szCs w:val="1"/>
                <w:color w:val="auto"/>
              </w:rPr>
            </w:pPr>
          </w:p>
        </w:tc>
      </w:tr>
      <w:tr>
        <w:trPr>
          <w:trHeight w:val="212"/>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28,748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8,656</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Current Liabilities (in thousands):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1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purchases</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tax</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Travel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retirement obligation</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Clinical trial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0" w:type="dxa"/>
            <w:vAlign w:val="bottom"/>
          </w:tcPr>
          <w:p>
            <w:pPr>
              <w:spacing w:after="0"/>
              <w:rPr>
                <w:sz w:val="1"/>
                <w:szCs w:val="1"/>
                <w:color w:val="auto"/>
              </w:rPr>
            </w:pPr>
          </w:p>
        </w:tc>
      </w:tr>
      <w:tr>
        <w:trPr>
          <w:trHeight w:val="212"/>
        </w:trPr>
        <w:tc>
          <w:tcPr>
            <w:tcW w:w="81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other current liabilities</w:t>
            </w:r>
          </w:p>
        </w:tc>
        <w:tc>
          <w:tcPr>
            <w:tcW w:w="92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6,318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92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2022, other non-current liabilities consisted of an asset retirement obligation for the facility lease which was terminated as of December 31, 2023.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in fair value of preferred stock warrants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loan facility derivative liability</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37"/>
        </w:trPr>
        <w:tc>
          <w:tcPr>
            <w:tcW w:w="6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interest and other income, net</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5.</w:t>
        <w:tab/>
        <w:t>Intangible Assets</w:t>
      </w:r>
    </w:p>
    <w:p>
      <w:pPr>
        <w:spacing w:after="0" w:line="169" w:lineRule="exact"/>
        <w:rPr>
          <w:sz w:val="20"/>
          <w:szCs w:val="20"/>
          <w:color w:val="auto"/>
        </w:rPr>
      </w:pPr>
    </w:p>
    <w:p>
      <w:pPr>
        <w:ind w:right="40" w:firstLine="309"/>
        <w:spacing w:after="0" w:line="258" w:lineRule="auto"/>
        <w:rPr>
          <w:sz w:val="20"/>
          <w:szCs w:val="20"/>
          <w:color w:val="auto"/>
        </w:rPr>
      </w:pPr>
      <w:r>
        <w:rPr>
          <w:rFonts w:ascii="Times New Roman" w:cs="Times New Roman" w:eastAsia="Times New Roman" w:hAnsi="Times New Roman"/>
          <w:sz w:val="17"/>
          <w:szCs w:val="17"/>
          <w:color w:val="auto"/>
        </w:rPr>
        <w:t>In March 2019, the Company entered into a license agreement with HydroCision, Inc. This agreement grants the Company an exclusive, perpetual, irrevocable, worldwide, fully paid-up license to develop, manufacture and commercialize products in the field of urology using the patented technology and know-how controlled by HydroCision as of the effective date and as well as new patented technology developed by HydroCision that cover certain activities and improvements that relate to the use of fluid jet technology in connection with the licensed products during the period commencing on the effective date and ending on the earlier of the date that the Company ceases to use HydroCision’s existing contract manufacturers and the third anniversary of the effective date. Also included is the right to utilize HydroCision’s contract manufacturers, if desired. The consideration paid was a one-time upfront payment of $2.5 million, as well as allowing HydroCision (a reciprocal license) to use any new patented technology and know-how developed by the Company relating to the HydroCision patented technology and know-how in the field of urology for HydroCision use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outside the field of urology. HydroCision will pay for any patent maintenance fees on HydroCision’s licensed patents. As of December 31, 2023 and 2022, accumulated amortization was $1.3 million and $1.0 million, respectively, and the net carrying amount is expected to be amortized at a rate of $0.3 million per year until fully amortized.</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Amortization expense for intangible assets for the years ended December 31, 2023, 2022, and 2021 was $0.3 million respectively.</w:t>
      </w:r>
    </w:p>
    <w:p>
      <w:pPr>
        <w:spacing w:after="0" w:line="16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6.</w:t>
        <w:tab/>
        <w:t>Long-Term Debt</w:t>
      </w:r>
    </w:p>
    <w:p>
      <w:pPr>
        <w:spacing w:after="0" w:line="169" w:lineRule="exact"/>
        <w:rPr>
          <w:sz w:val="20"/>
          <w:szCs w:val="20"/>
          <w:color w:val="auto"/>
        </w:rPr>
      </w:pPr>
    </w:p>
    <w:p>
      <w:pPr>
        <w:ind w:right="100" w:firstLine="309"/>
        <w:spacing w:after="0" w:line="270" w:lineRule="auto"/>
        <w:rPr>
          <w:sz w:val="20"/>
          <w:szCs w:val="20"/>
          <w:color w:val="auto"/>
        </w:rPr>
      </w:pPr>
      <w:r>
        <w:rPr>
          <w:rFonts w:ascii="Times New Roman" w:cs="Times New Roman" w:eastAsia="Times New Roman" w:hAnsi="Times New Roman"/>
          <w:sz w:val="17"/>
          <w:szCs w:val="17"/>
          <w:color w:val="auto"/>
        </w:rPr>
        <w:t>In October 2022, the Company entered into a loan and security agreement (“The Agreement”) with Canadian Imperial Bank of Commerce, or CIBC. The Agreement provides for a senior secured term loan facility in the aggregate principal amount of $52.0 million (the "Term Loan Facility") which was borrowed in full.</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Term Loan Facility was used to repay and terminate the Company's previous loan facility, transaction fees, and related expenses.</w:t>
      </w:r>
    </w:p>
    <w:p>
      <w:pPr>
        <w:spacing w:after="0" w:line="165" w:lineRule="exact"/>
        <w:rPr>
          <w:sz w:val="20"/>
          <w:szCs w:val="20"/>
          <w:color w:val="auto"/>
        </w:rPr>
      </w:pPr>
    </w:p>
    <w:p>
      <w:pPr>
        <w:ind w:right="40" w:firstLine="309"/>
        <w:spacing w:after="0" w:line="260" w:lineRule="auto"/>
        <w:rPr>
          <w:sz w:val="20"/>
          <w:szCs w:val="20"/>
          <w:color w:val="auto"/>
        </w:rPr>
      </w:pPr>
      <w:r>
        <w:rPr>
          <w:rFonts w:ascii="Times New Roman" w:cs="Times New Roman" w:eastAsia="Times New Roman" w:hAnsi="Times New Roman"/>
          <w:sz w:val="17"/>
          <w:szCs w:val="17"/>
          <w:color w:val="auto"/>
        </w:rPr>
        <w:t>The Term Loan Facility is scheduled to mature on the fifth anniversary of the Closing Date (the "Maturity Date"). The Agreement provides for interest-only payments on the Term Loan Facility for the first thirty-six months following the Closing Date (the "Initial Interest-Only Period"). The Initial Interest-Only Period will be extended to an additional twelve months if the Company achieves either (i) $200.0 million or greater in revenue in any twelve-month period or (ii) $0 or greater in EBITDA in any six-month period. Thereafter, amortization payments on the Term Loan Facility will be payable monthly until the Maturity Date in monthly installments equal to 20% of the then outstanding principal amount of the Term Loan Facility divided by 12 plus any accrued and unpaid interest. The Company has the option to prepay the Term Loan Facility without any prepayment charge or fee.</w:t>
      </w:r>
    </w:p>
    <w:p>
      <w:pPr>
        <w:spacing w:after="0" w:line="122" w:lineRule="exact"/>
        <w:rPr>
          <w:sz w:val="20"/>
          <w:szCs w:val="20"/>
          <w:color w:val="auto"/>
        </w:rPr>
      </w:pPr>
    </w:p>
    <w:p>
      <w:pPr>
        <w:jc w:val="both"/>
        <w:ind w:right="80" w:firstLine="309"/>
        <w:spacing w:after="0" w:line="270" w:lineRule="auto"/>
        <w:rPr>
          <w:sz w:val="20"/>
          <w:szCs w:val="20"/>
          <w:color w:val="auto"/>
        </w:rPr>
      </w:pPr>
      <w:r>
        <w:rPr>
          <w:rFonts w:ascii="Times New Roman" w:cs="Times New Roman" w:eastAsia="Times New Roman" w:hAnsi="Times New Roman"/>
          <w:sz w:val="17"/>
          <w:szCs w:val="17"/>
          <w:color w:val="auto"/>
        </w:rPr>
        <w:t>The loan borrowed under the Term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w:t>
      </w:r>
    </w:p>
    <w:p>
      <w:pPr>
        <w:spacing w:after="0" w:line="114" w:lineRule="exact"/>
        <w:rPr>
          <w:sz w:val="20"/>
          <w:szCs w:val="20"/>
          <w:color w:val="auto"/>
        </w:rPr>
      </w:pPr>
    </w:p>
    <w:p>
      <w:pPr>
        <w:ind w:right="80" w:firstLine="309"/>
        <w:spacing w:after="0" w:line="261" w:lineRule="auto"/>
        <w:rPr>
          <w:sz w:val="20"/>
          <w:szCs w:val="20"/>
          <w:color w:val="auto"/>
        </w:rPr>
      </w:pPr>
      <w:r>
        <w:rPr>
          <w:rFonts w:ascii="Times New Roman" w:cs="Times New Roman" w:eastAsia="Times New Roman" w:hAnsi="Times New Roman"/>
          <w:sz w:val="17"/>
          <w:szCs w:val="17"/>
          <w:color w:val="auto"/>
        </w:rPr>
        <w:t>The obligations under the Loan Agreement are secured by substantially all of the Company's assets, including its intellectual property and by a pledge all of the Company's equity interests in its U.S. subsidiaries and 65% of the Company's equity interests in its non-U.S. subsidiaries that are directly owned by the Company. In June 2023, the Term Loan Facility was amended to lower the amount the Company is obligated to maintain in deposit accounts held at the lender to the lesser of (i) $90.0 million or (ii) all of its non-operating cash and allow the Company to maintain cash or cash equivalents in excess of that amount with other financial institutions.</w:t>
      </w:r>
    </w:p>
    <w:p>
      <w:pPr>
        <w:spacing w:after="0" w:line="123" w:lineRule="exact"/>
        <w:rPr>
          <w:sz w:val="20"/>
          <w:szCs w:val="20"/>
          <w:color w:val="auto"/>
        </w:rPr>
      </w:pPr>
    </w:p>
    <w:p>
      <w:pPr>
        <w:ind w:right="220" w:firstLine="309"/>
        <w:spacing w:after="0" w:line="287" w:lineRule="auto"/>
        <w:rPr>
          <w:sz w:val="20"/>
          <w:szCs w:val="20"/>
          <w:color w:val="auto"/>
        </w:rPr>
      </w:pPr>
      <w:r>
        <w:rPr>
          <w:rFonts w:ascii="Times New Roman" w:cs="Times New Roman" w:eastAsia="Times New Roman" w:hAnsi="Times New Roman"/>
          <w:sz w:val="17"/>
          <w:szCs w:val="17"/>
          <w:color w:val="auto"/>
        </w:rPr>
        <w:t>The Company recorded a loss on loan extinguishment in the amount of $3.3 million in its consolidated statements of operations and comprehensive loss at December 31, 2022. The loss was attributed to the acquisition price of the CIBC debt exceeded the carrying amount of the Company’s previous loan facility.</w:t>
      </w:r>
    </w:p>
    <w:p>
      <w:pPr>
        <w:spacing w:after="0" w:line="96"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7.</w:t>
        <w:tab/>
        <w:t>Stock-Based Compensation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Award Plan</w:t>
      </w:r>
    </w:p>
    <w:p>
      <w:pPr>
        <w:spacing w:after="0" w:line="171" w:lineRule="exact"/>
        <w:rPr>
          <w:sz w:val="20"/>
          <w:szCs w:val="20"/>
          <w:color w:val="auto"/>
        </w:rPr>
      </w:pPr>
    </w:p>
    <w:p>
      <w:pPr>
        <w:jc w:val="both"/>
        <w:ind w:right="20" w:firstLine="309"/>
        <w:spacing w:after="0" w:line="260" w:lineRule="auto"/>
        <w:rPr>
          <w:sz w:val="20"/>
          <w:szCs w:val="20"/>
          <w:color w:val="auto"/>
        </w:rPr>
      </w:pPr>
      <w:r>
        <w:rPr>
          <w:rFonts w:ascii="Times New Roman" w:cs="Times New Roman" w:eastAsia="Times New Roman" w:hAnsi="Times New Roman"/>
          <w:sz w:val="17"/>
          <w:szCs w:val="17"/>
          <w:color w:val="auto"/>
        </w:rPr>
        <w:t>In September 2021, the Company adopted the 2021 Equity Incentive Award Plan (the “2021 Plan”), which allows for the granting of stock options and stock purchase rights to the employees, members of the board of directors, and consultants of the Company. A total of 7,729,013 shares of common stock were reserved for issuance under the 2021 Plan. Options granted under the 2021 Plan may be either incentive stock options (“ISOs”) or nonqualified stock options (“NSOs”).</w:t>
      </w:r>
    </w:p>
    <w:p>
      <w:pPr>
        <w:ind w:right="560"/>
        <w:spacing w:after="0" w:line="266" w:lineRule="auto"/>
        <w:rPr>
          <w:sz w:val="20"/>
          <w:szCs w:val="20"/>
          <w:color w:val="auto"/>
        </w:rPr>
      </w:pPr>
      <w:r>
        <w:rPr>
          <w:rFonts w:ascii="Times New Roman" w:cs="Times New Roman" w:eastAsia="Times New Roman" w:hAnsi="Times New Roman"/>
          <w:sz w:val="17"/>
          <w:szCs w:val="17"/>
          <w:color w:val="auto"/>
        </w:rPr>
        <w:t>ISOs may be granted only to the Company’s employees, including officers and directors who are also employees. NSOs may be granted to employees and consultants.</w:t>
      </w:r>
    </w:p>
    <w:p>
      <w:pPr>
        <w:spacing w:after="0" w:line="11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Options under the 2021 Plan may be granted for periods of up to 10 years and at prices no less than 100% of the estimated fair value of the shares on the date of grant as determined by the board of directors, provided, however, that the exercise price of an ISO and NSO granted to a 10% shareholder shall not be less than 110% of the estimated fair value of the shares on the date of grant.</w:t>
      </w:r>
    </w:p>
    <w:p>
      <w:pPr>
        <w:spacing w:after="0" w:line="114" w:lineRule="exact"/>
        <w:rPr>
          <w:sz w:val="20"/>
          <w:szCs w:val="20"/>
          <w:color w:val="auto"/>
        </w:rPr>
      </w:pPr>
    </w:p>
    <w:p>
      <w:pPr>
        <w:ind w:right="100" w:firstLine="309"/>
        <w:spacing w:after="0" w:line="264" w:lineRule="auto"/>
        <w:rPr>
          <w:sz w:val="20"/>
          <w:szCs w:val="20"/>
          <w:color w:val="auto"/>
        </w:rPr>
      </w:pPr>
      <w:r>
        <w:rPr>
          <w:rFonts w:ascii="Times New Roman" w:cs="Times New Roman" w:eastAsia="Times New Roman" w:hAnsi="Times New Roman"/>
          <w:sz w:val="17"/>
          <w:szCs w:val="17"/>
          <w:color w:val="auto"/>
        </w:rPr>
        <w:t>Granted options for newly hired employees usually vest over four years monthly with a one-year cliff vesting, and follow-on options vest monthly over four years with no cliff vesting. Options granted to consultants have various vesting schedules depending on the underlying consulting arrangement and anticipated period of service. Granted restricted stock units usually vest over four years annually. As of December 31, 2023, there were 5.2 million shares available for grant and 2.3 million awards outstanding under the 2021 Plan.</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78" w:right="4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2008 Stock Plan</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The Company ceased making awards under the 2008 Stock Plan upon the effective date of the Company’s IPO. In 2008, the Company adopted the 2008 Stock Plan (the “2008 Plan”), which allows for the granting of stock options and stock purchase rights to the employees, members of the board of directors, and consultants of the Company. Options granted under the 2008 Plan may be either incentive stock options (“ISOs”) or nonqualified stock options (“NSOs”). ISOs may be granted only to the Company’s employees, including officers and directors who are also employees. NSOs may be granted to employees and consultants. Options granted under the 2008 Plan will start expiring in August 2021. Options outstanding under the 2008 Plan will expire upon forfeiture. As of December 31, 2023, 4.5 million options were outstanding under the 2008 Plan.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71" w:lineRule="exact"/>
        <w:rPr>
          <w:sz w:val="20"/>
          <w:szCs w:val="20"/>
          <w:color w:val="auto"/>
        </w:rPr>
      </w:pPr>
    </w:p>
    <w:p>
      <w:pPr>
        <w:ind w:right="20" w:firstLine="309"/>
        <w:spacing w:after="0" w:line="258" w:lineRule="auto"/>
        <w:rPr>
          <w:sz w:val="20"/>
          <w:szCs w:val="20"/>
          <w:color w:val="auto"/>
        </w:rPr>
      </w:pPr>
      <w:r>
        <w:rPr>
          <w:rFonts w:ascii="Times New Roman" w:cs="Times New Roman" w:eastAsia="Times New Roman" w:hAnsi="Times New Roman"/>
          <w:sz w:val="17"/>
          <w:szCs w:val="17"/>
          <w:color w:val="auto"/>
        </w:rPr>
        <w:t>In September 2021, the Company adopted the 2021 Employee Stock Purchase Plan (the “2021 ESPP”). The 2021 ESPP became effective on the effective date of the IPO. A total of 412,988 shares were initially reserved for issuance under the 2021 ESPP. Additionally, the number of shares of common stock reserved for issuance under the 2021 ESPP will increase automatically each year, beginning on January 1, 2022, and continuing through and including January 1, 2031, by the lesser of (1) 1% of the total number of shares of common stock outstanding on December 31 of the preceding calendar year; or (2) such lesser number as determined by the Company’s board of directors. The number of shares that may be issued under the 2021 ESPP shall not exceed a total of 10,526,315 shares. As of December 31, 2023, approximately 245,000 shares have been issued under the 2021 ESPP. As of December 31, 2023, there were 1.1 million shares available for grant under the 2021 ESPP.</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Total stock-based compensation recognized, before taxes,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 capitalized in inventory</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40" w:type="dxa"/>
            <w:vAlign w:val="bottom"/>
          </w:tcPr>
          <w:p>
            <w:pPr>
              <w:spacing w:after="0"/>
              <w:rPr>
                <w:sz w:val="19"/>
                <w:szCs w:val="19"/>
                <w:color w:val="auto"/>
              </w:rPr>
            </w:pP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6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i w:val="1"/>
                <w:iCs w:val="1"/>
                <w:color w:val="auto"/>
              </w:rPr>
              <w:t>Stock Options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14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A summary of the Company’s stock option activity and related information are as follows (options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0" w:type="dxa"/>
            <w:vAlign w:val="bottom"/>
          </w:tcPr>
          <w:p>
            <w:pPr>
              <w:spacing w:after="0"/>
              <w:rPr>
                <w:sz w:val="1"/>
                <w:szCs w:val="1"/>
                <w:color w:val="auto"/>
              </w:rPr>
            </w:pPr>
          </w:p>
        </w:tc>
      </w:tr>
      <w:tr>
        <w:trPr>
          <w:trHeight w:val="193"/>
        </w:trPr>
        <w:tc>
          <w:tcPr>
            <w:tcW w:w="6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2023</w:t>
            </w: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8"/>
              <w:spacing w:after="0" w:line="122"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88"/>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beginning of period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11.62</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end of period</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5,215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2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Vested and expected to vest</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bottom w:val="single" w:sz="8" w:color="auto"/>
            </w:tcBorders>
            <w:gridSpan w:val="2"/>
          </w:tcPr>
          <w:p>
            <w:pPr>
              <w:jc w:val="right"/>
              <w:ind w:right="40"/>
              <w:spacing w:after="0" w:line="191" w:lineRule="exact"/>
              <w:rPr>
                <w:sz w:val="20"/>
                <w:szCs w:val="20"/>
                <w:color w:val="auto"/>
              </w:rPr>
            </w:pPr>
            <w:r>
              <w:rPr>
                <w:rFonts w:ascii="Times New Roman" w:cs="Times New Roman" w:eastAsia="Times New Roman" w:hAnsi="Times New Roman"/>
                <w:sz w:val="17"/>
                <w:szCs w:val="17"/>
                <w:color w:val="auto"/>
              </w:rPr>
              <w:t>5,215</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9.42</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4,042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20" w:firstLine="309"/>
        <w:spacing w:after="0" w:line="260"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during the years of December 31, 2023 and 2022 was $21.02 and $19.15, respectively. As of December 31, 2023, the aggregate pre-tax intrinsic value of options outstanding and exercisable was $144.0 million and options outstanding were $169.5 million. The aggregate pre-tax intrinsic value of options exercised was $15.4 million and $29.8 million during the years ended December 31, 2023 and 2022, respectively. The aggregate pre-tax intrinsic value was calculated as the difference between the exercise prices of the underlying options and the estimated fair value of the common stock on the date of exercise. The total fair value of options vested was $5.8 million and $4.8 million during the years ended December 31, 2023 and 2022,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6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2023, total unrecognized stock-based compensation related to unvested stock options was $10.9 million, which the Company expects to recognize over a remaining weighted-average period of 2.4 years.</w:t>
      </w:r>
    </w:p>
    <w:p>
      <w:pPr>
        <w:spacing w:after="0" w:line="100" w:lineRule="exact"/>
        <w:rPr>
          <w:sz w:val="20"/>
          <w:szCs w:val="20"/>
          <w:color w:val="auto"/>
        </w:rPr>
      </w:pPr>
    </w:p>
    <w:p>
      <w:pPr>
        <w:ind w:right="420" w:firstLine="309"/>
        <w:spacing w:after="0" w:line="287" w:lineRule="auto"/>
        <w:rPr>
          <w:sz w:val="20"/>
          <w:szCs w:val="20"/>
          <w:color w:val="auto"/>
        </w:rPr>
      </w:pPr>
      <w:r>
        <w:rPr>
          <w:rFonts w:ascii="Times New Roman" w:cs="Times New Roman" w:eastAsia="Times New Roman" w:hAnsi="Times New Roman"/>
          <w:sz w:val="17"/>
          <w:szCs w:val="17"/>
          <w:color w:val="auto"/>
        </w:rPr>
        <w:t>The fair value of the options granted to employees or directors was estimated as of the grant date using the Black-Scholes model assuming the weighted-average assumptions listed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2"/>
        </w:trPr>
        <w:tc>
          <w:tcPr>
            <w:tcW w:w="6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63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rate</w:t>
            </w:r>
          </w:p>
        </w:tc>
        <w:tc>
          <w:tcPr>
            <w:tcW w:w="9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fair value</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9"/>
              </w:rPr>
              <w:t>21.02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4.36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restricted stock unit or RSU activity and related information are as follows (RSUs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20" w:type="dxa"/>
            <w:vAlign w:val="bottom"/>
          </w:tcPr>
          <w:p>
            <w:pPr>
              <w:spacing w:after="0"/>
              <w:rPr>
                <w:sz w:val="15"/>
                <w:szCs w:val="15"/>
                <w:color w:val="auto"/>
              </w:rPr>
            </w:pPr>
          </w:p>
        </w:tc>
        <w:tc>
          <w:tcPr>
            <w:tcW w:w="2820" w:type="dxa"/>
            <w:vAlign w:val="bottom"/>
            <w:gridSpan w:val="4"/>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3"/>
        </w:trPr>
        <w:tc>
          <w:tcPr>
            <w:tcW w:w="8420" w:type="dxa"/>
            <w:vAlign w:val="bottom"/>
          </w:tcPr>
          <w:p>
            <w:pPr>
              <w:spacing w:after="0"/>
              <w:rPr>
                <w:sz w:val="16"/>
                <w:szCs w:val="16"/>
                <w:color w:val="auto"/>
              </w:rPr>
            </w:pPr>
          </w:p>
        </w:tc>
        <w:tc>
          <w:tcPr>
            <w:tcW w:w="282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2"/>
        </w:trPr>
        <w:tc>
          <w:tcPr>
            <w:tcW w:w="8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84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Restricted Stock Units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9"/>
              <w:spacing w:after="0" w:line="122" w:lineRule="exact"/>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88"/>
        </w:trPr>
        <w:tc>
          <w:tcPr>
            <w:tcW w:w="84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8"/>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beginning of period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36.35</w:t>
            </w:r>
          </w:p>
        </w:tc>
        <w:tc>
          <w:tcPr>
            <w:tcW w:w="0" w:type="dxa"/>
            <w:vAlign w:val="bottom"/>
          </w:tcPr>
          <w:p>
            <w:pPr>
              <w:spacing w:after="0"/>
              <w:rPr>
                <w:sz w:val="1"/>
                <w:szCs w:val="1"/>
                <w:color w:val="auto"/>
              </w:rPr>
            </w:pPr>
          </w:p>
        </w:tc>
      </w:tr>
      <w:tr>
        <w:trPr>
          <w:trHeight w:val="219"/>
        </w:trPr>
        <w:tc>
          <w:tcPr>
            <w:tcW w:w="8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36.16</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Canceled/forfeited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w:t>
            </w:r>
          </w:p>
        </w:tc>
        <w:tc>
          <w:tcPr>
            <w:tcW w:w="0" w:type="dxa"/>
            <w:vAlign w:val="bottom"/>
          </w:tcPr>
          <w:p>
            <w:pPr>
              <w:spacing w:after="0"/>
              <w:rPr>
                <w:sz w:val="1"/>
                <w:szCs w:val="1"/>
                <w:color w:val="auto"/>
              </w:rPr>
            </w:pPr>
          </w:p>
        </w:tc>
      </w:tr>
      <w:tr>
        <w:trPr>
          <w:trHeight w:val="219"/>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Released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0" w:type="dxa"/>
            <w:vAlign w:val="bottom"/>
          </w:tcPr>
          <w:p>
            <w:pPr>
              <w:spacing w:after="0"/>
              <w:rPr>
                <w:sz w:val="1"/>
                <w:szCs w:val="1"/>
                <w:color w:val="auto"/>
              </w:rPr>
            </w:pPr>
          </w:p>
        </w:tc>
      </w:tr>
      <w:tr>
        <w:trPr>
          <w:trHeight w:val="237"/>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end of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weighted-average grant date fair value of RSUs granted during the years of December 31, 2023 and 2022 was $36.16 and $36.23, respectively.</w:t>
      </w:r>
    </w:p>
    <w:p>
      <w:pPr>
        <w:spacing w:after="0" w:line="165" w:lineRule="exact"/>
        <w:rPr>
          <w:sz w:val="20"/>
          <w:szCs w:val="20"/>
          <w:color w:val="auto"/>
        </w:rPr>
      </w:pPr>
    </w:p>
    <w:p>
      <w:pPr>
        <w:ind w:right="80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2023, the aggregate pre-tax intrinsic value of RSUs outstanding was $65.6 million, calculated based on the closing price of the Company’s common stock at the end of the period.</w:t>
      </w:r>
    </w:p>
    <w:p>
      <w:pPr>
        <w:spacing w:after="0" w:line="100" w:lineRule="exact"/>
        <w:rPr>
          <w:sz w:val="20"/>
          <w:szCs w:val="20"/>
          <w:color w:val="auto"/>
        </w:rPr>
      </w:pPr>
    </w:p>
    <w:p>
      <w:pPr>
        <w:ind w:right="680" w:firstLine="309"/>
        <w:spacing w:after="0" w:line="287" w:lineRule="auto"/>
        <w:rPr>
          <w:sz w:val="20"/>
          <w:szCs w:val="20"/>
          <w:color w:val="auto"/>
        </w:rPr>
      </w:pPr>
      <w:r>
        <w:rPr>
          <w:rFonts w:ascii="Times New Roman" w:cs="Times New Roman" w:eastAsia="Times New Roman" w:hAnsi="Times New Roman"/>
          <w:sz w:val="17"/>
          <w:szCs w:val="17"/>
          <w:color w:val="auto"/>
        </w:rPr>
        <w:t>As of December 31, 2023, total unrecognized stock-based compensation related to unvested RSUs was $46.0 million, which the Company expects to recognize over a remaining weighted-average period of 3.0 years.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Stock Purchase Plan</w:t>
      </w:r>
    </w:p>
    <w:p>
      <w:pPr>
        <w:spacing w:after="0" w:line="169" w:lineRule="exact"/>
        <w:rPr>
          <w:sz w:val="20"/>
          <w:szCs w:val="20"/>
          <w:color w:val="auto"/>
        </w:rPr>
      </w:pPr>
    </w:p>
    <w:p>
      <w:pPr>
        <w:ind w:right="14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2023, there was approximately $0.8 million of unrecognized cost related to employee stock purchases under the 2021 ESPP. This cost is expected to be recognized over a weighted average period of 0.4 years. As of December 31, 2023, a total of 1.1 million shares were available for issuance under the 2021 ESPP.</w:t>
      </w:r>
    </w:p>
    <w:p>
      <w:pPr>
        <w:spacing w:after="0" w:line="114" w:lineRule="exact"/>
        <w:rPr>
          <w:sz w:val="20"/>
          <w:szCs w:val="20"/>
          <w:color w:val="auto"/>
        </w:rPr>
      </w:pPr>
    </w:p>
    <w:p>
      <w:pPr>
        <w:ind w:right="480" w:firstLine="309"/>
        <w:spacing w:after="0" w:line="287" w:lineRule="auto"/>
        <w:rPr>
          <w:sz w:val="20"/>
          <w:szCs w:val="20"/>
          <w:color w:val="auto"/>
        </w:rPr>
      </w:pPr>
      <w:r>
        <w:rPr>
          <w:rFonts w:ascii="Times New Roman" w:cs="Times New Roman" w:eastAsia="Times New Roman" w:hAnsi="Times New Roman"/>
          <w:sz w:val="17"/>
          <w:szCs w:val="17"/>
          <w:color w:val="auto"/>
        </w:rPr>
        <w:t>The fair value of the options granted under the 2021 ESPP to employees was estimated as of the grant date using the Black-Scholes model assuming the weighted-average assumptions listed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000" w:type="dxa"/>
            <w:vAlign w:val="bottom"/>
          </w:tcPr>
          <w:p>
            <w:pPr>
              <w:spacing w:after="0"/>
              <w:rPr>
                <w:sz w:val="15"/>
                <w:szCs w:val="15"/>
                <w:color w:val="auto"/>
              </w:rPr>
            </w:pPr>
          </w:p>
        </w:tc>
      </w:tr>
      <w:tr>
        <w:trPr>
          <w:trHeight w:val="22"/>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77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w w:val="92"/>
              </w:rPr>
              <w:t>2022</w:t>
            </w:r>
          </w:p>
        </w:tc>
      </w:tr>
      <w:tr>
        <w:trPr>
          <w:trHeight w:val="21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19"/>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rate</w:t>
            </w:r>
          </w:p>
        </w:tc>
        <w:tc>
          <w:tcPr>
            <w:tcW w:w="10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fair value</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11.20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15.11</w:t>
            </w: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shares issued under the ESPP for the year ended December 31, 2021.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 w:hanging="297"/>
        <w:spacing w:after="0"/>
        <w:tabs>
          <w:tab w:leader="none" w:pos="30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69"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did not record an income tax provision for the periods presented.</w:t>
      </w:r>
    </w:p>
    <w:p>
      <w:pPr>
        <w:spacing w:after="0" w:line="165"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Reconciliation between the tax provision computed at the federal statutory income tax rate and the Company's actual effective income tax rate are as follows:</w:t>
      </w:r>
    </w:p>
    <w:p>
      <w:pPr>
        <w:spacing w:after="0" w:line="19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40" w:type="dxa"/>
            <w:vAlign w:val="bottom"/>
          </w:tcPr>
          <w:p>
            <w:pPr>
              <w:spacing w:after="0"/>
              <w:rPr>
                <w:sz w:val="17"/>
                <w:szCs w:val="17"/>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statutory tax rate</w:t>
            </w: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21 %</w:t>
            </w:r>
          </w:p>
        </w:tc>
      </w:tr>
      <w:tr>
        <w:trPr>
          <w:trHeight w:val="21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R&amp;D tax credit</w:t>
            </w: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5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and other permanent differences</w:t>
            </w: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(23)</w:t>
            </w:r>
          </w:p>
        </w:tc>
      </w:tr>
      <w:tr>
        <w:trPr>
          <w:trHeight w:val="232"/>
        </w:trPr>
        <w:tc>
          <w:tcPr>
            <w:tcW w:w="7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40" w:firstLine="309"/>
        <w:spacing w:after="0" w:line="264" w:lineRule="auto"/>
        <w:rPr>
          <w:sz w:val="20"/>
          <w:szCs w:val="20"/>
          <w:color w:val="auto"/>
        </w:rPr>
      </w:pPr>
      <w:r>
        <w:rPr>
          <w:rFonts w:ascii="Times New Roman" w:cs="Times New Roman" w:eastAsia="Times New Roman" w:hAnsi="Times New Roman"/>
          <w:sz w:val="17"/>
          <w:szCs w:val="17"/>
          <w:color w:val="auto"/>
        </w:rPr>
        <w:t>The Company’s income taxes are accounted for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Significant components of net deferred tax assets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5"/>
                <w:szCs w:val="15"/>
                <w:color w:val="auto"/>
              </w:rPr>
            </w:pPr>
          </w:p>
        </w:tc>
      </w:tr>
      <w:tr>
        <w:trPr>
          <w:trHeight w:val="22"/>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1"/>
        </w:trPr>
        <w:tc>
          <w:tcPr>
            <w:tcW w:w="8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Net operating losses</w:t>
            </w: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80,273</w:t>
            </w:r>
          </w:p>
        </w:tc>
        <w:tc>
          <w:tcPr>
            <w:tcW w:w="8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65,197</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and equipment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R&amp;D tax credit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7,346</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w:t>
            </w: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Capitalized R&amp;D expenses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12,971</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Inventory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2,279</w:t>
            </w:r>
          </w:p>
        </w:tc>
      </w:tr>
      <w:tr>
        <w:trPr>
          <w:trHeight w:val="219"/>
        </w:trPr>
        <w:tc>
          <w:tcPr>
            <w:tcW w:w="81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Lease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6,404</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Accruals and reserves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w:t>
            </w:r>
          </w:p>
        </w:tc>
      </w:tr>
      <w:tr>
        <w:trPr>
          <w:trHeight w:val="21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99,884</w:t>
            </w:r>
          </w:p>
        </w:tc>
      </w:tr>
      <w:tr>
        <w:trPr>
          <w:trHeight w:val="21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(121,461)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(94,056)</w:t>
            </w:r>
          </w:p>
        </w:tc>
      </w:tr>
      <w:tr>
        <w:trPr>
          <w:trHeight w:val="212"/>
        </w:trPr>
        <w:tc>
          <w:tcPr>
            <w:tcW w:w="81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5,828</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Right-of-use assets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(5,828)</w:t>
            </w:r>
          </w:p>
        </w:tc>
      </w:tr>
      <w:tr>
        <w:trPr>
          <w:trHeight w:val="212"/>
        </w:trPr>
        <w:tc>
          <w:tcPr>
            <w:tcW w:w="8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(5,828)</w:t>
            </w: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60" w:firstLine="309"/>
        <w:spacing w:after="0" w:line="270"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The valuation allowance increased by $27.4 million during the year ended December 31, 2023.</w:t>
      </w:r>
    </w:p>
    <w:p>
      <w:pPr>
        <w:spacing w:after="0" w:line="114" w:lineRule="exact"/>
        <w:rPr>
          <w:sz w:val="20"/>
          <w:szCs w:val="20"/>
          <w:color w:val="auto"/>
        </w:rPr>
      </w:pPr>
    </w:p>
    <w:p>
      <w:pPr>
        <w:jc w:val="both"/>
        <w:ind w:right="24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2023 and 2022, the Company has U.S. federal net operating loss (“NOL”) carryforwards of approximately $326.3 million and $264.6 million, respectively, expiring beginning 2028. As of December 31, 2023 and 2022, the Company has U.S. state and local NOL carryforwards of approximately $194.0 million and $155.7 million, respectively, expiring beginning 2028.</w:t>
      </w:r>
    </w:p>
    <w:p>
      <w:pPr>
        <w:spacing w:after="0" w:line="114" w:lineRule="exact"/>
        <w:rPr>
          <w:sz w:val="20"/>
          <w:szCs w:val="20"/>
          <w:color w:val="auto"/>
        </w:rPr>
      </w:pPr>
    </w:p>
    <w:p>
      <w:pPr>
        <w:ind w:right="8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2023 and 2022, the Company has federal research and development credit carryforwards of approximately $7.5 million and $6.0 million, respectively, available to reduce future taxable income, if any. As of December 31, 2023 and 2022, the Company has California research and development credit carryforwards of approximately $6.0 million and $4.8 million, respectively, available to reduce future taxable income, if 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720" w:firstLine="309"/>
        <w:spacing w:after="0" w:line="287" w:lineRule="auto"/>
        <w:rPr>
          <w:sz w:val="20"/>
          <w:szCs w:val="20"/>
          <w:color w:val="auto"/>
        </w:rPr>
      </w:pPr>
      <w:r>
        <w:rPr>
          <w:rFonts w:ascii="Times New Roman" w:cs="Times New Roman" w:eastAsia="Times New Roman" w:hAnsi="Times New Roman"/>
          <w:sz w:val="17"/>
          <w:szCs w:val="17"/>
          <w:color w:val="auto"/>
        </w:rPr>
        <w:t>The federal research and development credit carryforwards expire beginning 2028 and California research and development credit carryforwards are indefinite.</w:t>
      </w:r>
    </w:p>
    <w:p>
      <w:pPr>
        <w:spacing w:after="0" w:line="100" w:lineRule="exact"/>
        <w:rPr>
          <w:sz w:val="20"/>
          <w:szCs w:val="20"/>
          <w:color w:val="auto"/>
        </w:rPr>
      </w:pPr>
    </w:p>
    <w:p>
      <w:pPr>
        <w:ind w:right="200" w:firstLine="309"/>
        <w:spacing w:after="0" w:line="264" w:lineRule="auto"/>
        <w:rPr>
          <w:sz w:val="20"/>
          <w:szCs w:val="20"/>
          <w:color w:val="auto"/>
        </w:rPr>
      </w:pPr>
      <w:r>
        <w:rPr>
          <w:rFonts w:ascii="Times New Roman" w:cs="Times New Roman" w:eastAsia="Times New Roman" w:hAnsi="Times New Roman"/>
          <w:sz w:val="17"/>
          <w:szCs w:val="17"/>
          <w:color w:val="auto"/>
        </w:rPr>
        <w:t>Internal Revenue Code section 382 places a limitation (the “Section 382 Limitation”) on the amount of taxable income that can be offset by net operating carryforwards after a change in control of a loss corporation. Generally, after a change in control, a loss corporation cannot deduct operating loss carryovers in excess of the Section 382 limitation. The Company has not performed an analysis to determine if a limitation applies and whether the limitation would cause the net operating losses to expire un-utilized.</w:t>
      </w:r>
    </w:p>
    <w:p>
      <w:pPr>
        <w:spacing w:after="0" w:line="120" w:lineRule="exact"/>
        <w:rPr>
          <w:sz w:val="20"/>
          <w:szCs w:val="20"/>
          <w:color w:val="auto"/>
        </w:rPr>
      </w:pPr>
    </w:p>
    <w:p>
      <w:pPr>
        <w:ind w:right="220" w:firstLine="309"/>
        <w:spacing w:after="0" w:line="270" w:lineRule="auto"/>
        <w:rPr>
          <w:sz w:val="20"/>
          <w:szCs w:val="20"/>
          <w:color w:val="auto"/>
        </w:rPr>
      </w:pPr>
      <w:r>
        <w:rPr>
          <w:rFonts w:ascii="Times New Roman" w:cs="Times New Roman" w:eastAsia="Times New Roman" w:hAnsi="Times New Roman"/>
          <w:sz w:val="17"/>
          <w:szCs w:val="17"/>
          <w:color w:val="auto"/>
        </w:rPr>
        <w:t>The Company files federal, state, and foreign income tax returns. The tax periods 2008 through 2023 remain open in most jurisdictions. In addition, any tax losses that were generated in prior years and carried forward may also be subject to examination by respective authorities. The Company is not currently under examination by federal, state or foreign income tax authorities.</w:t>
      </w:r>
    </w:p>
    <w:p>
      <w:pPr>
        <w:spacing w:after="0" w:line="114"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One of the provisions under the Tax Cuts and Jobs Act that became effective in tax years beginning after December 31, 2021 required the capitalization and amortization of research and experimental expenditures. The change in this US tax law did not have an impact on the Company's consolidated financial statements. The Company will continue to evaluate the impact of this tax law change on future periods.</w:t>
      </w:r>
    </w:p>
    <w:p>
      <w:pPr>
        <w:spacing w:after="0" w:line="114"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On August 16, 2022, President Biden signed the Inflation Reduction Act of 2022 ( the Inflation Act) into law. The Inflation Act contains certain tax measures, including a corporate alternative minimum tax of 15% on some large corporations and an excise tax of 1% on corporate stock buy-backs. The various provisions of the Inflation Act did not have an impact on the Company’s consolidated financial statements and related notes.</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change in the unrecognized tax benefit during the year is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of year</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r>
      <w:tr>
        <w:trPr>
          <w:trHeight w:val="219"/>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for tax positions related to:</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Current year</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r>
      <w:tr>
        <w:trPr>
          <w:trHeight w:val="219"/>
        </w:trPr>
        <w:tc>
          <w:tcPr>
            <w:tcW w:w="66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Prior years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 of year</w:t>
            </w:r>
          </w:p>
        </w:tc>
        <w:tc>
          <w:tcPr>
            <w:tcW w:w="94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309"/>
        <w:spacing w:after="0" w:line="270" w:lineRule="auto"/>
        <w:rPr>
          <w:sz w:val="20"/>
          <w:szCs w:val="20"/>
          <w:color w:val="auto"/>
        </w:rPr>
      </w:pPr>
      <w:r>
        <w:rPr>
          <w:rFonts w:ascii="Times New Roman" w:cs="Times New Roman" w:eastAsia="Times New Roman" w:hAnsi="Times New Roman"/>
          <w:sz w:val="17"/>
          <w:szCs w:val="17"/>
          <w:color w:val="auto"/>
        </w:rPr>
        <w:t>As of December 31, 2023, the Company had a total of $3.4 million of gross unrecognized tax benefits, none of which would affect the effective tax rate upon realization. The Company currently has a full valuation allowance against its U.S. net deferred tax assets which would impact the timing of the effective tax rate benefit should any of these uncertain tax positions be favorably settled in the future.</w:t>
      </w:r>
    </w:p>
    <w:p>
      <w:pPr>
        <w:spacing w:after="0" w:line="114" w:lineRule="exact"/>
        <w:rPr>
          <w:sz w:val="20"/>
          <w:szCs w:val="20"/>
          <w:color w:val="auto"/>
        </w:rPr>
      </w:pPr>
    </w:p>
    <w:p>
      <w:pPr>
        <w:ind w:right="320" w:firstLine="309"/>
        <w:spacing w:after="0" w:line="270" w:lineRule="auto"/>
        <w:rPr>
          <w:sz w:val="20"/>
          <w:szCs w:val="20"/>
          <w:color w:val="auto"/>
        </w:rPr>
      </w:pPr>
      <w:r>
        <w:rPr>
          <w:rFonts w:ascii="Times New Roman" w:cs="Times New Roman" w:eastAsia="Times New Roman" w:hAnsi="Times New Roman"/>
          <w:sz w:val="17"/>
          <w:szCs w:val="17"/>
          <w:color w:val="auto"/>
        </w:rPr>
        <w:t>The Company does not expect the unrecognized tax benefits to change significantly over the next 12 months. The Company will recognize interest and penalties accrued on any unrecognized tax benefits as a component of income tax expense. As of December 31, 2023, the Company has not accrued interest or penalties related to uncertain tax positions.</w:t>
      </w:r>
    </w:p>
    <w:p>
      <w:pPr>
        <w:spacing w:after="0" w:line="11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9.</w:t>
        <w:tab/>
        <w:t>Net Loss Per Share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Net loss per share was determined as follows (in thousands, except per share amounts):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
        </w:trPr>
        <w:tc>
          <w:tcPr>
            <w:tcW w:w="4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432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3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(59,853)</w:t>
            </w:r>
          </w:p>
        </w:tc>
      </w:tr>
      <w:tr>
        <w:trPr>
          <w:trHeight w:val="21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Weighted-average common stock outstanding</w:t>
            </w:r>
          </w:p>
        </w:tc>
        <w:tc>
          <w:tcPr>
            <w:tcW w:w="2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47,255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16,480</w:t>
            </w: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2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4320" w:type="dxa"/>
            <w:vAlign w:val="bottom"/>
          </w:tcPr>
          <w:p>
            <w:pPr>
              <w:spacing w:after="0"/>
              <w:rPr>
                <w:sz w:val="24"/>
                <w:szCs w:val="24"/>
                <w:color w:val="auto"/>
              </w:rPr>
            </w:pPr>
          </w:p>
        </w:tc>
        <w:tc>
          <w:tcPr>
            <w:tcW w:w="2660" w:type="dxa"/>
            <w:vAlign w:val="bottom"/>
            <w:gridSpan w:val="2"/>
          </w:tcPr>
          <w:p>
            <w:pPr>
              <w:jc w:val="right"/>
              <w:ind w:right="1114"/>
              <w:spacing w:after="0"/>
              <w:rPr>
                <w:sz w:val="20"/>
                <w:szCs w:val="20"/>
                <w:color w:val="auto"/>
              </w:rPr>
            </w:pPr>
            <w:r>
              <w:rPr>
                <w:rFonts w:ascii="Times New Roman" w:cs="Times New Roman" w:eastAsia="Times New Roman" w:hAnsi="Times New Roman"/>
                <w:sz w:val="17"/>
                <w:szCs w:val="17"/>
                <w:color w:val="auto"/>
              </w:rPr>
              <w:t>F-21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432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60" w:firstLine="309"/>
        <w:spacing w:after="0" w:line="287" w:lineRule="auto"/>
        <w:rPr>
          <w:sz w:val="20"/>
          <w:szCs w:val="20"/>
          <w:color w:val="auto"/>
        </w:rPr>
      </w:pPr>
      <w:r>
        <w:rPr>
          <w:rFonts w:ascii="Times New Roman" w:cs="Times New Roman" w:eastAsia="Times New Roman" w:hAnsi="Times New Roman"/>
          <w:sz w:val="17"/>
          <w:szCs w:val="17"/>
          <w:color w:val="auto"/>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options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6,365</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2"/>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Geographical Information</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6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6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 following table presents revenue disaggregated by type and geography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6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System sales and rentals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53,626</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36,527</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Handpieces and other consumables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8,893</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0" w:type="dxa"/>
            <w:vAlign w:val="bottom"/>
          </w:tcPr>
          <w:p>
            <w:pPr>
              <w:spacing w:after="0"/>
              <w:rPr>
                <w:sz w:val="1"/>
                <w:szCs w:val="1"/>
                <w:color w:val="auto"/>
              </w:rPr>
            </w:pPr>
          </w:p>
        </w:tc>
      </w:tr>
      <w:tr>
        <w:trPr>
          <w:trHeight w:val="212"/>
        </w:trPr>
        <w:tc>
          <w:tcPr>
            <w:tcW w:w="6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U.S.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67,768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28,948</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Outside of U.S.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System sales and rentals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w:t>
            </w:r>
          </w:p>
        </w:tc>
        <w:tc>
          <w:tcPr>
            <w:tcW w:w="0" w:type="dxa"/>
            <w:vAlign w:val="bottom"/>
          </w:tcPr>
          <w:p>
            <w:pPr>
              <w:spacing w:after="0"/>
              <w:rPr>
                <w:sz w:val="1"/>
                <w:szCs w:val="1"/>
                <w:color w:val="auto"/>
              </w:rPr>
            </w:pPr>
          </w:p>
        </w:tc>
      </w:tr>
      <w:tr>
        <w:trPr>
          <w:trHeight w:val="219"/>
        </w:trPr>
        <w:tc>
          <w:tcPr>
            <w:tcW w:w="6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Handpieces and other consumables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12"/>
        </w:trPr>
        <w:tc>
          <w:tcPr>
            <w:tcW w:w="66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outside of U.S.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5,525</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136,191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75,014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34,473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year ended December 31, 2023 and 2022, substantially all of the Company’s long-lived assets are held in the United States.</w:t>
      </w:r>
    </w:p>
    <w:p>
      <w:pPr>
        <w:spacing w:after="0" w:line="16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tab/>
        <w:t>Commitments and Contingencies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Indemnifications</w:t>
      </w:r>
    </w:p>
    <w:p>
      <w:pPr>
        <w:spacing w:after="0" w:line="171" w:lineRule="exact"/>
        <w:rPr>
          <w:sz w:val="20"/>
          <w:szCs w:val="20"/>
          <w:color w:val="auto"/>
        </w:rPr>
      </w:pPr>
    </w:p>
    <w:p>
      <w:pPr>
        <w:ind w:right="40" w:firstLine="309"/>
        <w:spacing w:after="0" w:line="264"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2023, the Company does not have any material indemnification claims that were probable or reasonably possible and consequently has not recorded related liabilities.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Facility Leases</w:t>
      </w:r>
    </w:p>
    <w:p>
      <w:pPr>
        <w:spacing w:after="0" w:line="17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Company previously leased a facility located in Redwood City, California. In September 2023, the Company exited the facility. In October 2023, the lease expired and was not renewed.</w:t>
      </w:r>
    </w:p>
    <w:p>
      <w:pPr>
        <w:spacing w:after="0" w:line="100"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In December 2021, the Company entered into a lease for two existing buildings, comprising approximately 158,221 square feet of space, located in San Jose, California. The lease commenced in July 2022, and will continue for 122 months following thereafter, with two five year options to extend the term of the lease.</w:t>
      </w:r>
    </w:p>
    <w:p>
      <w:pPr>
        <w:spacing w:after="0" w:line="10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Company began operations in at this facility in September 2023. The lease provides for annual base rent of $4.3 million for the first year, which increases on a yearly basis up to $5.5 million for the tenth year, for an aggregate of $49.2 million. Under the terms of the lease, the Company expects to receive an allowance of up to $7.9 million from the landlord to be applied to the Company’s construction of tenant improvements following the landlord’s delivery of the two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buildings to the Company. During the year ended December 31, 2022, the Company recorded both an right-of-use asset and liability of $22.7 million related to the lease. The lease agreement provides for an escalation of rent payments each year and the Company records rent expense on a straight-line basis over the term of the lease. Rent is payable monthly.</w:t>
      </w:r>
    </w:p>
    <w:p>
      <w:pPr>
        <w:spacing w:after="0" w:line="1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supplemental lease information: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1480" w:type="dxa"/>
            <w:vAlign w:val="bottom"/>
          </w:tcPr>
          <w:p>
            <w:pPr>
              <w:spacing w:after="0"/>
              <w:rPr>
                <w:sz w:val="15"/>
                <w:szCs w:val="15"/>
                <w:color w:val="auto"/>
              </w:rPr>
            </w:pPr>
          </w:p>
        </w:tc>
      </w:tr>
      <w:tr>
        <w:trPr>
          <w:trHeight w:val="22"/>
        </w:trPr>
        <w:tc>
          <w:tcPr>
            <w:tcW w:w="6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1"/>
        </w:trPr>
        <w:tc>
          <w:tcPr>
            <w:tcW w:w="6620" w:type="dxa"/>
            <w:vAlign w:val="bottom"/>
          </w:tcPr>
          <w:p>
            <w:pPr>
              <w:spacing w:after="0"/>
              <w:rPr>
                <w:sz w:val="15"/>
                <w:szCs w:val="15"/>
                <w:color w:val="auto"/>
              </w:rPr>
            </w:pPr>
          </w:p>
        </w:tc>
        <w:tc>
          <w:tcPr>
            <w:tcW w:w="14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4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lease term</w:t>
            </w:r>
          </w:p>
        </w:tc>
        <w:tc>
          <w:tcPr>
            <w:tcW w:w="14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9.2 years</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9.4 years</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1.8 years</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480" w:type="dxa"/>
            <w:vAlign w:val="bottom"/>
          </w:tcPr>
          <w:p>
            <w:pPr>
              <w:jc w:val="right"/>
              <w:ind w:right="480"/>
              <w:spacing w:after="0"/>
              <w:rPr>
                <w:sz w:val="20"/>
                <w:szCs w:val="20"/>
                <w:color w:val="auto"/>
              </w:rPr>
            </w:pPr>
            <w:r>
              <w:rPr>
                <w:rFonts w:ascii="Times New Roman" w:cs="Times New Roman" w:eastAsia="Times New Roman" w:hAnsi="Times New Roman"/>
                <w:sz w:val="17"/>
                <w:szCs w:val="17"/>
                <w:color w:val="auto"/>
              </w:rPr>
              <w:t>8.5%</w:t>
            </w:r>
          </w:p>
        </w:tc>
        <w:tc>
          <w:tcPr>
            <w:tcW w:w="1580" w:type="dxa"/>
            <w:vAlign w:val="bottom"/>
            <w:gridSpan w:val="2"/>
          </w:tcPr>
          <w:p>
            <w:pPr>
              <w:jc w:val="right"/>
              <w:ind w:right="494"/>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19"/>
                <w:szCs w:val="19"/>
                <w:color w:val="auto"/>
              </w:rPr>
            </w:pPr>
          </w:p>
        </w:tc>
        <w:tc>
          <w:tcPr>
            <w:tcW w:w="1480" w:type="dxa"/>
            <w:vAlign w:val="bottom"/>
          </w:tcPr>
          <w:p>
            <w:pPr>
              <w:jc w:val="right"/>
              <w:ind w:right="440"/>
              <w:spacing w:after="0"/>
              <w:rPr>
                <w:sz w:val="20"/>
                <w:szCs w:val="20"/>
                <w:color w:val="auto"/>
              </w:rPr>
            </w:pPr>
            <w:r>
              <w:rPr>
                <w:rFonts w:ascii="Times New Roman" w:cs="Times New Roman" w:eastAsia="Times New Roman" w:hAnsi="Times New Roman"/>
                <w:sz w:val="17"/>
                <w:szCs w:val="17"/>
                <w:color w:val="auto"/>
              </w:rPr>
              <w:t>10.8%</w:t>
            </w:r>
          </w:p>
        </w:tc>
      </w:tr>
    </w:tbl>
    <w:p>
      <w:pPr>
        <w:spacing w:after="0" w:line="225" w:lineRule="exact"/>
        <w:rPr>
          <w:sz w:val="20"/>
          <w:szCs w:val="20"/>
          <w:color w:val="auto"/>
        </w:rPr>
      </w:pPr>
    </w:p>
    <w:p>
      <w:pPr>
        <w:ind w:right="320" w:firstLine="309"/>
        <w:spacing w:after="0" w:line="287" w:lineRule="auto"/>
        <w:rPr>
          <w:sz w:val="20"/>
          <w:szCs w:val="20"/>
          <w:color w:val="auto"/>
        </w:rPr>
      </w:pPr>
      <w:r>
        <w:rPr>
          <w:rFonts w:ascii="Times New Roman" w:cs="Times New Roman" w:eastAsia="Times New Roman" w:hAnsi="Times New Roman"/>
          <w:sz w:val="17"/>
          <w:szCs w:val="17"/>
          <w:color w:val="auto"/>
        </w:rPr>
        <w:t>Rent expense recognized under the leases, including additional rent charges for utilities, parking, maintenance and real estate taxes, was $8.4 million, $5.1 million and $2.7 million for the years ended December 31, 2023, 2022, and 2021, respectively.</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Future minimum annual operating lease and debt repayments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Minimum Lease</w:t>
            </w:r>
          </w:p>
        </w:tc>
        <w:tc>
          <w:tcPr>
            <w:tcW w:w="180" w:type="dxa"/>
            <w:vAlign w:val="bottom"/>
          </w:tcPr>
          <w:p>
            <w:pPr>
              <w:spacing w:after="0"/>
              <w:rPr>
                <w:sz w:val="13"/>
                <w:szCs w:val="13"/>
                <w:color w:val="auto"/>
              </w:rPr>
            </w:pPr>
          </w:p>
        </w:tc>
        <w:tc>
          <w:tcPr>
            <w:tcW w:w="1740" w:type="dxa"/>
            <w:vAlign w:val="bottom"/>
            <w:gridSpan w:val="3"/>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Debt Repayments</w:t>
            </w:r>
          </w:p>
        </w:tc>
        <w:tc>
          <w:tcPr>
            <w:tcW w:w="1140" w:type="dxa"/>
            <w:vAlign w:val="bottom"/>
            <w:vMerge w:val="restart"/>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Payments</w:t>
            </w:r>
          </w:p>
        </w:tc>
        <w:tc>
          <w:tcPr>
            <w:tcW w:w="18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8,630</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30,426</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26,475</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3"/>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22,297</w:t>
            </w:r>
          </w:p>
        </w:tc>
        <w:tc>
          <w:tcPr>
            <w:tcW w:w="0" w:type="dxa"/>
            <w:vAlign w:val="bottom"/>
          </w:tcPr>
          <w:p>
            <w:pPr>
              <w:spacing w:after="0"/>
              <w:rPr>
                <w:sz w:val="1"/>
                <w:szCs w:val="1"/>
                <w:color w:val="auto"/>
              </w:rPr>
            </w:pPr>
          </w:p>
        </w:tc>
      </w:tr>
      <w:tr>
        <w:trPr>
          <w:trHeight w:val="212"/>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minimum payments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44,964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52,000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96,964</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interest/unamortized debt discount/tenant improvement allowance</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(17,099)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(17,760)</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future payments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27,865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79,204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2023 and 2022, the Company’s security deposit is in the form of, and recorded as, restricted cash.</w:t>
      </w:r>
    </w:p>
    <w:p>
      <w:pPr>
        <w:spacing w:after="0" w:line="16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12.</w:t>
        <w:tab/>
        <w:t>Defined Contribution Plan</w:t>
      </w:r>
    </w:p>
    <w:p>
      <w:pPr>
        <w:spacing w:after="0" w:line="169" w:lineRule="exact"/>
        <w:rPr>
          <w:sz w:val="20"/>
          <w:szCs w:val="20"/>
          <w:color w:val="auto"/>
        </w:rPr>
      </w:pPr>
    </w:p>
    <w:p>
      <w:pPr>
        <w:ind w:firstLine="309"/>
        <w:spacing w:after="0" w:line="270" w:lineRule="auto"/>
        <w:rPr>
          <w:sz w:val="20"/>
          <w:szCs w:val="20"/>
          <w:color w:val="auto"/>
        </w:rPr>
      </w:pPr>
      <w:r>
        <w:rPr>
          <w:rFonts w:ascii="Times New Roman" w:cs="Times New Roman" w:eastAsia="Times New Roman" w:hAnsi="Times New Roman"/>
          <w:sz w:val="17"/>
          <w:szCs w:val="17"/>
          <w:color w:val="auto"/>
        </w:rPr>
        <w:t>The Company has a defined contribution retirement savings plan under Section 401(k) of the Internal Revenue Code. This plan allows eligible employees to defer a portion of their annual compensation on a pre-tax basis. Employer contributions were $1.5 million, $0, and $0 for the year ended December 31, 2023, 2022, and 2021,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17"/>
          <w:szCs w:val="17"/>
          <w:b w:val="1"/>
          <w:bCs w:val="1"/>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1" w:lineRule="exact"/>
        <w:rPr>
          <w:sz w:val="20"/>
          <w:szCs w:val="20"/>
          <w:color w:val="auto"/>
        </w:rPr>
      </w:pPr>
    </w:p>
    <w:p>
      <w:pPr>
        <w:ind w:right="80" w:firstLine="309"/>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Annual Report on Form 10-K.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CEO and our CFO, to allow timely decisions regarding required disclosures. Based on that evaluation, our Chief Executive Officer and our Chief Financial Officer have concluded that, as of December 31, 2023,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171"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Company's CEO and CFO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management, with the participation of our CEO and our CFO, assessed the effectiveness of our internal control over financial reporting as of December 31, 2023.</w:t>
      </w:r>
    </w:p>
    <w:p>
      <w:pPr>
        <w:spacing w:after="0" w:line="119" w:lineRule="exact"/>
        <w:rPr>
          <w:sz w:val="20"/>
          <w:szCs w:val="20"/>
          <w:color w:val="auto"/>
        </w:rPr>
      </w:pPr>
    </w:p>
    <w:p>
      <w:pPr>
        <w:ind w:right="160" w:firstLine="309"/>
        <w:spacing w:after="0" w:line="262" w:lineRule="auto"/>
        <w:rPr>
          <w:sz w:val="20"/>
          <w:szCs w:val="20"/>
          <w:color w:val="auto"/>
        </w:rPr>
      </w:pPr>
      <w:r>
        <w:rPr>
          <w:rFonts w:ascii="Times New Roman" w:cs="Times New Roman" w:eastAsia="Times New Roman" w:hAnsi="Times New Roman"/>
          <w:sz w:val="17"/>
          <w:szCs w:val="17"/>
          <w:color w:val="auto"/>
        </w:rPr>
        <w:t xml:space="preserve">Management assessed our internal control over financial reporting as of December 31, 2023 using the criteria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Based on this assessment, our management has concluded that, as of December 31, 2023, our internal control over financial reporting was effective, based on these criteria. PricewaterhouseCoopers LLP, an independent registered public accounting firm, audited the effectiveness of our internal control over financial reporting as of December 31, 2023, as stated within their report which is included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7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Effectiveness of Disclosure Controls and Procedures</w:t>
      </w:r>
    </w:p>
    <w:p>
      <w:pPr>
        <w:spacing w:after="0" w:line="171" w:lineRule="exact"/>
        <w:rPr>
          <w:sz w:val="20"/>
          <w:szCs w:val="20"/>
          <w:color w:val="auto"/>
        </w:rPr>
      </w:pPr>
    </w:p>
    <w:p>
      <w:pPr>
        <w:ind w:right="20" w:firstLine="309"/>
        <w:spacing w:after="0" w:line="260" w:lineRule="auto"/>
        <w:rPr>
          <w:sz w:val="20"/>
          <w:szCs w:val="20"/>
          <w:color w:val="auto"/>
        </w:rPr>
      </w:pPr>
      <w:r>
        <w:rPr>
          <w:rFonts w:ascii="Times New Roman" w:cs="Times New Roman" w:eastAsia="Times New Roman" w:hAnsi="Times New Roman"/>
          <w:sz w:val="17"/>
          <w:szCs w:val="17"/>
          <w:color w:val="auto"/>
        </w:rPr>
        <w:t>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69" w:lineRule="exact"/>
        <w:rPr>
          <w:sz w:val="20"/>
          <w:szCs w:val="20"/>
          <w:color w:val="auto"/>
        </w:rPr>
      </w:pPr>
    </w:p>
    <w:p>
      <w:pPr>
        <w:ind w:right="420" w:firstLine="309"/>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concerning our directors and executive officers is incorporated by reference to the sections of our Proxy Statement under the headings “Proposal 1 — Election of Directors,” “Board Committees and Meetings,” “Stockholder Communications with the Board of Directors,” “Management” and if applicable, “Delinquent Section 16(a) Reports.”</w:t>
      </w:r>
    </w:p>
    <w:p>
      <w:pPr>
        <w:spacing w:after="0" w:line="114" w:lineRule="exact"/>
        <w:rPr>
          <w:sz w:val="20"/>
          <w:szCs w:val="20"/>
          <w:color w:val="auto"/>
        </w:rPr>
      </w:pPr>
    </w:p>
    <w:p>
      <w:pPr>
        <w:ind w:firstLine="309"/>
        <w:spacing w:after="0" w:line="261" w:lineRule="auto"/>
        <w:rPr>
          <w:sz w:val="20"/>
          <w:szCs w:val="20"/>
          <w:color w:val="auto"/>
        </w:rPr>
      </w:pPr>
      <w:r>
        <w:rPr>
          <w:rFonts w:ascii="Times New Roman" w:cs="Times New Roman" w:eastAsia="Times New Roman" w:hAnsi="Times New Roman"/>
          <w:sz w:val="17"/>
          <w:szCs w:val="17"/>
          <w:color w:val="auto"/>
        </w:rPr>
        <w:t>Our written Code of Ethics applies to all of our directors and employees, including our executive officers, including without limitation our principal executive officer, principal financial officer, principal accounting officer or controller or persons performing similar functions. The Code of Ethics is available on our website at procept-biorobotics.com in the Investors section under “Corporate Governance.” Changes to or waivers of the Code of Ethics will be disclosed on the same website. We intend to satisfy the disclosure requirement under Item 5.05 of Form 8-K regarding any amendment to, or waiver of, any provision of the Code of Ethics by disclosing such information on the same website.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69" w:lineRule="exact"/>
        <w:rPr>
          <w:sz w:val="20"/>
          <w:szCs w:val="20"/>
          <w:color w:val="auto"/>
        </w:rPr>
      </w:pPr>
    </w:p>
    <w:p>
      <w:pPr>
        <w:ind w:right="42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sections of the Proxy Statement under the headings “Executive Compensation,” “Compensation Committee Interlocks and Insider Participation” and “Compensation of Non-Employee Board Members.”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 and Management and Related Stockholder Matters</w:t>
      </w:r>
    </w:p>
    <w:p>
      <w:pPr>
        <w:spacing w:after="0" w:line="169" w:lineRule="exact"/>
        <w:rPr>
          <w:sz w:val="20"/>
          <w:szCs w:val="20"/>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sections of the Proxy Statement under the headings “Security Ownership of Certain Beneficial Owners and Management” and “Securities Authorized for Issuance under Equity Compensation Plans.”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Party Transactions</w:t>
      </w:r>
    </w:p>
    <w:p>
      <w:pPr>
        <w:spacing w:after="0" w:line="169" w:lineRule="exact"/>
        <w:rPr>
          <w:sz w:val="20"/>
          <w:szCs w:val="20"/>
          <w:color w:val="auto"/>
        </w:rPr>
      </w:pPr>
    </w:p>
    <w:p>
      <w:pPr>
        <w:ind w:right="50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sections of the Proxy Statement under the headings “Proposal 1 — Election of Directors” and “Certain Relationships and Related Party Transactions.”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169" w:lineRule="exact"/>
        <w:rPr>
          <w:sz w:val="20"/>
          <w:szCs w:val="20"/>
          <w:color w:val="auto"/>
        </w:rPr>
      </w:pPr>
    </w:p>
    <w:p>
      <w:pPr>
        <w:ind w:right="280" w:firstLine="30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section of the Proxy Statement under the heading “Principal Accountant Fees and Services.”</w:t>
      </w:r>
    </w:p>
    <w:p>
      <w:pPr>
        <w:spacing w:after="0" w:line="100" w:lineRule="exact"/>
        <w:rPr>
          <w:sz w:val="20"/>
          <w:szCs w:val="20"/>
          <w:color w:val="auto"/>
        </w:rPr>
      </w:pPr>
    </w:p>
    <w:p>
      <w:pPr>
        <w:ind w:right="120" w:firstLine="309"/>
        <w:spacing w:after="0" w:line="287" w:lineRule="auto"/>
        <w:rPr>
          <w:sz w:val="20"/>
          <w:szCs w:val="20"/>
          <w:color w:val="auto"/>
        </w:rPr>
      </w:pPr>
      <w:r>
        <w:rPr>
          <w:rFonts w:ascii="Times New Roman" w:cs="Times New Roman" w:eastAsia="Times New Roman" w:hAnsi="Times New Roman"/>
          <w:sz w:val="17"/>
          <w:szCs w:val="17"/>
          <w:color w:val="auto"/>
        </w:rPr>
        <w:t>With the exception of the information specifically incorporated by reference in Part III to this Annual Report from our Proxy Statement, our Proxy Statement shall not be deemed to be filed as part of this report.</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28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2"/>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173"/>
        </w:trPr>
        <w:tc>
          <w:tcPr>
            <w:tcW w:w="12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3.1</w:t>
            </w:r>
          </w:p>
        </w:tc>
        <w:tc>
          <w:tcPr>
            <w:tcW w:w="100" w:type="dxa"/>
            <w:vAlign w:val="bottom"/>
          </w:tcPr>
          <w:p>
            <w:pPr>
              <w:spacing w:after="0"/>
              <w:rPr>
                <w:sz w:val="15"/>
                <w:szCs w:val="15"/>
                <w:color w:val="auto"/>
              </w:rPr>
            </w:pPr>
          </w:p>
        </w:tc>
        <w:tc>
          <w:tcPr>
            <w:tcW w:w="9280" w:type="dxa"/>
            <w:vAlign w:val="bottom"/>
            <w:gridSpan w:val="20"/>
          </w:tcPr>
          <w:p>
            <w:pPr>
              <w:spacing w:after="0" w:line="173"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 xml:space="preserve">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3.1 to the registrant’s Current Report on</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Form 8-K (File No. 001-40797) filed on September 21, 2021)</w:t>
            </w:r>
          </w:p>
        </w:tc>
      </w:tr>
      <w:tr>
        <w:trPr>
          <w:trHeight w:val="335"/>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 xml:space="preserve">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3.2 to the registrant’s Current Report on Form 8-K (File No.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auto"/>
              </w:rPr>
              <w:t>001-40797) filed on September</w:t>
            </w:r>
          </w:p>
        </w:tc>
        <w:tc>
          <w:tcPr>
            <w:tcW w:w="1180" w:type="dxa"/>
            <w:vAlign w:val="bottom"/>
            <w:gridSpan w:val="4"/>
          </w:tcPr>
          <w:p>
            <w:pPr>
              <w:jc w:val="right"/>
              <w:ind w:right="480"/>
              <w:spacing w:after="0"/>
              <w:rPr>
                <w:sz w:val="20"/>
                <w:szCs w:val="20"/>
                <w:color w:val="auto"/>
              </w:rPr>
            </w:pPr>
            <w:r>
              <w:rPr>
                <w:rFonts w:ascii="Times New Roman" w:cs="Times New Roman" w:eastAsia="Times New Roman" w:hAnsi="Times New Roman"/>
                <w:sz w:val="17"/>
                <w:szCs w:val="17"/>
                <w:color w:val="auto"/>
              </w:rPr>
              <w:t>21, 2021)</w:t>
            </w:r>
          </w:p>
        </w:tc>
        <w:tc>
          <w:tcPr>
            <w:tcW w:w="46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93"/>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Description of PROCEPT BioRobotics Corporation’s Securities Registered Pursuant to Section 12 of the Securities Exchange Act of</w:t>
              </w:r>
            </w:hyperlink>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4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 xml:space="preserve">1934 </w:t>
              </w:r>
              <w:r>
                <w:rPr>
                  <w:rFonts w:ascii="Times New Roman" w:cs="Times New Roman" w:eastAsia="Times New Roman" w:hAnsi="Times New Roman"/>
                  <w:sz w:val="17"/>
                  <w:szCs w:val="17"/>
                  <w:color w:val="000000"/>
                </w:rPr>
                <w:t>(incorporated by reference to Exhibit 4.1 to the registrant’s annual report on Form 10-K for the year ended December 31, 2021</w:t>
              </w:r>
            </w:hyperlink>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(File</w:t>
            </w:r>
          </w:p>
        </w:tc>
        <w:tc>
          <w:tcPr>
            <w:tcW w:w="8920" w:type="dxa"/>
            <w:vAlign w:val="bottom"/>
            <w:gridSpan w:val="19"/>
          </w:tcPr>
          <w:p>
            <w:pPr>
              <w:ind w:left="20"/>
              <w:spacing w:after="0"/>
              <w:rPr>
                <w:sz w:val="20"/>
                <w:szCs w:val="20"/>
                <w:color w:val="auto"/>
              </w:rPr>
            </w:pPr>
            <w:r>
              <w:rPr>
                <w:rFonts w:ascii="Times New Roman" w:cs="Times New Roman" w:eastAsia="Times New Roman" w:hAnsi="Times New Roman"/>
                <w:sz w:val="17"/>
                <w:szCs w:val="17"/>
                <w:color w:val="auto"/>
              </w:rPr>
              <w:t>No. 001-40797))</w:t>
            </w:r>
          </w:p>
        </w:tc>
      </w:tr>
      <w:tr>
        <w:trPr>
          <w:trHeight w:val="215"/>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8"/>
                <w:szCs w:val="18"/>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 xml:space="preserve">Offer Letter, by and between the Registrant and Reza Zadno, Ph.D., dated as of January 31, 2020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auto"/>
              </w:rPr>
              <w:t>10.1 to the registrant’s registration statement on Form S-1 (File No. 333-258898))</w:t>
            </w: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 xml:space="preserve">Offer Letter, by and between the Registrant and Kevin Waters, dated as of August 7, 2018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10.2</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auto"/>
              </w:rPr>
              <w:t>to the registrant’s registration statement on Form S-1 (File No. 333-258898))</w:t>
            </w: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 xml:space="preserve">Offer Letter, by and between the Registrant and Hisham Shiblaq, dated as of March 21,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auto"/>
              </w:rPr>
              <w:t>10.3 to the registrant’s registration statement on Form S-1 (File No. 333-258898))</w:t>
            </w:r>
          </w:p>
        </w:tc>
        <w:tc>
          <w:tcPr>
            <w:tcW w:w="116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67"/>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3"/>
                <w:szCs w:val="23"/>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 xml:space="preserve">Offer Letter, by and between the Registrant and Alaleh Nouri, dated as of May 15, 2018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10.18 to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auto"/>
              </w:rPr>
              <w:t>the registrant’s quarterly report on Form 10-Q for the period ended March 31, 2023 (File</w:t>
            </w:r>
          </w:p>
        </w:tc>
        <w:tc>
          <w:tcPr>
            <w:tcW w:w="3220" w:type="dxa"/>
            <w:vAlign w:val="bottom"/>
            <w:gridSpan w:val="8"/>
          </w:tcPr>
          <w:p>
            <w:pPr>
              <w:ind w:left="80"/>
              <w:spacing w:after="0"/>
              <w:rPr>
                <w:sz w:val="20"/>
                <w:szCs w:val="20"/>
                <w:color w:val="auto"/>
              </w:rPr>
            </w:pPr>
            <w:r>
              <w:rPr>
                <w:rFonts w:ascii="Times New Roman" w:cs="Times New Roman" w:eastAsia="Times New Roman" w:hAnsi="Times New Roman"/>
                <w:sz w:val="17"/>
                <w:szCs w:val="17"/>
                <w:color w:val="auto"/>
              </w:rPr>
              <w:t>No. 001-40797))</w:t>
            </w:r>
          </w:p>
        </w:tc>
      </w:tr>
      <w:tr>
        <w:trPr>
          <w:trHeight w:val="293"/>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 xml:space="preserve">Amended and Restated 2008 Stock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10.4 to the registrant’s registration statement on Form</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auto"/>
              </w:rPr>
              <w:t>S-1 (File No. 333-258898))</w:t>
            </w:r>
          </w:p>
        </w:tc>
        <w:tc>
          <w:tcPr>
            <w:tcW w:w="5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40" w:type="dxa"/>
            <w:vAlign w:val="bottom"/>
            <w:gridSpan w:val="5"/>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10.5(a)+</w:t>
            </w:r>
          </w:p>
        </w:tc>
        <w:tc>
          <w:tcPr>
            <w:tcW w:w="9280" w:type="dxa"/>
            <w:vAlign w:val="bottom"/>
            <w:gridSpan w:val="20"/>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 xml:space="preserve">Form of Stock Option Agreement under the Amended and Restated 2008 Stock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10.4(a) to</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auto"/>
              </w:rPr>
              <w:t>the registrant’s registration statement on Form S-1 (File No. 333-258898))</w:t>
            </w:r>
          </w:p>
        </w:tc>
        <w:tc>
          <w:tcPr>
            <w:tcW w:w="1740" w:type="dxa"/>
            <w:vAlign w:val="bottom"/>
            <w:gridSpan w:val="5"/>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 xml:space="preserve">Form of Indemnification and Advancement Agreement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10.5 to the registrant’s registration</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auto"/>
              </w:rPr>
              <w:t>statement on Form S-1 (File No. 333-258898))</w:t>
            </w:r>
          </w:p>
        </w:tc>
        <w:tc>
          <w:tcPr>
            <w:tcW w:w="1620" w:type="dxa"/>
            <w:vAlign w:val="bottom"/>
          </w:tcPr>
          <w:p>
            <w:pPr>
              <w:spacing w:after="0"/>
              <w:rPr>
                <w:sz w:val="18"/>
                <w:szCs w:val="18"/>
                <w:color w:val="auto"/>
              </w:rPr>
            </w:pPr>
          </w:p>
        </w:tc>
        <w:tc>
          <w:tcPr>
            <w:tcW w:w="2140" w:type="dxa"/>
            <w:vAlign w:val="bottom"/>
            <w:gridSpan w:val="6"/>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Amended and Restated Exclusive License Agreement, by and between the Registrant and AquaBeam LLC, dated as of September 13,</w:t>
              </w:r>
            </w:hyperlink>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 xml:space="preserve">2019 </w:t>
              </w:r>
              <w:r>
                <w:rPr>
                  <w:rFonts w:ascii="Times New Roman" w:cs="Times New Roman" w:eastAsia="Times New Roman" w:hAnsi="Times New Roman"/>
                  <w:sz w:val="17"/>
                  <w:szCs w:val="17"/>
                  <w:color w:val="000000"/>
                </w:rPr>
                <w:t>(incorporated by reference to Exhibit 10.6 to the registrant’s registration statement on Form S-1 (File No. 333-258898))</w:t>
              </w:r>
            </w:hyperlink>
          </w:p>
        </w:tc>
        <w:tc>
          <w:tcPr>
            <w:tcW w:w="6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341"/>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4"/>
                <w:szCs w:val="24"/>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Not used.</w:t>
            </w: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3"/>
                <w:szCs w:val="23"/>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 xml:space="preserve">Lease, by and between the Registrant and 150-180 Baytech Drive CA Owner, LLC, dated December 31,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auto"/>
              </w:rPr>
              <w:t>reference to Exhibit 10.9 to the registrant’s annual report on Form 10-K for the year ended December 31, 2021</w:t>
            </w:r>
          </w:p>
        </w:tc>
        <w:tc>
          <w:tcPr>
            <w:tcW w:w="17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(File No. 001-40797))</w:t>
            </w: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2"/>
                <w:szCs w:val="22"/>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Amended and Restated Investor Rights Agreement, by and among the Registrant and the investors named therein and the founder</w:t>
              </w:r>
            </w:hyperlink>
          </w:p>
        </w:tc>
      </w:tr>
      <w:tr>
        <w:trPr>
          <w:trHeight w:val="173"/>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920" w:type="dxa"/>
            <w:vAlign w:val="bottom"/>
            <w:tcBorders>
              <w:top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 xml:space="preserve">named therein, dated June 10, 2021 </w:t>
              </w:r>
              <w:r>
                <w:rPr>
                  <w:rFonts w:ascii="Times New Roman" w:cs="Times New Roman" w:eastAsia="Times New Roman" w:hAnsi="Times New Roman"/>
                  <w:sz w:val="17"/>
                  <w:szCs w:val="17"/>
                  <w:color w:val="000000"/>
                </w:rPr>
                <w:t>(incorporated by reference to Exhibit 10.9 to the registrant’s registration statement on Form S</w:t>
              </w:r>
            </w:hyperlink>
          </w:p>
        </w:tc>
        <w:tc>
          <w:tcPr>
            <w:tcW w:w="360" w:type="dxa"/>
            <w:vAlign w:val="bottom"/>
            <w:gridSpan w:val="3"/>
          </w:tcPr>
          <w:p>
            <w:pPr>
              <w:jc w:val="right"/>
              <w:ind w:right="220"/>
              <w:spacing w:after="0" w:line="173" w:lineRule="exact"/>
              <w:rPr>
                <w:sz w:val="20"/>
                <w:szCs w:val="20"/>
                <w:color w:val="auto"/>
              </w:rPr>
            </w:pPr>
            <w:r>
              <w:rPr>
                <w:rFonts w:ascii="Times New Roman" w:cs="Times New Roman" w:eastAsia="Times New Roman" w:hAnsi="Times New Roman"/>
                <w:sz w:val="17"/>
                <w:szCs w:val="17"/>
                <w:color w:val="auto"/>
                <w:w w:val="84"/>
              </w:rPr>
              <w:t>-1</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auto"/>
              </w:rPr>
              <w:t>(File No. 333-258898))</w:t>
            </w:r>
          </w:p>
        </w:tc>
        <w:tc>
          <w:tcPr>
            <w:tcW w:w="900" w:type="dxa"/>
            <w:vAlign w:val="bottom"/>
            <w:gridSpan w:val="2"/>
          </w:tcPr>
          <w:p>
            <w:pPr>
              <w:spacing w:after="0"/>
              <w:rPr>
                <w:sz w:val="18"/>
                <w:szCs w:val="18"/>
                <w:color w:val="auto"/>
              </w:rPr>
            </w:pPr>
          </w:p>
        </w:tc>
        <w:tc>
          <w:tcPr>
            <w:tcW w:w="2080" w:type="dxa"/>
            <w:vAlign w:val="bottom"/>
            <w:gridSpan w:val="3"/>
          </w:tcPr>
          <w:p>
            <w:pPr>
              <w:spacing w:after="0"/>
              <w:rPr>
                <w:sz w:val="18"/>
                <w:szCs w:val="18"/>
                <w:color w:val="auto"/>
              </w:rPr>
            </w:pPr>
          </w:p>
        </w:tc>
        <w:tc>
          <w:tcPr>
            <w:tcW w:w="3860" w:type="dxa"/>
            <w:vAlign w:val="bottom"/>
            <w:gridSpan w:val="10"/>
          </w:tcPr>
          <w:p>
            <w:pPr>
              <w:spacing w:after="0"/>
              <w:rPr>
                <w:sz w:val="18"/>
                <w:szCs w:val="18"/>
                <w:color w:val="auto"/>
              </w:rPr>
            </w:pPr>
          </w:p>
        </w:tc>
      </w:tr>
      <w:tr>
        <w:trPr>
          <w:trHeight w:val="254"/>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2"/>
                <w:szCs w:val="22"/>
                <w:color w:val="auto"/>
              </w:rPr>
            </w:pPr>
          </w:p>
        </w:tc>
        <w:tc>
          <w:tcPr>
            <w:tcW w:w="3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Non-Employee Director Compensation Program</w:t>
            </w:r>
          </w:p>
        </w:tc>
        <w:tc>
          <w:tcPr>
            <w:tcW w:w="2080" w:type="dxa"/>
            <w:vAlign w:val="bottom"/>
            <w:gridSpan w:val="3"/>
          </w:tcPr>
          <w:p>
            <w:pPr>
              <w:spacing w:after="0"/>
              <w:rPr>
                <w:sz w:val="22"/>
                <w:szCs w:val="22"/>
                <w:color w:val="auto"/>
              </w:rPr>
            </w:pPr>
          </w:p>
        </w:tc>
        <w:tc>
          <w:tcPr>
            <w:tcW w:w="3860" w:type="dxa"/>
            <w:vAlign w:val="bottom"/>
            <w:gridSpan w:val="10"/>
          </w:tcPr>
          <w:p>
            <w:pPr>
              <w:spacing w:after="0"/>
              <w:rPr>
                <w:sz w:val="22"/>
                <w:szCs w:val="22"/>
                <w:color w:val="auto"/>
              </w:rPr>
            </w:pPr>
          </w:p>
        </w:tc>
      </w:tr>
      <w:tr>
        <w:trPr>
          <w:trHeight w:val="315"/>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4"/>
                <w:szCs w:val="24"/>
                <w:color w:val="auto"/>
              </w:rPr>
            </w:pPr>
          </w:p>
        </w:tc>
        <w:tc>
          <w:tcPr>
            <w:tcW w:w="9280" w:type="dxa"/>
            <w:vAlign w:val="bottom"/>
            <w:gridSpan w:val="20"/>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 xml:space="preserve">2021 Equity Incentive Award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10.11 to the registrant’s registration statement on Form S-1</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(File No. 333-258898))</w:t>
            </w:r>
          </w:p>
        </w:tc>
        <w:tc>
          <w:tcPr>
            <w:tcW w:w="3040" w:type="dxa"/>
            <w:vAlign w:val="bottom"/>
            <w:gridSpan w:val="6"/>
          </w:tcPr>
          <w:p>
            <w:pPr>
              <w:spacing w:after="0"/>
              <w:rPr>
                <w:sz w:val="18"/>
                <w:szCs w:val="18"/>
                <w:color w:val="auto"/>
              </w:rPr>
            </w:pPr>
          </w:p>
        </w:tc>
        <w:tc>
          <w:tcPr>
            <w:tcW w:w="3860" w:type="dxa"/>
            <w:vAlign w:val="bottom"/>
            <w:gridSpan w:val="10"/>
          </w:tcPr>
          <w:p>
            <w:pPr>
              <w:spacing w:after="0"/>
              <w:rPr>
                <w:sz w:val="18"/>
                <w:szCs w:val="18"/>
                <w:color w:val="auto"/>
              </w:rPr>
            </w:pPr>
          </w:p>
        </w:tc>
      </w:tr>
      <w:tr>
        <w:trPr>
          <w:trHeight w:val="318"/>
        </w:trPr>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10.12(a)+</w:t>
            </w:r>
          </w:p>
        </w:tc>
        <w:tc>
          <w:tcPr>
            <w:tcW w:w="9280" w:type="dxa"/>
            <w:vAlign w:val="bottom"/>
            <w:gridSpan w:val="20"/>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 xml:space="preserve">Form of Stock Option Agreement under the 2021 Equity Incentive Award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10.11(a) to the</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auto"/>
              </w:rPr>
              <w:t>registrant’s registration statement on Form S-1 (File No. 333-258898))</w:t>
            </w:r>
          </w:p>
        </w:tc>
        <w:tc>
          <w:tcPr>
            <w:tcW w:w="3860" w:type="dxa"/>
            <w:vAlign w:val="bottom"/>
            <w:gridSpan w:val="10"/>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20"/>
          </w:cols>
          <w:pgMar w:left="320" w:top="278" w:right="9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80"/>
        <w:spacing w:after="0"/>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10.12(b)+</w:t>
      </w:r>
      <w:r>
        <w:rPr>
          <w:sz w:val="20"/>
          <w:szCs w:val="20"/>
          <w:color w:val="auto"/>
        </w:rPr>
        <w:tab/>
      </w:r>
      <w:hyperlink r:id="rId149">
        <w:r>
          <w:rPr>
            <w:rFonts w:ascii="Times New Roman" w:cs="Times New Roman" w:eastAsia="Times New Roman" w:hAnsi="Times New Roman"/>
            <w:sz w:val="17"/>
            <w:szCs w:val="17"/>
            <w:u w:val="single" w:color="auto"/>
            <w:color w:val="0000FF"/>
          </w:rPr>
          <w:t xml:space="preserve">Form of Restricted Stock Unit Agreement under the 2021 Equity Incentive Award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10.11(b)</w:t>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to the registrant’s registration statement on Form S-1 (File No. 333-258898))</w:t>
      </w:r>
    </w:p>
    <w:p>
      <w:pPr>
        <w:spacing w:after="0" w:line="135" w:lineRule="exact"/>
        <w:rPr>
          <w:sz w:val="20"/>
          <w:szCs w:val="20"/>
          <w:color w:val="auto"/>
        </w:rPr>
      </w:pPr>
    </w:p>
    <w:p>
      <w:pPr>
        <w:ind w:left="1340" w:right="260" w:hanging="967"/>
        <w:spacing w:after="0" w:line="271" w:lineRule="auto"/>
        <w:tabs>
          <w:tab w:leader="none" w:pos="13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10.13+</w:t>
      </w:r>
      <w:r>
        <w:rPr>
          <w:sz w:val="20"/>
          <w:szCs w:val="20"/>
          <w:color w:val="auto"/>
        </w:rPr>
        <w:tab/>
      </w:r>
      <w:hyperlink r:id="rId150">
        <w:r>
          <w:rPr>
            <w:rFonts w:ascii="Times New Roman" w:cs="Times New Roman" w:eastAsia="Times New Roman" w:hAnsi="Times New Roman"/>
            <w:sz w:val="17"/>
            <w:szCs w:val="17"/>
            <w:u w:val="single" w:color="auto"/>
            <w:color w:val="0000FF"/>
          </w:rPr>
          <w:t xml:space="preserve">Amended and Restated 2021 Employee Stock Purchase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10.1 to the registrant’s quarterly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report on Form 10-Q for the period ending September 30, 2023 (File No. 001-40797))</w:t>
      </w:r>
    </w:p>
    <w:p>
      <w:pPr>
        <w:sectPr>
          <w:pgSz w:w="11900" w:h="16838" w:orient="portrait"/>
          <w:cols w:equalWidth="0" w:num="1">
            <w:col w:w="10600"/>
          </w:cols>
          <w:pgMar w:left="320" w:top="278" w:right="979" w:bottom="1440" w:gutter="0" w:footer="0" w:header="0"/>
        </w:sectPr>
      </w:pPr>
    </w:p>
    <w:p>
      <w:pPr>
        <w:spacing w:after="0" w:line="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10.14+</w:t>
      </w: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10.15+</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160"/>
        <w:spacing w:after="0" w:line="255" w:lineRule="auto"/>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u w:val="single" w:color="auto"/>
            <w:color w:val="0000FF"/>
          </w:rPr>
          <w:t>Amended and Restated Change of Control Severance Agreement, by and between the Registrant and Reza Zadno, Ph.D., dated</w:t>
        </w:r>
      </w:hyperlink>
      <w:r>
        <w:rPr>
          <w:rFonts w:ascii="Times New Roman" w:cs="Times New Roman" w:eastAsia="Times New Roman" w:hAnsi="Times New Roman"/>
          <w:sz w:val="17"/>
          <w:szCs w:val="17"/>
          <w:u w:val="single" w:color="auto"/>
          <w:color w:val="0000FF"/>
        </w:rPr>
        <w:t xml:space="preserve"> </w:t>
      </w:r>
      <w:hyperlink r:id="rId151">
        <w:r>
          <w:rPr>
            <w:rFonts w:ascii="Times New Roman" w:cs="Times New Roman" w:eastAsia="Times New Roman" w:hAnsi="Times New Roman"/>
            <w:sz w:val="17"/>
            <w:szCs w:val="17"/>
            <w:u w:val="single" w:color="auto"/>
            <w:color w:val="0000FF"/>
          </w:rPr>
          <w:t>September 17, 2021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(incorporated by reference to Exhibit 10.13 to the registrant’s registration statement on Form S-1 (File No. </w:t>
        </w:r>
      </w:hyperlink>
      <w:r>
        <w:rPr>
          <w:rFonts w:ascii="Times New Roman" w:cs="Times New Roman" w:eastAsia="Times New Roman" w:hAnsi="Times New Roman"/>
          <w:sz w:val="17"/>
          <w:szCs w:val="17"/>
          <w:color w:val="0000FF"/>
        </w:rPr>
        <w:t>333</w:t>
      </w:r>
      <w:r>
        <w:rPr>
          <w:rFonts w:ascii="Times New Roman" w:cs="Times New Roman" w:eastAsia="Times New Roman" w:hAnsi="Times New Roman"/>
          <w:sz w:val="17"/>
          <w:szCs w:val="17"/>
          <w:color w:val="00000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258898))</w:t>
      </w:r>
    </w:p>
    <w:p>
      <w:pPr>
        <w:spacing w:after="0" w:line="136" w:lineRule="exact"/>
        <w:rPr>
          <w:sz w:val="20"/>
          <w:szCs w:val="20"/>
          <w:color w:val="auto"/>
        </w:rPr>
      </w:pPr>
    </w:p>
    <w:p>
      <w:pPr>
        <w:ind w:right="100"/>
        <w:spacing w:after="0" w:line="271" w:lineRule="auto"/>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u w:val="single" w:color="auto"/>
            <w:color w:val="0000FF"/>
          </w:rPr>
          <w:t>Amended and Restated Change of Control Severance Agreement, by and between the Registrant and Kevin Waters, dated September</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17, 2021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Exhibit 10.14 to the registrant’s registration statement on Form S-1 (File No. 333-258898))</w:t>
        </w:r>
      </w:hyperlink>
    </w:p>
    <w:p>
      <w:pPr>
        <w:spacing w:after="0" w:line="87" w:lineRule="exact"/>
        <w:rPr>
          <w:sz w:val="20"/>
          <w:szCs w:val="20"/>
          <w:color w:val="auto"/>
        </w:rPr>
      </w:pPr>
    </w:p>
    <w:p>
      <w:pPr>
        <w:sectPr>
          <w:pgSz w:w="11900" w:h="16838" w:orient="portrait"/>
          <w:cols w:equalWidth="0" w:num="2">
            <w:col w:w="860" w:space="480"/>
            <w:col w:w="9260"/>
          </w:cols>
          <w:pgMar w:left="320" w:top="278" w:right="979" w:bottom="1440" w:gutter="0" w:footer="0" w:header="0"/>
          <w:type w:val="continuous"/>
        </w:sectPr>
      </w:pPr>
    </w:p>
    <w:tbl>
      <w:tblPr>
        <w:tblLayout w:type="fixed"/>
        <w:tblInd w:w="300" w:type="dxa"/>
        <w:tblCellMar>
          <w:top w:w="0" w:type="dxa"/>
          <w:left w:w="0" w:type="dxa"/>
          <w:bottom w:w="0" w:type="dxa"/>
          <w:right w:w="0" w:type="dxa"/>
        </w:tblCellMar>
      </w:tblPr>
      <w:tr>
        <w:trPr>
          <w:trHeight w:val="197"/>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10.16+</w:t>
            </w:r>
          </w:p>
        </w:tc>
        <w:tc>
          <w:tcPr>
            <w:tcW w:w="9260" w:type="dxa"/>
            <w:vAlign w:val="bottom"/>
            <w:gridSpan w:val="19"/>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Amended and Restated Change of Control Severance Agreement, by and between the Registrant and Hisham Shiblaq, dated</w:t>
              </w:r>
            </w:hyperlink>
          </w:p>
        </w:tc>
      </w:tr>
      <w:tr>
        <w:trPr>
          <w:trHeight w:val="173"/>
        </w:trPr>
        <w:tc>
          <w:tcPr>
            <w:tcW w:w="1040" w:type="dxa"/>
            <w:vAlign w:val="bottom"/>
          </w:tcPr>
          <w:p>
            <w:pPr>
              <w:spacing w:after="0"/>
              <w:rPr>
                <w:sz w:val="15"/>
                <w:szCs w:val="15"/>
                <w:color w:val="auto"/>
              </w:rPr>
            </w:pPr>
          </w:p>
        </w:tc>
        <w:tc>
          <w:tcPr>
            <w:tcW w:w="8540" w:type="dxa"/>
            <w:vAlign w:val="bottom"/>
            <w:tcBorders>
              <w:top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 xml:space="preserve">September 17, 2021 </w:t>
              </w:r>
              <w:r>
                <w:rPr>
                  <w:rFonts w:ascii="Times New Roman" w:cs="Times New Roman" w:eastAsia="Times New Roman" w:hAnsi="Times New Roman"/>
                  <w:sz w:val="17"/>
                  <w:szCs w:val="17"/>
                  <w:color w:val="000000"/>
                </w:rPr>
                <w:t>(incorporated by reference to Exhibit 10.15 to the registrant’s registration statement on Form S-1 (File</w:t>
              </w:r>
            </w:hyperlink>
          </w:p>
        </w:tc>
        <w:tc>
          <w:tcPr>
            <w:tcW w:w="720" w:type="dxa"/>
            <w:vAlign w:val="bottom"/>
            <w:gridSpan w:val="9"/>
          </w:tcPr>
          <w:p>
            <w:pPr>
              <w:jc w:val="right"/>
              <w:ind w:right="160"/>
              <w:spacing w:after="0" w:line="173" w:lineRule="exact"/>
              <w:rPr>
                <w:sz w:val="20"/>
                <w:szCs w:val="20"/>
                <w:color w:val="auto"/>
              </w:rPr>
            </w:pPr>
            <w:r>
              <w:rPr>
                <w:rFonts w:ascii="Times New Roman" w:cs="Times New Roman" w:eastAsia="Times New Roman" w:hAnsi="Times New Roman"/>
                <w:sz w:val="17"/>
                <w:szCs w:val="17"/>
                <w:color w:val="auto"/>
                <w:w w:val="89"/>
              </w:rPr>
              <w:t>No. 333-</w:t>
            </w:r>
          </w:p>
        </w:tc>
      </w:tr>
      <w:tr>
        <w:trPr>
          <w:trHeight w:val="225"/>
        </w:trPr>
        <w:tc>
          <w:tcPr>
            <w:tcW w:w="1040" w:type="dxa"/>
            <w:vAlign w:val="bottom"/>
          </w:tcPr>
          <w:p>
            <w:pPr>
              <w:spacing w:after="0"/>
              <w:rPr>
                <w:sz w:val="19"/>
                <w:szCs w:val="19"/>
                <w:color w:val="auto"/>
              </w:rPr>
            </w:pPr>
          </w:p>
        </w:tc>
        <w:tc>
          <w:tcPr>
            <w:tcW w:w="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258898))</w:t>
            </w:r>
          </w:p>
        </w:tc>
        <w:tc>
          <w:tcPr>
            <w:tcW w:w="4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3"/>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10.17+</w:t>
            </w:r>
          </w:p>
        </w:tc>
        <w:tc>
          <w:tcPr>
            <w:tcW w:w="9260" w:type="dxa"/>
            <w:vAlign w:val="bottom"/>
            <w:gridSpan w:val="19"/>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Amended and Restated Change of Control Severance Agreement, by and between the Registrant and Alaleh Nouri, dated September</w:t>
              </w:r>
            </w:hyperlink>
          </w:p>
        </w:tc>
      </w:tr>
      <w:tr>
        <w:trPr>
          <w:trHeight w:val="148"/>
        </w:trPr>
        <w:tc>
          <w:tcPr>
            <w:tcW w:w="1040" w:type="dxa"/>
            <w:vAlign w:val="bottom"/>
          </w:tcPr>
          <w:p>
            <w:pPr>
              <w:spacing w:after="0"/>
              <w:rPr>
                <w:sz w:val="12"/>
                <w:szCs w:val="12"/>
                <w:color w:val="auto"/>
              </w:rPr>
            </w:pPr>
          </w:p>
        </w:tc>
        <w:tc>
          <w:tcPr>
            <w:tcW w:w="912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 xml:space="preserve">17, 2021 </w:t>
              </w:r>
              <w:r>
                <w:rPr>
                  <w:rFonts w:ascii="Times New Roman" w:cs="Times New Roman" w:eastAsia="Times New Roman" w:hAnsi="Times New Roman"/>
                  <w:sz w:val="17"/>
                  <w:szCs w:val="17"/>
                  <w:color w:val="000000"/>
                </w:rPr>
                <w:t>(incorporated by reference to Exhibit 10.19 to the registrant’s quarterly report of Form 10-Q for the period ended March 31,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2023 (File No. 001-40797))</w:t>
            </w:r>
          </w:p>
        </w:tc>
      </w:tr>
      <w:tr>
        <w:trPr>
          <w:trHeight w:val="267"/>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10.18</w:t>
            </w:r>
          </w:p>
        </w:tc>
        <w:tc>
          <w:tcPr>
            <w:tcW w:w="9260" w:type="dxa"/>
            <w:vAlign w:val="bottom"/>
            <w:gridSpan w:val="19"/>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Loan and Security Agreement, by and among Canadian Imperial Bank of Commerce, the Registration, and each Borrower and</w:t>
              </w:r>
            </w:hyperlink>
          </w:p>
        </w:tc>
      </w:tr>
      <w:tr>
        <w:trPr>
          <w:trHeight w:val="173"/>
        </w:trPr>
        <w:tc>
          <w:tcPr>
            <w:tcW w:w="1040" w:type="dxa"/>
            <w:vAlign w:val="bottom"/>
          </w:tcPr>
          <w:p>
            <w:pPr>
              <w:spacing w:after="0"/>
              <w:rPr>
                <w:sz w:val="15"/>
                <w:szCs w:val="15"/>
                <w:color w:val="auto"/>
              </w:rPr>
            </w:pPr>
          </w:p>
        </w:tc>
        <w:tc>
          <w:tcPr>
            <w:tcW w:w="8700" w:type="dxa"/>
            <w:vAlign w:val="bottom"/>
            <w:tcBorders>
              <w:top w:val="single" w:sz="8" w:color="0000FF"/>
            </w:tcBorders>
            <w:gridSpan w:val="11"/>
          </w:tcPr>
          <w:p>
            <w:pPr>
              <w:spacing w:after="0" w:line="17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 xml:space="preserve">Guarantor from time to time, dated as of October 6, 2022 </w:t>
              </w:r>
              <w:r>
                <w:rPr>
                  <w:rFonts w:ascii="Times New Roman" w:cs="Times New Roman" w:eastAsia="Times New Roman" w:hAnsi="Times New Roman"/>
                  <w:sz w:val="17"/>
                  <w:szCs w:val="17"/>
                  <w:color w:val="000000"/>
                </w:rPr>
                <w:t>(incorporated by reference to Exhibit 10.1 to the registrant’s current</w:t>
              </w:r>
            </w:hyperlink>
          </w:p>
        </w:tc>
        <w:tc>
          <w:tcPr>
            <w:tcW w:w="560" w:type="dxa"/>
            <w:vAlign w:val="bottom"/>
            <w:gridSpan w:val="8"/>
          </w:tcPr>
          <w:p>
            <w:pPr>
              <w:jc w:val="right"/>
              <w:ind w:right="160"/>
              <w:spacing w:after="0" w:line="173" w:lineRule="exact"/>
              <w:rPr>
                <w:sz w:val="20"/>
                <w:szCs w:val="20"/>
                <w:color w:val="auto"/>
              </w:rPr>
            </w:pPr>
            <w:r>
              <w:rPr>
                <w:rFonts w:ascii="Times New Roman" w:cs="Times New Roman" w:eastAsia="Times New Roman" w:hAnsi="Times New Roman"/>
                <w:sz w:val="17"/>
                <w:szCs w:val="17"/>
                <w:color w:val="auto"/>
                <w:w w:val="93"/>
              </w:rPr>
              <w:t>report</w:t>
            </w:r>
          </w:p>
        </w:tc>
      </w:tr>
      <w:tr>
        <w:trPr>
          <w:trHeight w:val="20"/>
        </w:trPr>
        <w:tc>
          <w:tcPr>
            <w:tcW w:w="10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04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on Form 8-K filed on October 10, 2022 (File No. 001-40797))</w:t>
            </w:r>
          </w:p>
        </w:tc>
      </w:tr>
      <w:tr>
        <w:trPr>
          <w:trHeight w:val="296"/>
        </w:trPr>
        <w:tc>
          <w:tcPr>
            <w:tcW w:w="104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10.18(a)</w:t>
            </w:r>
          </w:p>
        </w:tc>
        <w:tc>
          <w:tcPr>
            <w:tcW w:w="9260" w:type="dxa"/>
            <w:vAlign w:val="bottom"/>
            <w:gridSpan w:val="19"/>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First Amendment to Loan and Security Agreement, by and between Canadian Imperial Bank of Commerce and the Registrant, dated</w:t>
              </w:r>
            </w:hyperlink>
          </w:p>
        </w:tc>
      </w:tr>
      <w:tr>
        <w:trPr>
          <w:trHeight w:val="173"/>
        </w:trPr>
        <w:tc>
          <w:tcPr>
            <w:tcW w:w="1040" w:type="dxa"/>
            <w:vAlign w:val="bottom"/>
          </w:tcPr>
          <w:p>
            <w:pPr>
              <w:spacing w:after="0"/>
              <w:rPr>
                <w:sz w:val="15"/>
                <w:szCs w:val="15"/>
                <w:color w:val="auto"/>
              </w:rPr>
            </w:pPr>
          </w:p>
        </w:tc>
        <w:tc>
          <w:tcPr>
            <w:tcW w:w="9140" w:type="dxa"/>
            <w:vAlign w:val="bottom"/>
            <w:tcBorders>
              <w:top w:val="single" w:sz="8" w:color="0000FF"/>
            </w:tcBorders>
            <w:gridSpan w:val="14"/>
          </w:tcPr>
          <w:p>
            <w:pPr>
              <w:spacing w:after="0" w:line="17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 xml:space="preserve">June 1, 2023 </w:t>
              </w:r>
              <w:r>
                <w:rPr>
                  <w:rFonts w:ascii="Times New Roman" w:cs="Times New Roman" w:eastAsia="Times New Roman" w:hAnsi="Times New Roman"/>
                  <w:sz w:val="17"/>
                  <w:szCs w:val="17"/>
                  <w:color w:val="000000"/>
                </w:rPr>
                <w:t>(incorporated by reference to Exhibit 10.1 to the registrant’s current report on Form 8-K filed on June 2, 2023 (File No.</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5"/>
        </w:trPr>
        <w:tc>
          <w:tcPr>
            <w:tcW w:w="1040" w:type="dxa"/>
            <w:vAlign w:val="bottom"/>
          </w:tcPr>
          <w:p>
            <w:pPr>
              <w:spacing w:after="0"/>
              <w:rPr>
                <w:sz w:val="19"/>
                <w:szCs w:val="19"/>
                <w:color w:val="auto"/>
              </w:rPr>
            </w:pPr>
          </w:p>
        </w:tc>
        <w:tc>
          <w:tcPr>
            <w:tcW w:w="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001-40797))</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96"/>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10.19#</w:t>
            </w:r>
          </w:p>
        </w:tc>
        <w:tc>
          <w:tcPr>
            <w:tcW w:w="9260" w:type="dxa"/>
            <w:vAlign w:val="bottom"/>
            <w:gridSpan w:val="19"/>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Confidential Exclusive Patent License and Covenant Not to Sue, by and between the Registrant and HydroCision, Inc., dated March</w:t>
              </w:r>
            </w:hyperlink>
          </w:p>
        </w:tc>
      </w:tr>
      <w:tr>
        <w:trPr>
          <w:trHeight w:val="173"/>
        </w:trPr>
        <w:tc>
          <w:tcPr>
            <w:tcW w:w="1040" w:type="dxa"/>
            <w:vAlign w:val="bottom"/>
          </w:tcPr>
          <w:p>
            <w:pPr>
              <w:spacing w:after="0"/>
              <w:rPr>
                <w:sz w:val="15"/>
                <w:szCs w:val="15"/>
                <w:color w:val="auto"/>
              </w:rPr>
            </w:pPr>
          </w:p>
        </w:tc>
        <w:tc>
          <w:tcPr>
            <w:tcW w:w="9100" w:type="dxa"/>
            <w:vAlign w:val="bottom"/>
            <w:tcBorders>
              <w:top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 xml:space="preserve">14, 2019 </w:t>
              </w:r>
              <w:r>
                <w:rPr>
                  <w:rFonts w:ascii="Times New Roman" w:cs="Times New Roman" w:eastAsia="Times New Roman" w:hAnsi="Times New Roman"/>
                  <w:sz w:val="17"/>
                  <w:szCs w:val="17"/>
                  <w:color w:val="000000"/>
                </w:rPr>
                <w:t>(incorporated by reference to Exhibit 10.7(d) to the registrant’s annual report on Form 10-K for the year ended December</w:t>
              </w:r>
            </w:hyperlink>
          </w:p>
        </w:tc>
        <w:tc>
          <w:tcPr>
            <w:tcW w:w="160" w:type="dxa"/>
            <w:vAlign w:val="bottom"/>
            <w:gridSpan w:val="7"/>
          </w:tcPr>
          <w:p>
            <w:pPr>
              <w:jc w:val="right"/>
              <w:spacing w:after="0"/>
              <w:rPr>
                <w:sz w:val="20"/>
                <w:szCs w:val="20"/>
                <w:color w:val="auto"/>
              </w:rPr>
            </w:pPr>
            <w:r>
              <w:rPr>
                <w:rFonts w:ascii="Times New Roman" w:cs="Times New Roman" w:eastAsia="Times New Roman" w:hAnsi="Times New Roman"/>
                <w:sz w:val="15"/>
                <w:szCs w:val="15"/>
                <w:color w:val="auto"/>
                <w:w w:val="74"/>
              </w:rPr>
              <w:t>31,</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04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2022 (File No. 001-40797))</w:t>
            </w:r>
          </w:p>
        </w:tc>
      </w:tr>
      <w:tr>
        <w:trPr>
          <w:trHeight w:val="283"/>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21.1*</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List of subsidiaries of the Registrant</w:t>
            </w:r>
          </w:p>
        </w:tc>
      </w:tr>
      <w:tr>
        <w:trPr>
          <w:trHeight w:val="20"/>
        </w:trPr>
        <w:tc>
          <w:tcPr>
            <w:tcW w:w="10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9"/>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23.1*</w:t>
            </w:r>
          </w:p>
        </w:tc>
        <w:tc>
          <w:tcPr>
            <w:tcW w:w="6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Consent of PricewaterhouseCoopers LLP, independent registered public accounting firm.</w:t>
            </w:r>
          </w:p>
        </w:tc>
        <w:tc>
          <w:tcPr>
            <w:tcW w:w="3120" w:type="dxa"/>
            <w:vAlign w:val="bottom"/>
            <w:gridSpan w:val="10"/>
          </w:tcPr>
          <w:p>
            <w:pPr>
              <w:spacing w:after="0"/>
              <w:rPr>
                <w:sz w:val="24"/>
                <w:szCs w:val="24"/>
                <w:color w:val="auto"/>
              </w:rPr>
            </w:pPr>
          </w:p>
        </w:tc>
      </w:tr>
      <w:tr>
        <w:trPr>
          <w:trHeight w:val="329"/>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24.1*</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Power of Attorney (included on signature page).</w:t>
            </w:r>
          </w:p>
        </w:tc>
      </w:tr>
      <w:tr>
        <w:trPr>
          <w:trHeight w:val="270"/>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31.1*</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 15d-14(a) under the Securities Exchange Act of 1934, as</w:t>
            </w:r>
          </w:p>
        </w:tc>
      </w:tr>
      <w:tr>
        <w:trPr>
          <w:trHeight w:val="148"/>
        </w:trPr>
        <w:tc>
          <w:tcPr>
            <w:tcW w:w="1040" w:type="dxa"/>
            <w:vAlign w:val="bottom"/>
          </w:tcPr>
          <w:p>
            <w:pPr>
              <w:spacing w:after="0"/>
              <w:rPr>
                <w:sz w:val="12"/>
                <w:szCs w:val="12"/>
                <w:color w:val="auto"/>
              </w:rPr>
            </w:pPr>
          </w:p>
        </w:tc>
        <w:tc>
          <w:tcPr>
            <w:tcW w:w="9220" w:type="dxa"/>
            <w:vAlign w:val="bottom"/>
            <w:tcBorders>
              <w:top w:val="single" w:sz="8" w:color="0000FF"/>
            </w:tcBorders>
            <w:gridSpan w:val="18"/>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4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2"/>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31.2*</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 15d-14(a) under the Securities Exchange Act of 1934, as</w:t>
            </w:r>
          </w:p>
        </w:tc>
      </w:tr>
      <w:tr>
        <w:trPr>
          <w:trHeight w:val="148"/>
        </w:trPr>
        <w:tc>
          <w:tcPr>
            <w:tcW w:w="1040" w:type="dxa"/>
            <w:vAlign w:val="bottom"/>
          </w:tcPr>
          <w:p>
            <w:pPr>
              <w:spacing w:after="0"/>
              <w:rPr>
                <w:sz w:val="12"/>
                <w:szCs w:val="12"/>
                <w:color w:val="auto"/>
              </w:rPr>
            </w:pPr>
          </w:p>
        </w:tc>
        <w:tc>
          <w:tcPr>
            <w:tcW w:w="9180" w:type="dxa"/>
            <w:vAlign w:val="bottom"/>
            <w:tcBorders>
              <w:top w:val="single" w:sz="8" w:color="0000FF"/>
            </w:tcBorders>
            <w:gridSpan w:val="16"/>
          </w:tcPr>
          <w:p>
            <w:pPr>
              <w:spacing w:after="0" w:line="148"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2"/>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32.1**</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as Adopted Pursuant to Section 906 of the Sarbanes-</w:t>
            </w:r>
          </w:p>
        </w:tc>
      </w:tr>
      <w:tr>
        <w:trPr>
          <w:trHeight w:val="148"/>
        </w:trPr>
        <w:tc>
          <w:tcPr>
            <w:tcW w:w="104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7"/>
                <w:szCs w:val="17"/>
                <w:color w:val="0000FF"/>
              </w:rPr>
              <w:t>Oxley Act of 2002.</w:t>
            </w:r>
          </w:p>
        </w:tc>
        <w:tc>
          <w:tcPr>
            <w:tcW w:w="7860" w:type="dxa"/>
            <w:vAlign w:val="bottom"/>
            <w:tcBorders>
              <w:top w:val="single" w:sz="8" w:color="0000FF"/>
            </w:tcBorders>
            <w:gridSpan w:val="14"/>
          </w:tcPr>
          <w:p>
            <w:pPr>
              <w:spacing w:after="0"/>
              <w:rPr>
                <w:sz w:val="12"/>
                <w:szCs w:val="12"/>
                <w:color w:val="auto"/>
              </w:rPr>
            </w:pPr>
          </w:p>
        </w:tc>
        <w:tc>
          <w:tcPr>
            <w:tcW w:w="60" w:type="dxa"/>
            <w:vAlign w:val="bottom"/>
            <w:gridSpan w:val="2"/>
          </w:tcPr>
          <w:p>
            <w:pPr>
              <w:spacing w:after="0"/>
              <w:rPr>
                <w:sz w:val="12"/>
                <w:szCs w:val="12"/>
                <w:color w:val="auto"/>
              </w:rPr>
            </w:pPr>
          </w:p>
        </w:tc>
      </w:tr>
      <w:tr>
        <w:trPr>
          <w:trHeight w:val="302"/>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32.2**</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 Adopted Pursuant to Section 906 of the Sarbanes-</w:t>
            </w:r>
          </w:p>
        </w:tc>
      </w:tr>
      <w:tr>
        <w:trPr>
          <w:trHeight w:val="173"/>
        </w:trPr>
        <w:tc>
          <w:tcPr>
            <w:tcW w:w="104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3"/>
          </w:tcPr>
          <w:p>
            <w:pPr>
              <w:spacing w:after="0" w:line="173" w:lineRule="exact"/>
              <w:rPr>
                <w:sz w:val="20"/>
                <w:szCs w:val="20"/>
                <w:color w:val="auto"/>
              </w:rPr>
            </w:pPr>
            <w:r>
              <w:rPr>
                <w:rFonts w:ascii="Times New Roman" w:cs="Times New Roman" w:eastAsia="Times New Roman" w:hAnsi="Times New Roman"/>
                <w:sz w:val="17"/>
                <w:szCs w:val="17"/>
                <w:color w:val="0000FF"/>
              </w:rPr>
              <w:t>Oxley Act of 2002.</w:t>
            </w:r>
          </w:p>
        </w:tc>
        <w:tc>
          <w:tcPr>
            <w:tcW w:w="7820" w:type="dxa"/>
            <w:vAlign w:val="bottom"/>
            <w:tcBorders>
              <w:top w:val="single" w:sz="8" w:color="0000FF"/>
            </w:tcBorders>
            <w:gridSpan w:val="12"/>
          </w:tcPr>
          <w:p>
            <w:pPr>
              <w:spacing w:after="0"/>
              <w:rPr>
                <w:sz w:val="15"/>
                <w:szCs w:val="15"/>
                <w:color w:val="auto"/>
              </w:rPr>
            </w:pPr>
          </w:p>
        </w:tc>
        <w:tc>
          <w:tcPr>
            <w:tcW w:w="100" w:type="dxa"/>
            <w:vAlign w:val="bottom"/>
            <w:gridSpan w:val="4"/>
          </w:tcPr>
          <w:p>
            <w:pPr>
              <w:spacing w:after="0"/>
              <w:rPr>
                <w:sz w:val="15"/>
                <w:szCs w:val="15"/>
                <w:color w:val="auto"/>
              </w:rPr>
            </w:pPr>
          </w:p>
        </w:tc>
      </w:tr>
      <w:tr>
        <w:trPr>
          <w:trHeight w:val="315"/>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97.1*</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Compensation Recovery Policy</w:t>
            </w:r>
          </w:p>
        </w:tc>
      </w:tr>
      <w:tr>
        <w:trPr>
          <w:trHeight w:val="20"/>
        </w:trPr>
        <w:tc>
          <w:tcPr>
            <w:tcW w:w="1040" w:type="dxa"/>
            <w:vAlign w:val="bottom"/>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7080" w:type="dxa"/>
            <w:vAlign w:val="bottom"/>
            <w:gridSpan w:val="14"/>
          </w:tcPr>
          <w:p>
            <w:pPr>
              <w:spacing w:after="0" w:line="20" w:lineRule="exact"/>
              <w:rPr>
                <w:sz w:val="1"/>
                <w:szCs w:val="1"/>
                <w:color w:val="auto"/>
              </w:rPr>
            </w:pPr>
          </w:p>
        </w:tc>
      </w:tr>
      <w:tr>
        <w:trPr>
          <w:trHeight w:val="325"/>
        </w:trPr>
        <w:tc>
          <w:tcPr>
            <w:tcW w:w="104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101.INS</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23"/>
        </w:trPr>
        <w:tc>
          <w:tcPr>
            <w:tcW w:w="104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r>
      <w:tr>
        <w:trPr>
          <w:trHeight w:val="335"/>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101.SCH</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35"/>
        </w:trPr>
        <w:tc>
          <w:tcPr>
            <w:tcW w:w="10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auto"/>
              </w:rPr>
              <w:t>101.CAL</w:t>
            </w:r>
          </w:p>
        </w:tc>
        <w:tc>
          <w:tcPr>
            <w:tcW w:w="92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00"/>
          </w:cols>
          <w:pgMar w:left="320" w:top="278" w:right="979" w:bottom="144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Table of Contents</w:t>
            </w:r>
          </w:p>
        </w:tc>
        <w:tc>
          <w:tcPr>
            <w:tcW w:w="5640" w:type="dxa"/>
            <w:vAlign w:val="bottom"/>
          </w:tcPr>
          <w:p>
            <w:pPr>
              <w:spacing w:after="0"/>
              <w:rPr>
                <w:sz w:val="17"/>
                <w:szCs w:val="17"/>
                <w:color w:val="auto"/>
              </w:rPr>
            </w:pPr>
          </w:p>
        </w:tc>
      </w:tr>
      <w:tr>
        <w:trPr>
          <w:trHeight w:val="831"/>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101.PRE</w:t>
            </w:r>
          </w:p>
        </w:tc>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335"/>
        </w:trPr>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104*</w:t>
            </w:r>
          </w:p>
        </w:tc>
        <w:tc>
          <w:tcPr>
            <w:tcW w:w="5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8" w:lineRule="exact"/>
        <w:rPr>
          <w:sz w:val="20"/>
          <w:szCs w:val="20"/>
          <w:color w:val="auto"/>
        </w:rPr>
      </w:pPr>
    </w:p>
    <w:p>
      <w:pPr>
        <w:ind w:left="300" w:hanging="297"/>
        <w:spacing w:after="0"/>
        <w:tabs>
          <w:tab w:leader="none" w:pos="3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Furnished herewith.</w:t>
      </w:r>
    </w:p>
    <w:p>
      <w:pPr>
        <w:spacing w:after="0" w:line="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Indicates management contract or compensatory plan.</w:t>
      </w:r>
    </w:p>
    <w:p>
      <w:pPr>
        <w:spacing w:after="0" w:line="7"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Certain portions of this exhibit (indicated by “[***]”) have been omitted pursuant to Regulation S-K, Item (601)(b)(10).</w:t>
      </w: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 Financial Statement Schedules.</w:t>
      </w:r>
    </w:p>
    <w:p>
      <w:pPr>
        <w:spacing w:after="0" w:line="169"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Schedules not listed above have been omitted because the information required to be set forth therein is not applicable or is shown in the financial statements or the notes thereto.</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38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66"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right="20" w:firstLine="30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480" w:type="dxa"/>
            <w:vAlign w:val="bottom"/>
          </w:tcPr>
          <w:p>
            <w:pPr>
              <w:spacing w:after="0"/>
              <w:rPr>
                <w:sz w:val="19"/>
                <w:szCs w:val="19"/>
                <w:color w:val="auto"/>
              </w:rPr>
            </w:pPr>
          </w:p>
        </w:tc>
        <w:tc>
          <w:tcPr>
            <w:tcW w:w="7740" w:type="dxa"/>
            <w:vAlign w:val="bottom"/>
            <w:gridSpan w:val="3"/>
          </w:tcPr>
          <w:p>
            <w:pPr>
              <w:ind w:left="1540"/>
              <w:spacing w:after="0"/>
              <w:rPr>
                <w:sz w:val="20"/>
                <w:szCs w:val="20"/>
                <w:color w:val="auto"/>
              </w:rPr>
            </w:pPr>
            <w:r>
              <w:rPr>
                <w:rFonts w:ascii="Times New Roman" w:cs="Times New Roman" w:eastAsia="Times New Roman" w:hAnsi="Times New Roman"/>
                <w:sz w:val="17"/>
                <w:szCs w:val="17"/>
                <w:b w:val="1"/>
                <w:bCs w:val="1"/>
                <w:color w:val="auto"/>
              </w:rPr>
              <w:t>PROCEPT BIOROBOTICS CORPORATION</w:t>
            </w:r>
          </w:p>
        </w:tc>
      </w:tr>
      <w:tr>
        <w:trPr>
          <w:trHeight w:val="477"/>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7740" w:type="dxa"/>
            <w:vAlign w:val="bottom"/>
            <w:gridSpan w:val="3"/>
          </w:tcPr>
          <w:p>
            <w:pPr>
              <w:ind w:left="1540"/>
              <w:spacing w:after="0"/>
              <w:rPr>
                <w:sz w:val="20"/>
                <w:szCs w:val="20"/>
                <w:color w:val="auto"/>
              </w:rPr>
            </w:pPr>
            <w:r>
              <w:rPr>
                <w:rFonts w:ascii="Times New Roman" w:cs="Times New Roman" w:eastAsia="Times New Roman" w:hAnsi="Times New Roman"/>
                <w:sz w:val="17"/>
                <w:szCs w:val="17"/>
                <w:color w:val="auto"/>
              </w:rPr>
              <w:t>By:   /s/ Reza Zadno</w:t>
            </w:r>
          </w:p>
        </w:tc>
      </w:tr>
      <w:tr>
        <w:trPr>
          <w:trHeight w:val="209"/>
        </w:trPr>
        <w:tc>
          <w:tcPr>
            <w:tcW w:w="3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51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Reza Zadno, Ph.D.</w:t>
            </w:r>
          </w:p>
        </w:tc>
      </w:tr>
      <w:tr>
        <w:trPr>
          <w:trHeight w:val="223"/>
        </w:trPr>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5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SIGNATURES AND POWER OF ATTORNEY</w:t>
      </w:r>
    </w:p>
    <w:p>
      <w:pPr>
        <w:spacing w:after="0" w:line="169" w:lineRule="exact"/>
        <w:rPr>
          <w:sz w:val="20"/>
          <w:szCs w:val="20"/>
          <w:color w:val="auto"/>
        </w:rPr>
      </w:pPr>
    </w:p>
    <w:p>
      <w:pPr>
        <w:ind w:right="220" w:firstLine="309"/>
        <w:spacing w:after="0" w:line="264"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Reza Zadno and Kevin Waters,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20" w:lineRule="exact"/>
        <w:rPr>
          <w:sz w:val="20"/>
          <w:szCs w:val="20"/>
          <w:color w:val="auto"/>
        </w:rPr>
      </w:pPr>
    </w:p>
    <w:p>
      <w:pPr>
        <w:ind w:right="260" w:firstLine="30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5"/>
                <w:szCs w:val="15"/>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2"/>
        </w:trPr>
        <w:tc>
          <w:tcPr>
            <w:tcW w:w="4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367"/>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Reza Zadno</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Reza Zadno, Ph.D.</w:t>
            </w:r>
          </w:p>
        </w:tc>
        <w:tc>
          <w:tcPr>
            <w:tcW w:w="100" w:type="dxa"/>
            <w:vAlign w:val="bottom"/>
          </w:tcPr>
          <w:p>
            <w:pPr>
              <w:spacing w:after="0"/>
              <w:rPr>
                <w:sz w:val="18"/>
                <w:szCs w:val="18"/>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Kevin Waters</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EVP, 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Kevin Waters</w:t>
            </w:r>
          </w:p>
        </w:tc>
        <w:tc>
          <w:tcPr>
            <w:tcW w:w="100" w:type="dxa"/>
            <w:vAlign w:val="bottom"/>
          </w:tcPr>
          <w:p>
            <w:pPr>
              <w:spacing w:after="0"/>
              <w:rPr>
                <w:sz w:val="18"/>
                <w:szCs w:val="18"/>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Frederic Moll, M.D.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Director and Chair of the Board</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Frederic Moll, M.D.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Antal Desai</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Antal Desai</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Amy Dodrill</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Amy Dodrill</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Mary Garrett</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Mary Garrett</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1"/>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Taylor Harris</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Taylor Harris</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Thomas Krummel, M.D.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Thomas Krummel, M.D.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Elisabeth Sandoval-Little</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Elisabeth Sandoval-Little</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09"/>
        </w:trPr>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Colby Wood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8"/>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28, 2024</w:t>
            </w:r>
          </w:p>
        </w:tc>
      </w:tr>
      <w:tr>
        <w:trPr>
          <w:trHeight w:val="216"/>
        </w:trPr>
        <w:tc>
          <w:tcPr>
            <w:tcW w:w="4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Colby Wood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240"/>
          </w:cols>
          <w:pgMar w:left="320" w:top="27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PROCEPT BIOROBOTICS CORPORATION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NON-EMPLOYEE DIRECTOR COMPENSATION PROGRAM</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and restated effective as of June 15, 2023)</w:t>
      </w:r>
    </w:p>
    <w:p>
      <w:pPr>
        <w:spacing w:after="0" w:line="17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9"/>
          <w:szCs w:val="19"/>
          <w:color w:val="auto"/>
        </w:rPr>
        <w:t>Eligible Directors (as defined below) on 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PROCEPT BioRobotics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shall be eligible to receive cash and equity compensation as set forth in this Non-Employee Director Compensation Program (this “</w:t>
      </w:r>
      <w:r>
        <w:rPr>
          <w:rFonts w:ascii="Times New Roman" w:cs="Times New Roman" w:eastAsia="Times New Roman" w:hAnsi="Times New Roman"/>
          <w:sz w:val="19"/>
          <w:szCs w:val="19"/>
          <w:b w:val="1"/>
          <w:bCs w:val="1"/>
          <w:i w:val="1"/>
          <w:iCs w:val="1"/>
          <w:color w:val="auto"/>
        </w:rPr>
        <w:t>Program</w:t>
      </w:r>
      <w:r>
        <w:rPr>
          <w:rFonts w:ascii="Times New Roman" w:cs="Times New Roman" w:eastAsia="Times New Roman" w:hAnsi="Times New Roman"/>
          <w:sz w:val="19"/>
          <w:szCs w:val="19"/>
          <w:color w:val="auto"/>
        </w:rPr>
        <w:t>”). The cash and equity compensation described in this Program shall be paid or be made, as applicable, automatically as set forth herein and without further action of the Board, to each member of the Board who is not an employee of the Company or any of its parents or subsidiaries other than a person who is determined by the Board to not be eligible to receive compensation under this Program (each, an “</w:t>
      </w:r>
      <w:r>
        <w:rPr>
          <w:rFonts w:ascii="Times New Roman" w:cs="Times New Roman" w:eastAsia="Times New Roman" w:hAnsi="Times New Roman"/>
          <w:sz w:val="19"/>
          <w:szCs w:val="19"/>
          <w:b w:val="1"/>
          <w:bCs w:val="1"/>
          <w:i w:val="1"/>
          <w:iCs w:val="1"/>
          <w:color w:val="auto"/>
        </w:rPr>
        <w:t>Eligible Director</w:t>
      </w:r>
      <w:r>
        <w:rPr>
          <w:rFonts w:ascii="Times New Roman" w:cs="Times New Roman" w:eastAsia="Times New Roman" w:hAnsi="Times New Roman"/>
          <w:sz w:val="19"/>
          <w:szCs w:val="19"/>
          <w:color w:val="auto"/>
        </w:rPr>
        <w:t>”), who may be eligible to receive such cash or equity compensation, unless such Eligible Director declines the receipt of such cash or equity compensation by written notice to the Company.</w:t>
      </w:r>
    </w:p>
    <w:p>
      <w:pPr>
        <w:spacing w:after="0" w:line="174" w:lineRule="exact"/>
        <w:rPr>
          <w:sz w:val="20"/>
          <w:szCs w:val="20"/>
          <w:color w:val="auto"/>
        </w:rPr>
      </w:pPr>
    </w:p>
    <w:p>
      <w:pPr>
        <w:jc w:val="both"/>
        <w:ind w:firstLine="619"/>
        <w:spacing w:after="0" w:line="265" w:lineRule="auto"/>
        <w:rPr>
          <w:sz w:val="20"/>
          <w:szCs w:val="20"/>
          <w:color w:val="auto"/>
        </w:rPr>
      </w:pPr>
      <w:r>
        <w:rPr>
          <w:rFonts w:ascii="Times New Roman" w:cs="Times New Roman" w:eastAsia="Times New Roman" w:hAnsi="Times New Roman"/>
          <w:sz w:val="19"/>
          <w:szCs w:val="19"/>
          <w:color w:val="auto"/>
        </w:rPr>
        <w:t>This Program, as amended and restated, is effective as of June 15, 2023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and shall remain in effect until it is revised or rescinded by further action of the Board. This Program may be amended, modified or terminated by the Board at any time in its sole discretion. No Eligible Director shall have any rights hereunder, except with respect to equity awards granted pursuant to Section 2 of this Program.</w:t>
      </w:r>
    </w:p>
    <w:p>
      <w:pPr>
        <w:spacing w:after="0" w:line="159" w:lineRule="exact"/>
        <w:rPr>
          <w:sz w:val="20"/>
          <w:szCs w:val="20"/>
          <w:color w:val="auto"/>
        </w:rPr>
      </w:pPr>
    </w:p>
    <w:p>
      <w:pPr>
        <w:ind w:left="1240" w:hanging="618"/>
        <w:spacing w:after="0"/>
        <w:tabs>
          <w:tab w:leader="none" w:pos="124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Cash Compensation</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ind w:left="1840" w:hanging="599"/>
        <w:spacing w:after="0"/>
        <w:tabs>
          <w:tab w:leader="none" w:pos="184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Retainers</w:t>
      </w:r>
      <w:r>
        <w:rPr>
          <w:rFonts w:ascii="Times New Roman" w:cs="Times New Roman" w:eastAsia="Times New Roman" w:hAnsi="Times New Roman"/>
          <w:sz w:val="19"/>
          <w:szCs w:val="19"/>
          <w:color w:val="auto"/>
        </w:rPr>
        <w:t>. Each Eligible Director shall be eligible to receive an annual cash retainer of $40,000 for service on the</w:t>
      </w:r>
    </w:p>
    <w:p>
      <w:pPr>
        <w:spacing w:after="0" w:line="20"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Board.</w:t>
      </w:r>
    </w:p>
    <w:p>
      <w:pPr>
        <w:spacing w:after="0" w:line="199" w:lineRule="exact"/>
        <w:rPr>
          <w:rFonts w:ascii="Times New Roman" w:cs="Times New Roman" w:eastAsia="Times New Roman" w:hAnsi="Times New Roman"/>
          <w:sz w:val="19"/>
          <w:szCs w:val="19"/>
          <w:color w:val="auto"/>
        </w:rPr>
      </w:pPr>
    </w:p>
    <w:p>
      <w:pPr>
        <w:ind w:left="1860" w:hanging="619"/>
        <w:spacing w:after="0"/>
        <w:tabs>
          <w:tab w:leader="none" w:pos="186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Annual Retainers</w:t>
      </w:r>
      <w:r>
        <w:rPr>
          <w:rFonts w:ascii="Times New Roman" w:cs="Times New Roman" w:eastAsia="Times New Roman" w:hAnsi="Times New Roman"/>
          <w:sz w:val="19"/>
          <w:szCs w:val="19"/>
          <w:color w:val="auto"/>
        </w:rPr>
        <w:t>. An Eligible Director shall be eligible to receive the following additional annual retainers, as</w:t>
      </w:r>
    </w:p>
    <w:p>
      <w:pPr>
        <w:spacing w:after="0" w:line="25"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applicable:</w:t>
      </w:r>
    </w:p>
    <w:p>
      <w:pPr>
        <w:spacing w:after="0" w:line="194" w:lineRule="exact"/>
        <w:rPr>
          <w:rFonts w:ascii="Times New Roman" w:cs="Times New Roman" w:eastAsia="Times New Roman" w:hAnsi="Times New Roman"/>
          <w:sz w:val="19"/>
          <w:szCs w:val="19"/>
          <w:color w:val="auto"/>
        </w:rPr>
      </w:pPr>
    </w:p>
    <w:p>
      <w:pPr>
        <w:ind w:left="320" w:firstLine="1540"/>
        <w:spacing w:after="0" w:line="283" w:lineRule="auto"/>
        <w:tabs>
          <w:tab w:leader="none" w:pos="2307"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Non-Employee Chairperson of the Board or Lead Independent Director</w:t>
      </w:r>
      <w:r>
        <w:rPr>
          <w:rFonts w:ascii="Times New Roman" w:cs="Times New Roman" w:eastAsia="Times New Roman" w:hAnsi="Times New Roman"/>
          <w:sz w:val="19"/>
          <w:szCs w:val="19"/>
          <w:color w:val="auto"/>
        </w:rPr>
        <w:t>. An Eligible Director serving as Chairperson of the Board or Lead Independent Director shall be eligible to receive an additional annual retainer of $45,000 for such service.</w:t>
      </w:r>
    </w:p>
    <w:p>
      <w:pPr>
        <w:spacing w:after="0" w:line="142" w:lineRule="exact"/>
        <w:rPr>
          <w:rFonts w:ascii="Times New Roman" w:cs="Times New Roman" w:eastAsia="Times New Roman" w:hAnsi="Times New Roman"/>
          <w:sz w:val="19"/>
          <w:szCs w:val="19"/>
          <w:color w:val="auto"/>
        </w:rPr>
      </w:pPr>
    </w:p>
    <w:p>
      <w:pPr>
        <w:jc w:val="both"/>
        <w:ind w:left="320" w:firstLine="1540"/>
        <w:spacing w:after="0" w:line="269" w:lineRule="auto"/>
        <w:tabs>
          <w:tab w:leader="none" w:pos="2299"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Audit Committee</w:t>
      </w:r>
      <w:r>
        <w:rPr>
          <w:rFonts w:ascii="Times New Roman" w:cs="Times New Roman" w:eastAsia="Times New Roman" w:hAnsi="Times New Roman"/>
          <w:sz w:val="19"/>
          <w:szCs w:val="19"/>
          <w:color w:val="auto"/>
        </w:rPr>
        <w:t>. An Eligible Director serving as Chairperson of the Audit Committee shall be eligible to receive an additional annual retainer of $20,000 for such service. An Eligible Director serving as a member of the Audit Committee (other than the Chairperson) shall be eligible to receive an additional annual retainer of $10,000 for such service.</w:t>
      </w:r>
    </w:p>
    <w:p>
      <w:pPr>
        <w:spacing w:after="0" w:line="154" w:lineRule="exact"/>
        <w:rPr>
          <w:rFonts w:ascii="Times New Roman" w:cs="Times New Roman" w:eastAsia="Times New Roman" w:hAnsi="Times New Roman"/>
          <w:sz w:val="19"/>
          <w:szCs w:val="19"/>
          <w:color w:val="auto"/>
        </w:rPr>
      </w:pPr>
    </w:p>
    <w:p>
      <w:pPr>
        <w:jc w:val="both"/>
        <w:ind w:left="320" w:firstLine="1540"/>
        <w:spacing w:after="0" w:line="262" w:lineRule="auto"/>
        <w:tabs>
          <w:tab w:leader="none" w:pos="2416"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Committee</w:t>
      </w:r>
      <w:r>
        <w:rPr>
          <w:rFonts w:ascii="Times New Roman" w:cs="Times New Roman" w:eastAsia="Times New Roman" w:hAnsi="Times New Roman"/>
          <w:sz w:val="19"/>
          <w:szCs w:val="19"/>
          <w:color w:val="auto"/>
        </w:rPr>
        <w:t>. An Eligible Director serving as Chairperson of the Compensation Committee shall be eligible to receive an additional annual retainer of $15,000 for such service. An Eligible Director serving as a member of the Compensation Committee (other than the Chairperson) shall be eligible to receive an additional annual retainer of $7,500 for such service.</w:t>
      </w:r>
    </w:p>
    <w:p>
      <w:pPr>
        <w:spacing w:after="0" w:line="174" w:lineRule="exact"/>
        <w:rPr>
          <w:rFonts w:ascii="Times New Roman" w:cs="Times New Roman" w:eastAsia="Times New Roman" w:hAnsi="Times New Roman"/>
          <w:sz w:val="19"/>
          <w:szCs w:val="19"/>
          <w:color w:val="auto"/>
        </w:rPr>
      </w:pPr>
    </w:p>
    <w:p>
      <w:pPr>
        <w:jc w:val="both"/>
        <w:ind w:left="320" w:firstLine="1540"/>
        <w:spacing w:after="0" w:line="259" w:lineRule="auto"/>
        <w:tabs>
          <w:tab w:leader="none" w:pos="2414" w:val="left"/>
        </w:tabs>
        <w:numPr>
          <w:ilvl w:val="2"/>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Nominating and Corporate Governance Committee</w:t>
      </w:r>
      <w:r>
        <w:rPr>
          <w:rFonts w:ascii="Times New Roman" w:cs="Times New Roman" w:eastAsia="Times New Roman" w:hAnsi="Times New Roman"/>
          <w:sz w:val="19"/>
          <w:szCs w:val="19"/>
          <w:color w:val="auto"/>
        </w:rPr>
        <w:t>. An Eligible Director serving as Chairperson of the Nominating and Corporate Governance Committee shall be eligible to receive an additional annual retainer of $10,000 for such service. An Eligible Director serving as a member of the Nominating and Corporate Governance Committee (other than the Chairperson) shall be eligible to receive an additional annual retainer of $5,000 for such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9" w:right="339" w:bottom="1440" w:gutter="0" w:footer="0" w:header="0"/>
        </w:sectPr>
      </w:pPr>
    </w:p>
    <w:bookmarkStart w:id="122" w:name="page123"/>
    <w:bookmarkEnd w:id="122"/>
    <w:p>
      <w:pPr>
        <w:jc w:val="both"/>
        <w:ind w:firstLine="921"/>
        <w:spacing w:after="0" w:line="254" w:lineRule="auto"/>
        <w:tabs>
          <w:tab w:leader="none" w:pos="1536"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Retainers</w:t>
      </w:r>
      <w:r>
        <w:rPr>
          <w:rFonts w:ascii="Times New Roman" w:cs="Times New Roman" w:eastAsia="Times New Roman" w:hAnsi="Times New Roman"/>
          <w:sz w:val="19"/>
          <w:szCs w:val="19"/>
          <w:color w:val="auto"/>
        </w:rPr>
        <w:t>. The annual cash retainers described in Sections 1(a) and 1(b) shall be earned on a quarterly basis based on a calendar quarter and shall be paid by the Company in arrears not later than 30 days following the end of each calendar quarter. In the event an Eligible Director does not serve as a director, or in the applicable positions described in Section 1(b), for an entire calendar quarter, the retainer paid to such Eligible Director shall be prorated for the portion of such calendar quarter actually served as a director, or in such position, as applicable.</w:t>
      </w:r>
    </w:p>
    <w:p>
      <w:pPr>
        <w:spacing w:after="0" w:line="184" w:lineRule="exact"/>
        <w:rPr>
          <w:rFonts w:ascii="Times New Roman" w:cs="Times New Roman" w:eastAsia="Times New Roman" w:hAnsi="Times New Roman"/>
          <w:sz w:val="19"/>
          <w:szCs w:val="19"/>
          <w:color w:val="auto"/>
        </w:rPr>
      </w:pPr>
    </w:p>
    <w:p>
      <w:pPr>
        <w:ind w:left="920" w:hanging="618"/>
        <w:spacing w:after="0"/>
        <w:tabs>
          <w:tab w:leader="none" w:pos="9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Compensation</w:t>
      </w:r>
      <w:r>
        <w:rPr>
          <w:rFonts w:ascii="Times New Roman" w:cs="Times New Roman" w:eastAsia="Times New Roman" w:hAnsi="Times New Roman"/>
          <w:sz w:val="19"/>
          <w:szCs w:val="19"/>
          <w:color w:val="auto"/>
        </w:rPr>
        <w:t>.</w:t>
      </w:r>
    </w:p>
    <w:p>
      <w:pPr>
        <w:spacing w:after="0" w:line="219" w:lineRule="exact"/>
        <w:rPr>
          <w:rFonts w:ascii="Times New Roman" w:cs="Times New Roman" w:eastAsia="Times New Roman" w:hAnsi="Times New Roman"/>
          <w:sz w:val="19"/>
          <w:szCs w:val="19"/>
          <w:color w:val="auto"/>
        </w:rPr>
      </w:pPr>
    </w:p>
    <w:p>
      <w:pPr>
        <w:jc w:val="both"/>
        <w:ind w:firstLine="921"/>
        <w:spacing w:after="0" w:line="252" w:lineRule="auto"/>
        <w:tabs>
          <w:tab w:leader="none" w:pos="1536"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Eligible Directors shall be granted the equity awards described below. The awards described below shall be granted under and shall be subject to the terms and provisions of the Company’s 2021 Equity Incentive Plan or any other applicable Company equity incentive plan then-maintained by the Company (such plan, as may be amended from time to time, the “</w:t>
      </w:r>
      <w:r>
        <w:rPr>
          <w:rFonts w:ascii="Times New Roman" w:cs="Times New Roman" w:eastAsia="Times New Roman" w:hAnsi="Times New Roman"/>
          <w:sz w:val="19"/>
          <w:szCs w:val="19"/>
          <w:b w:val="1"/>
          <w:bCs w:val="1"/>
          <w:i w:val="1"/>
          <w:iCs w:val="1"/>
          <w:color w:val="auto"/>
        </w:rPr>
        <w:t>Equity Plan</w:t>
      </w:r>
      <w:r>
        <w:rPr>
          <w:rFonts w:ascii="Times New Roman" w:cs="Times New Roman" w:eastAsia="Times New Roman" w:hAnsi="Times New Roman"/>
          <w:sz w:val="19"/>
          <w:szCs w:val="19"/>
          <w:color w:val="auto"/>
        </w:rPr>
        <w:t>”) and may be granted subject to the execution and delivery of award agreements, including attached exhibits, in substantially the forms approved by the Board prior to or in connection with such grants. All applicable terms of the Equity Plan apply to this Program as if fully set forth herein, and all grants of equity awards hereby are subject in all respects to the terms of the Equity Plan. Capitalized terms not otherwise defined herein shall have the meanings ascribed to them in the Equity Plan.</w:t>
      </w:r>
    </w:p>
    <w:p>
      <w:pPr>
        <w:spacing w:after="0" w:line="186" w:lineRule="exact"/>
        <w:rPr>
          <w:rFonts w:ascii="Times New Roman" w:cs="Times New Roman" w:eastAsia="Times New Roman" w:hAnsi="Times New Roman"/>
          <w:sz w:val="19"/>
          <w:szCs w:val="19"/>
          <w:color w:val="auto"/>
        </w:rPr>
      </w:pPr>
    </w:p>
    <w:p>
      <w:pPr>
        <w:jc w:val="both"/>
        <w:ind w:firstLine="921"/>
        <w:spacing w:after="0" w:line="254" w:lineRule="auto"/>
        <w:tabs>
          <w:tab w:leader="none" w:pos="1547"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Initial Awards</w:t>
      </w:r>
      <w:r>
        <w:rPr>
          <w:rFonts w:ascii="Times New Roman" w:cs="Times New Roman" w:eastAsia="Times New Roman" w:hAnsi="Times New Roman"/>
          <w:sz w:val="19"/>
          <w:szCs w:val="19"/>
          <w:color w:val="auto"/>
        </w:rPr>
        <w:t>. Each Eligible Director who is initially elected or appointed to serve on the Board after the Effective Date automatically shall be granted an equity award with a value of approximately $300,000 (each, an “</w:t>
      </w:r>
      <w:r>
        <w:rPr>
          <w:rFonts w:ascii="Times New Roman" w:cs="Times New Roman" w:eastAsia="Times New Roman" w:hAnsi="Times New Roman"/>
          <w:sz w:val="19"/>
          <w:szCs w:val="19"/>
          <w:b w:val="1"/>
          <w:bCs w:val="1"/>
          <w:i w:val="1"/>
          <w:iCs w:val="1"/>
          <w:color w:val="auto"/>
        </w:rPr>
        <w:t>Initial Award</w:t>
      </w:r>
      <w:r>
        <w:rPr>
          <w:rFonts w:ascii="Times New Roman" w:cs="Times New Roman" w:eastAsia="Times New Roman" w:hAnsi="Times New Roman"/>
          <w:sz w:val="19"/>
          <w:szCs w:val="19"/>
          <w:color w:val="auto"/>
        </w:rPr>
        <w:t>”), consisting of (1) an Option (as defined in the Equity Plan) award with a value equivalent to 150,000 (50% of 300,000) and (2) an Restricted Stock Unit (as defined in the Equity Plan) award with a value equivalent to 150,000 (50% of 300,000). Each Initial Award shall be granted on the date on which such Eligible Director is appointed or elected to serve on the Board (the “</w:t>
      </w:r>
      <w:r>
        <w:rPr>
          <w:rFonts w:ascii="Times New Roman" w:cs="Times New Roman" w:eastAsia="Times New Roman" w:hAnsi="Times New Roman"/>
          <w:sz w:val="19"/>
          <w:szCs w:val="19"/>
          <w:b w:val="1"/>
          <w:bCs w:val="1"/>
          <w:i w:val="1"/>
          <w:iCs w:val="1"/>
          <w:color w:val="auto"/>
        </w:rPr>
        <w:t>Election Date</w:t>
      </w:r>
      <w:r>
        <w:rPr>
          <w:rFonts w:ascii="Times New Roman" w:cs="Times New Roman" w:eastAsia="Times New Roman" w:hAnsi="Times New Roman"/>
          <w:sz w:val="19"/>
          <w:szCs w:val="19"/>
          <w:color w:val="auto"/>
        </w:rPr>
        <w:t>”), and shall vest in substantially equal installments on each of the first three anniversaries of the applicable grant date, subject to continued service through the applicable vesting date.</w:t>
      </w:r>
    </w:p>
    <w:p>
      <w:pPr>
        <w:spacing w:after="0" w:line="172" w:lineRule="exact"/>
        <w:rPr>
          <w:rFonts w:ascii="Times New Roman" w:cs="Times New Roman" w:eastAsia="Times New Roman" w:hAnsi="Times New Roman"/>
          <w:sz w:val="19"/>
          <w:szCs w:val="19"/>
          <w:color w:val="auto"/>
        </w:rPr>
      </w:pPr>
    </w:p>
    <w:p>
      <w:pPr>
        <w:jc w:val="both"/>
        <w:ind w:firstLine="921"/>
        <w:spacing w:after="0" w:line="254" w:lineRule="auto"/>
        <w:tabs>
          <w:tab w:leader="none" w:pos="1536"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Awards</w:t>
      </w:r>
      <w:r>
        <w:rPr>
          <w:rFonts w:ascii="Times New Roman" w:cs="Times New Roman" w:eastAsia="Times New Roman" w:hAnsi="Times New Roman"/>
          <w:sz w:val="19"/>
          <w:szCs w:val="19"/>
          <w:color w:val="auto"/>
        </w:rPr>
        <w:t>. An Eligible Director who is serving on the Board as of the date of the annual meeting of the Company’s stockholders (the “</w:t>
      </w:r>
      <w:r>
        <w:rPr>
          <w:rFonts w:ascii="Times New Roman" w:cs="Times New Roman" w:eastAsia="Times New Roman" w:hAnsi="Times New Roman"/>
          <w:sz w:val="19"/>
          <w:szCs w:val="19"/>
          <w:b w:val="1"/>
          <w:bCs w:val="1"/>
          <w:i w:val="1"/>
          <w:iCs w:val="1"/>
          <w:color w:val="auto"/>
        </w:rPr>
        <w:t>Annual Meeting</w:t>
      </w:r>
      <w:r>
        <w:rPr>
          <w:rFonts w:ascii="Times New Roman" w:cs="Times New Roman" w:eastAsia="Times New Roman" w:hAnsi="Times New Roman"/>
          <w:sz w:val="19"/>
          <w:szCs w:val="19"/>
          <w:color w:val="auto"/>
        </w:rPr>
        <w:t>”) each calendar year beginning with calendar year 2022 shall be granted an equity award with a value of approximately $180,000 (an “</w:t>
      </w:r>
      <w:r>
        <w:rPr>
          <w:rFonts w:ascii="Times New Roman" w:cs="Times New Roman" w:eastAsia="Times New Roman" w:hAnsi="Times New Roman"/>
          <w:sz w:val="19"/>
          <w:szCs w:val="19"/>
          <w:b w:val="1"/>
          <w:bCs w:val="1"/>
          <w:i w:val="1"/>
          <w:iCs w:val="1"/>
          <w:color w:val="auto"/>
        </w:rPr>
        <w:t>Annual Award</w:t>
      </w:r>
      <w:r>
        <w:rPr>
          <w:rFonts w:ascii="Times New Roman" w:cs="Times New Roman" w:eastAsia="Times New Roman" w:hAnsi="Times New Roman"/>
          <w:sz w:val="19"/>
          <w:szCs w:val="19"/>
          <w:color w:val="auto"/>
        </w:rPr>
        <w:t>”, together with the Initial Award, the “</w:t>
      </w:r>
      <w:r>
        <w:rPr>
          <w:rFonts w:ascii="Times New Roman" w:cs="Times New Roman" w:eastAsia="Times New Roman" w:hAnsi="Times New Roman"/>
          <w:sz w:val="19"/>
          <w:szCs w:val="19"/>
          <w:b w:val="1"/>
          <w:bCs w:val="1"/>
          <w:i w:val="1"/>
          <w:iCs w:val="1"/>
          <w:color w:val="auto"/>
        </w:rPr>
        <w:t>Director Award</w:t>
      </w:r>
      <w:r>
        <w:rPr>
          <w:rFonts w:ascii="Times New Roman" w:cs="Times New Roman" w:eastAsia="Times New Roman" w:hAnsi="Times New Roman"/>
          <w:sz w:val="19"/>
          <w:szCs w:val="19"/>
          <w:color w:val="auto"/>
        </w:rPr>
        <w:t>”), consisting of (1) an Option (as defined in the Equity Plan) award with a value equivalent to 90,000 (50% of 18,000) and (2) an Restricted Stock Unit (as defined in the Equity Plan) award with a value equivalent to 90,000 (50% of 180,000). Each Annual Award shall vest in full on the earlier to occur of (x) the one-year anniversary of the applicable grant date and (y) the date of the next Annual Meeting following the grant date, subject to continued service through the applicable vesting date.</w:t>
      </w:r>
    </w:p>
    <w:p>
      <w:pPr>
        <w:spacing w:after="0" w:line="173" w:lineRule="exact"/>
        <w:rPr>
          <w:rFonts w:ascii="Times New Roman" w:cs="Times New Roman" w:eastAsia="Times New Roman" w:hAnsi="Times New Roman"/>
          <w:sz w:val="19"/>
          <w:szCs w:val="19"/>
          <w:color w:val="auto"/>
        </w:rPr>
      </w:pPr>
    </w:p>
    <w:p>
      <w:pPr>
        <w:jc w:val="both"/>
        <w:ind w:firstLine="921"/>
        <w:spacing w:after="0" w:line="259" w:lineRule="auto"/>
        <w:tabs>
          <w:tab w:leader="none" w:pos="1547"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Accelerated Vesting Events</w:t>
      </w:r>
      <w:r>
        <w:rPr>
          <w:rFonts w:ascii="Times New Roman" w:cs="Times New Roman" w:eastAsia="Times New Roman" w:hAnsi="Times New Roman"/>
          <w:sz w:val="19"/>
          <w:szCs w:val="19"/>
          <w:color w:val="auto"/>
        </w:rPr>
        <w:t>. Notwithstanding the foregoing, an Eligible Director’s Director Award(s) shall vest in full immediately prior to the occurrence of a Non-Transactional Change in Control, to the extent outstanding and unvested at such time, if the Eligible Director will not become, as of immediately following such Non-Transactional Change in Control, a member of the board of the Company or the ultimate parent of the Company.</w:t>
      </w:r>
    </w:p>
    <w:p>
      <w:pPr>
        <w:spacing w:after="0" w:line="178" w:lineRule="exact"/>
        <w:rPr>
          <w:rFonts w:ascii="Times New Roman" w:cs="Times New Roman" w:eastAsia="Times New Roman" w:hAnsi="Times New Roman"/>
          <w:sz w:val="19"/>
          <w:szCs w:val="19"/>
          <w:color w:val="auto"/>
        </w:rPr>
      </w:pPr>
    </w:p>
    <w:p>
      <w:pPr>
        <w:ind w:left="1520" w:hanging="599"/>
        <w:spacing w:after="0"/>
        <w:tabs>
          <w:tab w:leader="none" w:pos="1520"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Provisions Applicable to Awards</w:t>
      </w:r>
      <w:r>
        <w:rPr>
          <w:rFonts w:ascii="Times New Roman" w:cs="Times New Roman" w:eastAsia="Times New Roman" w:hAnsi="Times New Roman"/>
          <w:sz w:val="19"/>
          <w:szCs w:val="19"/>
          <w:color w:val="auto"/>
        </w:rPr>
        <w:t>. With respect to any equity award granted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920"/>
          </w:cols>
          <w:pgMar w:left="640" w:top="1356" w:right="339" w:bottom="1440" w:gutter="0" w:footer="0" w:header="0"/>
        </w:sectPr>
      </w:pPr>
    </w:p>
    <w:bookmarkStart w:id="123" w:name="page124"/>
    <w:bookmarkEnd w:id="123"/>
    <w:p>
      <w:pPr>
        <w:ind w:left="1240" w:firstLine="620"/>
        <w:spacing w:after="0" w:line="283" w:lineRule="auto"/>
        <w:tabs>
          <w:tab w:leader="none" w:pos="2474"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exercise price per Share with respect to an Option shall be equal to the Fair Market Value of a Share on the applicable grant date.</w:t>
      </w:r>
    </w:p>
    <w:p>
      <w:pPr>
        <w:spacing w:after="0" w:line="142" w:lineRule="exact"/>
        <w:rPr>
          <w:rFonts w:ascii="Times New Roman" w:cs="Times New Roman" w:eastAsia="Times New Roman" w:hAnsi="Times New Roman"/>
          <w:sz w:val="19"/>
          <w:szCs w:val="19"/>
          <w:color w:val="auto"/>
        </w:rPr>
      </w:pPr>
    </w:p>
    <w:p>
      <w:pPr>
        <w:ind w:left="2480" w:hanging="620"/>
        <w:spacing w:after="0"/>
        <w:tabs>
          <w:tab w:leader="none" w:pos="248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Option shall have a maximum term of ten years from the applicable grant date.</w:t>
      </w:r>
    </w:p>
    <w:p>
      <w:pPr>
        <w:spacing w:after="0" w:line="219" w:lineRule="exact"/>
        <w:rPr>
          <w:rFonts w:ascii="Times New Roman" w:cs="Times New Roman" w:eastAsia="Times New Roman" w:hAnsi="Times New Roman"/>
          <w:sz w:val="19"/>
          <w:szCs w:val="19"/>
          <w:color w:val="auto"/>
        </w:rPr>
      </w:pPr>
    </w:p>
    <w:p>
      <w:pPr>
        <w:jc w:val="both"/>
        <w:ind w:left="1240" w:right="80" w:firstLine="620"/>
        <w:spacing w:after="0" w:line="254" w:lineRule="auto"/>
        <w:tabs>
          <w:tab w:leader="none" w:pos="247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subject to an Option shall be determined by dividing the value of the Option by the product of the multiplication of the ratio of the per share average closing price of the Company’s stock in the thirty-days prior to the applicable grant date to the closing price of the Company’s stock on the applicable grant date and the per share Black-Scholes valuation as of the applicable grant date, utilizing the same assumptions that the Company uses in preparation of its financial statements.</w:t>
      </w:r>
    </w:p>
    <w:p>
      <w:pPr>
        <w:spacing w:after="0" w:line="184" w:lineRule="exact"/>
        <w:rPr>
          <w:rFonts w:ascii="Times New Roman" w:cs="Times New Roman" w:eastAsia="Times New Roman" w:hAnsi="Times New Roman"/>
          <w:sz w:val="19"/>
          <w:szCs w:val="19"/>
          <w:color w:val="auto"/>
        </w:rPr>
      </w:pPr>
    </w:p>
    <w:p>
      <w:pPr>
        <w:ind w:left="1240" w:right="80" w:firstLine="620"/>
        <w:spacing w:after="0" w:line="269" w:lineRule="auto"/>
        <w:tabs>
          <w:tab w:leader="none" w:pos="2453"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Restricted Stock Units shall be determined by dividing the value of the Restricted Stock Units by the average closing price of the Company’s stock in the thirty-days prior to the applicable grant date.</w:t>
      </w:r>
    </w:p>
    <w:p>
      <w:pPr>
        <w:spacing w:after="0" w:line="168" w:lineRule="exact"/>
        <w:rPr>
          <w:sz w:val="20"/>
          <w:szCs w:val="20"/>
          <w:color w:val="auto"/>
        </w:rPr>
      </w:pPr>
    </w:p>
    <w:p>
      <w:pPr>
        <w:jc w:val="both"/>
        <w:ind w:firstLine="622"/>
        <w:spacing w:after="0" w:line="312" w:lineRule="auto"/>
        <w:tabs>
          <w:tab w:leader="none" w:pos="123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Limits</w:t>
      </w:r>
      <w:r>
        <w:rPr>
          <w:rFonts w:ascii="Times New Roman" w:cs="Times New Roman" w:eastAsia="Times New Roman" w:hAnsi="Times New Roman"/>
          <w:sz w:val="18"/>
          <w:szCs w:val="18"/>
          <w:color w:val="auto"/>
        </w:rPr>
        <w:t>. 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5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40" w:type="dxa"/>
            <w:vAlign w:val="bottom"/>
          </w:tcPr>
          <w:p>
            <w:pPr>
              <w:spacing w:after="0"/>
              <w:rPr>
                <w:sz w:val="17"/>
                <w:szCs w:val="17"/>
                <w:color w:val="auto"/>
              </w:rPr>
            </w:pPr>
          </w:p>
        </w:tc>
        <w:tc>
          <w:tcPr>
            <w:tcW w:w="8200" w:type="dxa"/>
            <w:vAlign w:val="bottom"/>
            <w:gridSpan w:val="3"/>
          </w:tcPr>
          <w:p>
            <w:pPr>
              <w:jc w:val="center"/>
              <w:ind w:right="2954"/>
              <w:spacing w:after="0"/>
              <w:rPr>
                <w:sz w:val="20"/>
                <w:szCs w:val="20"/>
                <w:color w:val="auto"/>
              </w:rPr>
            </w:pPr>
            <w:r>
              <w:rPr>
                <w:rFonts w:ascii="Times New Roman" w:cs="Times New Roman" w:eastAsia="Times New Roman" w:hAnsi="Times New Roman"/>
                <w:sz w:val="17"/>
                <w:szCs w:val="17"/>
                <w:b w:val="1"/>
                <w:bCs w:val="1"/>
                <w:color w:val="auto"/>
              </w:rPr>
              <w:t>LIST OF SUBSIDIARIES</w:t>
            </w:r>
          </w:p>
        </w:tc>
        <w:tc>
          <w:tcPr>
            <w:tcW w:w="0" w:type="dxa"/>
            <w:vAlign w:val="bottom"/>
          </w:tcPr>
          <w:p>
            <w:pPr>
              <w:spacing w:after="0"/>
              <w:rPr>
                <w:sz w:val="1"/>
                <w:szCs w:val="1"/>
                <w:color w:val="auto"/>
              </w:rPr>
            </w:pPr>
          </w:p>
        </w:tc>
      </w:tr>
      <w:tr>
        <w:trPr>
          <w:trHeight w:val="227"/>
        </w:trPr>
        <w:tc>
          <w:tcPr>
            <w:tcW w:w="3040" w:type="dxa"/>
            <w:vAlign w:val="bottom"/>
          </w:tcPr>
          <w:p>
            <w:pPr>
              <w:spacing w:after="0"/>
              <w:rPr>
                <w:sz w:val="19"/>
                <w:szCs w:val="19"/>
                <w:color w:val="auto"/>
              </w:rPr>
            </w:pPr>
          </w:p>
        </w:tc>
        <w:tc>
          <w:tcPr>
            <w:tcW w:w="8200" w:type="dxa"/>
            <w:vAlign w:val="bottom"/>
            <w:gridSpan w:val="3"/>
          </w:tcPr>
          <w:p>
            <w:pPr>
              <w:jc w:val="center"/>
              <w:ind w:right="2934"/>
              <w:spacing w:after="0"/>
              <w:rPr>
                <w:sz w:val="20"/>
                <w:szCs w:val="20"/>
                <w:color w:val="auto"/>
              </w:rPr>
            </w:pPr>
            <w:r>
              <w:rPr>
                <w:rFonts w:ascii="Times New Roman" w:cs="Times New Roman" w:eastAsia="Times New Roman" w:hAnsi="Times New Roman"/>
                <w:sz w:val="17"/>
                <w:szCs w:val="17"/>
                <w:b w:val="1"/>
                <w:bCs w:val="1"/>
                <w:color w:val="auto"/>
              </w:rPr>
              <w:t>OF PROCEPT BIOROBOTICS CORPORATION</w:t>
            </w:r>
          </w:p>
        </w:tc>
        <w:tc>
          <w:tcPr>
            <w:tcW w:w="0" w:type="dxa"/>
            <w:vAlign w:val="bottom"/>
          </w:tcPr>
          <w:p>
            <w:pPr>
              <w:spacing w:after="0"/>
              <w:rPr>
                <w:sz w:val="1"/>
                <w:szCs w:val="1"/>
                <w:color w:val="auto"/>
              </w:rPr>
            </w:pPr>
          </w:p>
        </w:tc>
      </w:tr>
      <w:tr>
        <w:trPr>
          <w:trHeight w:val="624"/>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Subsidiaries</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c>
          <w:tcPr>
            <w:tcW w:w="0" w:type="dxa"/>
            <w:vAlign w:val="bottom"/>
          </w:tcPr>
          <w:p>
            <w:pPr>
              <w:spacing w:after="0"/>
              <w:rPr>
                <w:sz w:val="1"/>
                <w:szCs w:val="1"/>
                <w:color w:val="auto"/>
              </w:rPr>
            </w:pPr>
          </w:p>
        </w:tc>
      </w:tr>
      <w:tr>
        <w:trPr>
          <w:trHeight w:val="227"/>
        </w:trPr>
        <w:tc>
          <w:tcPr>
            <w:tcW w:w="3040" w:type="dxa"/>
            <w:vAlign w:val="bottom"/>
            <w:vMerge w:val="continue"/>
          </w:tcPr>
          <w:p>
            <w:pPr>
              <w:spacing w:after="0"/>
              <w:rPr>
                <w:sz w:val="19"/>
                <w:szCs w:val="19"/>
                <w:color w:val="auto"/>
              </w:rPr>
            </w:pPr>
          </w:p>
        </w:tc>
        <w:tc>
          <w:tcPr>
            <w:tcW w:w="5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or Organization</w:t>
            </w:r>
          </w:p>
        </w:tc>
        <w:tc>
          <w:tcPr>
            <w:tcW w:w="0" w:type="dxa"/>
            <w:vAlign w:val="bottom"/>
          </w:tcPr>
          <w:p>
            <w:pPr>
              <w:spacing w:after="0"/>
              <w:rPr>
                <w:sz w:val="1"/>
                <w:szCs w:val="1"/>
                <w:color w:val="auto"/>
              </w:rPr>
            </w:pPr>
          </w:p>
        </w:tc>
      </w:tr>
      <w:tr>
        <w:trPr>
          <w:trHeight w:val="25"/>
        </w:trPr>
        <w:tc>
          <w:tcPr>
            <w:tcW w:w="304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PROCEPT BioRobotics GmbH</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374"/>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PROCEPT BioRobotics UK Ltd.</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374"/>
        </w:trPr>
        <w:tc>
          <w:tcPr>
            <w:tcW w:w="3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PROCEPT BioRobotics K.K.</w:t>
            </w:r>
          </w:p>
        </w:tc>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9" w:right="339" w:bottom="1440" w:gutter="0" w:footer="0" w:header="0"/>
        </w:sectPr>
      </w:pPr>
    </w:p>
    <w:bookmarkStart w:id="125" w:name="page126"/>
    <w:bookmarkEnd w:id="125"/>
    <w:p>
      <w:pPr>
        <w:jc w:val="right"/>
        <w:spacing w:after="0"/>
        <w:rPr>
          <w:sz w:val="20"/>
          <w:szCs w:val="20"/>
          <w:color w:val="auto"/>
        </w:rPr>
      </w:pPr>
      <w:r>
        <w:rPr>
          <w:rFonts w:ascii="Georgia" w:cs="Georgia" w:eastAsia="Georgia" w:hAnsi="Georgia"/>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Georgia" w:cs="Georgia" w:eastAsia="Georgia" w:hAnsi="Georgia"/>
          <w:sz w:val="17"/>
          <w:szCs w:val="17"/>
          <w:color w:val="auto"/>
        </w:rPr>
        <w:t>CONSENT OF INDEPENDENT REGISTERED PUBLIC ACCOUNTING FIRM</w:t>
      </w:r>
    </w:p>
    <w:p>
      <w:pPr>
        <w:spacing w:after="0" w:line="387" w:lineRule="exact"/>
        <w:rPr>
          <w:sz w:val="20"/>
          <w:szCs w:val="20"/>
          <w:color w:val="auto"/>
        </w:rPr>
      </w:pPr>
    </w:p>
    <w:p>
      <w:pPr>
        <w:ind w:right="20"/>
        <w:spacing w:after="0"/>
        <w:rPr>
          <w:sz w:val="20"/>
          <w:szCs w:val="20"/>
          <w:color w:val="auto"/>
        </w:rPr>
      </w:pPr>
      <w:r>
        <w:rPr>
          <w:rFonts w:ascii="Georgia" w:cs="Georgia" w:eastAsia="Georgia" w:hAnsi="Georgia"/>
          <w:sz w:val="17"/>
          <w:szCs w:val="17"/>
          <w:color w:val="auto"/>
        </w:rPr>
        <w:t>We hereby consent to the incorporation by reference in the Registration Statements on Form S-3 (No. 333-273569) and Form S-8 (Nos. 333-259586 and 333-264758 and 333-270113) of PROCEPT BioRobotics Corporation of our report dated February 28, 2024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Georgia" w:cs="Georgia" w:eastAsia="Georgia" w:hAnsi="Georgia"/>
          <w:sz w:val="17"/>
          <w:szCs w:val="17"/>
          <w:color w:val="auto"/>
        </w:rPr>
        <w:t>/s/ PricewaterhouseCoopers LLP</w:t>
      </w:r>
    </w:p>
    <w:p>
      <w:pPr>
        <w:spacing w:after="0" w:line="224" w:lineRule="auto"/>
        <w:rPr>
          <w:sz w:val="20"/>
          <w:szCs w:val="20"/>
          <w:color w:val="auto"/>
        </w:rPr>
      </w:pPr>
      <w:r>
        <w:rPr>
          <w:rFonts w:ascii="Georgia" w:cs="Georgia" w:eastAsia="Georgia" w:hAnsi="Georgia"/>
          <w:sz w:val="17"/>
          <w:szCs w:val="17"/>
          <w:color w:val="auto"/>
        </w:rPr>
        <w:t>San Jose, California</w:t>
      </w:r>
    </w:p>
    <w:p>
      <w:pPr>
        <w:spacing w:after="0"/>
        <w:rPr>
          <w:sz w:val="20"/>
          <w:szCs w:val="20"/>
          <w:color w:val="auto"/>
        </w:rPr>
      </w:pPr>
      <w:r>
        <w:rPr>
          <w:rFonts w:ascii="Georgia" w:cs="Georgia" w:eastAsia="Georgia" w:hAnsi="Georgia"/>
          <w:sz w:val="17"/>
          <w:szCs w:val="17"/>
          <w:color w:val="auto"/>
        </w:rPr>
        <w:t>February 28, 2024</w:t>
      </w:r>
    </w:p>
    <w:p>
      <w:pPr>
        <w:sectPr>
          <w:pgSz w:w="11900" w:h="16838" w:orient="portrait"/>
          <w:cols w:equalWidth="0" w:num="1">
            <w:col w:w="11240"/>
          </w:cols>
          <w:pgMar w:left="320" w:top="12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3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Reza Zadno, Ph.D., certify that:</w:t>
      </w:r>
    </w:p>
    <w:p>
      <w:pPr>
        <w:spacing w:after="0" w:line="243" w:lineRule="exact"/>
        <w:rPr>
          <w:sz w:val="20"/>
          <w:szCs w:val="20"/>
          <w:color w:val="auto"/>
        </w:rPr>
      </w:pPr>
    </w:p>
    <w:p>
      <w:pPr>
        <w:ind w:left="420" w:hanging="417"/>
        <w:spacing w:after="0"/>
        <w:tabs>
          <w:tab w:leader="none" w:pos="4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PROCEPT BioRobotics Corporation;</w:t>
      </w:r>
    </w:p>
    <w:p>
      <w:pPr>
        <w:spacing w:after="0" w:line="242" w:lineRule="exact"/>
        <w:rPr>
          <w:rFonts w:ascii="Times New Roman" w:cs="Times New Roman" w:eastAsia="Times New Roman" w:hAnsi="Times New Roman"/>
          <w:sz w:val="17"/>
          <w:szCs w:val="17"/>
          <w:color w:val="auto"/>
        </w:rPr>
      </w:pPr>
    </w:p>
    <w:p>
      <w:pPr>
        <w:ind w:left="420" w:right="60" w:hanging="417"/>
        <w:spacing w:after="0" w:line="302" w:lineRule="auto"/>
        <w:tabs>
          <w:tab w:leader="none" w:pos="41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Times New Roman" w:cs="Times New Roman" w:eastAsia="Times New Roman" w:hAnsi="Times New Roman"/>
          <w:sz w:val="17"/>
          <w:szCs w:val="17"/>
          <w:color w:val="auto"/>
        </w:rPr>
      </w:pPr>
    </w:p>
    <w:p>
      <w:pPr>
        <w:ind w:left="420" w:right="160" w:hanging="417"/>
        <w:spacing w:after="0" w:line="318" w:lineRule="auto"/>
        <w:tabs>
          <w:tab w:leader="none" w:pos="41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left="420" w:right="120" w:hanging="417"/>
        <w:spacing w:after="0" w:line="293" w:lineRule="auto"/>
        <w:tabs>
          <w:tab w:leader="none" w:pos="41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7"/>
          <w:szCs w:val="17"/>
          <w:color w:val="auto"/>
        </w:rPr>
      </w:pPr>
    </w:p>
    <w:p>
      <w:pPr>
        <w:ind w:left="840" w:right="220" w:hanging="416"/>
        <w:spacing w:after="0" w:line="293" w:lineRule="auto"/>
        <w:tabs>
          <w:tab w:leader="none" w:pos="78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7"/>
          <w:szCs w:val="17"/>
          <w:color w:val="auto"/>
        </w:rPr>
      </w:pPr>
    </w:p>
    <w:p>
      <w:pPr>
        <w:ind w:left="840" w:right="20" w:hanging="416"/>
        <w:spacing w:after="0" w:line="293" w:lineRule="auto"/>
        <w:tabs>
          <w:tab w:leader="none" w:pos="79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Times New Roman" w:cs="Times New Roman" w:eastAsia="Times New Roman" w:hAnsi="Times New Roman"/>
          <w:sz w:val="17"/>
          <w:szCs w:val="17"/>
          <w:color w:val="auto"/>
        </w:rPr>
      </w:pPr>
    </w:p>
    <w:p>
      <w:pPr>
        <w:ind w:left="840" w:right="80" w:hanging="416"/>
        <w:spacing w:after="0" w:line="318" w:lineRule="auto"/>
        <w:tabs>
          <w:tab w:leader="none" w:pos="78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80" w:hanging="416"/>
        <w:spacing w:after="0" w:line="301" w:lineRule="auto"/>
        <w:tabs>
          <w:tab w:leader="none" w:pos="791"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420" w:right="560" w:hanging="417"/>
        <w:spacing w:after="0" w:line="302" w:lineRule="auto"/>
        <w:tabs>
          <w:tab w:leader="none" w:pos="41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840" w:right="240" w:hanging="416"/>
        <w:spacing w:after="0" w:line="318" w:lineRule="auto"/>
        <w:tabs>
          <w:tab w:leader="none" w:pos="782"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64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129"/>
        </w:trPr>
        <w:tc>
          <w:tcPr>
            <w:tcW w:w="322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4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/s/ Reza Zadno</w:t>
            </w:r>
          </w:p>
        </w:tc>
        <w:tc>
          <w:tcPr>
            <w:tcW w:w="0" w:type="dxa"/>
            <w:vAlign w:val="bottom"/>
          </w:tcPr>
          <w:p>
            <w:pPr>
              <w:spacing w:after="0"/>
              <w:rPr>
                <w:sz w:val="1"/>
                <w:szCs w:val="1"/>
                <w:color w:val="auto"/>
              </w:rPr>
            </w:pPr>
          </w:p>
        </w:tc>
      </w:tr>
      <w:tr>
        <w:trPr>
          <w:trHeight w:val="82"/>
        </w:trPr>
        <w:tc>
          <w:tcPr>
            <w:tcW w:w="32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4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Reza Zadno, Ph.D.</w:t>
            </w:r>
          </w:p>
        </w:tc>
        <w:tc>
          <w:tcPr>
            <w:tcW w:w="0" w:type="dxa"/>
            <w:vAlign w:val="bottom"/>
          </w:tcPr>
          <w:p>
            <w:pPr>
              <w:spacing w:after="0"/>
              <w:rPr>
                <w:sz w:val="1"/>
                <w:szCs w:val="1"/>
                <w:color w:val="auto"/>
              </w:rPr>
            </w:pPr>
          </w:p>
        </w:tc>
      </w:tr>
      <w:tr>
        <w:trPr>
          <w:trHeight w:val="276"/>
        </w:trPr>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tc>
        <w:tc>
          <w:tcPr>
            <w:tcW w:w="0" w:type="dxa"/>
            <w:vAlign w:val="bottom"/>
          </w:tcPr>
          <w:p>
            <w:pPr>
              <w:spacing w:after="0"/>
              <w:rPr>
                <w:sz w:val="1"/>
                <w:szCs w:val="1"/>
                <w:color w:val="auto"/>
              </w:rPr>
            </w:pP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5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4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Kevin Waters, certify that:</w:t>
      </w:r>
    </w:p>
    <w:p>
      <w:pPr>
        <w:spacing w:after="0" w:line="243" w:lineRule="exact"/>
        <w:rPr>
          <w:sz w:val="20"/>
          <w:szCs w:val="20"/>
          <w:color w:val="auto"/>
        </w:rPr>
      </w:pPr>
    </w:p>
    <w:p>
      <w:pPr>
        <w:ind w:left="420" w:hanging="417"/>
        <w:spacing w:after="0"/>
        <w:tabs>
          <w:tab w:leader="none" w:pos="4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PROCEPT BioRobotics Corporation;</w:t>
      </w:r>
    </w:p>
    <w:p>
      <w:pPr>
        <w:spacing w:after="0" w:line="242" w:lineRule="exact"/>
        <w:rPr>
          <w:rFonts w:ascii="Times New Roman" w:cs="Times New Roman" w:eastAsia="Times New Roman" w:hAnsi="Times New Roman"/>
          <w:sz w:val="17"/>
          <w:szCs w:val="17"/>
          <w:color w:val="auto"/>
        </w:rPr>
      </w:pPr>
    </w:p>
    <w:p>
      <w:pPr>
        <w:ind w:left="420" w:right="60" w:hanging="417"/>
        <w:spacing w:after="0" w:line="303" w:lineRule="auto"/>
        <w:tabs>
          <w:tab w:leader="none" w:pos="41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420" w:right="160" w:hanging="417"/>
        <w:spacing w:after="0" w:line="318" w:lineRule="auto"/>
        <w:tabs>
          <w:tab w:leader="none" w:pos="41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left="420" w:right="120" w:hanging="417"/>
        <w:spacing w:after="0" w:line="293" w:lineRule="auto"/>
        <w:tabs>
          <w:tab w:leader="none" w:pos="41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Times New Roman" w:cs="Times New Roman" w:eastAsia="Times New Roman" w:hAnsi="Times New Roman"/>
          <w:sz w:val="17"/>
          <w:szCs w:val="17"/>
          <w:color w:val="auto"/>
        </w:rPr>
      </w:pPr>
    </w:p>
    <w:p>
      <w:pPr>
        <w:ind w:left="840" w:right="220" w:hanging="416"/>
        <w:spacing w:after="0" w:line="293" w:lineRule="auto"/>
        <w:tabs>
          <w:tab w:leader="none" w:pos="78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7"/>
          <w:szCs w:val="17"/>
          <w:color w:val="auto"/>
        </w:rPr>
      </w:pPr>
    </w:p>
    <w:p>
      <w:pPr>
        <w:ind w:left="840" w:right="20" w:hanging="416"/>
        <w:spacing w:after="0" w:line="293" w:lineRule="auto"/>
        <w:tabs>
          <w:tab w:leader="none" w:pos="79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Times New Roman" w:cs="Times New Roman" w:eastAsia="Times New Roman" w:hAnsi="Times New Roman"/>
          <w:sz w:val="17"/>
          <w:szCs w:val="17"/>
          <w:color w:val="auto"/>
        </w:rPr>
      </w:pPr>
    </w:p>
    <w:p>
      <w:pPr>
        <w:ind w:left="840" w:right="80" w:hanging="416"/>
        <w:spacing w:after="0" w:line="318" w:lineRule="auto"/>
        <w:tabs>
          <w:tab w:leader="none" w:pos="78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40" w:right="80" w:hanging="416"/>
        <w:spacing w:after="0" w:line="301" w:lineRule="auto"/>
        <w:tabs>
          <w:tab w:leader="none" w:pos="791"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7"/>
          <w:szCs w:val="17"/>
          <w:color w:val="auto"/>
        </w:rPr>
      </w:pPr>
    </w:p>
    <w:p>
      <w:pPr>
        <w:ind w:left="420" w:right="560" w:hanging="417"/>
        <w:spacing w:after="0" w:line="302" w:lineRule="auto"/>
        <w:tabs>
          <w:tab w:leader="none" w:pos="41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Times New Roman" w:cs="Times New Roman" w:eastAsia="Times New Roman" w:hAnsi="Times New Roman"/>
          <w:sz w:val="17"/>
          <w:szCs w:val="17"/>
          <w:color w:val="auto"/>
        </w:rPr>
      </w:pPr>
    </w:p>
    <w:p>
      <w:pPr>
        <w:ind w:left="840" w:hanging="416"/>
        <w:spacing w:after="0" w:line="318" w:lineRule="auto"/>
        <w:tabs>
          <w:tab w:leader="none" w:pos="77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840" w:right="240" w:hanging="416"/>
        <w:spacing w:after="0" w:line="318" w:lineRule="auto"/>
        <w:tabs>
          <w:tab w:leader="none" w:pos="782"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192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Kevin Waters</w:t>
            </w:r>
          </w:p>
        </w:tc>
      </w:tr>
      <w:tr>
        <w:trPr>
          <w:trHeight w:val="220"/>
        </w:trPr>
        <w:tc>
          <w:tcPr>
            <w:tcW w:w="3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Kevin Waters</w:t>
            </w:r>
          </w:p>
        </w:tc>
      </w:tr>
      <w:tr>
        <w:trPr>
          <w:trHeight w:val="276"/>
        </w:trPr>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 and</w:t>
            </w: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tc>
      </w:tr>
    </w:tbl>
    <w:p>
      <w:pPr>
        <w:sectPr>
          <w:pgSz w:w="11900" w:h="16838" w:orient="portrait"/>
          <w:cols w:equalWidth="0" w:num="1">
            <w:col w:w="11240"/>
          </w:cols>
          <w:pgMar w:left="320" w:top="957" w:right="339" w:bottom="1440" w:gutter="0" w:footer="0" w:header="0"/>
        </w:sectPr>
      </w:pPr>
    </w:p>
    <w:bookmarkStart w:id="128" w:name="page129"/>
    <w:bookmarkEnd w:id="12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 w:lineRule="exact"/>
        <w:rPr>
          <w:sz w:val="20"/>
          <w:szCs w:val="20"/>
          <w:color w:val="auto"/>
        </w:rPr>
      </w:pPr>
    </w:p>
    <w:p>
      <w:pPr>
        <w:jc w:val="both"/>
        <w:ind w:right="140" w:firstLine="421"/>
        <w:spacing w:after="0" w:line="244" w:lineRule="auto"/>
        <w:rPr>
          <w:sz w:val="20"/>
          <w:szCs w:val="20"/>
          <w:color w:val="auto"/>
        </w:rPr>
      </w:pPr>
      <w:r>
        <w:rPr>
          <w:rFonts w:ascii="Times New Roman" w:cs="Times New Roman" w:eastAsia="Times New Roman" w:hAnsi="Times New Roman"/>
          <w:sz w:val="17"/>
          <w:szCs w:val="17"/>
          <w:color w:val="auto"/>
        </w:rPr>
        <w:t>In connection with the Annual Report of PROCEPT BioRobotics Corporation (the “Company”) on Form 10-K for the period ending December 31, 2023 as filed with the Securities and Exchange Commission on the date hereof (the “Report”), I certify, pursuant to 18 U.S.C. § 1350, as adopted pursuant to § 906 of the Sarbanes-Oxley Act of 2002, that, to the best of my knowledge:</w:t>
      </w:r>
    </w:p>
    <w:p>
      <w:pPr>
        <w:spacing w:after="0" w:line="199" w:lineRule="exact"/>
        <w:rPr>
          <w:sz w:val="20"/>
          <w:szCs w:val="20"/>
          <w:color w:val="auto"/>
        </w:rPr>
      </w:pPr>
    </w:p>
    <w:p>
      <w:pPr>
        <w:ind w:left="800" w:hanging="376"/>
        <w:spacing w:after="0"/>
        <w:tabs>
          <w:tab w:leader="none" w:pos="8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7580" w:type="dxa"/>
            <w:vAlign w:val="bottom"/>
            <w:gridSpan w:val="2"/>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Reza Zadno</w:t>
            </w:r>
          </w:p>
        </w:tc>
        <w:tc>
          <w:tcPr>
            <w:tcW w:w="0" w:type="dxa"/>
            <w:vAlign w:val="bottom"/>
          </w:tcPr>
          <w:p>
            <w:pPr>
              <w:spacing w:after="0"/>
              <w:rPr>
                <w:sz w:val="1"/>
                <w:szCs w:val="1"/>
                <w:color w:val="auto"/>
              </w:rPr>
            </w:pPr>
          </w:p>
        </w:tc>
      </w:tr>
      <w:tr>
        <w:trPr>
          <w:trHeight w:val="69"/>
        </w:trPr>
        <w:tc>
          <w:tcPr>
            <w:tcW w:w="36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Reza Zadno, Ph.D.</w:t>
            </w:r>
          </w:p>
        </w:tc>
        <w:tc>
          <w:tcPr>
            <w:tcW w:w="0" w:type="dxa"/>
            <w:vAlign w:val="bottom"/>
          </w:tcPr>
          <w:p>
            <w:pPr>
              <w:spacing w:after="0"/>
              <w:rPr>
                <w:sz w:val="1"/>
                <w:szCs w:val="1"/>
                <w:color w:val="auto"/>
              </w:rPr>
            </w:pPr>
          </w:p>
        </w:tc>
      </w:tr>
      <w:tr>
        <w:trPr>
          <w:trHeight w:val="289"/>
        </w:trPr>
        <w:tc>
          <w:tcPr>
            <w:tcW w:w="3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tc>
        <w:tc>
          <w:tcPr>
            <w:tcW w:w="0" w:type="dxa"/>
            <w:vAlign w:val="bottom"/>
          </w:tcPr>
          <w:p>
            <w:pPr>
              <w:spacing w:after="0"/>
              <w:rPr>
                <w:sz w:val="1"/>
                <w:szCs w:val="1"/>
                <w:color w:val="auto"/>
              </w:rPr>
            </w:pPr>
          </w:p>
        </w:tc>
      </w:tr>
      <w:tr>
        <w:trPr>
          <w:trHeight w:val="232"/>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right="40" w:firstLine="421"/>
        <w:spacing w:after="0" w:line="293"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98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3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4" w:lineRule="exact"/>
        <w:rPr>
          <w:sz w:val="20"/>
          <w:szCs w:val="20"/>
          <w:color w:val="auto"/>
        </w:rPr>
      </w:pPr>
    </w:p>
    <w:p>
      <w:pPr>
        <w:jc w:val="both"/>
        <w:ind w:right="140" w:firstLine="421"/>
        <w:spacing w:after="0" w:line="244" w:lineRule="auto"/>
        <w:rPr>
          <w:sz w:val="20"/>
          <w:szCs w:val="20"/>
          <w:color w:val="auto"/>
        </w:rPr>
      </w:pPr>
      <w:r>
        <w:rPr>
          <w:rFonts w:ascii="Times New Roman" w:cs="Times New Roman" w:eastAsia="Times New Roman" w:hAnsi="Times New Roman"/>
          <w:sz w:val="17"/>
          <w:szCs w:val="17"/>
          <w:color w:val="auto"/>
        </w:rPr>
        <w:t>In connection with the Annual Report of PROCEPT BioRobotics Corporation (the “Company”) on Form 10-K for the period ending December 31, 2023 as filed with the Securities and Exchange Commission on the date hereof (the “Report”), I certify, pursuant to 18 U.S.C. § 1350, as adopted pursuant to § 906 of the Sarbanes-Oxley Act of 2002, that, to the best of my knowledge:</w:t>
      </w:r>
    </w:p>
    <w:p>
      <w:pPr>
        <w:spacing w:after="0" w:line="199" w:lineRule="exact"/>
        <w:rPr>
          <w:sz w:val="20"/>
          <w:szCs w:val="20"/>
          <w:color w:val="auto"/>
        </w:rPr>
      </w:pPr>
    </w:p>
    <w:p>
      <w:pPr>
        <w:ind w:left="800" w:hanging="376"/>
        <w:spacing w:after="0"/>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17"/>
          <w:szCs w:val="17"/>
          <w:color w:val="auto"/>
        </w:rPr>
      </w:pPr>
    </w:p>
    <w:p>
      <w:pPr>
        <w:ind w:left="800" w:hanging="376"/>
        <w:spacing w:after="0"/>
        <w:tabs>
          <w:tab w:leader="none" w:pos="8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6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February 28, 2024</w:t>
            </w:r>
          </w:p>
        </w:tc>
        <w:tc>
          <w:tcPr>
            <w:tcW w:w="7580" w:type="dxa"/>
            <w:vAlign w:val="bottom"/>
            <w:gridSpan w:val="2"/>
          </w:tcPr>
          <w:p>
            <w:pPr>
              <w:ind w:left="19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Kevin Waters</w:t>
            </w:r>
          </w:p>
        </w:tc>
        <w:tc>
          <w:tcPr>
            <w:tcW w:w="0" w:type="dxa"/>
            <w:vAlign w:val="bottom"/>
          </w:tcPr>
          <w:p>
            <w:pPr>
              <w:spacing w:after="0"/>
              <w:rPr>
                <w:sz w:val="1"/>
                <w:szCs w:val="1"/>
                <w:color w:val="auto"/>
              </w:rPr>
            </w:pPr>
          </w:p>
        </w:tc>
      </w:tr>
      <w:tr>
        <w:trPr>
          <w:trHeight w:val="69"/>
        </w:trPr>
        <w:tc>
          <w:tcPr>
            <w:tcW w:w="36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Kevin Waters</w:t>
            </w:r>
          </w:p>
        </w:tc>
        <w:tc>
          <w:tcPr>
            <w:tcW w:w="0" w:type="dxa"/>
            <w:vAlign w:val="bottom"/>
          </w:tcPr>
          <w:p>
            <w:pPr>
              <w:spacing w:after="0"/>
              <w:rPr>
                <w:sz w:val="1"/>
                <w:szCs w:val="1"/>
                <w:color w:val="auto"/>
              </w:rPr>
            </w:pPr>
          </w:p>
        </w:tc>
      </w:tr>
      <w:tr>
        <w:trPr>
          <w:trHeight w:val="289"/>
        </w:trPr>
        <w:tc>
          <w:tcPr>
            <w:tcW w:w="3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Chief Financial Officer</w:t>
            </w:r>
          </w:p>
        </w:tc>
        <w:tc>
          <w:tcPr>
            <w:tcW w:w="0" w:type="dxa"/>
            <w:vAlign w:val="bottom"/>
          </w:tcPr>
          <w:p>
            <w:pPr>
              <w:spacing w:after="0"/>
              <w:rPr>
                <w:sz w:val="1"/>
                <w:szCs w:val="1"/>
                <w:color w:val="auto"/>
              </w:rPr>
            </w:pPr>
          </w:p>
        </w:tc>
      </w:tr>
      <w:tr>
        <w:trPr>
          <w:trHeight w:val="224"/>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 and</w:t>
            </w:r>
          </w:p>
        </w:tc>
        <w:tc>
          <w:tcPr>
            <w:tcW w:w="0" w:type="dxa"/>
            <w:vAlign w:val="bottom"/>
          </w:tcPr>
          <w:p>
            <w:pPr>
              <w:spacing w:after="0"/>
              <w:rPr>
                <w:sz w:val="1"/>
                <w:szCs w:val="1"/>
                <w:color w:val="auto"/>
              </w:rPr>
            </w:pPr>
          </w:p>
        </w:tc>
      </w:tr>
      <w:tr>
        <w:trPr>
          <w:trHeight w:val="227"/>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 Accounting Officer)</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right="40" w:firstLine="421"/>
        <w:spacing w:after="0" w:line="293"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98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9"/>
          <w:szCs w:val="19"/>
          <w:color w:val="auto"/>
        </w:rPr>
        <w:t>PROCEPT BIOROBOTICS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COMPENSATION RECOVERY POLICY</w:t>
      </w:r>
    </w:p>
    <w:p>
      <w:pPr>
        <w:jc w:val="both"/>
        <w:ind w:firstLine="619"/>
        <w:spacing w:after="0" w:line="237" w:lineRule="auto"/>
        <w:rPr>
          <w:sz w:val="20"/>
          <w:szCs w:val="20"/>
          <w:color w:val="auto"/>
        </w:rPr>
      </w:pPr>
      <w:r>
        <w:rPr>
          <w:rFonts w:ascii="Times New Roman" w:cs="Times New Roman" w:eastAsia="Times New Roman" w:hAnsi="Times New Roman"/>
          <w:sz w:val="19"/>
          <w:szCs w:val="19"/>
          <w:color w:val="auto"/>
        </w:rPr>
        <w:t>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20"/>
          <w:szCs w:val="20"/>
          <w:color w:val="auto"/>
        </w:rPr>
        <w:t>PROCEPT BioRobotics Corporation</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19"/>
          <w:szCs w:val="19"/>
          <w:color w:val="auto"/>
        </w:rPr>
        <w:t>”) has adopted this Compensation Recovery Policy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19"/>
          <w:szCs w:val="19"/>
          <w:color w:val="auto"/>
        </w:rPr>
        <w:t>”), effective as of the 60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9"/>
          <w:szCs w:val="19"/>
          <w:color w:val="auto"/>
        </w:rPr>
        <w:t xml:space="preserve"> day following the effectiveness of the Nasdaq Stock Market’s Listing Rule 5608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19"/>
          <w:szCs w:val="19"/>
          <w:color w:val="auto"/>
        </w:rPr>
        <w:t>”), in order to foster a culture that emphasizes integrity and accountability and that reinforces the Company’s pay-for-performance compensation philosophy by facilitating the recovery of erroneously awarded incentive-based compensation upon the occurrence of certain events.</w:t>
      </w:r>
    </w:p>
    <w:p>
      <w:pPr>
        <w:spacing w:after="0" w:line="210" w:lineRule="exact"/>
        <w:rPr>
          <w:sz w:val="20"/>
          <w:szCs w:val="20"/>
          <w:color w:val="auto"/>
        </w:rPr>
      </w:pPr>
    </w:p>
    <w:p>
      <w:pPr>
        <w:jc w:val="both"/>
        <w:ind w:left="620" w:hanging="307"/>
        <w:spacing w:after="0" w:line="245" w:lineRule="auto"/>
        <w:tabs>
          <w:tab w:leader="none" w:pos="6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Recovery of Erroneously Awarded Incentive Compensation</w:t>
      </w:r>
      <w:r>
        <w:rPr>
          <w:rFonts w:ascii="Times New Roman" w:cs="Times New Roman" w:eastAsia="Times New Roman" w:hAnsi="Times New Roman"/>
          <w:sz w:val="19"/>
          <w:szCs w:val="19"/>
          <w:color w:val="auto"/>
        </w:rPr>
        <w:t>. Subject to Section 5, if the Company is required to prepare an accounting restatement due to its material noncompliance with any financial reporting requirement under securities laws, including restatements that (a) correct an error in previously issued financial statements that is material to the previously issued financial statements or (b) would result in a material misstatement if the error were corrected in the current period or left uncorrected in the current period (each, a “</w:t>
      </w:r>
      <w:r>
        <w:rPr>
          <w:rFonts w:ascii="Times New Roman" w:cs="Times New Roman" w:eastAsia="Times New Roman" w:hAnsi="Times New Roman"/>
          <w:sz w:val="20"/>
          <w:szCs w:val="20"/>
          <w:b w:val="1"/>
          <w:bCs w:val="1"/>
          <w:i w:val="1"/>
          <w:iCs w:val="1"/>
          <w:color w:val="auto"/>
        </w:rPr>
        <w:t>Recoverable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b w:val="1"/>
          <w:bCs w:val="1"/>
          <w:i w:val="1"/>
          <w:iCs w:val="1"/>
          <w:color w:val="auto"/>
        </w:rPr>
        <w:t>Event</w:t>
      </w:r>
      <w:r>
        <w:rPr>
          <w:rFonts w:ascii="Times New Roman" w:cs="Times New Roman" w:eastAsia="Times New Roman" w:hAnsi="Times New Roman"/>
          <w:sz w:val="18"/>
          <w:szCs w:val="18"/>
          <w:color w:val="auto"/>
        </w:rPr>
        <w:t>”), the Company shall recover reasonably promptly any Recoverable Amount (as defined below) with respect to Incentive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18"/>
          <w:szCs w:val="18"/>
          <w:color w:val="auto"/>
        </w:rPr>
        <w:t>Compensation received by a Covered Employee (as defined below) during the three completed fiscal years that immediately precedes the date that the Company’s Board, a committee of the Board, or any of the Company’s officers that are so authorized, concludes, or reasonably should have concluded, that the Company is required to prepare such an accounting restatement, or, if earlier, the date on which a court, regulator or other legally authorized body directs the Company to prepare such an accounting restatement (the “</w:t>
      </w:r>
      <w:r>
        <w:rPr>
          <w:rFonts w:ascii="Times New Roman" w:cs="Times New Roman" w:eastAsia="Times New Roman" w:hAnsi="Times New Roman"/>
          <w:sz w:val="20"/>
          <w:szCs w:val="20"/>
          <w:b w:val="1"/>
          <w:bCs w:val="1"/>
          <w:i w:val="1"/>
          <w:iCs w:val="1"/>
          <w:color w:val="auto"/>
        </w:rPr>
        <w:t>Recovery 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Applicability</w:t>
      </w:r>
      <w:r>
        <w:rPr>
          <w:rFonts w:ascii="Times New Roman" w:cs="Times New Roman" w:eastAsia="Times New Roman" w:hAnsi="Times New Roman"/>
          <w:sz w:val="19"/>
          <w:szCs w:val="19"/>
          <w:color w:val="auto"/>
        </w:rPr>
        <w:t>.</w:t>
      </w:r>
    </w:p>
    <w:p>
      <w:pPr>
        <w:spacing w:after="0" w:line="20" w:lineRule="exact"/>
        <w:rPr>
          <w:rFonts w:ascii="Times New Roman" w:cs="Times New Roman" w:eastAsia="Times New Roman" w:hAnsi="Times New Roman"/>
          <w:sz w:val="19"/>
          <w:szCs w:val="19"/>
          <w:color w:val="auto"/>
        </w:rPr>
      </w:pPr>
    </w:p>
    <w:p>
      <w:pPr>
        <w:ind w:left="1240" w:hanging="309"/>
        <w:spacing w:after="0" w:line="254" w:lineRule="auto"/>
        <w:tabs>
          <w:tab w:leader="none" w:pos="1229"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Covered Employees</w:t>
      </w:r>
      <w:r>
        <w:rPr>
          <w:rFonts w:ascii="Times New Roman" w:cs="Times New Roman" w:eastAsia="Times New Roman" w:hAnsi="Times New Roman"/>
          <w:sz w:val="19"/>
          <w:szCs w:val="19"/>
          <w:color w:val="auto"/>
        </w:rPr>
        <w:t>. This Policy applies to each person who served as a Company officer, as defined in Section 16 of the Securities Exchange Act of 1934, as amended, at any time during the Recovery Period (each, a “</w:t>
      </w:r>
      <w:r>
        <w:rPr>
          <w:rFonts w:ascii="Times New Roman" w:cs="Times New Roman" w:eastAsia="Times New Roman" w:hAnsi="Times New Roman"/>
          <w:sz w:val="20"/>
          <w:szCs w:val="20"/>
          <w:b w:val="1"/>
          <w:bCs w:val="1"/>
          <w:i w:val="1"/>
          <w:iCs w:val="1"/>
          <w:color w:val="auto"/>
        </w:rPr>
        <w:t>Covered Employee</w:t>
      </w:r>
      <w:r>
        <w:rPr>
          <w:rFonts w:ascii="Times New Roman" w:cs="Times New Roman" w:eastAsia="Times New Roman" w:hAnsi="Times New Roman"/>
          <w:sz w:val="19"/>
          <w:szCs w:val="19"/>
          <w:color w:val="auto"/>
        </w:rPr>
        <w:t>”).</w:t>
      </w:r>
    </w:p>
    <w:p>
      <w:pPr>
        <w:spacing w:after="0" w:line="184" w:lineRule="exact"/>
        <w:rPr>
          <w:rFonts w:ascii="Times New Roman" w:cs="Times New Roman" w:eastAsia="Times New Roman" w:hAnsi="Times New Roman"/>
          <w:sz w:val="19"/>
          <w:szCs w:val="19"/>
          <w:color w:val="auto"/>
        </w:rPr>
      </w:pPr>
    </w:p>
    <w:p>
      <w:pPr>
        <w:jc w:val="both"/>
        <w:ind w:left="1240" w:hanging="309"/>
        <w:spacing w:after="0" w:line="244" w:lineRule="auto"/>
        <w:tabs>
          <w:tab w:leader="none" w:pos="1240"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Incentive Compensation Received</w:t>
      </w:r>
      <w:r>
        <w:rPr>
          <w:rFonts w:ascii="Times New Roman" w:cs="Times New Roman" w:eastAsia="Times New Roman" w:hAnsi="Times New Roman"/>
          <w:sz w:val="19"/>
          <w:szCs w:val="19"/>
          <w:color w:val="auto"/>
        </w:rPr>
        <w:t xml:space="preserve">. This Policy applies to </w:t>
      </w:r>
      <w:r>
        <w:rPr>
          <w:rFonts w:ascii="Times New Roman" w:cs="Times New Roman" w:eastAsia="Times New Roman" w:hAnsi="Times New Roman"/>
          <w:sz w:val="20"/>
          <w:szCs w:val="20"/>
          <w:color w:val="auto"/>
        </w:rPr>
        <w:t>any</w:t>
      </w:r>
      <w:r>
        <w:rPr>
          <w:rFonts w:ascii="Times New Roman" w:cs="Times New Roman" w:eastAsia="Times New Roman" w:hAnsi="Times New Roman"/>
          <w:sz w:val="19"/>
          <w:szCs w:val="19"/>
          <w:color w:val="auto"/>
        </w:rPr>
        <w:t xml:space="preserve"> compensation that is granted, earned, or vested based wholly or in part upon the attainment of one or more Financial Reporting Measures (“</w:t>
      </w:r>
      <w:r>
        <w:rPr>
          <w:rFonts w:ascii="Times New Roman" w:cs="Times New Roman" w:eastAsia="Times New Roman" w:hAnsi="Times New Roman"/>
          <w:sz w:val="20"/>
          <w:szCs w:val="20"/>
          <w:b w:val="1"/>
          <w:bCs w:val="1"/>
          <w:i w:val="1"/>
          <w:iCs w:val="1"/>
          <w:color w:val="auto"/>
        </w:rPr>
        <w:t>Incentive Compensation</w:t>
      </w:r>
      <w:r>
        <w:rPr>
          <w:rFonts w:ascii="Times New Roman" w:cs="Times New Roman" w:eastAsia="Times New Roman" w:hAnsi="Times New Roman"/>
          <w:sz w:val="19"/>
          <w:szCs w:val="19"/>
          <w:color w:val="auto"/>
        </w:rPr>
        <w:t>”) received by a Covered Employee on or after the Effective Date during the Recovery Period. For purposes of this Policy, Incentive Compensation shall be deemed “received” when the Financial Reporting Measure is attained or satisfied, without regard to whether the grant, vesting or payment of the Incentive Compensation occurs after the end of that period. For the avoidance of doubt, any Incentive Compensation received by a Covered Employee prior to his or her commencement of service as an officer under Section 16 is not subject to this Policy. “</w:t>
      </w:r>
      <w:r>
        <w:rPr>
          <w:rFonts w:ascii="Times New Roman" w:cs="Times New Roman" w:eastAsia="Times New Roman" w:hAnsi="Times New Roman"/>
          <w:sz w:val="20"/>
          <w:szCs w:val="20"/>
          <w:b w:val="1"/>
          <w:bCs w:val="1"/>
          <w:i w:val="1"/>
          <w:iCs w:val="1"/>
          <w:color w:val="auto"/>
        </w:rPr>
        <w:t>Financial Reporting Measures</w:t>
      </w:r>
      <w:r>
        <w:rPr>
          <w:rFonts w:ascii="Times New Roman" w:cs="Times New Roman" w:eastAsia="Times New Roman" w:hAnsi="Times New Roman"/>
          <w:sz w:val="19"/>
          <w:szCs w:val="19"/>
          <w:color w:val="auto"/>
        </w:rPr>
        <w:t>” are measures that are determined and presented in accordance with the accounting principles used in preparing the issuer’s financial statements, and any measures derived wholly or in part from such financial statements, including both GAAP and non-GAAP financial measures, as well as stock price and total shareholder return (“</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19"/>
          <w:szCs w:val="19"/>
          <w:color w:val="auto"/>
        </w:rPr>
        <w:t>”).</w:t>
      </w:r>
    </w:p>
    <w:p>
      <w:pPr>
        <w:spacing w:after="0" w:line="18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Determining the Recoverable Amount</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20"/>
          <w:szCs w:val="20"/>
          <w:b w:val="1"/>
          <w:bCs w:val="1"/>
          <w:i w:val="1"/>
          <w:iCs w:val="1"/>
          <w:color w:val="auto"/>
        </w:rPr>
        <w:t>Recoverable Amount</w:t>
      </w:r>
      <w:r>
        <w:rPr>
          <w:rFonts w:ascii="Times New Roman" w:cs="Times New Roman" w:eastAsia="Times New Roman" w:hAnsi="Times New Roman"/>
          <w:sz w:val="19"/>
          <w:szCs w:val="19"/>
          <w:color w:val="auto"/>
        </w:rPr>
        <w:t xml:space="preserve">” shall be equal to the </w:t>
      </w:r>
      <w:r>
        <w:rPr>
          <w:rFonts w:ascii="Times New Roman" w:cs="Times New Roman" w:eastAsia="Times New Roman" w:hAnsi="Times New Roman"/>
          <w:sz w:val="20"/>
          <w:szCs w:val="20"/>
          <w:color w:val="auto"/>
        </w:rPr>
        <w:t>excess of the amount of Incentive</w:t>
      </w:r>
    </w:p>
    <w:p>
      <w:pPr>
        <w:spacing w:after="0" w:line="30" w:lineRule="exact"/>
        <w:rPr>
          <w:rFonts w:ascii="Times New Roman" w:cs="Times New Roman" w:eastAsia="Times New Roman" w:hAnsi="Times New Roman"/>
          <w:sz w:val="19"/>
          <w:szCs w:val="19"/>
          <w:color w:val="auto"/>
        </w:rPr>
      </w:pPr>
    </w:p>
    <w:p>
      <w:pPr>
        <w:jc w:val="both"/>
        <w:ind w:left="6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Compensation received based </w:t>
      </w:r>
      <w:r>
        <w:rPr>
          <w:rFonts w:ascii="Times New Roman" w:cs="Times New Roman" w:eastAsia="Times New Roman" w:hAnsi="Times New Roman"/>
          <w:sz w:val="20"/>
          <w:szCs w:val="20"/>
          <w:color w:val="auto"/>
        </w:rPr>
        <w:t>on the achievement</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20"/>
          <w:szCs w:val="20"/>
          <w:color w:val="auto"/>
        </w:rPr>
        <w:t>a Financial Reporting Measure that was su</w:t>
      </w:r>
      <w:r>
        <w:rPr>
          <w:rFonts w:ascii="Times New Roman" w:cs="Times New Roman" w:eastAsia="Times New Roman" w:hAnsi="Times New Roman"/>
          <w:sz w:val="19"/>
          <w:szCs w:val="19"/>
          <w:color w:val="auto"/>
        </w:rPr>
        <w:t xml:space="preserve">bsequently </w:t>
      </w:r>
      <w:r>
        <w:rPr>
          <w:rFonts w:ascii="Times New Roman" w:cs="Times New Roman" w:eastAsia="Times New Roman" w:hAnsi="Times New Roman"/>
          <w:sz w:val="20"/>
          <w:szCs w:val="20"/>
          <w:color w:val="auto"/>
        </w:rPr>
        <w:t>revised due to the</w:t>
      </w:r>
      <w:r>
        <w:rPr>
          <w:rFonts w:ascii="Times New Roman" w:cs="Times New Roman" w:eastAsia="Times New Roman" w:hAnsi="Times New Roman"/>
          <w:sz w:val="19"/>
          <w:szCs w:val="19"/>
          <w:color w:val="auto"/>
        </w:rPr>
        <w:t xml:space="preserve"> Recoverable </w:t>
      </w:r>
      <w:r>
        <w:rPr>
          <w:rFonts w:ascii="Times New Roman" w:cs="Times New Roman" w:eastAsia="Times New Roman" w:hAnsi="Times New Roman"/>
          <w:sz w:val="20"/>
          <w:szCs w:val="20"/>
          <w:color w:val="auto"/>
        </w:rPr>
        <w:t>Event, over</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20"/>
          <w:szCs w:val="20"/>
          <w:color w:val="auto"/>
        </w:rPr>
        <w:t>amount of Incentive</w:t>
      </w:r>
      <w:r>
        <w:rPr>
          <w:rFonts w:ascii="Times New Roman" w:cs="Times New Roman" w:eastAsia="Times New Roman" w:hAnsi="Times New Roman"/>
          <w:sz w:val="19"/>
          <w:szCs w:val="19"/>
          <w:color w:val="auto"/>
        </w:rPr>
        <w:t xml:space="preserve"> Compensation </w:t>
      </w:r>
      <w:r>
        <w:rPr>
          <w:rFonts w:ascii="Times New Roman" w:cs="Times New Roman" w:eastAsia="Times New Roman" w:hAnsi="Times New Roman"/>
          <w:sz w:val="20"/>
          <w:szCs w:val="20"/>
          <w:color w:val="auto"/>
        </w:rPr>
        <w:t>that would have</w:t>
      </w:r>
      <w:r>
        <w:rPr>
          <w:rFonts w:ascii="Times New Roman" w:cs="Times New Roman" w:eastAsia="Times New Roman" w:hAnsi="Times New Roman"/>
          <w:sz w:val="19"/>
          <w:szCs w:val="19"/>
          <w:color w:val="auto"/>
        </w:rPr>
        <w:t xml:space="preserve"> been </w:t>
      </w:r>
      <w:r>
        <w:rPr>
          <w:rFonts w:ascii="Times New Roman" w:cs="Times New Roman" w:eastAsia="Times New Roman" w:hAnsi="Times New Roman"/>
          <w:sz w:val="20"/>
          <w:szCs w:val="20"/>
          <w:color w:val="auto"/>
        </w:rPr>
        <w:t>received based</w:t>
      </w:r>
      <w:r>
        <w:rPr>
          <w:rFonts w:ascii="Times New Roman" w:cs="Times New Roman" w:eastAsia="Times New Roman" w:hAnsi="Times New Roman"/>
          <w:sz w:val="19"/>
          <w:szCs w:val="19"/>
          <w:color w:val="auto"/>
        </w:rPr>
        <w:t xml:space="preserve"> on the restated Financial Reporting Measure, as determined on a pre-tax basis. For Incentive Compensation based on TSR or stock price, the Recoverable Amount will be based on the Board’s reasonable estimate of the effect of the Recoverable Event on the applicable measure, with such analysis documented and provided to the applicable listing exchange.</w:t>
      </w:r>
    </w:p>
    <w:p>
      <w:pPr>
        <w:sectPr>
          <w:pgSz w:w="11900" w:h="16838" w:orient="portrait"/>
          <w:cols w:equalWidth="0" w:num="1">
            <w:col w:w="11240"/>
          </w:cols>
          <w:pgMar w:left="320" w:top="1356" w:right="339" w:bottom="1440" w:gutter="0" w:footer="0" w:header="0"/>
        </w:sectPr>
      </w:pPr>
    </w:p>
    <w:bookmarkStart w:id="132" w:name="page133"/>
    <w:bookmarkEnd w:id="132"/>
    <w:p>
      <w:pPr>
        <w:spacing w:after="0" w:line="144" w:lineRule="exact"/>
        <w:rPr>
          <w:sz w:val="20"/>
          <w:szCs w:val="20"/>
          <w:color w:val="auto"/>
        </w:rPr>
      </w:pPr>
    </w:p>
    <w:p>
      <w:pPr>
        <w:ind w:left="307" w:hanging="307"/>
        <w:spacing w:after="0" w:line="254" w:lineRule="auto"/>
        <w:tabs>
          <w:tab w:leader="none" w:pos="307"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Manner of Recovery</w:t>
      </w:r>
      <w:r>
        <w:rPr>
          <w:rFonts w:ascii="Times New Roman" w:cs="Times New Roman" w:eastAsia="Times New Roman" w:hAnsi="Times New Roman"/>
          <w:sz w:val="19"/>
          <w:szCs w:val="19"/>
          <w:color w:val="auto"/>
        </w:rPr>
        <w:t xml:space="preserve">. The Board </w:t>
      </w:r>
      <w:r>
        <w:rPr>
          <w:rFonts w:ascii="Times New Roman" w:cs="Times New Roman" w:eastAsia="Times New Roman" w:hAnsi="Times New Roman"/>
          <w:sz w:val="20"/>
          <w:szCs w:val="20"/>
          <w:color w:val="auto"/>
        </w:rPr>
        <w:t>shall determine,</w:t>
      </w:r>
      <w:r>
        <w:rPr>
          <w:rFonts w:ascii="Times New Roman" w:cs="Times New Roman" w:eastAsia="Times New Roman" w:hAnsi="Times New Roman"/>
          <w:sz w:val="19"/>
          <w:szCs w:val="19"/>
          <w:color w:val="auto"/>
        </w:rPr>
        <w:t xml:space="preserve"> in its sole discretion, </w:t>
      </w:r>
      <w:r>
        <w:rPr>
          <w:rFonts w:ascii="Times New Roman" w:cs="Times New Roman" w:eastAsia="Times New Roman" w:hAnsi="Times New Roman"/>
          <w:sz w:val="20"/>
          <w:szCs w:val="20"/>
          <w:color w:val="auto"/>
        </w:rPr>
        <w:t>the manner of</w:t>
      </w:r>
      <w:r>
        <w:rPr>
          <w:rFonts w:ascii="Times New Roman" w:cs="Times New Roman" w:eastAsia="Times New Roman" w:hAnsi="Times New Roman"/>
          <w:sz w:val="19"/>
          <w:szCs w:val="19"/>
          <w:color w:val="auto"/>
        </w:rPr>
        <w:t xml:space="preserve"> recovery </w:t>
      </w:r>
      <w:r>
        <w:rPr>
          <w:rFonts w:ascii="Times New Roman" w:cs="Times New Roman" w:eastAsia="Times New Roman" w:hAnsi="Times New Roman"/>
          <w:sz w:val="20"/>
          <w:szCs w:val="20"/>
          <w:color w:val="auto"/>
        </w:rPr>
        <w:t>of</w:t>
      </w:r>
      <w:r>
        <w:rPr>
          <w:rFonts w:ascii="Times New Roman" w:cs="Times New Roman" w:eastAsia="Times New Roman" w:hAnsi="Times New Roman"/>
          <w:sz w:val="19"/>
          <w:szCs w:val="19"/>
          <w:color w:val="auto"/>
        </w:rPr>
        <w:t xml:space="preserve"> any Recoverable </w:t>
      </w:r>
      <w:r>
        <w:rPr>
          <w:rFonts w:ascii="Times New Roman" w:cs="Times New Roman" w:eastAsia="Times New Roman" w:hAnsi="Times New Roman"/>
          <w:sz w:val="20"/>
          <w:szCs w:val="20"/>
          <w:color w:val="auto"/>
        </w:rPr>
        <w:t>Amount,</w:t>
      </w:r>
      <w:r>
        <w:rPr>
          <w:rFonts w:ascii="Times New Roman" w:cs="Times New Roman" w:eastAsia="Times New Roman" w:hAnsi="Times New Roman"/>
          <w:sz w:val="19"/>
          <w:szCs w:val="19"/>
          <w:color w:val="auto"/>
        </w:rPr>
        <w:t xml:space="preserve"> which may include, </w:t>
      </w:r>
      <w:r>
        <w:rPr>
          <w:rFonts w:ascii="Times New Roman" w:cs="Times New Roman" w:eastAsia="Times New Roman" w:hAnsi="Times New Roman"/>
          <w:sz w:val="20"/>
          <w:szCs w:val="20"/>
          <w:color w:val="auto"/>
        </w:rPr>
        <w:t>without</w:t>
      </w:r>
      <w:r>
        <w:rPr>
          <w:rFonts w:ascii="Times New Roman" w:cs="Times New Roman" w:eastAsia="Times New Roman" w:hAnsi="Times New Roman"/>
          <w:sz w:val="19"/>
          <w:szCs w:val="19"/>
          <w:color w:val="auto"/>
        </w:rPr>
        <w:t xml:space="preserve"> limitation, to the extent permitted by applicable law:</w:t>
      </w:r>
    </w:p>
    <w:p>
      <w:pPr>
        <w:spacing w:after="0" w:line="1"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reimbursement of cash Incentive Compensation previously paid;</w:t>
      </w:r>
    </w:p>
    <w:p>
      <w:pPr>
        <w:spacing w:after="0" w:line="199" w:lineRule="exact"/>
        <w:rPr>
          <w:rFonts w:ascii="Times New Roman" w:cs="Times New Roman" w:eastAsia="Times New Roman" w:hAnsi="Times New Roman"/>
          <w:sz w:val="19"/>
          <w:szCs w:val="19"/>
          <w:color w:val="auto"/>
        </w:rPr>
      </w:pPr>
    </w:p>
    <w:p>
      <w:pPr>
        <w:ind w:left="927" w:hanging="309"/>
        <w:spacing w:after="0" w:line="269" w:lineRule="auto"/>
        <w:tabs>
          <w:tab w:leader="none" w:pos="927"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seeking recovery of any gain realized on the vesting, exercise, settlement, sale, transfer or other disposition of any equity-based awards;</w:t>
      </w:r>
    </w:p>
    <w:p>
      <w:pPr>
        <w:spacing w:after="0" w:line="167"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offsetting the Recoverable Amount from any compensation otherwise owed by the Company to the Covered Employee;</w:t>
      </w:r>
    </w:p>
    <w:p>
      <w:pPr>
        <w:spacing w:after="0" w:line="232" w:lineRule="exact"/>
        <w:rPr>
          <w:rFonts w:ascii="Times New Roman" w:cs="Times New Roman" w:eastAsia="Times New Roman" w:hAnsi="Times New Roman"/>
          <w:sz w:val="19"/>
          <w:szCs w:val="19"/>
          <w:color w:val="auto"/>
        </w:rPr>
      </w:pPr>
    </w:p>
    <w:p>
      <w:pPr>
        <w:ind w:left="927" w:hanging="309"/>
        <w:spacing w:after="0"/>
        <w:tabs>
          <w:tab w:leader="none" w:pos="927"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cancelling outstanding vested or unvested equity awards (including solely time-vesting equity awards); and/or</w:t>
      </w:r>
    </w:p>
    <w:p>
      <w:pPr>
        <w:spacing w:after="0" w:line="219" w:lineRule="exact"/>
        <w:rPr>
          <w:rFonts w:ascii="Times New Roman" w:cs="Times New Roman" w:eastAsia="Times New Roman" w:hAnsi="Times New Roman"/>
          <w:sz w:val="19"/>
          <w:szCs w:val="19"/>
          <w:color w:val="auto"/>
        </w:rPr>
      </w:pPr>
    </w:p>
    <w:p>
      <w:pPr>
        <w:ind w:left="907" w:hanging="289"/>
        <w:spacing w:after="0"/>
        <w:tabs>
          <w:tab w:leader="none" w:pos="907"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taking any other remedial action that would be appropriate to accomplish recovery, as determined by the Board;</w:t>
      </w:r>
    </w:p>
    <w:p>
      <w:pPr>
        <w:spacing w:after="0" w:line="216" w:lineRule="exact"/>
        <w:rPr>
          <w:sz w:val="20"/>
          <w:szCs w:val="20"/>
          <w:color w:val="auto"/>
        </w:rPr>
      </w:pPr>
    </w:p>
    <w:p>
      <w:pPr>
        <w:jc w:val="both"/>
        <w:ind w:left="307"/>
        <w:spacing w:after="0" w:line="257" w:lineRule="auto"/>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method for recovery of Incentive Compensation selected by the Board shall not cause a violation of the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timing rules of Section 409A of the Internal Revenue Code of 1986, as amended (the “</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19"/>
          <w:szCs w:val="19"/>
          <w:color w:val="auto"/>
        </w:rPr>
        <w:t>”) or result in the Covered Employee being subject to the interest and additional tax provisions of Section 409A(a)(1)(B) of the Code.</w:t>
      </w:r>
    </w:p>
    <w:p>
      <w:pPr>
        <w:spacing w:after="0" w:line="192" w:lineRule="exact"/>
        <w:rPr>
          <w:sz w:val="20"/>
          <w:szCs w:val="20"/>
          <w:color w:val="auto"/>
        </w:rPr>
      </w:pPr>
    </w:p>
    <w:p>
      <w:pPr>
        <w:jc w:val="both"/>
        <w:ind w:left="307" w:hanging="307"/>
        <w:spacing w:after="0" w:line="238" w:lineRule="auto"/>
        <w:tabs>
          <w:tab w:leader="none" w:pos="307"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Impracticability</w:t>
      </w:r>
      <w:r>
        <w:rPr>
          <w:rFonts w:ascii="Times New Roman" w:cs="Times New Roman" w:eastAsia="Times New Roman" w:hAnsi="Times New Roman"/>
          <w:sz w:val="19"/>
          <w:szCs w:val="19"/>
          <w:color w:val="auto"/>
        </w:rPr>
        <w:t>. If the Board’s Compensation Committee or a majority of the independent directors of the Board determines that (a) the direct costs paid to third parties to assist in enforcing recovery would exceed the Recoverable Amount, (b) the recovery would violate the Company’s home country laws, as in effect prior to January 27, 2023, pursuant to the opinion of home country counsel, or (c) the recovery would likely cause an otherwise tax-qualified retirement plan, under which benefits are broadly available to employees of the Company, to fail to meet the requirements of 26 U.S.C. 401(a)(13) or 26 U.S.C. 411(a) and regulations thereunder, then, subject to the following sentence, the Company shall not be required to recover the Recoverable Amounts. Notwithstanding the foregoing, the Company shall make reasonable attempts to recover the Recoverable Amounts before determining that it is impracticable to do so for the aforementioned reasons, and must document such attempts and provide such documentation to the relevant listing exchange.</w:t>
      </w:r>
    </w:p>
    <w:p>
      <w:pPr>
        <w:spacing w:after="0" w:line="213" w:lineRule="exact"/>
        <w:rPr>
          <w:rFonts w:ascii="Times New Roman" w:cs="Times New Roman" w:eastAsia="Times New Roman" w:hAnsi="Times New Roman"/>
          <w:sz w:val="19"/>
          <w:szCs w:val="19"/>
          <w:color w:val="auto"/>
        </w:rPr>
      </w:pPr>
    </w:p>
    <w:p>
      <w:pPr>
        <w:jc w:val="both"/>
        <w:ind w:left="307" w:hanging="307"/>
        <w:spacing w:after="0"/>
        <w:tabs>
          <w:tab w:leader="none" w:pos="307"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Administration; Interpretation</w:t>
      </w:r>
      <w:r>
        <w:rPr>
          <w:rFonts w:ascii="Times New Roman" w:cs="Times New Roman" w:eastAsia="Times New Roman" w:hAnsi="Times New Roman"/>
          <w:sz w:val="19"/>
          <w:szCs w:val="19"/>
          <w:color w:val="auto"/>
        </w:rPr>
        <w:t>. The Policy will be administered by the Board. The Board is authorized to interpret and construe this Policy and to make all determinations necessary, appropriate or advisable for the administration of the Policy. It is intended that this Policy be interpreted in a manner that is consistent with the requirements of Section 10D of the Securities Exchange Act of 1934, and the guidance and regulations promulgated thereunder, and any applicable rules or standards adopted by the Securities and Exchange Commission or any national securities exchange on which the Company’s securities are listed. All determinations and decisions made by the Board pursuant to the provisions of this Policy shall be final, conclusive and binding on all persons, including the Company, its affiliates, its stockholders and employees. The Board may delegate ministerial administrative duties with respect to the Policy to one or more directors or officers of the Company, as permitted under applicable law. The Board may amend, modify or terminate this Policy in whole or in part at any time and from time to time in its sole discretion, provided that such amendment, modification or termination complies with applicable law. This Policy will terminate automatically when the Company does not have a class of securities listed on a national securities exchange or association.</w:t>
      </w:r>
    </w:p>
    <w:p>
      <w:pPr>
        <w:sectPr>
          <w:pgSz w:w="11900" w:h="16838" w:orient="portrait"/>
          <w:cols w:equalWidth="0" w:num="1">
            <w:col w:w="10927"/>
          </w:cols>
          <w:pgMar w:left="633" w:top="1440" w:right="339" w:bottom="1440" w:gutter="0" w:footer="0" w:header="0"/>
        </w:sectPr>
      </w:pPr>
    </w:p>
    <w:bookmarkStart w:id="133" w:name="page134"/>
    <w:bookmarkEnd w:id="133"/>
    <w:p>
      <w:pPr>
        <w:spacing w:after="0" w:line="162" w:lineRule="exact"/>
        <w:rPr>
          <w:sz w:val="20"/>
          <w:szCs w:val="20"/>
          <w:color w:val="auto"/>
        </w:rPr>
      </w:pPr>
    </w:p>
    <w:p>
      <w:pPr>
        <w:jc w:val="both"/>
        <w:ind w:left="307" w:hanging="307"/>
        <w:spacing w:after="0" w:line="245" w:lineRule="auto"/>
        <w:tabs>
          <w:tab w:leader="none" w:pos="30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Indemnification</w:t>
      </w:r>
      <w:r>
        <w:rPr>
          <w:rFonts w:ascii="Times New Roman" w:cs="Times New Roman" w:eastAsia="Times New Roman" w:hAnsi="Times New Roman"/>
          <w:sz w:val="19"/>
          <w:szCs w:val="19"/>
          <w:color w:val="auto"/>
        </w:rPr>
        <w:t>. The Company shall not indemnify any Covered Employee against the loss of any erroneously awarded Incentive Compensation pursuant to the Policy, nor shall the Company directly or indirectly pay or reimburse any Covered Employee for any premiums for third-party insurance policies that such Covered Employees may elect to purchase to fund potential recovery obligations under the Policy.</w:t>
      </w:r>
    </w:p>
    <w:p>
      <w:pPr>
        <w:spacing w:after="0" w:line="186" w:lineRule="exact"/>
        <w:rPr>
          <w:rFonts w:ascii="Times New Roman" w:cs="Times New Roman" w:eastAsia="Times New Roman" w:hAnsi="Times New Roman"/>
          <w:sz w:val="19"/>
          <w:szCs w:val="19"/>
          <w:color w:val="auto"/>
        </w:rPr>
      </w:pPr>
    </w:p>
    <w:p>
      <w:pPr>
        <w:jc w:val="both"/>
        <w:ind w:left="307" w:hanging="307"/>
        <w:spacing w:after="0" w:line="255" w:lineRule="auto"/>
        <w:tabs>
          <w:tab w:leader="none" w:pos="30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Enforceability</w:t>
      </w:r>
      <w:r>
        <w:rPr>
          <w:rFonts w:ascii="Times New Roman" w:cs="Times New Roman" w:eastAsia="Times New Roman" w:hAnsi="Times New Roman"/>
          <w:sz w:val="19"/>
          <w:szCs w:val="19"/>
          <w:color w:val="auto"/>
        </w:rPr>
        <w:t xml:space="preserve">. The adoption of </w:t>
      </w:r>
      <w:r>
        <w:rPr>
          <w:rFonts w:ascii="Times New Roman" w:cs="Times New Roman" w:eastAsia="Times New Roman" w:hAnsi="Times New Roman"/>
          <w:sz w:val="20"/>
          <w:szCs w:val="20"/>
          <w:color w:val="auto"/>
        </w:rPr>
        <w:t>this Policy</w:t>
      </w:r>
      <w:r>
        <w:rPr>
          <w:rFonts w:ascii="Times New Roman" w:cs="Times New Roman" w:eastAsia="Times New Roman" w:hAnsi="Times New Roman"/>
          <w:sz w:val="19"/>
          <w:szCs w:val="19"/>
          <w:color w:val="auto"/>
        </w:rPr>
        <w:t xml:space="preserve"> does </w:t>
      </w:r>
      <w:r>
        <w:rPr>
          <w:rFonts w:ascii="Times New Roman" w:cs="Times New Roman" w:eastAsia="Times New Roman" w:hAnsi="Times New Roman"/>
          <w:sz w:val="20"/>
          <w:szCs w:val="20"/>
          <w:color w:val="auto"/>
        </w:rPr>
        <w:t>not mitigate,</w:t>
      </w:r>
      <w:r>
        <w:rPr>
          <w:rFonts w:ascii="Times New Roman" w:cs="Times New Roman" w:eastAsia="Times New Roman" w:hAnsi="Times New Roman"/>
          <w:sz w:val="19"/>
          <w:szCs w:val="19"/>
          <w:color w:val="auto"/>
        </w:rPr>
        <w:t xml:space="preserve"> and is </w:t>
      </w:r>
      <w:r>
        <w:rPr>
          <w:rFonts w:ascii="Times New Roman" w:cs="Times New Roman" w:eastAsia="Times New Roman" w:hAnsi="Times New Roman"/>
          <w:sz w:val="20"/>
          <w:szCs w:val="20"/>
          <w:color w:val="auto"/>
        </w:rPr>
        <w:t>intended</w:t>
      </w:r>
      <w:r>
        <w:rPr>
          <w:rFonts w:ascii="Times New Roman" w:cs="Times New Roman" w:eastAsia="Times New Roman" w:hAnsi="Times New Roman"/>
          <w:sz w:val="19"/>
          <w:szCs w:val="19"/>
          <w:color w:val="auto"/>
        </w:rPr>
        <w:t xml:space="preserve"> to </w:t>
      </w:r>
      <w:r>
        <w:rPr>
          <w:rFonts w:ascii="Times New Roman" w:cs="Times New Roman" w:eastAsia="Times New Roman" w:hAnsi="Times New Roman"/>
          <w:sz w:val="20"/>
          <w:szCs w:val="20"/>
          <w:color w:val="auto"/>
        </w:rPr>
        <w:t>enhance, the effect of</w:t>
      </w:r>
      <w:r>
        <w:rPr>
          <w:rFonts w:ascii="Times New Roman" w:cs="Times New Roman" w:eastAsia="Times New Roman" w:hAnsi="Times New Roman"/>
          <w:sz w:val="19"/>
          <w:szCs w:val="19"/>
          <w:color w:val="auto"/>
        </w:rPr>
        <w:t xml:space="preserve"> any recoupment, </w:t>
      </w:r>
      <w:r>
        <w:rPr>
          <w:rFonts w:ascii="Times New Roman" w:cs="Times New Roman" w:eastAsia="Times New Roman" w:hAnsi="Times New Roman"/>
          <w:sz w:val="20"/>
          <w:szCs w:val="20"/>
          <w:color w:val="auto"/>
        </w:rPr>
        <w:t>forfeiture</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20"/>
          <w:szCs w:val="20"/>
          <w:color w:val="auto"/>
        </w:rPr>
        <w:t xml:space="preserve">similar </w:t>
      </w:r>
      <w:r>
        <w:rPr>
          <w:rFonts w:ascii="Times New Roman" w:cs="Times New Roman" w:eastAsia="Times New Roman" w:hAnsi="Times New Roman"/>
          <w:sz w:val="18"/>
          <w:szCs w:val="18"/>
          <w:color w:val="auto"/>
        </w:rPr>
        <w:t>policies in any employment agreement, bonus plan, equity-based award agreement or</w:t>
      </w:r>
      <w:r>
        <w:rPr>
          <w:rFonts w:ascii="Times New Roman" w:cs="Times New Roman" w:eastAsia="Times New Roman" w:hAnsi="Times New Roman"/>
          <w:sz w:val="20"/>
          <w:szCs w:val="20"/>
          <w:color w:val="auto"/>
        </w:rPr>
        <w:t xml:space="preserve"> similar agreement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20"/>
          <w:szCs w:val="20"/>
          <w:color w:val="auto"/>
        </w:rPr>
        <w:t xml:space="preserve"> remedy </w:t>
      </w:r>
      <w:r>
        <w:rPr>
          <w:rFonts w:ascii="Times New Roman" w:cs="Times New Roman" w:eastAsia="Times New Roman" w:hAnsi="Times New Roman"/>
          <w:sz w:val="18"/>
          <w:szCs w:val="18"/>
          <w:color w:val="auto"/>
        </w:rPr>
        <w:t>specified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 xml:space="preserve">this Policy </w:t>
      </w:r>
      <w:r>
        <w:rPr>
          <w:rFonts w:ascii="Times New Roman" w:cs="Times New Roman" w:eastAsia="Times New Roman" w:hAnsi="Times New Roman"/>
          <w:sz w:val="20"/>
          <w:szCs w:val="20"/>
          <w:color w:val="auto"/>
        </w:rPr>
        <w:t>shall not</w:t>
      </w:r>
      <w:r>
        <w:rPr>
          <w:rFonts w:ascii="Times New Roman" w:cs="Times New Roman" w:eastAsia="Times New Roman" w:hAnsi="Times New Roman"/>
          <w:sz w:val="18"/>
          <w:szCs w:val="18"/>
          <w:color w:val="auto"/>
        </w:rPr>
        <w:t xml:space="preserve"> be </w:t>
      </w:r>
      <w:r>
        <w:rPr>
          <w:rFonts w:ascii="Times New Roman" w:cs="Times New Roman" w:eastAsia="Times New Roman" w:hAnsi="Times New Roman"/>
          <w:sz w:val="20"/>
          <w:szCs w:val="20"/>
          <w:color w:val="auto"/>
        </w:rPr>
        <w:t>exclusive and shall</w:t>
      </w:r>
      <w:r>
        <w:rPr>
          <w:rFonts w:ascii="Times New Roman" w:cs="Times New Roman" w:eastAsia="Times New Roman" w:hAnsi="Times New Roman"/>
          <w:sz w:val="18"/>
          <w:szCs w:val="18"/>
          <w:color w:val="auto"/>
        </w:rPr>
        <w:t xml:space="preserve"> be in addition to every other </w:t>
      </w:r>
      <w:r>
        <w:rPr>
          <w:rFonts w:ascii="Times New Roman" w:cs="Times New Roman" w:eastAsia="Times New Roman" w:hAnsi="Times New Roman"/>
          <w:sz w:val="20"/>
          <w:szCs w:val="20"/>
          <w:color w:val="auto"/>
        </w:rPr>
        <w:t>right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0"/>
          <w:szCs w:val="20"/>
          <w:color w:val="auto"/>
        </w:rPr>
        <w:t>remedy at</w:t>
      </w:r>
      <w:r>
        <w:rPr>
          <w:rFonts w:ascii="Times New Roman" w:cs="Times New Roman" w:eastAsia="Times New Roman" w:hAnsi="Times New Roman"/>
          <w:sz w:val="18"/>
          <w:szCs w:val="18"/>
          <w:color w:val="auto"/>
        </w:rPr>
        <w:t xml:space="preserve"> law or in equity that </w:t>
      </w:r>
      <w:r>
        <w:rPr>
          <w:rFonts w:ascii="Times New Roman" w:cs="Times New Roman" w:eastAsia="Times New Roman" w:hAnsi="Times New Roman"/>
          <w:sz w:val="20"/>
          <w:szCs w:val="20"/>
          <w:color w:val="auto"/>
        </w:rPr>
        <w:t>may</w:t>
      </w:r>
      <w:r>
        <w:rPr>
          <w:rFonts w:ascii="Times New Roman" w:cs="Times New Roman" w:eastAsia="Times New Roman" w:hAnsi="Times New Roman"/>
          <w:sz w:val="18"/>
          <w:szCs w:val="18"/>
          <w:color w:val="auto"/>
        </w:rPr>
        <w:t xml:space="preserve"> be available to </w:t>
      </w:r>
      <w:r>
        <w:rPr>
          <w:rFonts w:ascii="Times New Roman" w:cs="Times New Roman" w:eastAsia="Times New Roman" w:hAnsi="Times New Roman"/>
          <w:sz w:val="20"/>
          <w:szCs w:val="20"/>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0"/>
          <w:szCs w:val="20"/>
          <w:color w:val="auto"/>
        </w:rPr>
        <w:t>Company.</w:t>
      </w:r>
    </w:p>
    <w:p>
      <w:pPr>
        <w:spacing w:after="0" w:line="200" w:lineRule="exact"/>
        <w:rPr>
          <w:rFonts w:ascii="Times New Roman" w:cs="Times New Roman" w:eastAsia="Times New Roman" w:hAnsi="Times New Roman"/>
          <w:sz w:val="19"/>
          <w:szCs w:val="19"/>
          <w:color w:val="auto"/>
        </w:rPr>
      </w:pPr>
    </w:p>
    <w:p>
      <w:pPr>
        <w:jc w:val="both"/>
        <w:ind w:left="307" w:hanging="307"/>
        <w:spacing w:after="0" w:line="245" w:lineRule="auto"/>
        <w:tabs>
          <w:tab w:leader="none" w:pos="30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sectPr>
      <w:pgSz w:w="11900" w:h="16838" w:orient="portrait"/>
      <w:cols w:equalWidth="0" w:num="1">
        <w:col w:w="10927"/>
      </w:cols>
      <w:pgMar w:left="633"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o"/>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lowerRoman"/>
      <w:start w:val="5"/>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8"/>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7">
    <w:nsid w:val="661E3F1E"/>
    <w:multiLevelType w:val="hybridMultilevel"/>
    <w:lvl w:ilvl="0">
      <w:lvlJc w:val="left"/>
      <w:lvlText w:val="%1"/>
      <w:numFmt w:val="decimal"/>
      <w:start w:val="1"/>
    </w:lvl>
    <w:lvl w:ilvl="1">
      <w:lvlJc w:val="left"/>
      <w:lvlText w:val="%2."/>
      <w:numFmt w:val="lowerLetter"/>
      <w:start w:val="3"/>
    </w:lvl>
  </w:abstractNum>
  <w:abstractNum w:abstractNumId="68">
    <w:nsid w:val="5DC79EA8"/>
    <w:multiLevelType w:val="hybridMultilevel"/>
    <w:lvl w:ilvl="0">
      <w:lvlJc w:val="left"/>
      <w:lvlText w:val="%1."/>
      <w:numFmt w:val="decimal"/>
      <w:start w:val="2"/>
    </w:lvl>
    <w:lvl w:ilvl="1">
      <w:lvlJc w:val="left"/>
      <w:lvlText w:val="%2."/>
      <w:numFmt w:val="lowerLetter"/>
      <w:start w:val="1"/>
    </w:lvl>
  </w:abstractNum>
  <w:abstractNum w:abstractNumId="69">
    <w:nsid w:val="540A471C"/>
    <w:multiLevelType w:val="hybridMultilevel"/>
    <w:lvl w:ilvl="0">
      <w:lvlJc w:val="left"/>
      <w:lvlText w:val="%1."/>
      <w:numFmt w:val="lowerRoman"/>
      <w:start w:val="1"/>
    </w:lvl>
  </w:abstractNum>
  <w:abstractNum w:abstractNumId="70">
    <w:nsid w:val="7BD3EE7B"/>
    <w:multiLevelType w:val="hybridMultilevel"/>
    <w:lvl w:ilvl="0">
      <w:lvlJc w:val="left"/>
      <w:lvlText w:val="%1."/>
      <w:numFmt w:val="decimal"/>
      <w:start w:val="3"/>
    </w:lvl>
  </w:abstractNum>
  <w:abstractNum w:abstractNumId="71">
    <w:nsid w:val="51D9C564"/>
    <w:multiLevelType w:val="hybridMultilevel"/>
    <w:lvl w:ilvl="0">
      <w:lvlJc w:val="left"/>
      <w:lvlText w:val="%1."/>
      <w:numFmt w:val="decimal"/>
      <w:start w:val="1"/>
    </w:lvl>
    <w:lvl w:ilvl="1">
      <w:lvlJc w:val="left"/>
      <w:lvlText w:val="(%2)"/>
      <w:numFmt w:val="lowerLetter"/>
      <w:start w:val="1"/>
    </w:lvl>
  </w:abstractNum>
  <w:abstractNum w:abstractNumId="72">
    <w:nsid w:val="613EFDC5"/>
    <w:multiLevelType w:val="hybridMultilevel"/>
    <w:lvl w:ilvl="0">
      <w:lvlJc w:val="left"/>
      <w:lvlText w:val="%1."/>
      <w:numFmt w:val="decimal"/>
      <w:start w:val="1"/>
    </w:lvl>
    <w:lvl w:ilvl="1">
      <w:lvlJc w:val="left"/>
      <w:lvlText w:val="(%2)"/>
      <w:numFmt w:val="lowerLetter"/>
      <w:start w:val="1"/>
    </w:lvl>
  </w:abstractNum>
  <w:abstractNum w:abstractNumId="73">
    <w:nsid w:val="BF72B14"/>
    <w:multiLevelType w:val="hybridMultilevel"/>
    <w:lvl w:ilvl="0">
      <w:lvlJc w:val="left"/>
      <w:lvlText w:val="(%1)"/>
      <w:numFmt w:val="decimal"/>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4"/>
    </w:lvl>
    <w:lvl w:ilvl="1">
      <w:lvlJc w:val="left"/>
      <w:lvlText w:val="%2."/>
      <w:numFmt w:val="lowerLetter"/>
      <w:start w:val="1"/>
    </w:lvl>
  </w:abstractNum>
  <w:abstractNum w:abstractNumId="77">
    <w:nsid w:val="8F2B15E"/>
    <w:multiLevelType w:val="hybridMultilevel"/>
    <w:lvl w:ilvl="0">
      <w:lvlJc w:val="left"/>
      <w:lvlText w:val="%1."/>
      <w:numFmt w:val="decimal"/>
      <w:start w:val="5"/>
    </w:lvl>
  </w:abstractNum>
  <w:abstractNum w:abstractNumId="78">
    <w:nsid w:val="1A32234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8"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33" Type="http://schemas.openxmlformats.org/officeDocument/2006/relationships/hyperlink" Target="https://www.sec.gov/Archives/edgar/data/0001588978/000162828021018923/exhibit31-closing8xk.htm" TargetMode="External"/><Relationship Id="rId134" Type="http://schemas.openxmlformats.org/officeDocument/2006/relationships/hyperlink" Target="https://www.sec.gov/Archives/edgar/data/0001588978/000162828021018923/exhibit32-closing8xk.htm" TargetMode="External"/><Relationship Id="rId135" Type="http://schemas.openxmlformats.org/officeDocument/2006/relationships/hyperlink" Target="https://www.sec.gov/Archives/edgar/data/1588978/000162828022006885/exhibit41-descriptionofcap.htm" TargetMode="External"/><Relationship Id="rId136" Type="http://schemas.openxmlformats.org/officeDocument/2006/relationships/hyperlink" Target="https://www.sec.gov/Archives/edgar/data/1588978/000162828021017245/exhibit101-sx1.htm" TargetMode="External"/><Relationship Id="rId137" Type="http://schemas.openxmlformats.org/officeDocument/2006/relationships/hyperlink" Target="https://www.sec.gov/Archives/edgar/data/1588978/000162828021017245/exhibit102-sx1.htm" TargetMode="External"/><Relationship Id="rId138" Type="http://schemas.openxmlformats.org/officeDocument/2006/relationships/hyperlink" Target="https://www.sec.gov/Archives/edgar/data/1588978/000162828021017245/exhibit103-sx1.htm" TargetMode="External"/><Relationship Id="rId139" Type="http://schemas.openxmlformats.org/officeDocument/2006/relationships/hyperlink" Target="https://www.sec.gov/Archives/edgar/data/1588978/000158897823000016/exhibit1018-nouriofferlett.htm" TargetMode="External"/><Relationship Id="rId140" Type="http://schemas.openxmlformats.org/officeDocument/2006/relationships/hyperlink" Target="https://www.sec.gov/Archives/edgar/data/0001588978/000162828021018188/exhibit104-sx1a1.htm" TargetMode="External"/><Relationship Id="rId141" Type="http://schemas.openxmlformats.org/officeDocument/2006/relationships/hyperlink" Target="https://www.sec.gov/Archives/edgar/data/0001588978/000162828021018188/exhibit104a-sx1a1.htm" TargetMode="External"/><Relationship Id="rId142" Type="http://schemas.openxmlformats.org/officeDocument/2006/relationships/hyperlink" Target="https://www.sec.gov/Archives/edgar/data/0001588978/000162828021018188/exhibit105-sx1a1.htm" TargetMode="External"/><Relationship Id="rId143" Type="http://schemas.openxmlformats.org/officeDocument/2006/relationships/hyperlink" Target="https://www.sec.gov/Archives/edgar/data/1588978/000162828021017245/exhibit106-sx1.htm" TargetMode="External"/><Relationship Id="rId144" Type="http://schemas.openxmlformats.org/officeDocument/2006/relationships/hyperlink" Target="https://www.sec.gov/Archives/edgar/data/1588978/000162828021017245/exhibit108-sx1.htm" TargetMode="External"/><Relationship Id="rId145" Type="http://schemas.openxmlformats.org/officeDocument/2006/relationships/hyperlink" Target="https://www.sec.gov/Archives/edgar/data/1588978/000162828021017245/exhibit109-sx1.htm" TargetMode="External"/><Relationship Id="rId146" Type="http://schemas.openxmlformats.org/officeDocument/2006/relationships/hyperlink" Target="https://www.sec.gov/Archives/edgar/data/1588978/000162828021018188/exhibit1011-sx1a1.htm" TargetMode="External"/><Relationship Id="rId147" Type="http://schemas.openxmlformats.org/officeDocument/2006/relationships/hyperlink" Target="https://www.sec.gov/Archives/edgar/data/1588978/000162828021018188/ex1011a-sx1a1.htm" TargetMode="External"/><Relationship Id="rId149" Type="http://schemas.openxmlformats.org/officeDocument/2006/relationships/hyperlink" Target="https://www.sec.gov/Archives/edgar/data/1588978/000162828021018188/exhibit1011b-sx1a1.htm" TargetMode="External"/><Relationship Id="rId150" Type="http://schemas.openxmlformats.org/officeDocument/2006/relationships/hyperlink" Target="https://www.sec.gov/Archives/edgar/data/1588978/000158897823000028/amendedandrestated2021es.htm" TargetMode="External"/><Relationship Id="rId151" Type="http://schemas.openxmlformats.org/officeDocument/2006/relationships/hyperlink" Target="https://www.sec.gov/Archives/edgar/data/0001588978/000162828021018188/exhibit1013-sx1a1.htm" TargetMode="External"/><Relationship Id="rId152" Type="http://schemas.openxmlformats.org/officeDocument/2006/relationships/hyperlink" Target="https://www.sec.gov/Archives/edgar/data/0001588978/000162828021018188/exhibit1014-sx1a1.htm" TargetMode="External"/><Relationship Id="rId153" Type="http://schemas.openxmlformats.org/officeDocument/2006/relationships/hyperlink" Target="https://www.sec.gov/Archives/edgar/data/0001588978/000162828021018188/exhibit1015-sx1a1.htm" TargetMode="External"/><Relationship Id="rId154" Type="http://schemas.openxmlformats.org/officeDocument/2006/relationships/hyperlink" Target="https://www.sec.gov/Archives/edgar/data/1588978/000158897823000016/exhibit1019-nourichangeofc.htm" TargetMode="External"/><Relationship Id="rId155" Type="http://schemas.openxmlformats.org/officeDocument/2006/relationships/hyperlink" Target="https://www.sec.gov/ix?doc=/Archives/edgar/data/1588978/000162828022026185/prct-20221006.htm" TargetMode="External"/><Relationship Id="rId156" Type="http://schemas.openxmlformats.org/officeDocument/2006/relationships/hyperlink" Target="https://www.sec.gov/Archives/edgar/data/1588978/000162828023020562/firstamendmenttocibcloanam.htm" TargetMode="External"/><Relationship Id="rId157" Type="http://schemas.openxmlformats.org/officeDocument/2006/relationships/hyperlink" Target="https://www.sec.gov/Archives/edgar/data/1588978/000158897823000009/exhibit1017-proceptxhydro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2024-02-28T16:08:15Z</dcterms:created>
  <dcterms:modified xsi:type="dcterms:W3CDTF">2024-02-28T16:08:15Z</dcterms:modified>
</cp:coreProperties>
</file>