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8, 2021</w:t>
      </w:r>
    </w:p>
    <w:p>
      <w:pPr>
        <w:spacing w:after="0" w:line="27" w:lineRule="exact"/>
        <w:rPr>
          <w:sz w:val="24"/>
          <w:szCs w:val="24"/>
          <w:color w:val="auto"/>
        </w:rPr>
      </w:pPr>
    </w:p>
    <w:p>
      <w:pPr>
        <w:ind w:left="8580"/>
        <w:spacing w:after="0"/>
        <w:rPr>
          <w:sz w:val="20"/>
          <w:szCs w:val="20"/>
          <w:color w:val="auto"/>
        </w:rPr>
      </w:pPr>
      <w:r>
        <w:rPr>
          <w:rFonts w:ascii="Arial" w:cs="Arial" w:eastAsia="Arial" w:hAnsi="Arial"/>
          <w:sz w:val="18"/>
          <w:szCs w:val="18"/>
          <w:b w:val="1"/>
          <w:bCs w:val="1"/>
          <w:color w:val="auto"/>
        </w:rPr>
        <w:t>Registration No. 333-258898</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22860</wp:posOffset>
            </wp:positionV>
            <wp:extent cx="11912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22860</wp:posOffset>
            </wp:positionV>
            <wp:extent cx="1191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PROCEPT BIOROBOTICS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21590</wp:posOffset>
            </wp:positionV>
            <wp:extent cx="119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85" w:lineRule="exact"/>
        <w:rPr>
          <w:sz w:val="24"/>
          <w:szCs w:val="24"/>
          <w:color w:val="auto"/>
        </w:rPr>
      </w:pPr>
    </w:p>
    <w:tbl>
      <w:tblPr>
        <w:tblLayout w:type="fixed"/>
        <w:tblInd w:w="700" w:type="dxa"/>
        <w:tblCellMar>
          <w:top w:w="0" w:type="dxa"/>
          <w:left w:w="0" w:type="dxa"/>
          <w:bottom w:w="0" w:type="dxa"/>
          <w:right w:w="0" w:type="dxa"/>
        </w:tblCellMar>
      </w:tblPr>
      <w:tr>
        <w:trPr>
          <w:trHeight w:val="230"/>
        </w:trPr>
        <w:tc>
          <w:tcPr>
            <w:tcW w:w="306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Delaware</w:t>
            </w:r>
          </w:p>
        </w:tc>
        <w:tc>
          <w:tcPr>
            <w:tcW w:w="3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3841</w:t>
            </w:r>
          </w:p>
        </w:tc>
        <w:tc>
          <w:tcPr>
            <w:tcW w:w="236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26-0199180</w:t>
            </w:r>
          </w:p>
        </w:tc>
      </w:tr>
      <w:tr>
        <w:trPr>
          <w:trHeight w:val="180"/>
        </w:trPr>
        <w:tc>
          <w:tcPr>
            <w:tcW w:w="3060" w:type="dxa"/>
            <w:vAlign w:val="bottom"/>
          </w:tcPr>
          <w:p>
            <w:pPr>
              <w:jc w:val="center"/>
              <w:ind w:right="630"/>
              <w:spacing w:after="0" w:line="181" w:lineRule="exact"/>
              <w:rPr>
                <w:sz w:val="20"/>
                <w:szCs w:val="20"/>
                <w:color w:val="auto"/>
              </w:rPr>
            </w:pPr>
            <w:r>
              <w:rPr>
                <w:rFonts w:ascii="Arial" w:cs="Arial" w:eastAsia="Arial" w:hAnsi="Arial"/>
                <w:sz w:val="18"/>
                <w:szCs w:val="18"/>
                <w:b w:val="1"/>
                <w:bCs w:val="1"/>
                <w:color w:val="auto"/>
                <w:w w:val="91"/>
              </w:rPr>
              <w:t>(State or other jurisdiction of</w:t>
            </w:r>
          </w:p>
        </w:tc>
        <w:tc>
          <w:tcPr>
            <w:tcW w:w="394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4"/>
              </w:rPr>
              <w:t>(Primary Standard Industrial</w:t>
            </w:r>
          </w:p>
        </w:tc>
        <w:tc>
          <w:tcPr>
            <w:tcW w:w="2360" w:type="dxa"/>
            <w:vAlign w:val="bottom"/>
          </w:tcPr>
          <w:p>
            <w:pPr>
              <w:jc w:val="center"/>
              <w:ind w:left="890"/>
              <w:spacing w:after="0" w:line="18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06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incorporation or organization)</w:t>
            </w:r>
          </w:p>
        </w:tc>
        <w:tc>
          <w:tcPr>
            <w:tcW w:w="39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Classification Code Number)</w:t>
            </w:r>
          </w:p>
        </w:tc>
        <w:tc>
          <w:tcPr>
            <w:tcW w:w="236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Identification No.)</w:t>
            </w:r>
          </w:p>
        </w:tc>
      </w:tr>
      <w:tr>
        <w:trPr>
          <w:trHeight w:val="449"/>
        </w:trPr>
        <w:tc>
          <w:tcPr>
            <w:tcW w:w="3060" w:type="dxa"/>
            <w:vAlign w:val="bottom"/>
          </w:tcPr>
          <w:p>
            <w:pPr>
              <w:spacing w:after="0"/>
              <w:rPr>
                <w:sz w:val="24"/>
                <w:szCs w:val="24"/>
                <w:color w:val="auto"/>
              </w:rPr>
            </w:pPr>
          </w:p>
        </w:tc>
        <w:tc>
          <w:tcPr>
            <w:tcW w:w="3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900 Island Drive</w:t>
            </w:r>
          </w:p>
        </w:tc>
        <w:tc>
          <w:tcPr>
            <w:tcW w:w="23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Redwood City, CA, 94065</w:t>
            </w:r>
          </w:p>
        </w:tc>
        <w:tc>
          <w:tcPr>
            <w:tcW w:w="236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3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(650) 232-7200</w:t>
            </w:r>
          </w:p>
        </w:tc>
        <w:tc>
          <w:tcPr>
            <w:tcW w:w="2360" w:type="dxa"/>
            <w:vAlign w:val="bottom"/>
          </w:tcPr>
          <w:p>
            <w:pPr>
              <w:spacing w:after="0"/>
              <w:rPr>
                <w:sz w:val="20"/>
                <w:szCs w:val="20"/>
                <w:color w:val="auto"/>
              </w:rPr>
            </w:pPr>
          </w:p>
        </w:tc>
      </w:tr>
    </w:tbl>
    <w:p>
      <w:pPr>
        <w:ind w:left="1220"/>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22860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3"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Reza Zadno,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900 Island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232-7200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22860</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81"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336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B. Shayne Kennedy</w:t>
            </w:r>
          </w:p>
        </w:tc>
        <w:tc>
          <w:tcPr>
            <w:tcW w:w="36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Alaleh Nouri</w:t>
            </w:r>
          </w:p>
        </w:tc>
        <w:tc>
          <w:tcPr>
            <w:tcW w:w="260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Charles S. Kim</w:t>
            </w:r>
          </w:p>
        </w:tc>
      </w:tr>
      <w:tr>
        <w:trPr>
          <w:trHeight w:val="175"/>
        </w:trPr>
        <w:tc>
          <w:tcPr>
            <w:tcW w:w="3360" w:type="dxa"/>
            <w:vAlign w:val="bottom"/>
          </w:tcPr>
          <w:p>
            <w:pPr>
              <w:jc w:val="center"/>
              <w:ind w:right="610"/>
              <w:spacing w:after="0" w:line="176" w:lineRule="exact"/>
              <w:rPr>
                <w:sz w:val="20"/>
                <w:szCs w:val="20"/>
                <w:color w:val="auto"/>
              </w:rPr>
            </w:pPr>
            <w:r>
              <w:rPr>
                <w:rFonts w:ascii="Arial" w:cs="Arial" w:eastAsia="Arial" w:hAnsi="Arial"/>
                <w:sz w:val="18"/>
                <w:szCs w:val="18"/>
                <w:b w:val="1"/>
                <w:bCs w:val="1"/>
                <w:color w:val="auto"/>
                <w:w w:val="95"/>
              </w:rPr>
              <w:t>Drew Capurro</w:t>
            </w:r>
          </w:p>
        </w:tc>
        <w:tc>
          <w:tcPr>
            <w:tcW w:w="36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0"/>
              </w:rPr>
              <w:t>General Counsel</w:t>
            </w:r>
          </w:p>
        </w:tc>
        <w:tc>
          <w:tcPr>
            <w:tcW w:w="260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92"/>
              </w:rPr>
              <w:t>Kristin VanderPas</w:t>
            </w:r>
          </w:p>
        </w:tc>
      </w:tr>
      <w:tr>
        <w:trPr>
          <w:trHeight w:val="175"/>
        </w:trPr>
        <w:tc>
          <w:tcPr>
            <w:tcW w:w="3360" w:type="dxa"/>
            <w:vAlign w:val="bottom"/>
          </w:tcPr>
          <w:p>
            <w:pPr>
              <w:jc w:val="center"/>
              <w:ind w:right="610"/>
              <w:spacing w:after="0" w:line="176" w:lineRule="exact"/>
              <w:rPr>
                <w:sz w:val="20"/>
                <w:szCs w:val="20"/>
                <w:color w:val="auto"/>
              </w:rPr>
            </w:pPr>
            <w:r>
              <w:rPr>
                <w:rFonts w:ascii="Arial" w:cs="Arial" w:eastAsia="Arial" w:hAnsi="Arial"/>
                <w:sz w:val="18"/>
                <w:szCs w:val="18"/>
                <w:b w:val="1"/>
                <w:bCs w:val="1"/>
                <w:color w:val="auto"/>
                <w:w w:val="97"/>
              </w:rPr>
              <w:t>Latham &amp; Watkins LLP</w:t>
            </w:r>
          </w:p>
        </w:tc>
        <w:tc>
          <w:tcPr>
            <w:tcW w:w="36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Jonathan Stone</w:t>
            </w:r>
          </w:p>
        </w:tc>
        <w:tc>
          <w:tcPr>
            <w:tcW w:w="2600" w:type="dxa"/>
            <w:vAlign w:val="bottom"/>
          </w:tcPr>
          <w:p>
            <w:pPr>
              <w:jc w:val="center"/>
              <w:ind w:left="890"/>
              <w:spacing w:after="0" w:line="176" w:lineRule="exact"/>
              <w:rPr>
                <w:sz w:val="20"/>
                <w:szCs w:val="20"/>
                <w:color w:val="auto"/>
              </w:rPr>
            </w:pPr>
            <w:r>
              <w:rPr>
                <w:rFonts w:ascii="Arial" w:cs="Arial" w:eastAsia="Arial" w:hAnsi="Arial"/>
                <w:sz w:val="18"/>
                <w:szCs w:val="18"/>
                <w:b w:val="1"/>
                <w:bCs w:val="1"/>
                <w:color w:val="auto"/>
                <w:w w:val="89"/>
              </w:rPr>
              <w:t>Dave Peinsipp</w:t>
            </w:r>
          </w:p>
        </w:tc>
      </w:tr>
      <w:tr>
        <w:trPr>
          <w:trHeight w:val="175"/>
        </w:trPr>
        <w:tc>
          <w:tcPr>
            <w:tcW w:w="3360" w:type="dxa"/>
            <w:vAlign w:val="bottom"/>
          </w:tcPr>
          <w:p>
            <w:pPr>
              <w:jc w:val="center"/>
              <w:ind w:right="590"/>
              <w:spacing w:after="0" w:line="176" w:lineRule="exact"/>
              <w:rPr>
                <w:sz w:val="20"/>
                <w:szCs w:val="20"/>
                <w:color w:val="auto"/>
              </w:rPr>
            </w:pPr>
            <w:r>
              <w:rPr>
                <w:rFonts w:ascii="Arial" w:cs="Arial" w:eastAsia="Arial" w:hAnsi="Arial"/>
                <w:sz w:val="18"/>
                <w:szCs w:val="18"/>
                <w:b w:val="1"/>
                <w:bCs w:val="1"/>
                <w:color w:val="auto"/>
                <w:w w:val="92"/>
              </w:rPr>
              <w:t>650 Town Center Drive, 20th Floor</w:t>
            </w:r>
          </w:p>
        </w:tc>
        <w:tc>
          <w:tcPr>
            <w:tcW w:w="36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0"/>
              </w:rPr>
              <w:t>Senior Corporate Counsel</w:t>
            </w:r>
          </w:p>
        </w:tc>
        <w:tc>
          <w:tcPr>
            <w:tcW w:w="2600" w:type="dxa"/>
            <w:vAlign w:val="bottom"/>
          </w:tcPr>
          <w:p>
            <w:pPr>
              <w:jc w:val="center"/>
              <w:ind w:left="890"/>
              <w:spacing w:after="0" w:line="176" w:lineRule="exact"/>
              <w:rPr>
                <w:sz w:val="20"/>
                <w:szCs w:val="20"/>
                <w:color w:val="auto"/>
              </w:rPr>
            </w:pPr>
            <w:r>
              <w:rPr>
                <w:rFonts w:ascii="Arial" w:cs="Arial" w:eastAsia="Arial" w:hAnsi="Arial"/>
                <w:sz w:val="18"/>
                <w:szCs w:val="18"/>
                <w:b w:val="1"/>
                <w:bCs w:val="1"/>
                <w:color w:val="auto"/>
                <w:w w:val="90"/>
              </w:rPr>
              <w:t>Denny Won</w:t>
            </w:r>
          </w:p>
        </w:tc>
      </w:tr>
      <w:tr>
        <w:trPr>
          <w:trHeight w:val="176"/>
        </w:trPr>
        <w:tc>
          <w:tcPr>
            <w:tcW w:w="3360" w:type="dxa"/>
            <w:vAlign w:val="bottom"/>
          </w:tcPr>
          <w:p>
            <w:pPr>
              <w:jc w:val="center"/>
              <w:ind w:right="610"/>
              <w:spacing w:after="0" w:line="176" w:lineRule="exact"/>
              <w:rPr>
                <w:sz w:val="20"/>
                <w:szCs w:val="20"/>
                <w:color w:val="auto"/>
              </w:rPr>
            </w:pPr>
            <w:r>
              <w:rPr>
                <w:rFonts w:ascii="Arial" w:cs="Arial" w:eastAsia="Arial" w:hAnsi="Arial"/>
                <w:sz w:val="18"/>
                <w:szCs w:val="18"/>
                <w:b w:val="1"/>
                <w:bCs w:val="1"/>
                <w:color w:val="auto"/>
                <w:w w:val="91"/>
              </w:rPr>
              <w:t>Costa Mesa, CA 92626</w:t>
            </w:r>
          </w:p>
        </w:tc>
        <w:tc>
          <w:tcPr>
            <w:tcW w:w="36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1"/>
              </w:rPr>
              <w:t>900 Island Drive</w:t>
            </w:r>
          </w:p>
        </w:tc>
        <w:tc>
          <w:tcPr>
            <w:tcW w:w="260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92"/>
              </w:rPr>
              <w:t>Cooley LLP</w:t>
            </w:r>
          </w:p>
        </w:tc>
      </w:tr>
      <w:tr>
        <w:trPr>
          <w:trHeight w:val="175"/>
        </w:trPr>
        <w:tc>
          <w:tcPr>
            <w:tcW w:w="3360" w:type="dxa"/>
            <w:vAlign w:val="bottom"/>
          </w:tcPr>
          <w:p>
            <w:pPr>
              <w:jc w:val="center"/>
              <w:ind w:right="610"/>
              <w:spacing w:after="0" w:line="176" w:lineRule="exact"/>
              <w:rPr>
                <w:sz w:val="20"/>
                <w:szCs w:val="20"/>
                <w:color w:val="auto"/>
              </w:rPr>
            </w:pPr>
            <w:r>
              <w:rPr>
                <w:rFonts w:ascii="Arial" w:cs="Arial" w:eastAsia="Arial" w:hAnsi="Arial"/>
                <w:sz w:val="18"/>
                <w:szCs w:val="18"/>
                <w:b w:val="1"/>
                <w:bCs w:val="1"/>
                <w:color w:val="auto"/>
                <w:w w:val="92"/>
              </w:rPr>
              <w:t>(714) 540-1235</w:t>
            </w:r>
          </w:p>
        </w:tc>
        <w:tc>
          <w:tcPr>
            <w:tcW w:w="36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1"/>
              </w:rPr>
              <w:t>Redwood City, CA, 94065</w:t>
            </w:r>
          </w:p>
        </w:tc>
        <w:tc>
          <w:tcPr>
            <w:tcW w:w="260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92"/>
              </w:rPr>
              <w:t>4401 Eastgate Mall</w:t>
            </w:r>
          </w:p>
        </w:tc>
      </w:tr>
      <w:tr>
        <w:trPr>
          <w:trHeight w:val="175"/>
        </w:trPr>
        <w:tc>
          <w:tcPr>
            <w:tcW w:w="3360" w:type="dxa"/>
            <w:vAlign w:val="bottom"/>
          </w:tcPr>
          <w:p>
            <w:pPr>
              <w:spacing w:after="0"/>
              <w:rPr>
                <w:sz w:val="15"/>
                <w:szCs w:val="15"/>
                <w:color w:val="auto"/>
              </w:rPr>
            </w:pPr>
          </w:p>
        </w:tc>
        <w:tc>
          <w:tcPr>
            <w:tcW w:w="36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2"/>
              </w:rPr>
              <w:t>(650) 232-7200</w:t>
            </w:r>
          </w:p>
        </w:tc>
        <w:tc>
          <w:tcPr>
            <w:tcW w:w="2600" w:type="dxa"/>
            <w:vAlign w:val="bottom"/>
          </w:tcPr>
          <w:p>
            <w:pPr>
              <w:jc w:val="center"/>
              <w:ind w:left="890"/>
              <w:spacing w:after="0" w:line="176" w:lineRule="exact"/>
              <w:rPr>
                <w:sz w:val="20"/>
                <w:szCs w:val="20"/>
                <w:color w:val="auto"/>
              </w:rPr>
            </w:pPr>
            <w:r>
              <w:rPr>
                <w:rFonts w:ascii="Arial" w:cs="Arial" w:eastAsia="Arial" w:hAnsi="Arial"/>
                <w:sz w:val="18"/>
                <w:szCs w:val="18"/>
                <w:b w:val="1"/>
                <w:bCs w:val="1"/>
                <w:color w:val="auto"/>
                <w:w w:val="90"/>
              </w:rPr>
              <w:t>San Diego, CA 92121</w:t>
            </w:r>
          </w:p>
        </w:tc>
      </w:tr>
      <w:tr>
        <w:trPr>
          <w:trHeight w:val="234"/>
        </w:trPr>
        <w:tc>
          <w:tcPr>
            <w:tcW w:w="33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60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(858) 550-6000</w:t>
            </w:r>
          </w:p>
        </w:tc>
      </w:tr>
    </w:tbl>
    <w:p>
      <w:pPr>
        <w:spacing w:after="0" w:line="233"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90" w:lineRule="exact"/>
        <w:rPr>
          <w:sz w:val="24"/>
          <w:szCs w:val="24"/>
          <w:color w:val="auto"/>
        </w:rPr>
      </w:pPr>
    </w:p>
    <w:p>
      <w:pPr>
        <w:ind w:right="200" w:firstLine="324"/>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o</w:t>
      </w:r>
    </w:p>
    <w:p>
      <w:pPr>
        <w:spacing w:after="0" w:line="8" w:lineRule="exact"/>
        <w:rPr>
          <w:sz w:val="24"/>
          <w:szCs w:val="24"/>
          <w:color w:val="auto"/>
        </w:rPr>
      </w:pPr>
    </w:p>
    <w:p>
      <w:pPr>
        <w:ind w:right="300" w:firstLine="324"/>
        <w:spacing w:after="0" w:line="29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20" w:firstLine="324"/>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8" w:lineRule="exact"/>
        <w:rPr>
          <w:sz w:val="24"/>
          <w:szCs w:val="24"/>
          <w:color w:val="auto"/>
        </w:rPr>
      </w:pPr>
    </w:p>
    <w:p>
      <w:pPr>
        <w:ind w:right="200" w:firstLine="324"/>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8" w:lineRule="exact"/>
        <w:rPr>
          <w:sz w:val="24"/>
          <w:szCs w:val="24"/>
          <w:color w:val="auto"/>
        </w:rPr>
      </w:pPr>
    </w:p>
    <w:p>
      <w:pPr>
        <w:ind w:right="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560" w:type="dxa"/>
            <w:vAlign w:val="bottom"/>
          </w:tcPr>
          <w:p>
            <w:pPr>
              <w:ind w:left="180"/>
              <w:spacing w:after="0"/>
              <w:rPr>
                <w:sz w:val="20"/>
                <w:szCs w:val="20"/>
                <w:color w:val="auto"/>
              </w:rPr>
            </w:pPr>
            <w:r>
              <w:rPr>
                <w:rFonts w:ascii="Arial" w:cs="Arial" w:eastAsia="Arial" w:hAnsi="Arial"/>
                <w:sz w:val="18"/>
                <w:szCs w:val="18"/>
                <w:color w:val="auto"/>
              </w:rPr>
              <w:t>o</w:t>
            </w:r>
          </w:p>
        </w:tc>
        <w:tc>
          <w:tcPr>
            <w:tcW w:w="5440" w:type="dxa"/>
            <w:vAlign w:val="bottom"/>
          </w:tcPr>
          <w:p>
            <w:pPr>
              <w:ind w:left="330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o</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60" w:type="dxa"/>
            <w:vAlign w:val="bottom"/>
          </w:tcPr>
          <w:p>
            <w:pPr>
              <w:ind w:left="180"/>
              <w:spacing w:after="0"/>
              <w:rPr>
                <w:sz w:val="20"/>
                <w:szCs w:val="20"/>
                <w:color w:val="auto"/>
              </w:rPr>
            </w:pPr>
            <w:r>
              <w:rPr>
                <w:rFonts w:ascii="Arial" w:cs="Arial" w:eastAsia="Arial" w:hAnsi="Arial"/>
                <w:sz w:val="18"/>
                <w:szCs w:val="18"/>
                <w:color w:val="auto"/>
              </w:rPr>
              <w:t>x</w:t>
            </w:r>
          </w:p>
        </w:tc>
        <w:tc>
          <w:tcPr>
            <w:tcW w:w="5440" w:type="dxa"/>
            <w:vAlign w:val="bottom"/>
          </w:tcPr>
          <w:p>
            <w:pPr>
              <w:ind w:left="3300"/>
              <w:spacing w:after="0"/>
              <w:rPr>
                <w:sz w:val="20"/>
                <w:szCs w:val="20"/>
                <w:color w:val="auto"/>
              </w:rPr>
            </w:pPr>
            <w:r>
              <w:rPr>
                <w:rFonts w:ascii="Arial" w:cs="Arial" w:eastAsia="Arial" w:hAnsi="Arial"/>
                <w:sz w:val="18"/>
                <w:szCs w:val="18"/>
                <w:color w:val="auto"/>
                <w:w w:val="98"/>
              </w:rPr>
              <w:t>Smaller reporting company</w:t>
            </w:r>
          </w:p>
        </w:tc>
        <w:tc>
          <w:tcPr>
            <w:tcW w:w="240" w:type="dxa"/>
            <w:vAlign w:val="bottom"/>
          </w:tcPr>
          <w:p>
            <w:pPr>
              <w:ind w:left="140"/>
              <w:spacing w:after="0"/>
              <w:rPr>
                <w:sz w:val="20"/>
                <w:szCs w:val="20"/>
                <w:color w:val="auto"/>
              </w:rPr>
            </w:pPr>
            <w:r>
              <w:rPr>
                <w:rFonts w:ascii="Arial" w:cs="Arial" w:eastAsia="Arial" w:hAnsi="Arial"/>
                <w:sz w:val="18"/>
                <w:szCs w:val="18"/>
                <w:color w:val="auto"/>
                <w:w w:val="88"/>
              </w:rPr>
              <w:t>x</w:t>
            </w:r>
          </w:p>
        </w:tc>
      </w:tr>
      <w:tr>
        <w:trPr>
          <w:trHeight w:val="230"/>
        </w:trPr>
        <w:tc>
          <w:tcPr>
            <w:tcW w:w="17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440" w:type="dxa"/>
            <w:vAlign w:val="bottom"/>
          </w:tcPr>
          <w:p>
            <w:pPr>
              <w:ind w:left="3300"/>
              <w:spacing w:after="0"/>
              <w:rPr>
                <w:sz w:val="20"/>
                <w:szCs w:val="20"/>
                <w:color w:val="auto"/>
              </w:rPr>
            </w:pPr>
            <w:r>
              <w:rPr>
                <w:rFonts w:ascii="Arial" w:cs="Arial" w:eastAsia="Arial" w:hAnsi="Arial"/>
                <w:sz w:val="18"/>
                <w:szCs w:val="18"/>
                <w:color w:val="auto"/>
                <w:w w:val="99"/>
              </w:rPr>
              <w:t>Emerging growth company</w:t>
            </w:r>
          </w:p>
        </w:tc>
        <w:tc>
          <w:tcPr>
            <w:tcW w:w="240" w:type="dxa"/>
            <w:vAlign w:val="bottom"/>
          </w:tcPr>
          <w:p>
            <w:pPr>
              <w:ind w:left="140"/>
              <w:spacing w:after="0"/>
              <w:rPr>
                <w:sz w:val="20"/>
                <w:szCs w:val="20"/>
                <w:color w:val="auto"/>
              </w:rPr>
            </w:pPr>
            <w:r>
              <w:rPr>
                <w:rFonts w:ascii="Arial" w:cs="Arial" w:eastAsia="Arial" w:hAnsi="Arial"/>
                <w:sz w:val="18"/>
                <w:szCs w:val="18"/>
                <w:color w:val="auto"/>
                <w:w w:val="88"/>
              </w:rPr>
              <w:t>x</w:t>
            </w:r>
          </w:p>
        </w:tc>
      </w:tr>
    </w:tbl>
    <w:p>
      <w:pPr>
        <w:spacing w:after="0" w:line="67" w:lineRule="exact"/>
        <w:rPr>
          <w:sz w:val="24"/>
          <w:szCs w:val="24"/>
          <w:color w:val="auto"/>
        </w:rPr>
      </w:pPr>
    </w:p>
    <w:p>
      <w:pPr>
        <w:jc w:val="both"/>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5080</wp:posOffset>
            </wp:positionV>
            <wp:extent cx="1191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Title of each class of</w:t>
            </w:r>
          </w:p>
        </w:tc>
        <w:tc>
          <w:tcPr>
            <w:tcW w:w="2420" w:type="dxa"/>
            <w:vAlign w:val="bottom"/>
            <w:tcBorders>
              <w:top w:val="single" w:sz="8" w:color="auto"/>
              <w:right w:val="single" w:sz="8" w:color="auto"/>
            </w:tcBorders>
          </w:tcPr>
          <w:p>
            <w:pPr>
              <w:spacing w:after="0"/>
              <w:rPr>
                <w:sz w:val="16"/>
                <w:szCs w:val="16"/>
                <w:color w:val="auto"/>
              </w:rPr>
            </w:pPr>
          </w:p>
        </w:tc>
        <w:tc>
          <w:tcPr>
            <w:tcW w:w="2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24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6"/>
              </w:rPr>
              <w:t>Proposed</w:t>
            </w:r>
          </w:p>
        </w:tc>
        <w:tc>
          <w:tcPr>
            <w:tcW w:w="1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80" w:type="dxa"/>
            <w:vAlign w:val="bottom"/>
            <w:tcBorders>
              <w:right w:val="single" w:sz="8" w:color="auto"/>
            </w:tcBorders>
            <w:vMerge w:val="continue"/>
          </w:tcPr>
          <w:p>
            <w:pPr>
              <w:spacing w:after="0"/>
              <w:rPr>
                <w:sz w:val="15"/>
                <w:szCs w:val="15"/>
                <w:color w:val="auto"/>
              </w:rPr>
            </w:pPr>
          </w:p>
        </w:tc>
        <w:tc>
          <w:tcPr>
            <w:tcW w:w="2420" w:type="dxa"/>
            <w:vAlign w:val="bottom"/>
            <w:tcBorders>
              <w:right w:val="single" w:sz="8" w:color="auto"/>
            </w:tcBorders>
          </w:tcPr>
          <w:p>
            <w:pPr>
              <w:spacing w:after="0"/>
              <w:rPr>
                <w:sz w:val="15"/>
                <w:szCs w:val="15"/>
                <w:color w:val="auto"/>
              </w:rPr>
            </w:pPr>
          </w:p>
        </w:tc>
        <w:tc>
          <w:tcPr>
            <w:tcW w:w="2440" w:type="dxa"/>
            <w:vAlign w:val="bottom"/>
            <w:tcBorders>
              <w:right w:val="single" w:sz="8" w:color="auto"/>
            </w:tcBorders>
            <w:vMerge w:val="continue"/>
          </w:tcPr>
          <w:p>
            <w:pPr>
              <w:spacing w:after="0"/>
              <w:rPr>
                <w:sz w:val="15"/>
                <w:szCs w:val="15"/>
                <w:color w:val="auto"/>
              </w:rPr>
            </w:pP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maximum</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75"/>
        </w:trPr>
        <w:tc>
          <w:tcPr>
            <w:tcW w:w="19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4"/>
              </w:rPr>
              <w:t>securities to be</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 xml:space="preserve">Amount to be Registered </w:t>
            </w:r>
            <w:r>
              <w:rPr>
                <w:rFonts w:ascii="Arial" w:cs="Arial" w:eastAsia="Arial" w:hAnsi="Arial"/>
                <w:sz w:val="23"/>
                <w:szCs w:val="23"/>
                <w:b w:val="1"/>
                <w:bCs w:val="1"/>
                <w:color w:val="auto"/>
                <w:w w:val="86"/>
                <w:vertAlign w:val="superscript"/>
              </w:rPr>
              <w:t>(1)(2)</w:t>
            </w:r>
          </w:p>
        </w:tc>
        <w:tc>
          <w:tcPr>
            <w:tcW w:w="24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Aggregate Offering Price Per</w:t>
            </w: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5"/>
              </w:rPr>
              <w:t>aggregate</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42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9"/>
              </w:rPr>
              <w:t>offering price</w:t>
            </w:r>
            <w:r>
              <w:rPr>
                <w:rFonts w:ascii="Arial" w:cs="Arial" w:eastAsia="Arial" w:hAnsi="Arial"/>
                <w:sz w:val="23"/>
                <w:szCs w:val="23"/>
                <w:b w:val="1"/>
                <w:bCs w:val="1"/>
                <w:color w:val="auto"/>
                <w:w w:val="89"/>
                <w:vertAlign w:val="superscript"/>
              </w:rPr>
              <w:t>(1)(2)</w:t>
            </w:r>
          </w:p>
        </w:tc>
        <w:tc>
          <w:tcPr>
            <w:tcW w:w="19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7"/>
              </w:rPr>
              <w:t>registration fee</w:t>
            </w:r>
            <w:r>
              <w:rPr>
                <w:rFonts w:ascii="Arial" w:cs="Arial" w:eastAsia="Arial" w:hAnsi="Arial"/>
                <w:sz w:val="23"/>
                <w:szCs w:val="23"/>
                <w:b w:val="1"/>
                <w:bCs w:val="1"/>
                <w:color w:val="auto"/>
                <w:w w:val="87"/>
                <w:vertAlign w:val="superscript"/>
              </w:rPr>
              <w:t>(3)</w:t>
            </w:r>
          </w:p>
        </w:tc>
        <w:tc>
          <w:tcPr>
            <w:tcW w:w="0" w:type="dxa"/>
            <w:vAlign w:val="bottom"/>
          </w:tcPr>
          <w:p>
            <w:pPr>
              <w:spacing w:after="0"/>
              <w:rPr>
                <w:sz w:val="1"/>
                <w:szCs w:val="1"/>
                <w:color w:val="auto"/>
              </w:rPr>
            </w:pPr>
          </w:p>
        </w:tc>
      </w:tr>
      <w:tr>
        <w:trPr>
          <w:trHeight w:val="169"/>
        </w:trPr>
        <w:tc>
          <w:tcPr>
            <w:tcW w:w="19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Common stock, par value</w:t>
            </w:r>
          </w:p>
        </w:tc>
        <w:tc>
          <w:tcPr>
            <w:tcW w:w="2420" w:type="dxa"/>
            <w:vAlign w:val="bottom"/>
            <w:tcBorders>
              <w:right w:val="single" w:sz="8" w:color="auto"/>
            </w:tcBorders>
            <w:vMerge w:val="restart"/>
          </w:tcPr>
          <w:p>
            <w:pPr>
              <w:jc w:val="right"/>
              <w:ind w:right="770"/>
              <w:spacing w:after="0"/>
              <w:rPr>
                <w:sz w:val="20"/>
                <w:szCs w:val="20"/>
                <w:color w:val="auto"/>
              </w:rPr>
            </w:pPr>
            <w:r>
              <w:rPr>
                <w:rFonts w:ascii="Arial" w:cs="Arial" w:eastAsia="Arial" w:hAnsi="Arial"/>
                <w:sz w:val="18"/>
                <w:szCs w:val="18"/>
                <w:color w:val="auto"/>
              </w:rPr>
              <w:t>6,325,000</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$24.00</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$151,800,000</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89"/>
              </w:rPr>
              <w:t>$16,562</w:t>
            </w:r>
          </w:p>
        </w:tc>
        <w:tc>
          <w:tcPr>
            <w:tcW w:w="0" w:type="dxa"/>
            <w:vAlign w:val="bottom"/>
          </w:tcPr>
          <w:p>
            <w:pPr>
              <w:spacing w:after="0"/>
              <w:rPr>
                <w:sz w:val="1"/>
                <w:szCs w:val="1"/>
                <w:color w:val="auto"/>
              </w:rPr>
            </w:pPr>
          </w:p>
        </w:tc>
      </w:tr>
      <w:tr>
        <w:trPr>
          <w:trHeight w:val="229"/>
        </w:trPr>
        <w:tc>
          <w:tcPr>
            <w:tcW w:w="1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$0.00001 per share</w:t>
            </w: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2440" w:type="dxa"/>
            <w:vAlign w:val="bottom"/>
            <w:tcBorders>
              <w:bottom w:val="single" w:sz="8" w:color="auto"/>
              <w:right w:val="single" w:sz="8" w:color="auto"/>
            </w:tcBorders>
            <w:vMerge w:val="continue"/>
          </w:tcPr>
          <w:p>
            <w:pPr>
              <w:spacing w:after="0"/>
              <w:rPr>
                <w:sz w:val="19"/>
                <w:szCs w:val="19"/>
                <w:color w:val="auto"/>
              </w:rPr>
            </w:pP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sectPr>
          <w:pgSz w:w="11900" w:h="16838" w:orient="portrait"/>
          <w:cols w:equalWidth="0" w:num="1">
            <w:col w:w="11240"/>
          </w:cols>
          <w:pgMar w:left="320" w:top="634" w:right="339" w:bottom="0" w:gutter="0" w:footer="0" w:header="0"/>
        </w:sect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under the Securities Act of 1933, as amended.</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offering price of shares of common stock that may be sold if the underwriters fully exercise their option to purchase 825,000 additional shares of common stock.</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$10,910 of this amount with previous filings of the registration statement.</w:t>
      </w:r>
    </w:p>
    <w:p>
      <w:pPr>
        <w:sectPr>
          <w:pgSz w:w="11900" w:h="16838" w:orient="portrait"/>
          <w:cols w:equalWidth="0" w:num="1">
            <w:col w:w="11240"/>
          </w:cols>
          <w:pgMar w:left="320" w:top="634" w:right="339" w:bottom="0" w:gutter="0" w:footer="0" w:header="0"/>
          <w:type w:val="continuous"/>
        </w:sectPr>
      </w:pPr>
    </w:p>
    <w:bookmarkStart w:id="1" w:name="page2"/>
    <w:bookmarkEnd w:id="1"/>
    <w:p>
      <w:pPr>
        <w:ind w:firstLine="324"/>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3182620</wp:posOffset>
            </wp:positionH>
            <wp:positionV relativeFrom="page">
              <wp:posOffset>106045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ectPr>
          <w:pgSz w:w="11900" w:h="16838" w:orient="portrait"/>
          <w:cols w:equalWidth="0" w:num="1">
            <w:col w:w="11200"/>
          </w:cols>
          <w:pgMar w:left="320" w:top="297" w:right="379" w:bottom="1440" w:gutter="0" w:footer="0" w:header="0"/>
        </w:sectPr>
      </w:pPr>
    </w:p>
    <w:bookmarkStart w:id="2" w:name="page3"/>
    <w:bookmarkEnd w:id="2"/>
    <w:p>
      <w:pPr>
        <w:ind w:right="40"/>
        <w:spacing w:after="0" w:line="263" w:lineRule="auto"/>
        <w:rPr>
          <w:sz w:val="20"/>
          <w:szCs w:val="20"/>
          <w:color w:val="auto"/>
        </w:rPr>
      </w:pPr>
      <w:r>
        <w:rPr>
          <w:rFonts w:ascii="Arial" w:cs="Arial" w:eastAsia="Arial" w:hAnsi="Arial"/>
          <w:sz w:val="18"/>
          <w:szCs w:val="18"/>
          <w:color w:val="F166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1665F"/>
        </w:rPr>
        <w:t>Subject to Completion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1665F"/>
        </w:rPr>
        <w:t>Preliminary Prospectus dated September 8, 2021</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5,500,000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24130</wp:posOffset>
            </wp:positionV>
            <wp:extent cx="2391410" cy="814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141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130810</wp:posOffset>
            </wp:positionV>
            <wp:extent cx="1311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60"/>
        <w:spacing w:after="0"/>
        <w:tabs>
          <w:tab w:leader="none" w:pos="9480" w:val="left"/>
        </w:tabs>
        <w:rPr>
          <w:sz w:val="20"/>
          <w:szCs w:val="20"/>
          <w:color w:val="auto"/>
        </w:rPr>
      </w:pPr>
      <w:r>
        <w:rPr>
          <w:rFonts w:ascii="Arial" w:cs="Arial" w:eastAsia="Arial" w:hAnsi="Arial"/>
          <w:sz w:val="18"/>
          <w:szCs w:val="18"/>
          <w:color w:val="auto"/>
        </w:rPr>
        <w:t>This is an initial public offering of shares of common stock of PROCEPT BioRobotics Corporation. We are selling</w:t>
      </w:r>
      <w:r>
        <w:rPr>
          <w:sz w:val="20"/>
          <w:szCs w:val="20"/>
          <w:color w:val="auto"/>
        </w:rPr>
        <w:tab/>
      </w:r>
      <w:r>
        <w:rPr>
          <w:rFonts w:ascii="Arial" w:cs="Arial" w:eastAsia="Arial" w:hAnsi="Arial"/>
          <w:sz w:val="16"/>
          <w:szCs w:val="16"/>
          <w:color w:val="auto"/>
        </w:rPr>
        <w:t>shares of our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Prior to this offering, there has been no public market for our common stock. It is currently estimated that the initial public offering price will be between $22.00 and $24.00 per share. We have applied to list our common stock on the Nasdaq Global Market under the symbol “PRCT.”</w:t>
      </w:r>
    </w:p>
    <w:p>
      <w:pPr>
        <w:spacing w:after="0" w:line="92"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We are an “emerging growth company” and a “smaller reporting company” as defined under the federal securities laws and, as such, we have elected to comply with certain reduced public company reporting requirements for this prospectus and may elect to do so in future filings.</w:t>
      </w:r>
    </w:p>
    <w:p>
      <w:pPr>
        <w:spacing w:after="0" w:line="7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Investing in our common stock involves risks that are described in the “Risk Factors” section beginning on page 14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94615</wp:posOffset>
            </wp:positionV>
            <wp:extent cx="1311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Per Share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23"/>
        </w:trPr>
        <w:tc>
          <w:tcPr>
            <w:tcW w:w="6980" w:type="dxa"/>
            <w:vAlign w:val="bottom"/>
          </w:tcPr>
          <w:p>
            <w:pPr>
              <w:ind w:left="420"/>
              <w:spacing w:after="0"/>
              <w:rPr>
                <w:sz w:val="20"/>
                <w:szCs w:val="20"/>
                <w:color w:val="auto"/>
              </w:rPr>
            </w:pPr>
            <w:r>
              <w:rPr>
                <w:rFonts w:ascii="Arial" w:cs="Arial" w:eastAsia="Arial" w:hAnsi="Arial"/>
                <w:sz w:val="18"/>
                <w:szCs w:val="18"/>
                <w:color w:val="auto"/>
              </w:rPr>
              <w:t>Initial public offering price</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5"/>
        </w:trPr>
        <w:tc>
          <w:tcPr>
            <w:tcW w:w="6980" w:type="dxa"/>
            <w:vAlign w:val="bottom"/>
          </w:tcPr>
          <w:p>
            <w:pPr>
              <w:ind w:left="420"/>
              <w:spacing w:after="0" w:line="235"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980" w:type="dxa"/>
            <w:vAlign w:val="bottom"/>
          </w:tcPr>
          <w:p>
            <w:pPr>
              <w:ind w:left="420"/>
              <w:spacing w:after="0"/>
              <w:rPr>
                <w:sz w:val="20"/>
                <w:szCs w:val="20"/>
                <w:color w:val="auto"/>
              </w:rPr>
            </w:pPr>
            <w:r>
              <w:rPr>
                <w:rFonts w:ascii="Arial" w:cs="Arial" w:eastAsia="Arial" w:hAnsi="Arial"/>
                <w:sz w:val="18"/>
                <w:szCs w:val="18"/>
                <w:color w:val="auto"/>
              </w:rPr>
              <w:t>Proceeds, before expenses, to us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04"/>
        </w:trPr>
        <w:tc>
          <w:tcPr>
            <w:tcW w:w="6980" w:type="dxa"/>
            <w:vAlign w:val="bottom"/>
          </w:tcPr>
          <w:p>
            <w:pPr>
              <w:jc w:val="right"/>
              <w:ind w:right="5990"/>
              <w:spacing w:after="0"/>
              <w:rPr>
                <w:sz w:val="20"/>
                <w:szCs w:val="20"/>
                <w:color w:val="auto"/>
              </w:rPr>
            </w:pPr>
            <w:r>
              <w:rPr>
                <w:rFonts w:ascii="Arial" w:cs="Arial" w:eastAsia="Arial" w:hAnsi="Arial"/>
                <w:sz w:val="18"/>
                <w:szCs w:val="18"/>
                <w:color w:val="auto"/>
                <w:w w:val="87"/>
              </w:rPr>
              <w:t>__________</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ind w:left="660"/>
        <w:spacing w:after="0"/>
        <w:rPr>
          <w:sz w:val="20"/>
          <w:szCs w:val="20"/>
          <w:color w:val="auto"/>
        </w:rPr>
      </w:pPr>
      <w:r>
        <w:rPr>
          <w:rFonts w:ascii="Arial" w:cs="Arial" w:eastAsia="Arial" w:hAnsi="Arial"/>
          <w:sz w:val="14"/>
          <w:szCs w:val="14"/>
          <w:color w:val="auto"/>
        </w:rPr>
        <w:t>(1) See the section titled “Underwriting” for additional information regarding compensation payable to the underwriters.</w:t>
      </w:r>
    </w:p>
    <w:p>
      <w:pPr>
        <w:spacing w:after="0" w:line="15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To the extent that the underwriters sell more than 5,500,000 shares of common stock, the underwriters have the option to purchase up to an additional 825,000 shares of common stock from us at the initial public offering price less the underwriting discounts and commissions.</w:t>
      </w:r>
    </w:p>
    <w:p>
      <w:pPr>
        <w:spacing w:after="0" w:line="66" w:lineRule="exact"/>
        <w:rPr>
          <w:sz w:val="20"/>
          <w:szCs w:val="20"/>
          <w:color w:val="auto"/>
        </w:rPr>
      </w:pPr>
    </w:p>
    <w:p>
      <w:pPr>
        <w:ind w:right="66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w w:val="95"/>
              </w:rPr>
              <w:t>The underwriters expect to deliver the shares of common stock to purchasers on or about</w:t>
            </w:r>
          </w:p>
        </w:tc>
        <w:tc>
          <w:tcPr>
            <w:tcW w:w="8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120015</wp:posOffset>
            </wp:positionV>
            <wp:extent cx="1311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375"/>
        </w:trPr>
        <w:tc>
          <w:tcPr>
            <w:tcW w:w="2940" w:type="dxa"/>
            <w:vAlign w:val="bottom"/>
          </w:tcPr>
          <w:p>
            <w:pPr>
              <w:spacing w:after="0"/>
              <w:rPr>
                <w:sz w:val="20"/>
                <w:szCs w:val="20"/>
                <w:color w:val="auto"/>
              </w:rPr>
            </w:pPr>
            <w:r>
              <w:rPr>
                <w:rFonts w:ascii="Arial" w:cs="Arial" w:eastAsia="Arial" w:hAnsi="Arial"/>
                <w:sz w:val="29"/>
                <w:szCs w:val="29"/>
                <w:b w:val="1"/>
                <w:bCs w:val="1"/>
                <w:color w:val="auto"/>
              </w:rPr>
              <w:t>BofA Securities</w:t>
            </w:r>
          </w:p>
        </w:tc>
        <w:tc>
          <w:tcPr>
            <w:tcW w:w="1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60" w:type="dxa"/>
            <w:vAlign w:val="bottom"/>
          </w:tcPr>
          <w:p>
            <w:pPr>
              <w:jc w:val="right"/>
              <w:spacing w:after="0"/>
              <w:rPr>
                <w:sz w:val="20"/>
                <w:szCs w:val="20"/>
                <w:color w:val="auto"/>
              </w:rPr>
            </w:pPr>
            <w:r>
              <w:rPr>
                <w:rFonts w:ascii="Arial" w:cs="Arial" w:eastAsia="Arial" w:hAnsi="Arial"/>
                <w:sz w:val="29"/>
                <w:szCs w:val="29"/>
                <w:b w:val="1"/>
                <w:bCs w:val="1"/>
                <w:color w:val="auto"/>
                <w:w w:val="99"/>
              </w:rPr>
              <w:t>Goldman Sachs &amp; Co. LLC</w:t>
            </w:r>
          </w:p>
        </w:tc>
      </w:tr>
      <w:tr>
        <w:trPr>
          <w:trHeight w:val="355"/>
        </w:trPr>
        <w:tc>
          <w:tcPr>
            <w:tcW w:w="2940" w:type="dxa"/>
            <w:vAlign w:val="bottom"/>
          </w:tcPr>
          <w:p>
            <w:pPr>
              <w:spacing w:after="0"/>
              <w:rPr>
                <w:sz w:val="20"/>
                <w:szCs w:val="20"/>
                <w:color w:val="auto"/>
              </w:rPr>
            </w:pPr>
            <w:r>
              <w:rPr>
                <w:rFonts w:ascii="Arial" w:cs="Arial" w:eastAsia="Arial" w:hAnsi="Arial"/>
                <w:sz w:val="25"/>
                <w:szCs w:val="25"/>
                <w:b w:val="1"/>
                <w:bCs w:val="1"/>
                <w:color w:val="auto"/>
              </w:rPr>
              <w:t>Cowen</w:t>
            </w:r>
          </w:p>
        </w:tc>
        <w:tc>
          <w:tcPr>
            <w:tcW w:w="4600" w:type="dxa"/>
            <w:vAlign w:val="bottom"/>
            <w:gridSpan w:val="3"/>
          </w:tcPr>
          <w:p>
            <w:pPr>
              <w:jc w:val="right"/>
              <w:ind w:right="530"/>
              <w:spacing w:after="0"/>
              <w:rPr>
                <w:sz w:val="20"/>
                <w:szCs w:val="20"/>
                <w:color w:val="auto"/>
              </w:rPr>
            </w:pPr>
            <w:r>
              <w:rPr>
                <w:rFonts w:ascii="Arial" w:cs="Arial" w:eastAsia="Arial" w:hAnsi="Arial"/>
                <w:sz w:val="25"/>
                <w:szCs w:val="25"/>
                <w:b w:val="1"/>
                <w:bCs w:val="1"/>
                <w:color w:val="auto"/>
              </w:rPr>
              <w:t>Guggenheim Securities</w:t>
            </w:r>
          </w:p>
        </w:tc>
        <w:tc>
          <w:tcPr>
            <w:tcW w:w="3660" w:type="dxa"/>
            <w:vAlign w:val="bottom"/>
          </w:tcPr>
          <w:p>
            <w:pPr>
              <w:jc w:val="right"/>
              <w:spacing w:after="0"/>
              <w:rPr>
                <w:sz w:val="20"/>
                <w:szCs w:val="20"/>
                <w:color w:val="auto"/>
              </w:rPr>
            </w:pPr>
            <w:r>
              <w:rPr>
                <w:rFonts w:ascii="Arial" w:cs="Arial" w:eastAsia="Arial" w:hAnsi="Arial"/>
                <w:sz w:val="25"/>
                <w:szCs w:val="25"/>
                <w:b w:val="1"/>
                <w:bCs w:val="1"/>
                <w:color w:val="auto"/>
              </w:rPr>
              <w:t>SVB Leerink</w:t>
            </w:r>
          </w:p>
        </w:tc>
      </w:tr>
      <w:tr>
        <w:trPr>
          <w:trHeight w:val="302"/>
        </w:trPr>
        <w:tc>
          <w:tcPr>
            <w:tcW w:w="2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06"/>
        </w:trPr>
        <w:tc>
          <w:tcPr>
            <w:tcW w:w="2940" w:type="dxa"/>
            <w:vAlign w:val="bottom"/>
          </w:tcPr>
          <w:p>
            <w:pPr>
              <w:spacing w:after="0"/>
              <w:rPr>
                <w:sz w:val="24"/>
                <w:szCs w:val="24"/>
                <w:color w:val="auto"/>
              </w:rPr>
            </w:pPr>
          </w:p>
        </w:tc>
        <w:tc>
          <w:tcPr>
            <w:tcW w:w="3700" w:type="dxa"/>
            <w:vAlign w:val="bottom"/>
            <w:gridSpan w:val="2"/>
          </w:tcPr>
          <w:p>
            <w:pPr>
              <w:ind w:left="1000"/>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 2021</w:t>
            </w:r>
          </w:p>
        </w:tc>
        <w:tc>
          <w:tcPr>
            <w:tcW w:w="3660" w:type="dxa"/>
            <w:vAlign w:val="bottom"/>
          </w:tcPr>
          <w:p>
            <w:pPr>
              <w:spacing w:after="0"/>
              <w:rPr>
                <w:sz w:val="24"/>
                <w:szCs w:val="24"/>
                <w:color w:val="auto"/>
              </w:rPr>
            </w:pPr>
          </w:p>
        </w:tc>
      </w:tr>
    </w:tbl>
    <w:p>
      <w:pPr>
        <w:sectPr>
          <w:pgSz w:w="11900" w:h="16838" w:orient="portrait"/>
          <w:cols w:equalWidth="0" w:num="1">
            <w:col w:w="11220"/>
          </w:cols>
          <w:pgMar w:left="320" w:top="935" w:right="3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84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r>
      <w:tr>
        <w:trPr>
          <w:trHeight w:val="378"/>
        </w:trPr>
        <w:tc>
          <w:tcPr>
            <w:tcW w:w="108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49"/>
        </w:trPr>
        <w:tc>
          <w:tcPr>
            <w:tcW w:w="1084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MARKET AND INDUSTRY DATA</w:t>
              </w:r>
            </w:hyperlink>
          </w:p>
        </w:tc>
        <w:tc>
          <w:tcPr>
            <w:tcW w:w="3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ii</w:t>
              </w:r>
            </w:hyperlink>
          </w:p>
        </w:tc>
      </w:tr>
      <w:tr>
        <w:trPr>
          <w:trHeight w:val="229"/>
        </w:trPr>
        <w:tc>
          <w:tcPr>
            <w:tcW w:w="10840" w:type="dxa"/>
            <w:vAlign w:val="bottom"/>
          </w:tcPr>
          <w:p>
            <w:pPr>
              <w:spacing w:after="0"/>
              <w:rPr>
                <w:rFonts w:ascii="Arial" w:cs="Arial" w:eastAsia="Arial" w:hAnsi="Arial"/>
                <w:sz w:val="18"/>
                <w:szCs w:val="18"/>
                <w:color w:val="auto"/>
              </w:rPr>
            </w:pPr>
            <w:hyperlink w:anchor="page6">
              <w:r>
                <w:rPr>
                  <w:rFonts w:ascii="Arial" w:cs="Arial" w:eastAsia="Arial" w:hAnsi="Arial"/>
                  <w:sz w:val="18"/>
                  <w:szCs w:val="18"/>
                  <w:color w:val="auto"/>
                </w:rPr>
                <w:t>CERTAIN TRADEMARKS, TRADE NAMES AND SERVICE MARKS</w:t>
              </w:r>
            </w:hyperlink>
          </w:p>
        </w:tc>
        <w:tc>
          <w:tcPr>
            <w:tcW w:w="3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ii</w:t>
              </w:r>
            </w:hyperlink>
          </w:p>
        </w:tc>
      </w:tr>
      <w:tr>
        <w:trPr>
          <w:trHeight w:val="230"/>
        </w:trPr>
        <w:tc>
          <w:tcPr>
            <w:tcW w:w="10840" w:type="dxa"/>
            <w:vAlign w:val="bottom"/>
          </w:tcPr>
          <w:p>
            <w:pPr>
              <w:spacing w:after="0"/>
              <w:rPr>
                <w:rFonts w:ascii="Arial" w:cs="Arial" w:eastAsia="Arial" w:hAnsi="Arial"/>
                <w:sz w:val="18"/>
                <w:szCs w:val="18"/>
                <w:color w:val="auto"/>
              </w:rPr>
            </w:pPr>
            <w:hyperlink w:anchor="page6">
              <w:r>
                <w:rPr>
                  <w:rFonts w:ascii="Arial" w:cs="Arial" w:eastAsia="Arial" w:hAnsi="Arial"/>
                  <w:sz w:val="18"/>
                  <w:szCs w:val="18"/>
                  <w:color w:val="auto"/>
                </w:rPr>
                <w:t>PROSPECTUS SUMMARY</w:t>
              </w:r>
            </w:hyperlink>
          </w:p>
        </w:tc>
        <w:tc>
          <w:tcPr>
            <w:tcW w:w="3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tc>
      </w:tr>
      <w:tr>
        <w:trPr>
          <w:trHeight w:val="229"/>
        </w:trPr>
        <w:tc>
          <w:tcPr>
            <w:tcW w:w="1084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RISK FACTORS</w:t>
              </w:r>
            </w:hyperlink>
          </w:p>
        </w:tc>
        <w:tc>
          <w:tcPr>
            <w:tcW w:w="36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14</w:t>
              </w:r>
            </w:hyperlink>
          </w:p>
        </w:tc>
      </w:tr>
      <w:tr>
        <w:trPr>
          <w:trHeight w:val="229"/>
        </w:trPr>
        <w:tc>
          <w:tcPr>
            <w:tcW w:w="10840" w:type="dxa"/>
            <w:vAlign w:val="bottom"/>
          </w:tcPr>
          <w:p>
            <w:pPr>
              <w:spacing w:after="0"/>
              <w:rPr>
                <w:rFonts w:ascii="Arial" w:cs="Arial" w:eastAsia="Arial" w:hAnsi="Arial"/>
                <w:sz w:val="18"/>
                <w:szCs w:val="18"/>
                <w:color w:val="auto"/>
              </w:rPr>
            </w:pPr>
            <w:hyperlink w:anchor="page78">
              <w:r>
                <w:rPr>
                  <w:rFonts w:ascii="Arial" w:cs="Arial" w:eastAsia="Arial" w:hAnsi="Arial"/>
                  <w:sz w:val="18"/>
                  <w:szCs w:val="18"/>
                  <w:color w:val="auto"/>
                </w:rPr>
                <w:t>CAUTIONARY NOTE REGARDING FORWARD-LOOKING STATEMENTS</w:t>
              </w:r>
            </w:hyperlink>
          </w:p>
        </w:tc>
        <w:tc>
          <w:tcPr>
            <w:tcW w:w="36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73</w:t>
              </w:r>
            </w:hyperlink>
          </w:p>
        </w:tc>
      </w:tr>
      <w:tr>
        <w:trPr>
          <w:trHeight w:val="230"/>
        </w:trPr>
        <w:tc>
          <w:tcPr>
            <w:tcW w:w="10840" w:type="dxa"/>
            <w:vAlign w:val="bottom"/>
          </w:tcPr>
          <w:p>
            <w:pPr>
              <w:spacing w:after="0"/>
              <w:rPr>
                <w:rFonts w:ascii="Arial" w:cs="Arial" w:eastAsia="Arial" w:hAnsi="Arial"/>
                <w:sz w:val="18"/>
                <w:szCs w:val="18"/>
                <w:color w:val="auto"/>
              </w:rPr>
            </w:pPr>
            <w:hyperlink w:anchor="page80">
              <w:r>
                <w:rPr>
                  <w:rFonts w:ascii="Arial" w:cs="Arial" w:eastAsia="Arial" w:hAnsi="Arial"/>
                  <w:sz w:val="18"/>
                  <w:szCs w:val="18"/>
                  <w:color w:val="auto"/>
                </w:rPr>
                <w:t>USE OF PROCEEDS</w:t>
              </w:r>
            </w:hyperlink>
          </w:p>
        </w:tc>
        <w:tc>
          <w:tcPr>
            <w:tcW w:w="36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75</w:t>
              </w:r>
            </w:hyperlink>
          </w:p>
        </w:tc>
      </w:tr>
      <w:tr>
        <w:trPr>
          <w:trHeight w:val="229"/>
        </w:trPr>
        <w:tc>
          <w:tcPr>
            <w:tcW w:w="10840" w:type="dxa"/>
            <w:vAlign w:val="bottom"/>
          </w:tcPr>
          <w:p>
            <w:pPr>
              <w:spacing w:after="0"/>
              <w:rPr>
                <w:rFonts w:ascii="Arial" w:cs="Arial" w:eastAsia="Arial" w:hAnsi="Arial"/>
                <w:sz w:val="18"/>
                <w:szCs w:val="18"/>
                <w:color w:val="auto"/>
              </w:rPr>
            </w:pPr>
            <w:hyperlink w:anchor="page81">
              <w:r>
                <w:rPr>
                  <w:rFonts w:ascii="Arial" w:cs="Arial" w:eastAsia="Arial" w:hAnsi="Arial"/>
                  <w:sz w:val="18"/>
                  <w:szCs w:val="18"/>
                  <w:color w:val="auto"/>
                </w:rPr>
                <w:t>CAPITALIZATION</w:t>
              </w:r>
            </w:hyperlink>
          </w:p>
        </w:tc>
        <w:tc>
          <w:tcPr>
            <w:tcW w:w="36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76</w:t>
              </w:r>
            </w:hyperlink>
          </w:p>
        </w:tc>
      </w:tr>
      <w:tr>
        <w:trPr>
          <w:trHeight w:val="229"/>
        </w:trPr>
        <w:tc>
          <w:tcPr>
            <w:tcW w:w="10840" w:type="dxa"/>
            <w:vAlign w:val="bottom"/>
          </w:tcPr>
          <w:p>
            <w:pPr>
              <w:spacing w:after="0"/>
              <w:rPr>
                <w:rFonts w:ascii="Arial" w:cs="Arial" w:eastAsia="Arial" w:hAnsi="Arial"/>
                <w:sz w:val="18"/>
                <w:szCs w:val="18"/>
                <w:color w:val="auto"/>
              </w:rPr>
            </w:pPr>
            <w:hyperlink w:anchor="page83">
              <w:r>
                <w:rPr>
                  <w:rFonts w:ascii="Arial" w:cs="Arial" w:eastAsia="Arial" w:hAnsi="Arial"/>
                  <w:sz w:val="18"/>
                  <w:szCs w:val="18"/>
                  <w:color w:val="auto"/>
                </w:rPr>
                <w:t>DIVIDEND POLICY</w:t>
              </w:r>
            </w:hyperlink>
          </w:p>
        </w:tc>
        <w:tc>
          <w:tcPr>
            <w:tcW w:w="36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78</w:t>
              </w:r>
            </w:hyperlink>
          </w:p>
        </w:tc>
      </w:tr>
      <w:tr>
        <w:trPr>
          <w:trHeight w:val="230"/>
        </w:trPr>
        <w:tc>
          <w:tcPr>
            <w:tcW w:w="10840" w:type="dxa"/>
            <w:vAlign w:val="bottom"/>
          </w:tcPr>
          <w:p>
            <w:pPr>
              <w:spacing w:after="0"/>
              <w:rPr>
                <w:rFonts w:ascii="Arial" w:cs="Arial" w:eastAsia="Arial" w:hAnsi="Arial"/>
                <w:sz w:val="18"/>
                <w:szCs w:val="18"/>
                <w:color w:val="auto"/>
              </w:rPr>
            </w:pPr>
            <w:hyperlink w:anchor="page84">
              <w:r>
                <w:rPr>
                  <w:rFonts w:ascii="Arial" w:cs="Arial" w:eastAsia="Arial" w:hAnsi="Arial"/>
                  <w:sz w:val="18"/>
                  <w:szCs w:val="18"/>
                  <w:color w:val="auto"/>
                </w:rPr>
                <w:t>DILUTION</w:t>
              </w:r>
            </w:hyperlink>
          </w:p>
        </w:tc>
        <w:tc>
          <w:tcPr>
            <w:tcW w:w="36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79</w:t>
              </w:r>
            </w:hyperlink>
          </w:p>
        </w:tc>
      </w:tr>
      <w:tr>
        <w:trPr>
          <w:trHeight w:val="243"/>
        </w:trPr>
        <w:tc>
          <w:tcPr>
            <w:tcW w:w="10840" w:type="dxa"/>
            <w:vAlign w:val="bottom"/>
          </w:tcPr>
          <w:p>
            <w:pPr>
              <w:spacing w:after="0"/>
              <w:rPr>
                <w:rFonts w:ascii="Arial" w:cs="Arial" w:eastAsia="Arial" w:hAnsi="Arial"/>
                <w:sz w:val="18"/>
                <w:szCs w:val="18"/>
                <w:color w:val="auto"/>
              </w:rPr>
            </w:pPr>
            <w:hyperlink w:anchor="page87">
              <w:r>
                <w:rPr>
                  <w:rFonts w:ascii="Arial" w:cs="Arial" w:eastAsia="Arial" w:hAnsi="Arial"/>
                  <w:sz w:val="18"/>
                  <w:szCs w:val="18"/>
                  <w:color w:val="auto"/>
                </w:rPr>
                <w:t>MANAGEMENT’S DISCUSSION AND ANALYSIS OF FINANCIAL CONDITION AND RESULTS OF OPERATIONS</w:t>
              </w:r>
            </w:hyperlink>
          </w:p>
        </w:tc>
        <w:tc>
          <w:tcPr>
            <w:tcW w:w="36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82</w:t>
              </w:r>
            </w:hyperlink>
          </w:p>
        </w:tc>
      </w:tr>
      <w:tr>
        <w:trPr>
          <w:trHeight w:val="230"/>
        </w:trPr>
        <w:tc>
          <w:tcPr>
            <w:tcW w:w="10840" w:type="dxa"/>
            <w:vAlign w:val="bottom"/>
          </w:tcPr>
          <w:p>
            <w:pPr>
              <w:spacing w:after="0"/>
              <w:rPr>
                <w:rFonts w:ascii="Arial" w:cs="Arial" w:eastAsia="Arial" w:hAnsi="Arial"/>
                <w:sz w:val="18"/>
                <w:szCs w:val="18"/>
                <w:color w:val="auto"/>
              </w:rPr>
            </w:pPr>
            <w:hyperlink w:anchor="page106">
              <w:r>
                <w:rPr>
                  <w:rFonts w:ascii="Arial" w:cs="Arial" w:eastAsia="Arial" w:hAnsi="Arial"/>
                  <w:sz w:val="18"/>
                  <w:szCs w:val="18"/>
                  <w:color w:val="auto"/>
                </w:rPr>
                <w:t>BUSINESS</w:t>
              </w:r>
            </w:hyperlink>
          </w:p>
        </w:tc>
        <w:tc>
          <w:tcPr>
            <w:tcW w:w="360" w:type="dxa"/>
            <w:vAlign w:val="bottom"/>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101</w:t>
              </w:r>
            </w:hyperlink>
          </w:p>
        </w:tc>
      </w:tr>
      <w:tr>
        <w:trPr>
          <w:trHeight w:val="229"/>
        </w:trPr>
        <w:tc>
          <w:tcPr>
            <w:tcW w:w="10840" w:type="dxa"/>
            <w:vAlign w:val="bottom"/>
          </w:tcPr>
          <w:p>
            <w:pPr>
              <w:spacing w:after="0"/>
              <w:rPr>
                <w:rFonts w:ascii="Arial" w:cs="Arial" w:eastAsia="Arial" w:hAnsi="Arial"/>
                <w:sz w:val="18"/>
                <w:szCs w:val="18"/>
                <w:color w:val="auto"/>
              </w:rPr>
            </w:pPr>
            <w:hyperlink w:anchor="page145">
              <w:r>
                <w:rPr>
                  <w:rFonts w:ascii="Arial" w:cs="Arial" w:eastAsia="Arial" w:hAnsi="Arial"/>
                  <w:sz w:val="18"/>
                  <w:szCs w:val="18"/>
                  <w:color w:val="auto"/>
                </w:rPr>
                <w:t>MANAGEMENT</w:t>
              </w:r>
            </w:hyperlink>
          </w:p>
        </w:tc>
        <w:tc>
          <w:tcPr>
            <w:tcW w:w="360" w:type="dxa"/>
            <w:vAlign w:val="bottom"/>
          </w:tcPr>
          <w:p>
            <w:pPr>
              <w:jc w:val="right"/>
              <w:spacing w:after="0"/>
              <w:rPr>
                <w:rFonts w:ascii="Arial" w:cs="Arial" w:eastAsia="Arial" w:hAnsi="Arial"/>
                <w:sz w:val="18"/>
                <w:szCs w:val="18"/>
                <w:color w:val="auto"/>
              </w:rPr>
            </w:pPr>
            <w:hyperlink w:anchor="page145">
              <w:r>
                <w:rPr>
                  <w:rFonts w:ascii="Arial" w:cs="Arial" w:eastAsia="Arial" w:hAnsi="Arial"/>
                  <w:sz w:val="18"/>
                  <w:szCs w:val="18"/>
                  <w:color w:val="auto"/>
                </w:rPr>
                <w:t>140</w:t>
              </w:r>
            </w:hyperlink>
          </w:p>
        </w:tc>
      </w:tr>
      <w:tr>
        <w:trPr>
          <w:trHeight w:val="230"/>
        </w:trPr>
        <w:tc>
          <w:tcPr>
            <w:tcW w:w="10840" w:type="dxa"/>
            <w:vAlign w:val="bottom"/>
          </w:tcPr>
          <w:p>
            <w:pPr>
              <w:spacing w:after="0"/>
              <w:rPr>
                <w:rFonts w:ascii="Arial" w:cs="Arial" w:eastAsia="Arial" w:hAnsi="Arial"/>
                <w:sz w:val="18"/>
                <w:szCs w:val="18"/>
                <w:color w:val="auto"/>
              </w:rPr>
            </w:pPr>
            <w:hyperlink w:anchor="page150">
              <w:r>
                <w:rPr>
                  <w:rFonts w:ascii="Arial" w:cs="Arial" w:eastAsia="Arial" w:hAnsi="Arial"/>
                  <w:sz w:val="18"/>
                  <w:szCs w:val="18"/>
                  <w:color w:val="auto"/>
                </w:rPr>
                <w:t>EXECUTIVE COMPENSATION</w:t>
              </w:r>
            </w:hyperlink>
          </w:p>
        </w:tc>
        <w:tc>
          <w:tcPr>
            <w:tcW w:w="360" w:type="dxa"/>
            <w:vAlign w:val="bottom"/>
          </w:tcPr>
          <w:p>
            <w:pPr>
              <w:jc w:val="right"/>
              <w:spacing w:after="0"/>
              <w:rPr>
                <w:rFonts w:ascii="Arial" w:cs="Arial" w:eastAsia="Arial" w:hAnsi="Arial"/>
                <w:sz w:val="18"/>
                <w:szCs w:val="18"/>
                <w:color w:val="auto"/>
              </w:rPr>
            </w:pPr>
            <w:hyperlink w:anchor="page150">
              <w:r>
                <w:rPr>
                  <w:rFonts w:ascii="Arial" w:cs="Arial" w:eastAsia="Arial" w:hAnsi="Arial"/>
                  <w:sz w:val="18"/>
                  <w:szCs w:val="18"/>
                  <w:color w:val="auto"/>
                </w:rPr>
                <w:t>145</w:t>
              </w:r>
            </w:hyperlink>
          </w:p>
        </w:tc>
      </w:tr>
      <w:tr>
        <w:trPr>
          <w:trHeight w:val="229"/>
        </w:trPr>
        <w:tc>
          <w:tcPr>
            <w:tcW w:w="10840" w:type="dxa"/>
            <w:vAlign w:val="bottom"/>
          </w:tcPr>
          <w:p>
            <w:pPr>
              <w:spacing w:after="0"/>
              <w:rPr>
                <w:rFonts w:ascii="Arial" w:cs="Arial" w:eastAsia="Arial" w:hAnsi="Arial"/>
                <w:sz w:val="18"/>
                <w:szCs w:val="18"/>
                <w:color w:val="auto"/>
              </w:rPr>
            </w:pPr>
            <w:hyperlink w:anchor="page163">
              <w:r>
                <w:rPr>
                  <w:rFonts w:ascii="Arial" w:cs="Arial" w:eastAsia="Arial" w:hAnsi="Arial"/>
                  <w:sz w:val="18"/>
                  <w:szCs w:val="18"/>
                  <w:color w:val="auto"/>
                </w:rPr>
                <w:t>PRINCIPAL STOCKHOLDERS</w:t>
              </w:r>
            </w:hyperlink>
          </w:p>
        </w:tc>
        <w:tc>
          <w:tcPr>
            <w:tcW w:w="360" w:type="dxa"/>
            <w:vAlign w:val="bottom"/>
          </w:tcPr>
          <w:p>
            <w:pPr>
              <w:jc w:val="right"/>
              <w:spacing w:after="0"/>
              <w:rPr>
                <w:rFonts w:ascii="Arial" w:cs="Arial" w:eastAsia="Arial" w:hAnsi="Arial"/>
                <w:sz w:val="18"/>
                <w:szCs w:val="18"/>
                <w:color w:val="auto"/>
              </w:rPr>
            </w:pPr>
            <w:hyperlink w:anchor="page163">
              <w:r>
                <w:rPr>
                  <w:rFonts w:ascii="Arial" w:cs="Arial" w:eastAsia="Arial" w:hAnsi="Arial"/>
                  <w:sz w:val="18"/>
                  <w:szCs w:val="18"/>
                  <w:color w:val="auto"/>
                </w:rPr>
                <w:t>158</w:t>
              </w:r>
            </w:hyperlink>
          </w:p>
        </w:tc>
      </w:tr>
      <w:tr>
        <w:trPr>
          <w:trHeight w:val="243"/>
        </w:trPr>
        <w:tc>
          <w:tcPr>
            <w:tcW w:w="10840" w:type="dxa"/>
            <w:vAlign w:val="bottom"/>
          </w:tcPr>
          <w:p>
            <w:pPr>
              <w:spacing w:after="0"/>
              <w:rPr>
                <w:rFonts w:ascii="Arial" w:cs="Arial" w:eastAsia="Arial" w:hAnsi="Arial"/>
                <w:sz w:val="18"/>
                <w:szCs w:val="18"/>
                <w:color w:val="auto"/>
              </w:rPr>
            </w:pPr>
            <w:hyperlink w:anchor="page166">
              <w:r>
                <w:rPr>
                  <w:rFonts w:ascii="Arial" w:cs="Arial" w:eastAsia="Arial" w:hAnsi="Arial"/>
                  <w:sz w:val="18"/>
                  <w:szCs w:val="18"/>
                  <w:color w:val="auto"/>
                </w:rPr>
                <w:t>CERTAIN RELATIONSHIPS AND RELATED PARTY TRANSACTIONS</w:t>
              </w:r>
            </w:hyperlink>
          </w:p>
        </w:tc>
        <w:tc>
          <w:tcPr>
            <w:tcW w:w="360" w:type="dxa"/>
            <w:vAlign w:val="bottom"/>
          </w:tcPr>
          <w:p>
            <w:pPr>
              <w:jc w:val="right"/>
              <w:spacing w:after="0"/>
              <w:rPr>
                <w:rFonts w:ascii="Arial" w:cs="Arial" w:eastAsia="Arial" w:hAnsi="Arial"/>
                <w:sz w:val="18"/>
                <w:szCs w:val="18"/>
                <w:color w:val="auto"/>
              </w:rPr>
            </w:pPr>
            <w:hyperlink w:anchor="page166">
              <w:r>
                <w:rPr>
                  <w:rFonts w:ascii="Arial" w:cs="Arial" w:eastAsia="Arial" w:hAnsi="Arial"/>
                  <w:sz w:val="18"/>
                  <w:szCs w:val="18"/>
                  <w:color w:val="auto"/>
                </w:rPr>
                <w:t>161</w:t>
              </w:r>
            </w:hyperlink>
          </w:p>
        </w:tc>
      </w:tr>
      <w:tr>
        <w:trPr>
          <w:trHeight w:val="243"/>
        </w:trPr>
        <w:tc>
          <w:tcPr>
            <w:tcW w:w="10840" w:type="dxa"/>
            <w:vAlign w:val="bottom"/>
          </w:tcPr>
          <w:p>
            <w:pPr>
              <w:spacing w:after="0"/>
              <w:rPr>
                <w:rFonts w:ascii="Arial" w:cs="Arial" w:eastAsia="Arial" w:hAnsi="Arial"/>
                <w:sz w:val="18"/>
                <w:szCs w:val="18"/>
                <w:color w:val="auto"/>
              </w:rPr>
            </w:pPr>
            <w:hyperlink w:anchor="page171">
              <w:r>
                <w:rPr>
                  <w:rFonts w:ascii="Arial" w:cs="Arial" w:eastAsia="Arial" w:hAnsi="Arial"/>
                  <w:sz w:val="18"/>
                  <w:szCs w:val="18"/>
                  <w:color w:val="auto"/>
                </w:rPr>
                <w:t>DESCRIPTION OF CAPITAL STOCK</w:t>
              </w:r>
            </w:hyperlink>
          </w:p>
        </w:tc>
        <w:tc>
          <w:tcPr>
            <w:tcW w:w="360" w:type="dxa"/>
            <w:vAlign w:val="bottom"/>
          </w:tcPr>
          <w:p>
            <w:pPr>
              <w:jc w:val="right"/>
              <w:spacing w:after="0"/>
              <w:rPr>
                <w:rFonts w:ascii="Arial" w:cs="Arial" w:eastAsia="Arial" w:hAnsi="Arial"/>
                <w:sz w:val="18"/>
                <w:szCs w:val="18"/>
                <w:color w:val="auto"/>
              </w:rPr>
            </w:pPr>
            <w:hyperlink w:anchor="page171">
              <w:r>
                <w:rPr>
                  <w:rFonts w:ascii="Arial" w:cs="Arial" w:eastAsia="Arial" w:hAnsi="Arial"/>
                  <w:sz w:val="18"/>
                  <w:szCs w:val="18"/>
                  <w:color w:val="auto"/>
                </w:rPr>
                <w:t>166</w:t>
              </w:r>
            </w:hyperlink>
          </w:p>
        </w:tc>
      </w:tr>
      <w:tr>
        <w:trPr>
          <w:trHeight w:val="229"/>
        </w:trPr>
        <w:tc>
          <w:tcPr>
            <w:tcW w:w="10840" w:type="dxa"/>
            <w:vAlign w:val="bottom"/>
          </w:tcPr>
          <w:p>
            <w:pPr>
              <w:spacing w:after="0"/>
              <w:rPr>
                <w:rFonts w:ascii="Arial" w:cs="Arial" w:eastAsia="Arial" w:hAnsi="Arial"/>
                <w:sz w:val="18"/>
                <w:szCs w:val="18"/>
                <w:color w:val="auto"/>
              </w:rPr>
            </w:pPr>
            <w:hyperlink w:anchor="page176">
              <w:r>
                <w:rPr>
                  <w:rFonts w:ascii="Arial" w:cs="Arial" w:eastAsia="Arial" w:hAnsi="Arial"/>
                  <w:sz w:val="18"/>
                  <w:szCs w:val="18"/>
                  <w:color w:val="auto"/>
                </w:rPr>
                <w:t>SHARES ELIGIBLE FOR FUTURE SALE</w:t>
              </w:r>
            </w:hyperlink>
          </w:p>
        </w:tc>
        <w:tc>
          <w:tcPr>
            <w:tcW w:w="360" w:type="dxa"/>
            <w:vAlign w:val="bottom"/>
          </w:tcPr>
          <w:p>
            <w:pPr>
              <w:jc w:val="right"/>
              <w:spacing w:after="0"/>
              <w:rPr>
                <w:rFonts w:ascii="Arial" w:cs="Arial" w:eastAsia="Arial" w:hAnsi="Arial"/>
                <w:sz w:val="18"/>
                <w:szCs w:val="18"/>
                <w:color w:val="auto"/>
              </w:rPr>
            </w:pPr>
            <w:hyperlink w:anchor="page176">
              <w:r>
                <w:rPr>
                  <w:rFonts w:ascii="Arial" w:cs="Arial" w:eastAsia="Arial" w:hAnsi="Arial"/>
                  <w:sz w:val="18"/>
                  <w:szCs w:val="18"/>
                  <w:color w:val="auto"/>
                </w:rPr>
                <w:t>171</w:t>
              </w:r>
            </w:hyperlink>
          </w:p>
        </w:tc>
      </w:tr>
      <w:tr>
        <w:trPr>
          <w:trHeight w:val="243"/>
        </w:trPr>
        <w:tc>
          <w:tcPr>
            <w:tcW w:w="10840" w:type="dxa"/>
            <w:vAlign w:val="bottom"/>
          </w:tcPr>
          <w:p>
            <w:pPr>
              <w:spacing w:after="0"/>
              <w:rPr>
                <w:rFonts w:ascii="Arial" w:cs="Arial" w:eastAsia="Arial" w:hAnsi="Arial"/>
                <w:sz w:val="18"/>
                <w:szCs w:val="18"/>
                <w:color w:val="auto"/>
              </w:rPr>
            </w:pPr>
            <w:hyperlink w:anchor="page178">
              <w:r>
                <w:rPr>
                  <w:rFonts w:ascii="Arial" w:cs="Arial" w:eastAsia="Arial" w:hAnsi="Arial"/>
                  <w:sz w:val="18"/>
                  <w:szCs w:val="18"/>
                  <w:color w:val="auto"/>
                </w:rPr>
                <w:t>MATERIAL U.S. FEDERAL TAX CONSIDERATIONS FOR NON-U.S. HOLDERS OF OUR COMMON STOCK</w:t>
              </w:r>
            </w:hyperlink>
          </w:p>
        </w:tc>
        <w:tc>
          <w:tcPr>
            <w:tcW w:w="360" w:type="dxa"/>
            <w:vAlign w:val="bottom"/>
          </w:tcPr>
          <w:p>
            <w:pPr>
              <w:jc w:val="right"/>
              <w:spacing w:after="0"/>
              <w:rPr>
                <w:rFonts w:ascii="Arial" w:cs="Arial" w:eastAsia="Arial" w:hAnsi="Arial"/>
                <w:sz w:val="18"/>
                <w:szCs w:val="18"/>
                <w:color w:val="auto"/>
              </w:rPr>
            </w:pPr>
            <w:hyperlink w:anchor="page178">
              <w:r>
                <w:rPr>
                  <w:rFonts w:ascii="Arial" w:cs="Arial" w:eastAsia="Arial" w:hAnsi="Arial"/>
                  <w:sz w:val="18"/>
                  <w:szCs w:val="18"/>
                  <w:color w:val="auto"/>
                </w:rPr>
                <w:t>173</w:t>
              </w:r>
            </w:hyperlink>
          </w:p>
        </w:tc>
      </w:tr>
      <w:tr>
        <w:trPr>
          <w:trHeight w:val="230"/>
        </w:trPr>
        <w:tc>
          <w:tcPr>
            <w:tcW w:w="10840" w:type="dxa"/>
            <w:vAlign w:val="bottom"/>
          </w:tcPr>
          <w:p>
            <w:pPr>
              <w:spacing w:after="0"/>
              <w:rPr>
                <w:rFonts w:ascii="Arial" w:cs="Arial" w:eastAsia="Arial" w:hAnsi="Arial"/>
                <w:sz w:val="18"/>
                <w:szCs w:val="18"/>
                <w:color w:val="auto"/>
              </w:rPr>
            </w:pPr>
            <w:hyperlink w:anchor="page182">
              <w:r>
                <w:rPr>
                  <w:rFonts w:ascii="Arial" w:cs="Arial" w:eastAsia="Arial" w:hAnsi="Arial"/>
                  <w:sz w:val="18"/>
                  <w:szCs w:val="18"/>
                  <w:color w:val="auto"/>
                </w:rPr>
                <w:t>UNDERWRITING</w:t>
              </w:r>
            </w:hyperlink>
          </w:p>
        </w:tc>
        <w:tc>
          <w:tcPr>
            <w:tcW w:w="360" w:type="dxa"/>
            <w:vAlign w:val="bottom"/>
          </w:tcPr>
          <w:p>
            <w:pPr>
              <w:jc w:val="right"/>
              <w:spacing w:after="0"/>
              <w:rPr>
                <w:rFonts w:ascii="Arial" w:cs="Arial" w:eastAsia="Arial" w:hAnsi="Arial"/>
                <w:sz w:val="18"/>
                <w:szCs w:val="18"/>
                <w:color w:val="auto"/>
              </w:rPr>
            </w:pPr>
            <w:hyperlink w:anchor="page182">
              <w:r>
                <w:rPr>
                  <w:rFonts w:ascii="Arial" w:cs="Arial" w:eastAsia="Arial" w:hAnsi="Arial"/>
                  <w:sz w:val="18"/>
                  <w:szCs w:val="18"/>
                  <w:color w:val="auto"/>
                </w:rPr>
                <w:t>177</w:t>
              </w:r>
            </w:hyperlink>
          </w:p>
        </w:tc>
      </w:tr>
      <w:tr>
        <w:trPr>
          <w:trHeight w:val="229"/>
        </w:trPr>
        <w:tc>
          <w:tcPr>
            <w:tcW w:w="10840" w:type="dxa"/>
            <w:vAlign w:val="bottom"/>
          </w:tcPr>
          <w:p>
            <w:pPr>
              <w:spacing w:after="0"/>
              <w:rPr>
                <w:rFonts w:ascii="Arial" w:cs="Arial" w:eastAsia="Arial" w:hAnsi="Arial"/>
                <w:sz w:val="18"/>
                <w:szCs w:val="18"/>
                <w:color w:val="auto"/>
              </w:rPr>
            </w:pPr>
            <w:hyperlink w:anchor="page189">
              <w:r>
                <w:rPr>
                  <w:rFonts w:ascii="Arial" w:cs="Arial" w:eastAsia="Arial" w:hAnsi="Arial"/>
                  <w:sz w:val="18"/>
                  <w:szCs w:val="18"/>
                  <w:color w:val="auto"/>
                </w:rPr>
                <w:t>LEGAL MATTERS</w:t>
              </w:r>
            </w:hyperlink>
          </w:p>
        </w:tc>
        <w:tc>
          <w:tcPr>
            <w:tcW w:w="360" w:type="dxa"/>
            <w:vAlign w:val="bottom"/>
          </w:tcPr>
          <w:p>
            <w:pPr>
              <w:jc w:val="right"/>
              <w:spacing w:after="0"/>
              <w:rPr>
                <w:rFonts w:ascii="Arial" w:cs="Arial" w:eastAsia="Arial" w:hAnsi="Arial"/>
                <w:sz w:val="18"/>
                <w:szCs w:val="18"/>
                <w:color w:val="auto"/>
              </w:rPr>
            </w:pPr>
            <w:hyperlink w:anchor="page189">
              <w:r>
                <w:rPr>
                  <w:rFonts w:ascii="Arial" w:cs="Arial" w:eastAsia="Arial" w:hAnsi="Arial"/>
                  <w:sz w:val="18"/>
                  <w:szCs w:val="18"/>
                  <w:color w:val="auto"/>
                </w:rPr>
                <w:t>184</w:t>
              </w:r>
            </w:hyperlink>
          </w:p>
        </w:tc>
      </w:tr>
      <w:tr>
        <w:trPr>
          <w:trHeight w:val="230"/>
        </w:trPr>
        <w:tc>
          <w:tcPr>
            <w:tcW w:w="10840" w:type="dxa"/>
            <w:vAlign w:val="bottom"/>
          </w:tcPr>
          <w:p>
            <w:pPr>
              <w:spacing w:after="0"/>
              <w:rPr>
                <w:rFonts w:ascii="Arial" w:cs="Arial" w:eastAsia="Arial" w:hAnsi="Arial"/>
                <w:sz w:val="18"/>
                <w:szCs w:val="18"/>
                <w:color w:val="auto"/>
              </w:rPr>
            </w:pPr>
            <w:hyperlink w:anchor="page190">
              <w:r>
                <w:rPr>
                  <w:rFonts w:ascii="Arial" w:cs="Arial" w:eastAsia="Arial" w:hAnsi="Arial"/>
                  <w:sz w:val="18"/>
                  <w:szCs w:val="18"/>
                  <w:color w:val="auto"/>
                </w:rPr>
                <w:t>EXPERTS</w:t>
              </w:r>
            </w:hyperlink>
          </w:p>
        </w:tc>
        <w:tc>
          <w:tcPr>
            <w:tcW w:w="360" w:type="dxa"/>
            <w:vAlign w:val="bottom"/>
          </w:tcPr>
          <w:p>
            <w:pPr>
              <w:jc w:val="right"/>
              <w:spacing w:after="0"/>
              <w:rPr>
                <w:rFonts w:ascii="Arial" w:cs="Arial" w:eastAsia="Arial" w:hAnsi="Arial"/>
                <w:sz w:val="18"/>
                <w:szCs w:val="18"/>
                <w:color w:val="auto"/>
              </w:rPr>
            </w:pPr>
            <w:hyperlink w:anchor="page190">
              <w:r>
                <w:rPr>
                  <w:rFonts w:ascii="Arial" w:cs="Arial" w:eastAsia="Arial" w:hAnsi="Arial"/>
                  <w:sz w:val="18"/>
                  <w:szCs w:val="18"/>
                  <w:color w:val="auto"/>
                </w:rPr>
                <w:t>184</w:t>
              </w:r>
            </w:hyperlink>
          </w:p>
        </w:tc>
      </w:tr>
      <w:tr>
        <w:trPr>
          <w:trHeight w:val="230"/>
        </w:trPr>
        <w:tc>
          <w:tcPr>
            <w:tcW w:w="10840" w:type="dxa"/>
            <w:vAlign w:val="bottom"/>
          </w:tcPr>
          <w:p>
            <w:pPr>
              <w:spacing w:after="0"/>
              <w:rPr>
                <w:rFonts w:ascii="Arial" w:cs="Arial" w:eastAsia="Arial" w:hAnsi="Arial"/>
                <w:sz w:val="18"/>
                <w:szCs w:val="18"/>
                <w:color w:val="auto"/>
              </w:rPr>
            </w:pPr>
            <w:hyperlink w:anchor="page190">
              <w:r>
                <w:rPr>
                  <w:rFonts w:ascii="Arial" w:cs="Arial" w:eastAsia="Arial" w:hAnsi="Arial"/>
                  <w:sz w:val="18"/>
                  <w:szCs w:val="18"/>
                  <w:color w:val="auto"/>
                </w:rPr>
                <w:t>WHERE YOU CAN FIND MORE INFORMATION</w:t>
              </w:r>
            </w:hyperlink>
          </w:p>
        </w:tc>
        <w:tc>
          <w:tcPr>
            <w:tcW w:w="360" w:type="dxa"/>
            <w:vAlign w:val="bottom"/>
          </w:tcPr>
          <w:p>
            <w:pPr>
              <w:jc w:val="right"/>
              <w:spacing w:after="0"/>
              <w:rPr>
                <w:rFonts w:ascii="Arial" w:cs="Arial" w:eastAsia="Arial" w:hAnsi="Arial"/>
                <w:sz w:val="18"/>
                <w:szCs w:val="18"/>
                <w:color w:val="auto"/>
              </w:rPr>
            </w:pPr>
            <w:hyperlink w:anchor="page190">
              <w:r>
                <w:rPr>
                  <w:rFonts w:ascii="Arial" w:cs="Arial" w:eastAsia="Arial" w:hAnsi="Arial"/>
                  <w:sz w:val="18"/>
                  <w:szCs w:val="18"/>
                  <w:color w:val="auto"/>
                </w:rPr>
                <w:t>184</w:t>
              </w:r>
            </w:hyperlink>
          </w:p>
        </w:tc>
      </w:tr>
      <w:tr>
        <w:trPr>
          <w:trHeight w:val="230"/>
        </w:trPr>
        <w:tc>
          <w:tcPr>
            <w:tcW w:w="10840" w:type="dxa"/>
            <w:vAlign w:val="bottom"/>
          </w:tcPr>
          <w:p>
            <w:pPr>
              <w:spacing w:after="0"/>
              <w:rPr>
                <w:rFonts w:ascii="Arial" w:cs="Arial" w:eastAsia="Arial" w:hAnsi="Arial"/>
                <w:sz w:val="18"/>
                <w:szCs w:val="18"/>
                <w:color w:val="auto"/>
              </w:rPr>
            </w:pPr>
            <w:hyperlink w:anchor="page190">
              <w:r>
                <w:rPr>
                  <w:rFonts w:ascii="Arial" w:cs="Arial" w:eastAsia="Arial" w:hAnsi="Arial"/>
                  <w:sz w:val="18"/>
                  <w:szCs w:val="18"/>
                  <w:color w:val="auto"/>
                </w:rPr>
                <w:t>INDEX TO CONSOLIDATED FINANCIAL STATEMENTS</w:t>
              </w:r>
            </w:hyperlink>
          </w:p>
        </w:tc>
        <w:tc>
          <w:tcPr>
            <w:tcW w:w="360" w:type="dxa"/>
            <w:vAlign w:val="bottom"/>
          </w:tcPr>
          <w:p>
            <w:pPr>
              <w:jc w:val="right"/>
              <w:spacing w:after="0"/>
              <w:rPr>
                <w:rFonts w:ascii="Arial" w:cs="Arial" w:eastAsia="Arial" w:hAnsi="Arial"/>
                <w:sz w:val="18"/>
                <w:szCs w:val="18"/>
                <w:color w:val="auto"/>
              </w:rPr>
            </w:pPr>
            <w:hyperlink w:anchor="page190">
              <w:r>
                <w:rPr>
                  <w:rFonts w:ascii="Arial" w:cs="Arial" w:eastAsia="Arial" w:hAnsi="Arial"/>
                  <w:sz w:val="18"/>
                  <w:szCs w:val="18"/>
                  <w:color w:val="auto"/>
                </w:rPr>
                <w:t>F-1</w:t>
              </w:r>
            </w:hyperlink>
          </w:p>
        </w:tc>
      </w:tr>
    </w:tbl>
    <w:p>
      <w:pPr>
        <w:spacing w:after="0" w:line="24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have not, and the underwriters have not,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1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This prospectus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customers, distributors, suppliers, trade and business organizations and other contacts in the markets in which we operate. In some cases, we do not expressly refer to the sources from which this data is derived.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which we believe to be reasonable.</w:t>
      </w:r>
    </w:p>
    <w:p>
      <w:pPr>
        <w:spacing w:after="0" w:line="11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presenting this information, we have made certain assumptions that we believe to be reasonable based on such data and other similar sources and on our knowledge of, and our experience to date in, the markets for the products we distribute. Market share data is subject to change and may be limited by the availability of raw data, the voluntary nature of the data gathering process and other limitations inherent in any statistical survey of market shares. In addition, customer preferences are subject to change.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This prospectus includes trademarks and service marks owned by us, including, without limitation, PROCEPT BioRobotics®, AquaBeam®, Aquablation®, and our logo, which are our property and are protected under applicable intellectual property laws. This prospectus also contains trademarks, trade names and service marks of other companies, which are the property of their respective owners. Solely for convenience, trademarks, trade names and service marks referred to in this prospectus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76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Because this is only a summary, it does not contain all the information that may be important to you. You should read the entire prospectus carefully, especially the sections titled “Risk Factors” and “Management’s Discussion and Analysis of Financial Condition and Results of Operations,” as well as our consolidated financial statements and related notes included elsewhere in this prospectus, before deciding to invest in our common stock. In this prospectus, unless the context requires otherwise, references to “PROCEPT,” the “Company,” “we,” “us,” and “our,” refer to PROCEPT BioRobotics Corporation.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a commercial-stage surgical robotics company focused on advancing patient care by developing transformative solutions in urology. We develop, manufacture and sell the AquaBeam Robotic System, an advanced, image-guided, surgical robotic system for use in minimally-invasive urologic surgery with an initial focus on treating benign prostatic hyperplasia, or BPH. BPH is the most common prostate disease and impacts approximately 40 million men in the United States. Our proprietary AquaBeam Robotic System employs a single-use disposable handpiece to deliver our Aquablation therapy, which combines real-time, multidimensional imaging, personalized treatment planning, automated robotics and heat-free waterjet ablation for targeted and rapid removal of prostate tissue.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are independent of prostate size and shape or surgeon experience. We have developed a significant and growing body of clinical evidence, which includes nine clinical studies and over 100 peer-reviewed publications, supporting the benefits and clinical advantages of Aquablation therapy. As of June 30, 2021, we had an installed base of 124 AquaBeam Robotic Systems globally and 73 in the United States, and Aquablation therapy has been utilized in the treatment of more than 5,500 patients whose prostates have ranged in size from less than 30 ml to over 300 ml.</w:t>
      </w:r>
    </w:p>
    <w:p>
      <w:pPr>
        <w:spacing w:after="0" w:line="12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main goal of BPH treatment is to alleviate the symptoms associated with the disease and improve the patient’s quality of life. While drug therapy is typically a first line treatment option, limited efficacy and negative side effects contribute to low compliance, high failure rates and drop outs. On the other hand, surgical intervention is proven to provide effective and durable symptom relief compared to drug therapy, but the use of surgery is significantly underpenetrated, largely due to the compromise patients must make between the incidence of irreversible side effects associated with alternative resective surgical interventions, where obstructive tissue is removed at the time of intervention, or the lower rates of efficacy and durability associated with non-resective surgical interventions, where obstructive tissue is not removed, but rather the prostatic urethra is re-shaped. In addition, most alternative surgical interventions are limited by prostate size and shape, with no single procedure capable of effectively addressing the full range of prostate anatomies regardless of surgeon experience level.</w:t>
      </w:r>
    </w:p>
    <w:p>
      <w:pPr>
        <w:spacing w:after="0" w:line="12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were founded by Dr. Nikolai Aljuri, Ph.D. and Dr. Rodney Perkins and began developing our proprietary AquaBeam Robotic System in 2009 to address many of the shortcomings of alternative surgical interventions by delivering our Aquablation therapy, the first and only image-guided robotic therapy for the treatment of BPH. The AquaBeam Robotic System combines real-time image guidance, personalized treatment planning, automated robotic execution and heat-free waterjet ablation. We believe our Aquablation therapy addresses the compromise between safety and efficacy of alternative surgical interventions, providing the following unique combination of benefits:</w:t>
      </w:r>
    </w:p>
    <w:p>
      <w:pPr>
        <w:spacing w:after="0" w:line="138" w:lineRule="exact"/>
        <w:rPr>
          <w:sz w:val="20"/>
          <w:szCs w:val="20"/>
          <w:color w:val="auto"/>
        </w:rPr>
      </w:pPr>
    </w:p>
    <w:p>
      <w:pPr>
        <w:ind w:left="640" w:right="10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Significant and durable symptom relief</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Aquablation therapy has demonstrated significant and long-lasting levels of symptom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relief similar to those of alternative resective procedures.</w:t>
      </w:r>
    </w:p>
    <w:p>
      <w:pPr>
        <w:spacing w:after="0" w:line="116" w:lineRule="exact"/>
        <w:rPr>
          <w:rFonts w:ascii="Arial" w:cs="Arial" w:eastAsia="Arial" w:hAnsi="Arial"/>
          <w:sz w:val="18"/>
          <w:szCs w:val="18"/>
          <w:color w:val="auto"/>
        </w:rPr>
      </w:pPr>
    </w:p>
    <w:p>
      <w:pPr>
        <w:ind w:left="640" w:right="460" w:hanging="322"/>
        <w:spacing w:after="0" w:line="263"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Aquablation therapy has demonstrated low rates of irreversible complications, including urinary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incontinence, erectile dysfunction and ejaculatory dysfunction, compared to published rates observed for other resective surgeries.</w:t>
      </w:r>
    </w:p>
    <w:p>
      <w:pPr>
        <w:spacing w:after="0" w:line="129" w:lineRule="exact"/>
        <w:rPr>
          <w:rFonts w:ascii="Arial" w:cs="Arial" w:eastAsia="Arial" w:hAnsi="Arial"/>
          <w:sz w:val="18"/>
          <w:szCs w:val="18"/>
          <w:color w:val="auto"/>
        </w:rPr>
      </w:pPr>
    </w:p>
    <w:p>
      <w:pPr>
        <w:ind w:left="640" w:right="54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Outcomes independent of prostate size and shape and surgeon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designed Aquablation therapy to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outcomes that are effective, safe and durable for males suffering from LUTS due to BPH</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80"/>
          </w:cols>
          <w:pgMar w:left="1000" w:top="1440" w:right="101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across all prostate sizes and shapes. Compared to other resective procedures, we believe Aquablation therapy is relatively simple to learn, enabled by the intuitive user interface of the conformal planning unit, or CPU, and automated robotic resection, and delivers outcomes that are independent of surgeon experience.</w:t>
      </w:r>
    </w:p>
    <w:p>
      <w:pPr>
        <w:spacing w:after="0" w:line="3" w:lineRule="exact"/>
        <w:rPr>
          <w:sz w:val="20"/>
          <w:szCs w:val="20"/>
          <w:color w:val="auto"/>
        </w:rPr>
      </w:pPr>
    </w:p>
    <w:p>
      <w:pPr>
        <w:ind w:left="640" w:right="40" w:hanging="322"/>
        <w:spacing w:after="0" w:line="273"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Personalized treatment planning and improved decision-making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Aquablation therapy combines cystoscopic visualization,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uses a camera attached to a hollow tube, along with ultrasound imaging and advanced planning software to provide the surgeon with a multidimensional view of the treatment area and enable personalized treatment planning for the patient’s unique anatomy, improved decision-making and real-time monitoring during the procedure.</w:t>
      </w:r>
    </w:p>
    <w:p>
      <w:pPr>
        <w:spacing w:after="0" w:line="122" w:lineRule="exact"/>
        <w:rPr>
          <w:rFonts w:ascii="Arial" w:cs="Arial" w:eastAsia="Arial" w:hAnsi="Arial"/>
          <w:sz w:val="17"/>
          <w:szCs w:val="17"/>
          <w:color w:val="auto"/>
        </w:rPr>
      </w:pPr>
    </w:p>
    <w:p>
      <w:pPr>
        <w:ind w:left="640" w:right="60" w:hanging="322"/>
        <w:spacing w:after="0" w:line="311"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Targeted and controlled resection with consistent resection times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Aquablation therapy utilizes automated robotic resection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prostate tissue using a precise, heat-free waterjet. These features enable targeted and controlled tissue removal with rapid resection times that are highly consistent across prostate sizes and shapes and surgeon experience.</w:t>
      </w:r>
    </w:p>
    <w:p>
      <w:pPr>
        <w:spacing w:after="0" w:line="9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the United States, we currently sell our products to hospitals primarily through our direct sales organization. These hospitals in turn bill various third-party payors, such as commercial payors and government agencies, for treatment payment of each patient. Effective in 2021, all local Medicare Administrative Contractors, or MACs, which represent 100% of eligible Medicare patients, issued final positive local coverage determinations to provide Medicare beneficiaries with access to Aquablation therapy in all 50 states. Our strong body of clinical evidence and support from key societies, supplemented by the momentum from Medicare coverage, have led to favorable coverage decisions from several large commercial payors, including Anthem, BlueCross – Massachusetts, Emblem Health, Health Care Service Corp, and Humana. We plan to leverage these recent successes in our active discussions with commercial payors to establish additional positive national and regional coverage policies. Outside of the United States, we have ongoing efforts in key markets to expand established coverage and improve payment which we will believe will expand patient access to Aquablation therapy. We sell our products outside of the United States through both our direct sales organization and, in certain regions, our network of distribution partners.</w:t>
      </w:r>
    </w:p>
    <w:p>
      <w:pPr>
        <w:spacing w:after="0" w:line="128"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color w:val="auto"/>
        </w:rPr>
        <w:t>We generated revenue of $7.7 million and incurred a net loss of $53.0 million for the year ended December 31, 2020, compared to revenue of $6.2 million and a net loss of $42.0 million for the year ended December 31, 2019. We generated revenue of $15.7 million and incurred a net loss of $27.4 million for the six months ended June 30, 2021, compared to revenue of $2.4 million and a net loss of $25.7 million for the six months ended June 30, 2020. As of June 30, 2021, we had an accumulated deficit of $229.1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BPH refers to the non-malignant enlargement of the prostate gland, a small gland in the male reproductive system, and in the United States is the number one reason men visit a urologist. BPH is estimated to occur in more than 50% of men in their 50s, growing to 70% of men in their 60s, and is the fourth most common diagnosed disease in men above 50 years old, ranking behind coronary artery disease, hypertension and type 2 diabetes. BPH often results in uncomfortable LUTS, which can have a significant impact on quality of life. If left untreated, BPH may eventually lead to more serious complications.</w:t>
      </w:r>
    </w:p>
    <w:p>
      <w:pPr>
        <w:spacing w:after="0" w:line="12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the United States, we estimate that approximately 40 million men are impacted by symptoms of BPH, with aging demographics expected to drive future growth. Over the next ten years, we expect that the number of men over 65 years old in the United States will double and include a corresponding increase in the number of men with enlarged prostates. Of these men, approximately 12 million are being managed by a physician for symptoms related to their disease. While drug therapy is typically a first line treatment option, limited efficacy and negative side effects contribute to low patient compliance, high failure rates and drop outs. On the other hand, surgical intervention is proven to provide effective and durable symptom relief compared to drug therapy, but the use of surgery is significantly underpenetrated largely due to the compromise patients must make between (1) the incidence of irreversible side effects associated with current resective surgical interventions, or (2) the lower rates of efficacy and durability associated with non-resective surgical interventions. Our total addressable patient population in the United States includes approximately 8.2 million patients, comprised of 6.7 million receiving drug therapy, 1.1 million who have tried but failed drug therapy and 400,000 undergoing surgical intervention each year. Based on</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840"/>
          </w:cols>
          <w:pgMar w:left="1000" w:top="1440" w:right="105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average selling price of our single-use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BPH Treatment Options and Their Limitations</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main goal of BPH treatment is to alleviate the symptoms associated with the disease and improve the patient’s quality of life. As such, a patient’s recommended course of treatment is largely based on the patient’s degree of symptoms, typically measured using validated scoring systems such as International Prostate Symptom Score, or IPSS. Patients with mild symptoms who have not developed other complications of BPH may choose watchful waiting, meaning that before proceeding with active treatment, the physician and patient wait to see if symptoms get worse or if new symptoms develop. Patients who choose this approach are generally advised to implement lifestyle changes and return for yearly visits with their physician to determine if symptoms are changing. For most men, the prostate will continue to grow and symptoms will worsen. As symptoms become more bothersome, active treatment may be recommended. The two primary categories of active treatment for BPH are drug therapy and surgical intervention.</w:t>
      </w:r>
    </w:p>
    <w:p>
      <w:pPr>
        <w:spacing w:after="0" w:line="111" w:lineRule="exact"/>
        <w:rPr>
          <w:sz w:val="20"/>
          <w:szCs w:val="20"/>
          <w:color w:val="auto"/>
        </w:rPr>
      </w:pPr>
    </w:p>
    <w:p>
      <w:pPr>
        <w:ind w:left="640" w:right="20" w:hanging="322"/>
        <w:spacing w:after="0" w:line="268"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Drug therapy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Drug therapy is often the first step in actively treating mild-to-moderate symptoms of BPH. While there is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pharmacological cure for BPH, drugs may be used to manage symptoms. Available drugs address symptoms by either shrinking (5-alpha reductase inhibitors) the prostate or relaxing (alpha blockers) muscles surrounding the prostate. In some instances, patients may be prescribed a combination of both medications. Most men with BPH who start drug therapy will need to continue it indefinitely in order to relieve symptoms, unless they choose to undergo surgical intervention. While drug therapy can provide relief for some men, two out of three patients are not satisfied with the effectiveness of their medication. In general, drug therapy provides IPSS reduction of approximately five points and flow improvement of up to 2.5ml per second. Drug therapy is also often associated with negative side effects, including headaches, dizziness, nausea, erectile dysfunction, ejaculatory dysfunction, loss of libido, cardiac failure and dementia. These side effects often contribute to poor treatment compliance, with drug therapy failing in up to 30% of men within two years. Furthermore, drug therapy may be costly, particularly in light of limited symptom relief. For example, a recent study has shown that payor costs for branded combination drug therapy over a two-year period was the least cost-effective of all treatment options included in the study, as drug therapy requires extended use and yields the least symptom relief.</w:t>
      </w:r>
    </w:p>
    <w:p>
      <w:pPr>
        <w:spacing w:after="0" w:line="132" w:lineRule="exact"/>
        <w:rPr>
          <w:rFonts w:ascii="Arial" w:cs="Arial" w:eastAsia="Arial" w:hAnsi="Arial"/>
          <w:sz w:val="17"/>
          <w:szCs w:val="17"/>
          <w:color w:val="auto"/>
        </w:rPr>
      </w:pPr>
    </w:p>
    <w:p>
      <w:pPr>
        <w:ind w:left="640" w:right="100" w:hanging="322"/>
        <w:spacing w:after="0" w:line="27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Surgical intervention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Surgical intervention is recommended for patients who have failed or are unwilling to consider drug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therapy, or are suffering from complications due to their BPH. Although more invasive than drug therapy, surgical intervention generally provides more significant, longer-lasting symptom relief. There are two categories of surgical intervention, resective, where obstructive tissue is removed at the time of intervention, and non-resective, where obstructive tissue is not removed, but rather the prostatic urethra is re-shaped. We estimate that approximately 400,000 BPH surgeries were performed in the United States in 2019, growing at a compounded annual growth rate, or CAGR, of 11% since 2016. We believe that growth in the use of surgical intervention over the past several years is due to the introduction of new technologies that better balance the compromise between efficacy and safety as well as growing awareness of surgical intervention as an effective way to manage BPH symptoms compared to drug therapy.</w:t>
      </w:r>
    </w:p>
    <w:p>
      <w:pPr>
        <w:spacing w:after="0" w:line="12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Two factors that surgeons and patients commonly consider when evaluating surgical intervention are efficacy and safety. Efficacy is generally measured by symptom relief as well as durability of relief, and safety by the occurrence of irreversible complications such as urinary incontinence, erectile dysfunction and ejaculatory dysfunction. We believe that alternative surgical interventions for BPH require patients to compromise between efficacy and safety. Alternative interventions either provide significant symptom relief with a heightened risk of irreversible complications or a lower risk of complications with significantly less symptom relief. In addition, most alternative surgical interventions are limited by prostate size and shape, with no single procedure capable of effectively addressing the full range of prostate anatomies regardless of surgeon experience level. We believe that the compromise and limitations associated with alternative surgical interventions have contributed to the relatively low penetration rate of surgical intervention.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00" w:top="1440" w:right="10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have developed the AquaBeam Robotic System, an advanced, image-guided, surgical robotic system for use in minimally invasive urologic surgery. Our proprietary AquaBeam Robotic System delivers our Aquablation therapy, the first and only image-guided robotic therapy for the treatment of BPH. We market the AquaBeam Robotic System in the United States pursuant to FDA 510(k) clearance that we received in March 2021. Our label indication provides that the AquaBeam Robotic System is intended for the resection and removal of prostate tissue in males suffering from LUTS due to BPH. The most common side effects observed for Aquablation therapy are mild and transient and may include mild pain or difficulty when urinating, discomfort in the pelvis, blood in the urine, inability to empty the bladder or a frequent or urgent need to urinate, and bladder or urinary tract infection. During our clinical studies, we documented a rate of incontinence between 0%-2%, ejaculatory dysfunction between 6.9%-24.6%, and a peri-operative transfusion rate between 0.9%-5.9%. Since then, a number of publications have reported on transfusion rates. A key study published in April 2021 of 2,089 men undergoing Aquablation therapy with prostates ranging in size from 20 ml to 363 ml observed a transfusion rate of only 0.8%.</w:t>
      </w:r>
    </w:p>
    <w:p>
      <w:pPr>
        <w:spacing w:after="0" w:line="11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AquaBeam Robotic System combines the following highly differentiated features that are intended to deliver effective, safe and durable outcomes for males suffering from LUTS due to BPH that are consistent across all prostate sizes and shapes and independent of surgeon experience:</w:t>
      </w:r>
    </w:p>
    <w:p>
      <w:pPr>
        <w:spacing w:after="0" w:line="130" w:lineRule="exact"/>
        <w:rPr>
          <w:sz w:val="20"/>
          <w:szCs w:val="20"/>
          <w:color w:val="auto"/>
        </w:rPr>
      </w:pPr>
    </w:p>
    <w:p>
      <w:pPr>
        <w:ind w:left="640" w:right="480" w:hanging="322"/>
        <w:spacing w:after="0" w:line="342"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Real-time image guidance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Intraoperative ultrasound imaging combined with cystoscopic visualization, which provides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multidimensional view of the treatment area, enabling improved decision-making and real-time treatment monitoring.</w:t>
      </w:r>
    </w:p>
    <w:p>
      <w:pPr>
        <w:spacing w:after="0" w:line="69" w:lineRule="exact"/>
        <w:rPr>
          <w:rFonts w:ascii="Arial" w:cs="Arial" w:eastAsia="Arial" w:hAnsi="Arial"/>
          <w:sz w:val="16"/>
          <w:szCs w:val="16"/>
          <w:color w:val="auto"/>
        </w:rPr>
      </w:pPr>
    </w:p>
    <w:p>
      <w:pPr>
        <w:jc w:val="both"/>
        <w:ind w:left="640" w:right="60" w:hanging="322"/>
        <w:spacing w:after="0" w:line="263"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Personalized treatment planning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ultrasound imaging integrated with advanced planning software, the surgeon is 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map the treatment contour that precisely targets the resection area, personalizing the optimal tissue removal plan based on each patient’s unique anatomy.</w:t>
      </w:r>
    </w:p>
    <w:p>
      <w:pPr>
        <w:spacing w:after="0" w:line="129" w:lineRule="exact"/>
        <w:rPr>
          <w:rFonts w:ascii="Arial" w:cs="Arial" w:eastAsia="Arial" w:hAnsi="Arial"/>
          <w:sz w:val="18"/>
          <w:szCs w:val="18"/>
          <w:color w:val="auto"/>
        </w:rPr>
      </w:pPr>
    </w:p>
    <w:p>
      <w:pPr>
        <w:ind w:left="640" w:right="500" w:hanging="322"/>
        <w:spacing w:after="0" w:line="27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robotic execution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Once the treatment plan is finalized, the robot automatically executes the plan, guiding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precisely calibrated waterjet with speed and accuracy while the surgeon monitors.</w:t>
      </w:r>
    </w:p>
    <w:p>
      <w:pPr>
        <w:spacing w:after="0" w:line="116" w:lineRule="exact"/>
        <w:rPr>
          <w:rFonts w:ascii="Arial" w:cs="Arial" w:eastAsia="Arial" w:hAnsi="Arial"/>
          <w:sz w:val="18"/>
          <w:szCs w:val="18"/>
          <w:color w:val="auto"/>
        </w:rPr>
      </w:pPr>
    </w:p>
    <w:p>
      <w:pPr>
        <w:jc w:val="both"/>
        <w:ind w:left="640" w:right="160" w:hanging="322"/>
        <w:spacing w:after="0" w:line="342"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Heat-free waterjet resection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Utilizing the unique power of a pulsating waterjet near the speed of sound, Aquablation therapy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removes prostatic tissue with a heat-free waterjet, minimizing the risk of complications arising from prolonged thermal injury.</w:t>
      </w:r>
    </w:p>
    <w:p>
      <w:pPr>
        <w:spacing w:after="0" w:line="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currently marketed AquaBeam Robotic System is classified as a Class II medical device by the FDA.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Factors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continued growth of our company will be driven by the following success factors:</w:t>
      </w:r>
    </w:p>
    <w:p>
      <w:pPr>
        <w:spacing w:after="0" w:line="171" w:lineRule="exact"/>
        <w:rPr>
          <w:sz w:val="20"/>
          <w:szCs w:val="20"/>
          <w:color w:val="auto"/>
        </w:rPr>
      </w:pPr>
    </w:p>
    <w:p>
      <w:pPr>
        <w:ind w:left="640" w:hanging="322"/>
        <w:spacing w:after="0" w:line="291"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First and only image-guided, heat-free robotic therapy for BPH designed to address the compromise between safety and efficacy of alternative surgical interventions. </w:t>
      </w:r>
      <w:r>
        <w:rPr>
          <w:rFonts w:ascii="Arial" w:cs="Arial" w:eastAsia="Arial" w:hAnsi="Arial"/>
          <w:sz w:val="16"/>
          <w:szCs w:val="16"/>
          <w:color w:val="auto"/>
        </w:rPr>
        <w:t>We believe that alternative surgical interventions for BPH have a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shortcomings which require patients to compromise between safety and efficacy, either providing significant symptom relief but with a heightened risk of irreversible complications or a lower risk of complications but with significantly less symptom relief. We believe that Aquablation therapy represents a paradigm shift in the surgical treatment of BPH by addressing this compromise. We designed Aquablation therapy to deliver effective, safe and durable outcomes for males suffering from LUTS due to BPH that are consistent across all prostate sizes and shapes and independent of surgeon experience.</w:t>
      </w:r>
    </w:p>
    <w:p>
      <w:pPr>
        <w:spacing w:after="0" w:line="112" w:lineRule="exact"/>
        <w:rPr>
          <w:rFonts w:ascii="Arial" w:cs="Arial" w:eastAsia="Arial" w:hAnsi="Arial"/>
          <w:sz w:val="16"/>
          <w:szCs w:val="16"/>
          <w:color w:val="auto"/>
        </w:rPr>
      </w:pPr>
    </w:p>
    <w:p>
      <w:pPr>
        <w:ind w:left="640" w:right="60" w:hanging="322"/>
        <w:spacing w:after="0" w:line="263"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Large, growing and underpenetrated market opportunity. </w:t>
      </w:r>
      <w:r>
        <w:rPr>
          <w:rFonts w:ascii="Arial" w:cs="Arial" w:eastAsia="Arial" w:hAnsi="Arial"/>
          <w:sz w:val="18"/>
          <w:szCs w:val="18"/>
          <w:color w:val="auto"/>
        </w:rPr>
        <w:t>Based on the average selling price of our single-use handpiece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approximately 8.2 million BPH patients in the United States, we estimate that our total U.S. addressable market opportunity is in excess of $20 billion. The global incidence of BPH among</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880"/>
          </w:cols>
          <w:pgMar w:left="1000" w:top="1440" w:right="101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4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men over 50 years old is similar to that of the United States, representing a significant incremental market opportunity outside of the United States.</w:t>
      </w:r>
    </w:p>
    <w:p>
      <w:pPr>
        <w:spacing w:after="0" w:line="116" w:lineRule="exact"/>
        <w:rPr>
          <w:sz w:val="20"/>
          <w:szCs w:val="20"/>
          <w:color w:val="auto"/>
        </w:rPr>
      </w:pPr>
    </w:p>
    <w:p>
      <w:pPr>
        <w:ind w:left="640" w:right="20" w:hanging="322"/>
        <w:spacing w:after="0" w:line="270"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growing body of clinical evidence and strong support from key opinion leaders, or KOLs, resulting in the inclusion of Aquablation therapy into societal guidelines and rapid expansion of positive reimbursement coverage policies. </w:t>
      </w:r>
      <w:r>
        <w:rPr>
          <w:rFonts w:ascii="Arial" w:cs="Arial" w:eastAsia="Arial" w:hAnsi="Arial"/>
          <w:sz w:val="17"/>
          <w:szCs w:val="17"/>
          <w:color w:val="auto"/>
        </w:rPr>
        <w:t>Our robust clinical evidence includes nine clinical studies that we sponsored and enrolled between 2013 and 2018, as well as more than 100 peer-reviewed publications, and demonstrates the efficacy, safety and durability of Aquablation therapy, consistent across all prostate sizes and shapes and independent of surgeon experience. Our employees participated in protocol design, data management, monitoring, and statistical analysis in all nine clinical studies and results were provided to authors for publication upon request. Additionally, we have established strong relationships with KOLs within the urology community and collaborated with key urological societies in global markets. This support has been instrumental in facilitating broader acceptance and adoption of Aquablation therapy.</w:t>
      </w:r>
    </w:p>
    <w:p>
      <w:pPr>
        <w:spacing w:after="0" w:line="126" w:lineRule="exact"/>
        <w:rPr>
          <w:rFonts w:ascii="Arial" w:cs="Arial" w:eastAsia="Arial" w:hAnsi="Arial"/>
          <w:sz w:val="17"/>
          <w:szCs w:val="17"/>
          <w:color w:val="auto"/>
        </w:rPr>
      </w:pPr>
    </w:p>
    <w:p>
      <w:pPr>
        <w:ind w:left="640" w:right="160" w:hanging="322"/>
        <w:spacing w:after="0" w:line="296"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Compelling value proposition and benefits to hospitals, surgeons and patients. </w:t>
      </w:r>
      <w:r>
        <w:rPr>
          <w:rFonts w:ascii="Arial" w:cs="Arial" w:eastAsia="Arial" w:hAnsi="Arial"/>
          <w:sz w:val="16"/>
          <w:szCs w:val="16"/>
          <w:color w:val="auto"/>
        </w:rPr>
        <w:t>We designed our AquaBeam Robotic System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enable consistent and reproducible BPH surgery outcomes that are independent of surgeon experience and require minimal training. Furthermore, the AquaBeam Robotic System is highly mobile and compact, requiring no retrofitting of the operating room, and we believe is competitively priced compared to other robotic systems and capital equipment devices. For patients, Aquablation therapy offers significant and durable symptom relief with an attractive safety profile.</w:t>
      </w:r>
    </w:p>
    <w:p>
      <w:pPr>
        <w:spacing w:after="0" w:line="107" w:lineRule="exact"/>
        <w:rPr>
          <w:rFonts w:ascii="Arial" w:cs="Arial" w:eastAsia="Arial" w:hAnsi="Arial"/>
          <w:sz w:val="16"/>
          <w:szCs w:val="16"/>
          <w:color w:val="auto"/>
        </w:rPr>
      </w:pPr>
    </w:p>
    <w:p>
      <w:pPr>
        <w:ind w:left="640" w:right="60" w:hanging="322"/>
        <w:spacing w:after="0" w:line="301"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Recurring revenue model. </w:t>
      </w:r>
      <w:r>
        <w:rPr>
          <w:rFonts w:ascii="Arial" w:cs="Arial" w:eastAsia="Arial" w:hAnsi="Arial"/>
          <w:sz w:val="16"/>
          <w:szCs w:val="16"/>
          <w:color w:val="auto"/>
        </w:rPr>
        <w:t>We generate revenue primarily from hospitals making capital purchases of our AquaBeam Robotic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and purchasing our single-use handpieces for individual patient use. We also generate revenue by providing post-warranty service for the AquaBeam Robotic System. We believe our business model of selling capital equipment that generates corresponding disposables utilization and post-warranty service contracts provides a path to predictable, recurring revenue.</w:t>
      </w:r>
    </w:p>
    <w:p>
      <w:pPr>
        <w:spacing w:after="0" w:line="103" w:lineRule="exact"/>
        <w:rPr>
          <w:rFonts w:ascii="Arial" w:cs="Arial" w:eastAsia="Arial" w:hAnsi="Arial"/>
          <w:sz w:val="16"/>
          <w:szCs w:val="16"/>
          <w:color w:val="auto"/>
        </w:rPr>
      </w:pPr>
    </w:p>
    <w:p>
      <w:pPr>
        <w:ind w:left="640" w:right="140" w:hanging="322"/>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research and development capabilities and a robust intellectual property portfolio. </w:t>
      </w:r>
      <w:r>
        <w:rPr>
          <w:rFonts w:ascii="Arial" w:cs="Arial" w:eastAsia="Arial" w:hAnsi="Arial"/>
          <w:sz w:val="18"/>
          <w:szCs w:val="18"/>
          <w:color w:val="auto"/>
        </w:rPr>
        <w:t>We have invested in establishing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research and development capabilities for over a decade, including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 and that our intellectual property and know-how present a significant barrier to entry for our competitors.</w:t>
      </w:r>
    </w:p>
    <w:p>
      <w:pPr>
        <w:spacing w:after="0" w:line="138" w:lineRule="exact"/>
        <w:rPr>
          <w:rFonts w:ascii="Arial" w:cs="Arial" w:eastAsia="Arial" w:hAnsi="Arial"/>
          <w:sz w:val="18"/>
          <w:szCs w:val="18"/>
          <w:color w:val="auto"/>
        </w:rPr>
      </w:pPr>
    </w:p>
    <w:p>
      <w:pPr>
        <w:ind w:left="640" w:right="140" w:hanging="322"/>
        <w:spacing w:after="0" w:line="26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Proven leadership team and board members with deep industry experience. </w:t>
      </w:r>
      <w:r>
        <w:rPr>
          <w:rFonts w:ascii="Arial" w:cs="Arial" w:eastAsia="Arial" w:hAnsi="Arial"/>
          <w:sz w:val="18"/>
          <w:szCs w:val="18"/>
          <w:color w:val="auto"/>
        </w:rPr>
        <w:t>We are led by a highly experienced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and board with a successful track record of building businesses by identifying and providing solutions for underserved markets in the medical device industry.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mission is to establish Aquablation therapy as the surgical standard of care for BPH. The key elements of our growth strategy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157" w:lineRule="exact"/>
        <w:rPr>
          <w:sz w:val="20"/>
          <w:szCs w:val="20"/>
          <w:color w:val="auto"/>
        </w:rPr>
      </w:pPr>
    </w:p>
    <w:p>
      <w:pPr>
        <w:ind w:left="640" w:hanging="322"/>
        <w:spacing w:after="0" w:line="25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installed base of AquaBeam Robotic Systems by driving adoption of Aquablation therapy among urologists. </w:t>
      </w:r>
      <w:r>
        <w:rPr>
          <w:rFonts w:ascii="Arial" w:cs="Arial" w:eastAsia="Arial" w:hAnsi="Arial"/>
          <w:sz w:val="18"/>
          <w:szCs w:val="18"/>
          <w:color w:val="auto"/>
        </w:rPr>
        <w:t>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we are initially focused on driving adoption of Aquablation therapy among urologists that perform hospital-based resective BPH surgery. We are initially targeting 860 high-volume hospitals that we estimate perform, on average, more than 200 resective procedures annually and account for approximately 70% of all hospital-based resective procedures. We also intend to increase awareness of Aquablation therapy by continuing to publish clinical data in various industry and scientific journals, present our clinical data at various industry conferences and sponsor peer-to-peer education programs and proctorships.</w:t>
      </w:r>
    </w:p>
    <w:p>
      <w:pPr>
        <w:spacing w:after="0" w:line="140" w:lineRule="exact"/>
        <w:rPr>
          <w:rFonts w:ascii="Arial" w:cs="Arial" w:eastAsia="Arial" w:hAnsi="Arial"/>
          <w:sz w:val="18"/>
          <w:szCs w:val="18"/>
          <w:color w:val="auto"/>
        </w:rPr>
      </w:pPr>
    </w:p>
    <w:p>
      <w:pPr>
        <w:ind w:left="640" w:hanging="322"/>
        <w:spacing w:after="0" w:line="263"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system utilization by establishing Aquablation therapy as the surgical treatment of choice for BPH. </w:t>
      </w:r>
      <w:r>
        <w:rPr>
          <w:rFonts w:ascii="Arial" w:cs="Arial" w:eastAsia="Arial" w:hAnsi="Arial"/>
          <w:sz w:val="18"/>
          <w:szCs w:val="18"/>
          <w:color w:val="auto"/>
        </w:rPr>
        <w:t>Once we place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within a hospital, our objective is to establish Aquablation therapy as the surgical treatment of choice for BPH. Within each hospital, we are initially focused on targeting urologists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880"/>
          </w:cols>
          <w:pgMar w:left="1000" w:top="1440" w:right="10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47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40"/>
        <w:spacing w:after="0" w:line="263" w:lineRule="auto"/>
        <w:rPr>
          <w:sz w:val="20"/>
          <w:szCs w:val="20"/>
          <w:color w:val="auto"/>
        </w:rPr>
      </w:pPr>
      <w:r>
        <w:rPr>
          <w:rFonts w:ascii="Arial" w:cs="Arial" w:eastAsia="Arial" w:hAnsi="Arial"/>
          <w:sz w:val="18"/>
          <w:szCs w:val="18"/>
          <w:color w:val="auto"/>
        </w:rPr>
        <w:t>who perform medium-to-high volumes of resective procedures and converting their resective cases to Aquablation therapy. Over time, we intend to leverage our relationships with urologists to drive utilization of Aquablation therapy beyond the current surgical market.</w:t>
      </w:r>
    </w:p>
    <w:p>
      <w:pPr>
        <w:spacing w:after="0" w:line="130" w:lineRule="exact"/>
        <w:rPr>
          <w:sz w:val="20"/>
          <w:szCs w:val="20"/>
          <w:color w:val="auto"/>
        </w:rPr>
      </w:pPr>
    </w:p>
    <w:p>
      <w:pPr>
        <w:ind w:left="640" w:right="80" w:hanging="322"/>
        <w:spacing w:after="0" w:line="25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broaden private payor coverage. </w:t>
      </w:r>
      <w:r>
        <w:rPr>
          <w:rFonts w:ascii="Arial" w:cs="Arial" w:eastAsia="Arial" w:hAnsi="Arial"/>
          <w:sz w:val="18"/>
          <w:szCs w:val="18"/>
          <w:color w:val="auto"/>
        </w:rPr>
        <w:t>We plan to leverage our recent successes, including the addition of Aquablation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therapy to American Urological Association clinical guidelines in May 2019 and the final positive local coverage determinations by all local MACs to provide Medicare beneficiaries with access to Aquablation therapy in all 50 states, in our active discussions with private payors to establish additional positive national and regional coverage policies. We believe that additional private payor coverage will contribute to increasing utilization of our system over time. Outside of the United States, we have ongoing efforts in key markets to expand established coverage and further improve patient access to Aquablation therapy.</w:t>
      </w:r>
    </w:p>
    <w:p>
      <w:pPr>
        <w:spacing w:after="0" w:line="140" w:lineRule="exact"/>
        <w:rPr>
          <w:rFonts w:ascii="Arial" w:cs="Arial" w:eastAsia="Arial" w:hAnsi="Arial"/>
          <w:sz w:val="18"/>
          <w:szCs w:val="18"/>
          <w:color w:val="auto"/>
        </w:rPr>
      </w:pPr>
    </w:p>
    <w:p>
      <w:pPr>
        <w:ind w:left="640" w:right="100" w:hanging="322"/>
        <w:spacing w:after="0" w:line="259"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upon our strong base of clinical evidence. </w:t>
      </w:r>
      <w:r>
        <w:rPr>
          <w:rFonts w:ascii="Arial" w:cs="Arial" w:eastAsia="Arial" w:hAnsi="Arial"/>
          <w:sz w:val="18"/>
          <w:szCs w:val="18"/>
          <w:color w:val="auto"/>
        </w:rPr>
        <w:t>We are committed to continuing to build upon our foundation of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evidence, which we believe will help drive increased awareness and adoption of our products. We also plan to further build our base of clinical evidence by supporting new clinical studies intended to support commercial, regulatory and reimbursement efforts.</w:t>
      </w:r>
    </w:p>
    <w:p>
      <w:pPr>
        <w:spacing w:after="0" w:line="132" w:lineRule="exact"/>
        <w:rPr>
          <w:rFonts w:ascii="Arial" w:cs="Arial" w:eastAsia="Arial" w:hAnsi="Arial"/>
          <w:sz w:val="18"/>
          <w:szCs w:val="18"/>
          <w:color w:val="auto"/>
        </w:rPr>
      </w:pPr>
    </w:p>
    <w:p>
      <w:pPr>
        <w:ind w:left="640" w:right="20" w:hanging="322"/>
        <w:spacing w:after="0" w:line="296" w:lineRule="auto"/>
        <w:tabs>
          <w:tab w:leader="none" w:pos="63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 in research and development to drive continuous improvements and innovation. </w:t>
      </w:r>
      <w:r>
        <w:rPr>
          <w:rFonts w:ascii="Arial" w:cs="Arial" w:eastAsia="Arial" w:hAnsi="Arial"/>
          <w:sz w:val="16"/>
          <w:szCs w:val="16"/>
          <w:color w:val="auto"/>
        </w:rPr>
        <w:t>We are currently developing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next generation 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machine-learning to enable computer-assisted anatomy recognition and improved treatment planning and personalization.</w:t>
      </w:r>
    </w:p>
    <w:p>
      <w:pPr>
        <w:spacing w:after="0" w:line="107" w:lineRule="exact"/>
        <w:rPr>
          <w:rFonts w:ascii="Arial" w:cs="Arial" w:eastAsia="Arial" w:hAnsi="Arial"/>
          <w:sz w:val="16"/>
          <w:szCs w:val="16"/>
          <w:color w:val="auto"/>
        </w:rPr>
      </w:pPr>
    </w:p>
    <w:p>
      <w:pPr>
        <w:ind w:left="640" w:right="160" w:hanging="322"/>
        <w:spacing w:after="0" w:line="25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increased awareness of Aquablation therapy beyond the urology community. </w:t>
      </w:r>
      <w:r>
        <w:rPr>
          <w:rFonts w:ascii="Arial" w:cs="Arial" w:eastAsia="Arial" w:hAnsi="Arial"/>
          <w:sz w:val="18"/>
          <w:szCs w:val="18"/>
          <w:color w:val="auto"/>
        </w:rPr>
        <w:t>As we expand our network of urologists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 our installed base, we intend to increase awareness and brand recognition of Aquablation therapy beyond urologists, primarily among primary care physicians who manage BPH patients. To achieve this objective, we will invest in marketing initiatives directed at primary care physicians in order to optimize referral pathways and expand networks for BPH patients to visit a urologist.</w:t>
      </w:r>
    </w:p>
    <w:p>
      <w:pPr>
        <w:spacing w:after="0" w:line="133" w:lineRule="exact"/>
        <w:rPr>
          <w:rFonts w:ascii="Arial" w:cs="Arial" w:eastAsia="Arial" w:hAnsi="Arial"/>
          <w:sz w:val="18"/>
          <w:szCs w:val="18"/>
          <w:color w:val="auto"/>
        </w:rPr>
      </w:pPr>
    </w:p>
    <w:p>
      <w:pPr>
        <w:ind w:left="640" w:hanging="322"/>
        <w:spacing w:after="0" w:line="25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Further penetrate and expand into existing and new international markets. </w:t>
      </w:r>
      <w:r>
        <w:rPr>
          <w:rFonts w:ascii="Arial" w:cs="Arial" w:eastAsia="Arial" w:hAnsi="Arial"/>
          <w:sz w:val="18"/>
          <w:szCs w:val="18"/>
          <w:color w:val="auto"/>
        </w:rPr>
        <w:t>While the United States remains our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in the near-term, we are growing our existing presence in the large European markets by continuing to promote the clinical benefits of Aquablation therapy, supporting investments in clinical studies to improve coverage and reimbursement and fostering relationships with KOLs. In addition, we intend to expand our reach to selected new markets in the Asia-Pacific region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We are subject to a number of risks, including risks that may prevent us from achieving our business objectives or that may adversely affect our business, financial condition and results of operations. You should carefully consider the risks discussed in the section titled “Risk Factors,” including the following risks, before investing in our common stock:</w:t>
      </w:r>
    </w:p>
    <w:p>
      <w:pPr>
        <w:spacing w:after="0" w:line="130" w:lineRule="exact"/>
        <w:rPr>
          <w:sz w:val="20"/>
          <w:szCs w:val="20"/>
          <w:color w:val="auto"/>
        </w:rPr>
      </w:pPr>
    </w:p>
    <w:p>
      <w:pPr>
        <w:ind w:left="640" w:right="26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an early-stage company with a history of significant net losses, we expect to continue to incur operating losses for the foreseeable future and we may not be able to achieve or sustain profitability.</w:t>
      </w:r>
    </w:p>
    <w:p>
      <w:pPr>
        <w:spacing w:after="0" w:line="116" w:lineRule="exact"/>
        <w:rPr>
          <w:rFonts w:ascii="Arial" w:cs="Arial" w:eastAsia="Arial" w:hAnsi="Arial"/>
          <w:sz w:val="18"/>
          <w:szCs w:val="18"/>
          <w:color w:val="auto"/>
        </w:rPr>
      </w:pPr>
    </w:p>
    <w:p>
      <w:pPr>
        <w:ind w:left="640" w:right="18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revenue is primarily generated from sales of our AquaBeam Robotic System and the accompanying single-use disposable handpieces, and we are therefore highly dependent on the success of those products.</w:t>
      </w:r>
    </w:p>
    <w:p>
      <w:pPr>
        <w:spacing w:after="0" w:line="116" w:lineRule="exact"/>
        <w:rPr>
          <w:rFonts w:ascii="Arial" w:cs="Arial" w:eastAsia="Arial" w:hAnsi="Arial"/>
          <w:sz w:val="18"/>
          <w:szCs w:val="18"/>
          <w:color w:val="auto"/>
        </w:rPr>
      </w:pPr>
    </w:p>
    <w:p>
      <w:pPr>
        <w:ind w:left="640" w:right="180" w:hanging="322"/>
        <w:spacing w:after="0" w:line="263"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significantly and may not fully reflect the underlying performance of our business. This makes our future operating results difficult to predict and could cause our operating results to fall below expectations or any guidance we may provide.</w:t>
      </w:r>
    </w:p>
    <w:p>
      <w:pPr>
        <w:spacing w:after="0" w:line="129" w:lineRule="exact"/>
        <w:rPr>
          <w:rFonts w:ascii="Arial" w:cs="Arial" w:eastAsia="Arial" w:hAnsi="Arial"/>
          <w:sz w:val="18"/>
          <w:szCs w:val="18"/>
          <w:color w:val="auto"/>
        </w:rPr>
      </w:pPr>
    </w:p>
    <w:p>
      <w:pPr>
        <w:ind w:left="640" w:right="16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this offering is successful, we may need additional funding beyond the proceeds of this offering to finance our planned operations, and may not be able to raise capital when needed, which could force us to</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0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
        <w:spacing w:after="0"/>
        <w:rPr>
          <w:sz w:val="20"/>
          <w:szCs w:val="20"/>
          <w:color w:val="auto"/>
        </w:rPr>
      </w:pPr>
      <w:r>
        <w:rPr>
          <w:rFonts w:ascii="Arial" w:cs="Arial" w:eastAsia="Arial" w:hAnsi="Arial"/>
          <w:sz w:val="18"/>
          <w:szCs w:val="18"/>
          <w:color w:val="auto"/>
        </w:rPr>
        <w:t>delay, reduce or eliminate one or more of our product development programs and future commercialization efforts.</w:t>
      </w:r>
    </w:p>
    <w:p>
      <w:pPr>
        <w:spacing w:after="0" w:line="171" w:lineRule="exact"/>
        <w:rPr>
          <w:sz w:val="20"/>
          <w:szCs w:val="20"/>
          <w:color w:val="auto"/>
        </w:rPr>
      </w:pPr>
    </w:p>
    <w:p>
      <w:pPr>
        <w:ind w:left="322" w:right="300" w:hanging="322"/>
        <w:spacing w:after="0" w:line="277"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commercial success of our AquaBeam Robotic System and Aquablation therapy will depend upon the degree of market acceptance of our products among hospitals, surgeons and patients.</w:t>
      </w:r>
    </w:p>
    <w:p>
      <w:pPr>
        <w:spacing w:after="0" w:line="116" w:lineRule="exact"/>
        <w:rPr>
          <w:rFonts w:ascii="Arial" w:cs="Arial" w:eastAsia="Arial" w:hAnsi="Arial"/>
          <w:sz w:val="18"/>
          <w:szCs w:val="18"/>
          <w:color w:val="auto"/>
        </w:rPr>
      </w:pPr>
    </w:p>
    <w:p>
      <w:pPr>
        <w:jc w:val="both"/>
        <w:ind w:left="322" w:right="100" w:hanging="322"/>
        <w:spacing w:after="0" w:line="342" w:lineRule="auto"/>
        <w:tabs>
          <w:tab w:leader="none" w:pos="3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limited experience in training and marketing and selling our products and we may provide inadequate training, fail to increase our sales and marketing capabilities or fail to develop and maintain broad brand awareness in a cost-effective manner.</w:t>
      </w:r>
    </w:p>
    <w:p>
      <w:pPr>
        <w:spacing w:after="0" w:line="69" w:lineRule="exact"/>
        <w:rPr>
          <w:rFonts w:ascii="Arial" w:cs="Arial" w:eastAsia="Arial" w:hAnsi="Arial"/>
          <w:sz w:val="16"/>
          <w:szCs w:val="16"/>
          <w:color w:val="auto"/>
        </w:rPr>
      </w:pPr>
    </w:p>
    <w:p>
      <w:pPr>
        <w:ind w:left="322" w:hanging="322"/>
        <w:spacing w:after="0"/>
        <w:tabs>
          <w:tab w:leader="none" w:pos="3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face competition from many sources, including larger companies, and we may be unable to compete successfully.</w:t>
      </w:r>
    </w:p>
    <w:p>
      <w:pPr>
        <w:spacing w:after="0" w:line="182" w:lineRule="exact"/>
        <w:rPr>
          <w:rFonts w:ascii="Arial" w:cs="Arial" w:eastAsia="Arial" w:hAnsi="Arial"/>
          <w:sz w:val="17"/>
          <w:szCs w:val="17"/>
          <w:color w:val="auto"/>
        </w:rPr>
      </w:pPr>
    </w:p>
    <w:p>
      <w:pPr>
        <w:ind w:left="322" w:right="360" w:hanging="322"/>
        <w:spacing w:after="0" w:line="342" w:lineRule="auto"/>
        <w:tabs>
          <w:tab w:leader="none" w:pos="3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limited experience manufacturing our products in large-scale commercial quantities, and we face a number of manufacturing risks that may adversely affect our manufacturing abilities which could delay, prevent or impair our growth.</w:t>
      </w:r>
    </w:p>
    <w:p>
      <w:pPr>
        <w:spacing w:after="0" w:line="69" w:lineRule="exact"/>
        <w:rPr>
          <w:rFonts w:ascii="Arial" w:cs="Arial" w:eastAsia="Arial" w:hAnsi="Arial"/>
          <w:sz w:val="16"/>
          <w:szCs w:val="16"/>
          <w:color w:val="auto"/>
        </w:rPr>
      </w:pPr>
    </w:p>
    <w:p>
      <w:pPr>
        <w:ind w:left="322" w:right="160" w:hanging="322"/>
        <w:spacing w:after="0" w:line="342" w:lineRule="auto"/>
        <w:tabs>
          <w:tab w:leader="none" w:pos="3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69" w:lineRule="exact"/>
        <w:rPr>
          <w:rFonts w:ascii="Arial" w:cs="Arial" w:eastAsia="Arial" w:hAnsi="Arial"/>
          <w:sz w:val="16"/>
          <w:szCs w:val="16"/>
          <w:color w:val="auto"/>
        </w:rPr>
      </w:pPr>
    </w:p>
    <w:p>
      <w:pPr>
        <w:ind w:left="322" w:hanging="322"/>
        <w:spacing w:after="0" w:line="342" w:lineRule="auto"/>
        <w:tabs>
          <w:tab w:leader="none" w:pos="3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receive a significant number of warranty claims or our AquaBeam Robotic Systems require significant amounts of service after sale, our operating expenses may substantially increase and our business and financial results will be adversely affected.</w:t>
      </w:r>
    </w:p>
    <w:p>
      <w:pPr>
        <w:spacing w:after="0" w:line="69" w:lineRule="exact"/>
        <w:rPr>
          <w:rFonts w:ascii="Arial" w:cs="Arial" w:eastAsia="Arial" w:hAnsi="Arial"/>
          <w:sz w:val="16"/>
          <w:szCs w:val="16"/>
          <w:color w:val="auto"/>
        </w:rPr>
      </w:pPr>
    </w:p>
    <w:p>
      <w:pPr>
        <w:ind w:left="322" w:right="80" w:hanging="322"/>
        <w:spacing w:after="0" w:line="277"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financial condition, results of operations and growth have been adversely impacted by the effects of the COVID-19 pandemic and may continue to be adversely impacted.</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71" w:lineRule="exact"/>
        <w:rPr>
          <w:rFonts w:ascii="Arial" w:cs="Arial" w:eastAsia="Arial" w:hAnsi="Arial"/>
          <w:sz w:val="18"/>
          <w:szCs w:val="18"/>
          <w:color w:val="auto"/>
        </w:rPr>
      </w:pPr>
    </w:p>
    <w:p>
      <w:pPr>
        <w:ind w:left="322" w:right="220" w:hanging="322"/>
        <w:spacing w:after="0" w:line="277"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internal computer systems, or those used by our contractors or consultants, may fail or suffer security breaches, and such failure could negatively affect our business, financial condition and results of operations.</w:t>
      </w:r>
    </w:p>
    <w:p>
      <w:pPr>
        <w:spacing w:after="0" w:line="116" w:lineRule="exact"/>
        <w:rPr>
          <w:rFonts w:ascii="Arial" w:cs="Arial" w:eastAsia="Arial" w:hAnsi="Arial"/>
          <w:sz w:val="18"/>
          <w:szCs w:val="18"/>
          <w:color w:val="auto"/>
        </w:rPr>
      </w:pPr>
    </w:p>
    <w:p>
      <w:pPr>
        <w:ind w:left="322" w:right="460" w:hanging="322"/>
        <w:spacing w:after="0" w:line="277"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sizes of the addressable markets for our AquaBeam Robotic System have not been established with precision and our potential market opportunity may be smaller than we estimate and may decline.</w:t>
      </w:r>
    </w:p>
    <w:p>
      <w:pPr>
        <w:spacing w:after="0" w:line="116" w:lineRule="exact"/>
        <w:rPr>
          <w:rFonts w:ascii="Arial" w:cs="Arial" w:eastAsia="Arial" w:hAnsi="Arial"/>
          <w:sz w:val="18"/>
          <w:szCs w:val="18"/>
          <w:color w:val="auto"/>
        </w:rPr>
      </w:pPr>
    </w:p>
    <w:p>
      <w:pPr>
        <w:ind w:left="322" w:right="240" w:hanging="322"/>
        <w:spacing w:after="0" w:line="277"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Until we are able to achieve broader market acceptance of our AquaBeam Robotic System and Aquablation therapy, we may face risks associated with a more concentrated customer base.</w:t>
      </w:r>
    </w:p>
    <w:p>
      <w:pPr>
        <w:spacing w:after="0" w:line="116" w:lineRule="exact"/>
        <w:rPr>
          <w:rFonts w:ascii="Arial" w:cs="Arial" w:eastAsia="Arial" w:hAnsi="Arial"/>
          <w:sz w:val="18"/>
          <w:szCs w:val="18"/>
          <w:color w:val="auto"/>
        </w:rPr>
      </w:pPr>
    </w:p>
    <w:p>
      <w:pPr>
        <w:ind w:left="322" w:hanging="322"/>
        <w:spacing w:after="0" w:line="277"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highly dependent on our senior management team and key personnel, and our business could be harmed if we are unable to attract and retain personnel necessary for our success.</w:t>
      </w:r>
    </w:p>
    <w:p>
      <w:pPr>
        <w:spacing w:after="0" w:line="116" w:lineRule="exact"/>
        <w:rPr>
          <w:rFonts w:ascii="Arial" w:cs="Arial" w:eastAsia="Arial" w:hAnsi="Arial"/>
          <w:sz w:val="18"/>
          <w:szCs w:val="18"/>
          <w:color w:val="auto"/>
        </w:rPr>
      </w:pPr>
    </w:p>
    <w:p>
      <w:pPr>
        <w:ind w:left="322" w:right="40" w:hanging="322"/>
        <w:spacing w:after="0" w:line="277"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and operations are subject to extensive government regulation and oversight both in the United States and abroad, and our failure to comply with applicable requirements could harm our business.</w:t>
      </w:r>
    </w:p>
    <w:p>
      <w:pPr>
        <w:spacing w:after="0" w:line="116" w:lineRule="exact"/>
        <w:rPr>
          <w:rFonts w:ascii="Arial" w:cs="Arial" w:eastAsia="Arial" w:hAnsi="Arial"/>
          <w:sz w:val="18"/>
          <w:szCs w:val="18"/>
          <w:color w:val="auto"/>
        </w:rPr>
      </w:pPr>
    </w:p>
    <w:p>
      <w:pPr>
        <w:ind w:left="322" w:right="340" w:hanging="322"/>
        <w:spacing w:after="0" w:line="263"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adequately protect our intellectual property rights, or if we are accused of infringing on the intellectual property rights of others, our competitive position could be harmed or we could be required to incur significant expenses to enforce or defend our rights.</w:t>
      </w:r>
    </w:p>
    <w:p>
      <w:pPr>
        <w:spacing w:after="0" w:line="129" w:lineRule="exact"/>
        <w:rPr>
          <w:rFonts w:ascii="Arial" w:cs="Arial" w:eastAsia="Arial" w:hAnsi="Arial"/>
          <w:sz w:val="18"/>
          <w:szCs w:val="18"/>
          <w:color w:val="auto"/>
        </w:rPr>
      </w:pPr>
    </w:p>
    <w:p>
      <w:pPr>
        <w:jc w:val="both"/>
        <w:ind w:left="322" w:right="300" w:hanging="322"/>
        <w:spacing w:after="0" w:line="311" w:lineRule="auto"/>
        <w:tabs>
          <w:tab w:leader="none" w:pos="3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identified a material weakness in our internal control over financial reporting and may identify additional material weaknesses in the future or otherwise fail to maintain effective internal control over financial reporting, which may result in material misstatements of our financial statements or cause us to fail to meet our periodic reporting obligations.</w:t>
      </w:r>
    </w:p>
    <w:p>
      <w:pPr>
        <w:spacing w:after="0" w:line="94" w:lineRule="exact"/>
        <w:rPr>
          <w:rFonts w:ascii="Arial" w:cs="Arial" w:eastAsia="Arial" w:hAnsi="Arial"/>
          <w:sz w:val="16"/>
          <w:szCs w:val="16"/>
          <w:color w:val="auto"/>
        </w:rPr>
      </w:pPr>
    </w:p>
    <w:p>
      <w:pPr>
        <w:ind w:left="322" w:hanging="322"/>
        <w:spacing w:after="0"/>
        <w:tabs>
          <w:tab w:leader="none" w:pos="3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 purchase our common stock in this offering, you will incur immediate and substantial dilution.</w:t>
      </w:r>
    </w:p>
    <w:p>
      <w:pPr>
        <w:sectPr>
          <w:pgSz w:w="11900" w:h="16838" w:orient="portrait"/>
          <w:cols w:equalWidth="0" w:num="1">
            <w:col w:w="9542"/>
          </w:cols>
          <w:pgMar w:left="1318"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8"/>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542"/>
          </w:cols>
          <w:pgMar w:left="1318" w:top="1440" w:right="10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Our business also faces a number of other challenges and risks discussed throughout this prospectus. You should read the entire prospectus carefully, including the sections titled “Risk Factors” and “Management’s Discussion and Analysis of Financial Condition and Results of Operations,” and our consolidated financial statements and related notes included elsewhere in this prospectus, before deciding to invest in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7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We were incorporated in Delaware in April 2021 when our predecessor, PROCEPT BioRobotics Corporation, a California corporation, merged with and into us, and we continued as the surviving entity.</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 xml:space="preserve">Our principal executive office is located at 900 Island Drive, Redwood City, CA, 94065 and our telephone number is (650) 232-7200. Our website address is </w:t>
      </w:r>
      <w:r>
        <w:rPr>
          <w:rFonts w:ascii="Arial" w:cs="Arial" w:eastAsia="Arial" w:hAnsi="Arial"/>
          <w:sz w:val="18"/>
          <w:szCs w:val="18"/>
          <w:i w:val="1"/>
          <w:iCs w:val="1"/>
          <w:color w:val="auto"/>
        </w:rPr>
        <w:t>www.procept-biorobotics.com</w:t>
      </w:r>
      <w:r>
        <w:rPr>
          <w:rFonts w:ascii="Arial" w:cs="Arial" w:eastAsia="Arial" w:hAnsi="Arial"/>
          <w:sz w:val="18"/>
          <w:szCs w:val="18"/>
          <w:color w:val="auto"/>
        </w:rPr>
        <w:t xml:space="preserve">. The information contained on, or that can be accessed through, our website is not incorporated by reference into, and is not a part of, this prospectus or the registration statement of which this prospectus forms a part. </w:t>
      </w:r>
      <w:r>
        <w:rPr>
          <w:rFonts w:ascii="Arial" w:cs="Arial" w:eastAsia="Arial" w:hAnsi="Arial"/>
          <w:sz w:val="18"/>
          <w:szCs w:val="18"/>
          <w:color w:val="auto"/>
          <w:highlight w:val="white"/>
        </w:rPr>
        <w:t>We have included our website in this prospectus solely as an inactive textual reference.</w:t>
      </w:r>
      <w:r>
        <w:rPr>
          <w:rFonts w:ascii="Arial" w:cs="Arial" w:eastAsia="Arial" w:hAnsi="Arial"/>
          <w:sz w:val="18"/>
          <w:szCs w:val="18"/>
          <w:color w:val="auto"/>
        </w:rPr>
        <w:t xml:space="preserve"> Investors should not rely on any such information in deciding whether to purchase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133" w:lineRule="exact"/>
        <w:rPr>
          <w:sz w:val="20"/>
          <w:szCs w:val="20"/>
          <w:color w:val="auto"/>
        </w:rPr>
      </w:pPr>
    </w:p>
    <w:p>
      <w:pPr>
        <w:ind w:left="640" w:right="4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w:t>
      </w:r>
    </w:p>
    <w:p>
      <w:pPr>
        <w:spacing w:after="0" w:line="182" w:lineRule="exact"/>
        <w:rPr>
          <w:rFonts w:ascii="Arial" w:cs="Arial" w:eastAsia="Arial" w:hAnsi="Arial"/>
          <w:sz w:val="17"/>
          <w:szCs w:val="17"/>
          <w:color w:val="auto"/>
        </w:rPr>
      </w:pPr>
    </w:p>
    <w:p>
      <w:pPr>
        <w:ind w:left="640" w:right="40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116" w:lineRule="exact"/>
        <w:rPr>
          <w:rFonts w:ascii="Arial" w:cs="Arial" w:eastAsia="Arial" w:hAnsi="Arial"/>
          <w:sz w:val="18"/>
          <w:szCs w:val="18"/>
          <w:color w:val="auto"/>
        </w:rPr>
      </w:pPr>
    </w:p>
    <w:p>
      <w:pPr>
        <w:ind w:left="640" w:right="36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or on any golden parachute payments not previously approved.</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earliest to occur of: (i) the last day of the first fiscal year in which our annual gross revenue exceeds $1.07 billion; (ii) the date that we become a “large accelerated filer,” with at least $700 million of equity securities held by non-affiliates as of the end of the second quarter of that fiscal year; (iii) the date on which we have issued, in any three-year period, more than $1.0 billion in non-convertible debt securities; and (iv) the last day of the fiscal year ending after the fifth anniversary of the completion of this offering.</w:t>
      </w:r>
    </w:p>
    <w:p>
      <w:pPr>
        <w:spacing w:after="0" w:line="13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with the U.S. Securities and Exchange Commission, or the SEC. As a result, the information that we provide may be different than the information you receive from other public companies in which you hold stock.</w:t>
      </w:r>
    </w:p>
    <w:p>
      <w:pPr>
        <w:spacing w:after="0" w:line="13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Emerging growth companies can also take advantage of the extended transition period provided in Section 13(a) of the Securities Exchange Act of 1934, as amended, or the Exchange Act, for complying with new or revised accounting standards. In other words, an emerging growth company can delay the adoption of certain accounting standards until those standards would otherwise apply to private companies. As a result of these elections, some investors may find our common stock less attractive than they would have otherwise. The result may be a less active trading market for our common stock, and the price of our common stock may become more volatile.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880"/>
          </w:cols>
          <w:pgMar w:left="1000"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430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43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elected to avail ourselves of this exemption and, therefore, for new or revised accounting standards applicable to public companies, we will be subject to an extended transition period until those standards would otherwise apply to private companies. As a result, our consolidated financial statements may not be comparable to companies that comply with new or revised accounting pronouncements as of public company effective dates.</w:t>
      </w:r>
    </w:p>
    <w:p>
      <w:pPr>
        <w:spacing w:after="0" w:line="13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40"/>
          </w:cols>
          <w:pgMar w:left="1000" w:top="1440" w:right="11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87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Offering</w:t>
      </w:r>
    </w:p>
    <w:p>
      <w:pPr>
        <w:spacing w:after="0" w:line="216" w:lineRule="exact"/>
        <w:rPr>
          <w:sz w:val="20"/>
          <w:szCs w:val="20"/>
          <w:color w:val="auto"/>
        </w:rPr>
      </w:pPr>
    </w:p>
    <w:p>
      <w:pPr>
        <w:ind w:left="20"/>
        <w:spacing w:after="0"/>
        <w:tabs>
          <w:tab w:leader="none" w:pos="410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5,500,000 shares.</w:t>
      </w:r>
    </w:p>
    <w:p>
      <w:pPr>
        <w:spacing w:after="0" w:line="115" w:lineRule="exact"/>
        <w:rPr>
          <w:sz w:val="20"/>
          <w:szCs w:val="20"/>
          <w:color w:val="auto"/>
        </w:rPr>
      </w:pPr>
    </w:p>
    <w:p>
      <w:pPr>
        <w:ind w:left="20"/>
        <w:spacing w:after="0"/>
        <w:tabs>
          <w:tab w:leader="none" w:pos="4100" w:val="left"/>
        </w:tabs>
        <w:rPr>
          <w:sz w:val="20"/>
          <w:szCs w:val="20"/>
          <w:color w:val="auto"/>
        </w:rPr>
      </w:pPr>
      <w:r>
        <w:rPr>
          <w:rFonts w:ascii="Arial" w:cs="Arial" w:eastAsia="Arial" w:hAnsi="Arial"/>
          <w:sz w:val="18"/>
          <w:szCs w:val="18"/>
          <w:color w:val="auto"/>
        </w:rPr>
        <w:t>Option to purchase additional shares</w:t>
      </w:r>
      <w:r>
        <w:rPr>
          <w:sz w:val="20"/>
          <w:szCs w:val="20"/>
          <w:color w:val="auto"/>
        </w:rPr>
        <w:tab/>
      </w:r>
      <w:r>
        <w:rPr>
          <w:rFonts w:ascii="Arial" w:cs="Arial" w:eastAsia="Arial" w:hAnsi="Arial"/>
          <w:sz w:val="16"/>
          <w:szCs w:val="16"/>
          <w:color w:val="auto"/>
        </w:rPr>
        <w:t>We have granted the underwriters an option exercisable for a period of 30 days</w:t>
      </w:r>
    </w:p>
    <w:p>
      <w:pPr>
        <w:ind w:left="4120" w:right="100"/>
        <w:spacing w:after="0" w:line="239" w:lineRule="auto"/>
        <w:rPr>
          <w:sz w:val="20"/>
          <w:szCs w:val="20"/>
          <w:color w:val="auto"/>
        </w:rPr>
      </w:pPr>
      <w:r>
        <w:rPr>
          <w:rFonts w:ascii="Arial" w:cs="Arial" w:eastAsia="Arial" w:hAnsi="Arial"/>
          <w:sz w:val="17"/>
          <w:szCs w:val="17"/>
          <w:color w:val="auto"/>
        </w:rPr>
        <w:t>to purchase up to 825,000 additional shares of our common stock at the public offering price, less the underwriting discounts and commissions.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Common stock to be outstanding immediately after this 41,213,537 shares (or 42,038,537 shares if the underwriters exercise their</w:t>
      </w:r>
    </w:p>
    <w:p>
      <w:pPr>
        <w:ind w:left="180"/>
        <w:spacing w:after="0"/>
        <w:tabs>
          <w:tab w:leader="none" w:pos="410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option to purchase additional shares of common stock in full).</w:t>
      </w:r>
    </w:p>
    <w:p>
      <w:pPr>
        <w:spacing w:after="0" w:line="99" w:lineRule="exact"/>
        <w:rPr>
          <w:sz w:val="20"/>
          <w:szCs w:val="20"/>
          <w:color w:val="auto"/>
        </w:rPr>
      </w:pPr>
    </w:p>
    <w:p>
      <w:pPr>
        <w:ind w:left="20"/>
        <w:spacing w:after="0"/>
        <w:tabs>
          <w:tab w:leader="none" w:pos="410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to us from this offering will be approximately</w:t>
      </w:r>
    </w:p>
    <w:p>
      <w:pPr>
        <w:ind w:left="4120"/>
        <w:spacing w:after="0" w:line="210" w:lineRule="auto"/>
        <w:rPr>
          <w:sz w:val="20"/>
          <w:szCs w:val="20"/>
          <w:color w:val="auto"/>
        </w:rPr>
      </w:pPr>
      <w:r>
        <w:rPr>
          <w:rFonts w:ascii="Arial" w:cs="Arial" w:eastAsia="Arial" w:hAnsi="Arial"/>
          <w:sz w:val="18"/>
          <w:szCs w:val="18"/>
          <w:color w:val="auto"/>
        </w:rPr>
        <w:t>$113.6 million, or approximately $131.3 million if the underwriters exercise their option to purchase additional shares in full, based upon an assumed initial public offering price of $23.00 per share, which is the midpoint of the estimated price range set forth on the cover page of this prospectus, and after deducting the estimated underwriting discounts and commissions and estimated offering expenses payable by us.</w:t>
      </w:r>
    </w:p>
    <w:p>
      <w:pPr>
        <w:spacing w:after="0" w:line="112" w:lineRule="exact"/>
        <w:rPr>
          <w:sz w:val="20"/>
          <w:szCs w:val="20"/>
          <w:color w:val="auto"/>
        </w:rPr>
      </w:pPr>
    </w:p>
    <w:p>
      <w:pPr>
        <w:ind w:left="4120" w:right="200"/>
        <w:spacing w:after="0" w:line="228"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hire additional sales and marketing personnel, to fund product development and research and development activities and the remainder for working capital and other general corporate purposes. See the section titled “Use of Proceeds.”</w:t>
      </w:r>
    </w:p>
    <w:p>
      <w:pPr>
        <w:spacing w:after="0" w:line="96" w:lineRule="exact"/>
        <w:rPr>
          <w:sz w:val="20"/>
          <w:szCs w:val="20"/>
          <w:color w:val="auto"/>
        </w:rPr>
      </w:pPr>
    </w:p>
    <w:p>
      <w:pPr>
        <w:ind w:left="20"/>
        <w:spacing w:after="0"/>
        <w:tabs>
          <w:tab w:leader="none" w:pos="41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common stock involves a high degree of risk. See the section</w:t>
      </w:r>
    </w:p>
    <w:p>
      <w:pPr>
        <w:ind w:left="4120" w:right="180"/>
        <w:spacing w:after="0" w:line="226" w:lineRule="auto"/>
        <w:rPr>
          <w:sz w:val="20"/>
          <w:szCs w:val="20"/>
          <w:color w:val="auto"/>
        </w:rPr>
      </w:pPr>
      <w:r>
        <w:rPr>
          <w:rFonts w:ascii="Arial" w:cs="Arial" w:eastAsia="Arial" w:hAnsi="Arial"/>
          <w:sz w:val="18"/>
          <w:szCs w:val="18"/>
          <w:color w:val="auto"/>
        </w:rPr>
        <w:t>titled “Risk Factors” for a discussion of factors you should carefully consider before investing in our common stock.</w:t>
      </w:r>
    </w:p>
    <w:p>
      <w:pPr>
        <w:spacing w:after="0" w:line="92" w:lineRule="exact"/>
        <w:rPr>
          <w:sz w:val="20"/>
          <w:szCs w:val="20"/>
          <w:color w:val="auto"/>
        </w:rPr>
      </w:pPr>
    </w:p>
    <w:p>
      <w:pPr>
        <w:ind w:left="20"/>
        <w:spacing w:after="0"/>
        <w:tabs>
          <w:tab w:leader="none" w:pos="4100" w:val="left"/>
        </w:tabs>
        <w:rPr>
          <w:sz w:val="20"/>
          <w:szCs w:val="20"/>
          <w:color w:val="auto"/>
        </w:rPr>
      </w:pPr>
      <w:r>
        <w:rPr>
          <w:rFonts w:ascii="Arial" w:cs="Arial" w:eastAsia="Arial" w:hAnsi="Arial"/>
          <w:sz w:val="18"/>
          <w:szCs w:val="18"/>
          <w:color w:val="auto"/>
        </w:rPr>
        <w:t>Reserved share program</w:t>
      </w:r>
      <w:r>
        <w:rPr>
          <w:sz w:val="20"/>
          <w:szCs w:val="20"/>
          <w:color w:val="auto"/>
        </w:rPr>
        <w:tab/>
      </w:r>
      <w:r>
        <w:rPr>
          <w:rFonts w:ascii="Arial" w:cs="Arial" w:eastAsia="Arial" w:hAnsi="Arial"/>
          <w:sz w:val="16"/>
          <w:szCs w:val="16"/>
          <w:color w:val="auto"/>
        </w:rPr>
        <w:t>At our request, an affiliate of BofA Securities, Inc., a participating underwriter,</w:t>
      </w:r>
    </w:p>
    <w:p>
      <w:pPr>
        <w:ind w:left="4120" w:right="40"/>
        <w:spacing w:after="0" w:line="222" w:lineRule="auto"/>
        <w:rPr>
          <w:sz w:val="20"/>
          <w:szCs w:val="20"/>
          <w:color w:val="auto"/>
        </w:rPr>
      </w:pPr>
      <w:r>
        <w:rPr>
          <w:rFonts w:ascii="Arial" w:cs="Arial" w:eastAsia="Arial" w:hAnsi="Arial"/>
          <w:sz w:val="17"/>
          <w:szCs w:val="17"/>
          <w:color w:val="auto"/>
        </w:rPr>
        <w:t>has reserved for sale, at the initial public offering price, up to 5.0% of the shares offered by this prospectus for sale to some of our directors, officers, employees, distributors, dealers, business associates and related persons. If these persons purchase reserved shares, this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09" w:lineRule="exact"/>
        <w:rPr>
          <w:sz w:val="20"/>
          <w:szCs w:val="20"/>
          <w:color w:val="auto"/>
        </w:rPr>
      </w:pPr>
    </w:p>
    <w:p>
      <w:pPr>
        <w:ind w:left="20"/>
        <w:spacing w:after="0"/>
        <w:tabs>
          <w:tab w:leader="none" w:pos="4100" w:val="left"/>
        </w:tabs>
        <w:rPr>
          <w:sz w:val="20"/>
          <w:szCs w:val="20"/>
          <w:color w:val="auto"/>
        </w:rPr>
      </w:pPr>
      <w:r>
        <w:rPr>
          <w:rFonts w:ascii="Arial" w:cs="Arial" w:eastAsia="Arial" w:hAnsi="Arial"/>
          <w:sz w:val="18"/>
          <w:szCs w:val="18"/>
          <w:color w:val="auto"/>
        </w:rPr>
        <w:t>Proposed Nasdaq Global Market symbol</w:t>
      </w:r>
      <w:r>
        <w:rPr>
          <w:sz w:val="20"/>
          <w:szCs w:val="20"/>
          <w:color w:val="auto"/>
        </w:rPr>
        <w:tab/>
      </w:r>
      <w:r>
        <w:rPr>
          <w:rFonts w:ascii="Arial" w:cs="Arial" w:eastAsia="Arial" w:hAnsi="Arial"/>
          <w:sz w:val="17"/>
          <w:szCs w:val="17"/>
          <w:color w:val="auto"/>
        </w:rPr>
        <w:t>“PRCT”</w:t>
      </w:r>
    </w:p>
    <w:p>
      <w:pPr>
        <w:spacing w:after="0" w:line="266"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35,713,537 shares of common stock outstanding as of June 30, 2021, and excludes the following:</w:t>
      </w:r>
    </w:p>
    <w:p>
      <w:pPr>
        <w:spacing w:after="0" w:line="116" w:lineRule="exact"/>
        <w:rPr>
          <w:sz w:val="20"/>
          <w:szCs w:val="20"/>
          <w:color w:val="auto"/>
        </w:rPr>
      </w:pPr>
    </w:p>
    <w:p>
      <w:pPr>
        <w:ind w:left="640" w:right="100" w:hanging="322"/>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6,621,256 shares of our common stock issuable upon the exercise of options outstanding as of June 30, 2021, with a weighted-average exercise price of $4.66 per share;</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195,782 shares of our common stock issuable upon the exercise of options granted after June 30, 2021, with a weighted-average exercise price of $8.71 per share;</w:t>
      </w:r>
    </w:p>
    <w:p>
      <w:pPr>
        <w:spacing w:after="0" w:line="116" w:lineRule="exact"/>
        <w:rPr>
          <w:rFonts w:ascii="Arial" w:cs="Arial" w:eastAsia="Arial" w:hAnsi="Arial"/>
          <w:sz w:val="18"/>
          <w:szCs w:val="18"/>
          <w:color w:val="auto"/>
        </w:rPr>
      </w:pPr>
    </w:p>
    <w:p>
      <w:pPr>
        <w:ind w:left="640" w:right="40" w:hanging="322"/>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1,145,325 shares of our common stock that remain available for issuance under our Amended and Restated 2008 Stock Plan, or 2008 Plan, as of June 30, 2021;</w:t>
      </w:r>
    </w:p>
    <w:p>
      <w:pPr>
        <w:spacing w:after="0" w:line="116" w:lineRule="exact"/>
        <w:rPr>
          <w:rFonts w:ascii="Arial" w:cs="Arial" w:eastAsia="Arial" w:hAnsi="Arial"/>
          <w:sz w:val="18"/>
          <w:szCs w:val="18"/>
          <w:color w:val="auto"/>
        </w:rPr>
      </w:pPr>
    </w:p>
    <w:p>
      <w:pPr>
        <w:ind w:left="640" w:right="60" w:hanging="322"/>
        <w:spacing w:after="0" w:line="263"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3,303,910 shares of our common stock reserved for future issuance under our 2021 Equity Incentive Award Plan, or 2021 Plan, which will become effective in connection with this offering (and which excludes any potential annual evergreen increases pursuant to the terms of the 2021 Plan); and</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60"/>
          </w:cols>
          <w:pgMar w:left="1000" w:top="1440" w:right="103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596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359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322" w:right="400" w:hanging="322"/>
        <w:spacing w:after="0" w:line="263"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412,988 shares of our common stock reserved for future issuance under our 2021 Employee Stock Purchase Plan, or ESPP, which will become effective in connection with this offering (and which excludes any potential annual evergreen increases pursuant to the terms of the ESPP).</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71" w:lineRule="exact"/>
        <w:rPr>
          <w:sz w:val="20"/>
          <w:szCs w:val="20"/>
          <w:color w:val="auto"/>
        </w:rPr>
      </w:pPr>
    </w:p>
    <w:p>
      <w:pPr>
        <w:ind w:left="322" w:hanging="322"/>
        <w:spacing w:after="0"/>
        <w:tabs>
          <w:tab w:leader="none" w:pos="3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1-for-4.75 reverse stock split of our capital stock, which was effected on September 7, 2021;</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issuance of shares of Series E redeemable convertible preferred stock upon the exercise for cash, at an exercise price</w:t>
      </w:r>
    </w:p>
    <w:p>
      <w:pPr>
        <w:spacing w:after="0" w:line="34" w:lineRule="exact"/>
        <w:rPr>
          <w:rFonts w:ascii="Arial" w:cs="Arial" w:eastAsia="Arial" w:hAnsi="Arial"/>
          <w:sz w:val="17"/>
          <w:szCs w:val="17"/>
          <w:color w:val="auto"/>
        </w:rPr>
      </w:pPr>
    </w:p>
    <w:p>
      <w:pPr>
        <w:ind w:left="322" w:right="20"/>
        <w:spacing w:after="0" w:line="260" w:lineRule="auto"/>
        <w:rPr>
          <w:rFonts w:ascii="Arial" w:cs="Arial" w:eastAsia="Arial" w:hAnsi="Arial"/>
          <w:sz w:val="17"/>
          <w:szCs w:val="17"/>
          <w:color w:val="auto"/>
        </w:rPr>
      </w:pPr>
      <w:r>
        <w:rPr>
          <w:rFonts w:ascii="Arial" w:cs="Arial" w:eastAsia="Arial" w:hAnsi="Arial"/>
          <w:sz w:val="18"/>
          <w:szCs w:val="18"/>
          <w:color w:val="auto"/>
        </w:rPr>
        <w:t>of $13.73 per share, of 71,705 warrants to purchase our redeemable convertible preferred stock outstanding as of June 30, 2021, prior to the warrants’ expiration upon the completion of this offering;</w:t>
      </w:r>
    </w:p>
    <w:p>
      <w:pPr>
        <w:spacing w:after="0" w:line="131" w:lineRule="exact"/>
        <w:rPr>
          <w:rFonts w:ascii="Arial" w:cs="Arial" w:eastAsia="Arial" w:hAnsi="Arial"/>
          <w:sz w:val="17"/>
          <w:szCs w:val="17"/>
          <w:color w:val="auto"/>
        </w:rPr>
      </w:pPr>
    </w:p>
    <w:p>
      <w:pPr>
        <w:ind w:left="322" w:right="420" w:hanging="322"/>
        <w:spacing w:after="0" w:line="277" w:lineRule="auto"/>
        <w:tabs>
          <w:tab w:leader="none" w:pos="3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29,849,810 shares of our redeemable convertible preferred stock into an equivalent number of shares of our common stock immediately prior to the completion of this offering;</w:t>
      </w:r>
    </w:p>
    <w:p>
      <w:pPr>
        <w:spacing w:after="0" w:line="116" w:lineRule="exact"/>
        <w:rPr>
          <w:rFonts w:ascii="Arial" w:cs="Arial" w:eastAsia="Arial" w:hAnsi="Arial"/>
          <w:sz w:val="18"/>
          <w:szCs w:val="18"/>
          <w:color w:val="auto"/>
        </w:rPr>
      </w:pPr>
    </w:p>
    <w:p>
      <w:pPr>
        <w:ind w:left="322" w:hanging="322"/>
        <w:spacing w:after="0" w:line="277" w:lineRule="auto"/>
        <w:tabs>
          <w:tab w:leader="none" w:pos="3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adoption, filing and effectiveness of our amended and restated certificate of incorporation and the adoption and effectiveness of our amended and restated bylaws immediately after the completion of this offering;</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 and</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825,000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8"/>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562"/>
          </w:cols>
          <w:pgMar w:left="1318" w:top="1440" w:right="10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81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5" w:lineRule="exact"/>
        <w:rPr>
          <w:sz w:val="20"/>
          <w:szCs w:val="20"/>
          <w:color w:val="auto"/>
        </w:rPr>
      </w:pPr>
    </w:p>
    <w:p>
      <w:pPr>
        <w:ind w:left="20" w:right="20" w:firstLine="324"/>
        <w:spacing w:after="0" w:line="269" w:lineRule="auto"/>
        <w:rPr>
          <w:sz w:val="20"/>
          <w:szCs w:val="20"/>
          <w:color w:val="auto"/>
        </w:rPr>
      </w:pPr>
      <w:r>
        <w:rPr>
          <w:rFonts w:ascii="Arial" w:cs="Arial" w:eastAsia="Arial" w:hAnsi="Arial"/>
          <w:sz w:val="17"/>
          <w:szCs w:val="17"/>
          <w:color w:val="auto"/>
        </w:rPr>
        <w:t>The following tables summarize our historical consolidated financial data for the periods and as of the dates indicated. We derived our summary consolidated statements of operations data for the years ended December 31, 2019 and 2020 from our audited consolidated financial statements included elsewhere in this prospectus. We derived our summary consolidated statement of operations data for the six months ended June 30, 2020 and 2021 and our summary consolidated balance sheet data as of June 30, 2021 from our unaudited consolidated interim financial statements included elsewhere in this prospectus. In our opinion, our unaudited consolidated interim financial statements have been prepared on a basis consistent with our audited consolidated financial statements and contain all adjustments, consisting only of normal and recurring adjustments, necessary for a fair presentation of such interim financial statements. Our historical results are not necessarily indicative of the results to be expected in the future and our results for the six months ended June 30, 2021 are not necessarily indicative of the results that may be expected for the year ending December 31, 2021 or any other interim periods or any future year or period. You should read the following information in conjunction with the section titled “Management’s Discussion and Analysis of Financial Condition and Results of Operations” and our consolidated financial statements and the related notes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0" w:type="dxa"/>
            <w:vAlign w:val="bottom"/>
            <w:gridSpan w:val="7"/>
          </w:tcPr>
          <w:p>
            <w:pPr>
              <w:ind w:left="6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6,169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7,717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15,668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8,054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8,558</w:t>
            </w:r>
          </w:p>
        </w:tc>
        <w:tc>
          <w:tcPr>
            <w:tcW w:w="0" w:type="dxa"/>
            <w:vAlign w:val="bottom"/>
          </w:tcPr>
          <w:p>
            <w:pPr>
              <w:spacing w:after="0"/>
              <w:rPr>
                <w:sz w:val="1"/>
                <w:szCs w:val="1"/>
                <w:color w:val="auto"/>
              </w:rPr>
            </w:pPr>
          </w:p>
        </w:tc>
      </w:tr>
      <w:tr>
        <w:trPr>
          <w:trHeight w:val="223"/>
        </w:trPr>
        <w:tc>
          <w:tcPr>
            <w:tcW w:w="416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45 %</w:t>
            </w:r>
          </w:p>
        </w:tc>
        <w:tc>
          <w:tcPr>
            <w:tcW w:w="0" w:type="dxa"/>
            <w:vAlign w:val="bottom"/>
          </w:tcPr>
          <w:p>
            <w:pPr>
              <w:spacing w:after="0"/>
              <w:rPr>
                <w:sz w:val="1"/>
                <w:szCs w:val="1"/>
                <w:color w:val="auto"/>
              </w:rPr>
            </w:pPr>
          </w:p>
        </w:tc>
      </w:tr>
      <w:tr>
        <w:trPr>
          <w:trHeight w:val="230"/>
        </w:trPr>
        <w:tc>
          <w:tcPr>
            <w:tcW w:w="4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28,518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30,272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14,084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41,665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46,547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21,923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31,646</w:t>
            </w:r>
          </w:p>
        </w:tc>
        <w:tc>
          <w:tcPr>
            <w:tcW w:w="0" w:type="dxa"/>
            <w:vAlign w:val="bottom"/>
          </w:tcPr>
          <w:p>
            <w:pPr>
              <w:spacing w:after="0"/>
              <w:rPr>
                <w:sz w:val="1"/>
                <w:szCs w:val="1"/>
                <w:color w:val="auto"/>
              </w:rPr>
            </w:pPr>
          </w:p>
        </w:tc>
      </w:tr>
      <w:tr>
        <w:trPr>
          <w:trHeight w:val="223"/>
        </w:trPr>
        <w:tc>
          <w:tcPr>
            <w:tcW w:w="41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(43,550)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(47,802)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(23,616)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income, net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(41,975)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(53,019)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(25,732)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(27,402)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Pr>
          <w:p>
            <w:pPr>
              <w:ind w:left="40"/>
              <w:spacing w:after="0" w:line="203" w:lineRule="exact"/>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23"/>
                <w:szCs w:val="23"/>
                <w:color w:val="auto"/>
                <w:vertAlign w:val="superscript"/>
              </w:rPr>
              <w:t>(1)</w:t>
            </w: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2"/>
              <w:spacing w:after="0" w:line="203" w:lineRule="exact"/>
              <w:rPr>
                <w:sz w:val="20"/>
                <w:szCs w:val="20"/>
                <w:color w:val="auto"/>
              </w:rPr>
            </w:pPr>
            <w:r>
              <w:rPr>
                <w:rFonts w:ascii="Arial" w:cs="Arial" w:eastAsia="Arial" w:hAnsi="Arial"/>
                <w:sz w:val="18"/>
                <w:szCs w:val="18"/>
                <w:color w:val="auto"/>
              </w:rPr>
              <w:t>(19.01)</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1"/>
              <w:spacing w:after="0" w:line="203" w:lineRule="exact"/>
              <w:rPr>
                <w:sz w:val="20"/>
                <w:szCs w:val="20"/>
                <w:color w:val="auto"/>
              </w:rPr>
            </w:pPr>
            <w:r>
              <w:rPr>
                <w:rFonts w:ascii="Arial" w:cs="Arial" w:eastAsia="Arial" w:hAnsi="Arial"/>
                <w:sz w:val="18"/>
                <w:szCs w:val="18"/>
                <w:color w:val="auto"/>
              </w:rPr>
              <w:t>(14.47)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2"/>
              <w:spacing w:after="0" w:line="203" w:lineRule="exact"/>
              <w:rPr>
                <w:sz w:val="20"/>
                <w:szCs w:val="20"/>
                <w:color w:val="auto"/>
              </w:rPr>
            </w:pPr>
            <w:r>
              <w:rPr>
                <w:rFonts w:ascii="Arial" w:cs="Arial" w:eastAsia="Arial" w:hAnsi="Arial"/>
                <w:sz w:val="18"/>
                <w:szCs w:val="18"/>
                <w:color w:val="auto"/>
              </w:rPr>
              <w:t>(9.12)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1"/>
              <w:spacing w:after="0" w:line="203"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6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color w:val="auto"/>
              </w:rPr>
              <w:t>Weighted-average common shares used to compute net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loss per share attributable to common shareholders,</w:t>
            </w: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2,208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3,663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and diluted</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Pro forma:</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Pr>
          <w:p>
            <w:pPr>
              <w:ind w:left="40"/>
              <w:spacing w:after="0" w:line="203" w:lineRule="exact"/>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23"/>
                <w:szCs w:val="23"/>
                <w:color w:val="auto"/>
                <w:vertAlign w:val="superscript"/>
              </w:rPr>
              <w:t>(2)</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1"/>
              <w:spacing w:after="0" w:line="203"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1"/>
              <w:spacing w:after="0" w:line="203" w:lineRule="exact"/>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6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color w:val="auto"/>
              </w:rPr>
              <w:t>Weighted-average common shares used to compute pro</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forma net loss per share attributable to common</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33,585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35,138</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shareholders, basic and diluted</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40" w:hanging="326"/>
        <w:spacing w:after="0" w:line="241"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Note 2 to our consolidated financial statements included elsewhere in this prospectus for an explanation of the method used to calculate our historical basic and diluted net loss per share.</w:t>
      </w:r>
    </w:p>
    <w:p>
      <w:pPr>
        <w:ind w:left="340" w:right="80" w:hanging="326"/>
        <w:spacing w:after="0" w:line="244"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unaudited pro forma basic and diluted net loss per share for the year ended December 31, 2020 and for the six months ended June 30, 2021 has been prepared to give effect to an adjustment to the denominator in the pro forma basic and diluted net loss per share calculation for the automatic conversion of 29,849,810 outstanding shares of our redeemable convertible preferred stock as of June 30, 2021 into an equivalent number of shares of common stock and the exercise of outstanding warrants as of June 30, 2021 for 71,705 shares of redeemable convertible preferred stock at a cash exercise price of $13.73 per share, and subsequent conversion into an equivalent number of shares of common stock.</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900"/>
          </w:cols>
          <w:pgMar w:left="980" w:top="1440" w:right="10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744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474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June 30, 2021</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1"/>
                <w:szCs w:val="11"/>
                <w:color w:val="auto"/>
              </w:rPr>
            </w:pPr>
          </w:p>
        </w:tc>
        <w:tc>
          <w:tcPr>
            <w:tcW w:w="122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9"/>
                <w:szCs w:val="9"/>
                <w:b w:val="1"/>
                <w:bCs w:val="1"/>
                <w:color w:val="auto"/>
                <w:w w:val="96"/>
              </w:rPr>
              <w:t>(1)</w:t>
            </w:r>
          </w:p>
        </w:tc>
        <w:tc>
          <w:tcPr>
            <w:tcW w:w="260" w:type="dxa"/>
            <w:vAlign w:val="bottom"/>
          </w:tcPr>
          <w:p>
            <w:pPr>
              <w:spacing w:after="0"/>
              <w:rPr>
                <w:sz w:val="11"/>
                <w:szCs w:val="11"/>
                <w:color w:val="auto"/>
              </w:rPr>
            </w:pPr>
          </w:p>
        </w:tc>
        <w:tc>
          <w:tcPr>
            <w:tcW w:w="1180" w:type="dxa"/>
            <w:vAlign w:val="bottom"/>
          </w:tcPr>
          <w:p>
            <w:pPr>
              <w:jc w:val="right"/>
              <w:ind w:right="154"/>
              <w:spacing w:after="0" w:line="135"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(2)(3)</w:t>
            </w:r>
          </w:p>
        </w:tc>
        <w:tc>
          <w:tcPr>
            <w:tcW w:w="0" w:type="dxa"/>
            <w:vAlign w:val="bottom"/>
          </w:tcPr>
          <w:p>
            <w:pPr>
              <w:spacing w:after="0"/>
              <w:rPr>
                <w:sz w:val="1"/>
                <w:szCs w:val="1"/>
                <w:color w:val="auto"/>
              </w:rPr>
            </w:pPr>
          </w:p>
        </w:tc>
      </w:tr>
      <w:tr>
        <w:trPr>
          <w:trHeight w:val="183"/>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159,224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160,209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273,900</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 warrant liability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162,760</w:t>
            </w:r>
          </w:p>
        </w:tc>
        <w:tc>
          <w:tcPr>
            <w:tcW w:w="2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163,874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278,421</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190,577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191,562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304,351</w:t>
            </w: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68,319</w:t>
            </w:r>
          </w:p>
        </w:tc>
        <w:tc>
          <w:tcPr>
            <w:tcW w:w="2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68,190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67,334</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328,564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40"/>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(206,306)</w:t>
            </w:r>
          </w:p>
        </w:tc>
        <w:tc>
          <w:tcPr>
            <w:tcW w:w="24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123,372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237,017</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hanging="326"/>
        <w:spacing w:after="0" w:line="241"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pro forma column in the consolidated balance sheet data table above gives effect to the automatic conversion of 29,849,810 outstanding shares of our redeemable convertible preferred stock as of June 30, 2021 into an equivalent number of shares of common stock, and the exercise of outstanding warrants as of June 30, 2021 for 71,705 shares of redeemable convertible preferred stock at a cash exercise price of $13.73 per share, and subsequent conversion into an equivalent number of shares of common stock, and the resultant reclassification of our redeemable convertible preferred stock warrant liability to additional paid-in capital, a component of stockholders’ (deficit) equity, all of which will occur immediately prior to the completion of this offering.</w:t>
      </w:r>
    </w:p>
    <w:p>
      <w:pPr>
        <w:spacing w:after="0" w:line="1" w:lineRule="exact"/>
        <w:rPr>
          <w:rFonts w:ascii="Arial" w:cs="Arial" w:eastAsia="Arial" w:hAnsi="Arial"/>
          <w:sz w:val="14"/>
          <w:szCs w:val="14"/>
          <w:color w:val="auto"/>
        </w:rPr>
      </w:pPr>
    </w:p>
    <w:p>
      <w:pPr>
        <w:ind w:left="340" w:right="80" w:hanging="326"/>
        <w:spacing w:after="0" w:line="260" w:lineRule="auto"/>
        <w:tabs>
          <w:tab w:leader="none" w:pos="33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pro forma as adjusted column in the consolidated balance sheet data table above gives effect to (i) the pro forma adjustments described in footnote (1) above and (ii) the sale and issuance by us of 5,500,000 shares of common stock in this offering at the assumed initial public offering price of $23.00 per share, which is the midpoint of the price range set forth on the cover page of this prospectus, after deducting the estimated underwriting discounts and commissions and estimated offering expenses payable by us, net of amounts recorded in accrued expenses and other current liabilities and other assets at June 30, 2021.</w:t>
      </w:r>
    </w:p>
    <w:p>
      <w:pPr>
        <w:ind w:left="340" w:right="20" w:hanging="326"/>
        <w:spacing w:after="0" w:line="260" w:lineRule="auto"/>
        <w:tabs>
          <w:tab w:leader="none" w:pos="332" w:val="left"/>
        </w:tabs>
        <w:numPr>
          <w:ilvl w:val="0"/>
          <w:numId w:val="17"/>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$23.00 per share, which is the midpoint of the price range set forth on the cover page of this prospectus, would increase or decrease, as applicable, the pro forma as adjusted amount of each of our cash and cash equivalents, working capital, total assets and total stockholders’ equity by approximately $5.1 million, assuming that the number of shares offered by us, as set forth on the cover page of this prospectus, remains the same and after deducting the estimated underwriting discounts and commissions and estimated offering expenses payable by us. Similarly, each increase or decrease of 1.0 million shares in the number of shares offered by us at the assumed initial public offering price would increase or decrease, as applicable, each of our cash and cash equivalents, working capital, total assets and total stockholders' equity by approximately $21.4 million, assuming the shares of our common stock offered by this prospectus are sold at the assumed initial public offering price of $23.00 per share and after deducting the estimated underwriting discounts and commissions and estimated offering expenses payable by us. The pro forma as adjusted information discussed above is illustrative only and will be adjusted based on the actual initial public offering price, the number of shares we sell and other terms of this offering that will be determined at pricing.</w:t>
      </w:r>
    </w:p>
    <w:p>
      <w:pPr>
        <w:ind w:left="340" w:right="180" w:hanging="326"/>
        <w:spacing w:after="0" w:line="255"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and related notes included elsewhere in this prospectus for further detail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20"/>
          </w:cols>
          <w:pgMar w:left="980" w:top="1440" w:right="999" w:bottom="1440" w:gutter="0" w:footer="0" w:header="0"/>
        </w:sectPr>
      </w:pPr>
    </w:p>
    <w:bookmarkStart w:id="19" w:name="page20"/>
    <w:bookmarkEnd w:id="1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and read carefully all of the risks and uncertainties described below, as well as other information included in this prospectus and the section titled “Management’s Discussion and Analysis of Financial Condition and Results of Operations,” and our consolidated financial statements and related notes included elsewhere in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significant net losses, we expect to continue to incur operating losses for the foreseeable future and we may not be able to achieve or sustain profitability.</w:t>
      </w:r>
    </w:p>
    <w:p>
      <w:pPr>
        <w:spacing w:after="0" w:line="116" w:lineRule="exact"/>
        <w:rPr>
          <w:sz w:val="20"/>
          <w:szCs w:val="20"/>
          <w:color w:val="auto"/>
        </w:rPr>
      </w:pPr>
    </w:p>
    <w:p>
      <w:pPr>
        <w:ind w:right="240" w:firstLine="324"/>
        <w:spacing w:after="0" w:line="287" w:lineRule="auto"/>
        <w:rPr>
          <w:sz w:val="20"/>
          <w:szCs w:val="20"/>
          <w:color w:val="auto"/>
        </w:rPr>
      </w:pPr>
      <w:r>
        <w:rPr>
          <w:rFonts w:ascii="Arial" w:cs="Arial" w:eastAsia="Arial" w:hAnsi="Arial"/>
          <w:sz w:val="16"/>
          <w:szCs w:val="16"/>
          <w:color w:val="auto"/>
        </w:rPr>
        <w:t>We have incurred significant net losses in each reporting period since our inception. For the years ended December 31, 2019 and 2020, we had a net loss of $42.0 million and $53.0 million, respectively. For the six months ended June 30, 2020 and 2021, we had a net loss of $25.7 million and $27.4 million, respectively. We expect to continue to incur additional losses in the future. As of June 30, 2021, we had an accumulated deficit of</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$229.1 million. To date, we have financed our operations primarily through net proceeds from the sale of our redeemable convertible preferred stock in private placements, indebtedness, including our loan and security agreement, and, to a lesser extent, product revenue from sales of our AquaBeam Robotic System and single-use disposable handpieces. The losses and accumulated deficit have primarily been due to the substantial investments we have made to develop our products, costs related to our sales and marketing efforts, including costs related to clinical and regulatory initiatives to obtain marketing approval, and infrastructure improvements.</w:t>
      </w:r>
    </w:p>
    <w:p>
      <w:pPr>
        <w:spacing w:after="0" w:line="13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may also encounter unforeseen expenses, difficulties, complications, delays and other known and unknown factors and risks frequently experienced by early-stage medical technology companies in rapidly evolving fields. In addition, as a public company, we will incur significant legal, accounting and other expenses that we did not incur as a private company. Accordingly, we expect to continue to incur significant operating losses for the foreseeable future and we cannot assure you that we will achieve profitability in the future or that, if we do become profitable, we will sustain profitability. Our failure to achieve and sustain profitability in the future will make it more difficult to finance our capital requirements needed to operate our business and accomplish our strategic objectives, which would have a material adverse effect on our business, financial condition and results of operations and cause the market price of our common stock to decline.</w:t>
      </w:r>
    </w:p>
    <w:p>
      <w:pPr>
        <w:spacing w:after="0" w:line="1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revenue is primarily generated from sales of our AquaBeam Robotic System and the accompanying single-use disposable handpieces, and we are therefore highly dependent on the success of those products.</w:t>
      </w:r>
    </w:p>
    <w:p>
      <w:pPr>
        <w:spacing w:after="0" w:line="11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To date, substantially all of our revenue has been derived, and we expect it to continue to be substantially derived, from sales of our AquaBeam Robotic System and its accompanying single-use disposable handpieces. Our products deliver our Aquablation therapy, the first and only image-guided, heat-free robotic therapy for BPH. We began commercializing our products in the United States in 2017 and physician awareness of, and experience with, our products has been and is currently limited. As a result, our products have limited product and brand recognition within the medical industry for the treatment of BPH. We do not have a long history operating as a commercial company, and the novelty of our products, together with our limited commercialization experience, makes it difficult to evaluate our current business and predict our future prospects with precision. These factors also make it difficult for us to forecast our financial performance and future growth, and such forecasts are subject to a number of uncertainties, including those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44"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Our quarterly and annual operating results may fluctuate significantly and may not fully reflect the underlying performance of our business. This makes our future operating results difficult to predict and could cause our operating results to fall below expectations or any guidance we may provide.</w:t>
      </w:r>
    </w:p>
    <w:p>
      <w:pPr>
        <w:spacing w:after="0" w:line="46"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operating results may fluctuate significantly as a result of a variety of factors, many of which are outside our control and, as a result, may not fully reflect the underlying performance of our business. Such fluctuations in quarterly and annual operating results may decrease the value of our common stock. Because our quarterly operating results may fluctuate, period-to-period comparisons may not be the best indication of the underlying results of our business and should only be relied upon as one factor in determining how our business is performing. These fluctuations may occur due to a variety of factors, many of which are outside of our control, including, but not limited to:</w:t>
      </w:r>
    </w:p>
    <w:p>
      <w:pPr>
        <w:spacing w:after="0" w:line="11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surgeon and hospital adoption and demand for our products and Aquablation therapy;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reimbursement rates by government or commercial payors;</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positive or negative coverage in the media or clinical publications, or changes in public, patient and/or physician perception, of our products or competing products and treatments, including our brand reputation;</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including consolidation among competitors or future partners;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safety, reliability or effectiveness concerns that arise regarding our products or other procedures to treat BPH;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pricing pressures in connection with the sale of our products and downward pressure on healthcare costs in general;</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including our ability to deploy a sufficient number of qualified sales representatives to sell and market our products;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delays in product development or product launches;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agreements with third-party suppliers;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raise additional capital on acceptable terms, or at all, if needed to support the commercialization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achieve and maintain compliance with all regulatory requirements applicable to our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maintain and enforce our intellectual property rights;</w:t>
      </w:r>
    </w:p>
    <w:p>
      <w:pPr>
        <w:spacing w:after="0" w:line="171" w:lineRule="exact"/>
        <w:rPr>
          <w:rFonts w:ascii="Arial" w:cs="Arial" w:eastAsia="Arial" w:hAnsi="Arial"/>
          <w:sz w:val="18"/>
          <w:szCs w:val="18"/>
          <w:color w:val="auto"/>
        </w:rPr>
      </w:pPr>
    </w:p>
    <w:p>
      <w:pPr>
        <w:ind w:left="660" w:right="10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and our third-party suppliers’ ability to supply the components of our products in a timely manner, in accordance with our specifications, and in compliance with applicable regulatory requirements;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introduction of new products, technologies or alternative treatments for BPH that compete with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4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If our assumptions regarding the risks and uncertainties we face, which we use to plan our business, are incorrect or change due to circumstances in our business or our markets, or if we do not address these risks successfully, our operating and financial results could deviate materially from our expectations and our business could suffer.</w:t>
      </w:r>
    </w:p>
    <w:p>
      <w:pPr>
        <w:spacing w:after="0" w:line="133"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3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As of June 30, 2021, we had $50.0 million outstanding in the form of a term loan under our loan and security agreement with Oxford Finance LLC, which was entered into in September 2019. The loan is secured by substantially all of our assets, including all of the capital stock held by us, if any. The loan and security agreement contains a number of restrictive covenants, and the terms may restrict our current and future operations, particularly our ability to respond to certain changes in our business or industry, or take future actions. See the section of this prospectus titled “Management’s Discussion and Analysis of Financial Condition and Results of Operations—Liquidity and Capital Resources—Indebtedness.”</w:t>
      </w:r>
    </w:p>
    <w:p>
      <w:pPr>
        <w:spacing w:after="0" w:line="12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loan and security agreement contains customary representations and warranties and affirmative covenants and also contains certain restrictive covenants, including, among others, limitations on: the incurrence of additional debt, liens or other encumbrances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loan and security agreement also includes financial covenants that require us to, among other things, meet certain revenue targets detailed in an approved forecast. The loan and security agreement also contains customary events of default. If we fail to comply with such covenants, payments or other terms of the agreement, our lender could declare an event of default, which would give it the right to declare all borrowings outstanding, together with accrued and unpaid interest and fees, to be immediately due and payable. In addition, our lender would have the right to proceed against the assets we provided as collateral pursuant to the loan and security agreement. If the debt under the loan and security agreement were accelerated, we may not have sufficient cash or be able to sell sufficient assets to repay this debt, which would harm our business and financial condition.</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may need additional funding beyond the proceeds of this offering to finance our planned operations, and may not be able to raise capital when needed, which could force us to delay, reduce or eliminate one or more of our product development programs and future commercialization efforts.</w:t>
      </w:r>
    </w:p>
    <w:p>
      <w:pPr>
        <w:spacing w:after="0" w:line="13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Since our inception, we have incurred significant net losses and expect to continue to incur net losses for the foreseeable future. Since our inception, our operations have been financed primarily by net proceeds from the sale of our redeemable convertible preferred stock in private placements, indebtedness and, to a lesser extent, product revenue from sales of our AquaBeam Robotic System and single-use disposable handpieces. As of June 30, 2021, we had $159.2 million in cash and cash equivalents, and an accumulated deficit of $229.1 million. Based on our current operating plan, we currently believe that our cash and cash equivalents, anticipated revenue and available debt financing arrangements, together with the net proceeds from this offering, will be sufficient to meet our capital requirements and fund our operations through at least the next 12 months from the date of this prospectus. However, we have based these estimates on assumptions that may prove to be wrong, and we could utilize our available capital resources sooner than we currently expect. Changing circumstances could result in lower revenues or cause us to consume capital significantly faster than we currently anticipate, and we may need to raise capital sooner or in greater amounts than currently expected because of circumstances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Even after the consummation of this offering, we may require additional capital in the future as we expect to continue to invest in clinical trials and registries that are designed to provide clinical evidence of the safety and efficacy of our products, expanding our sales and marketing organization, and research and development of product improvements and future products. Moreover, we expect to incur additional expenses associated with operating as a public company, including legal, accounting, insurance, exchange listing and SEC compliance, investor relations and other expenses. To the extent additional capital is necessary, there are no assurances that we will be able to raise additional capital on favorable terms or at all, and therefore we may not be able to execute our business plan. Our future funding requirements will depend on many factors, including:</w:t>
      </w:r>
    </w:p>
    <w:p>
      <w:pPr>
        <w:spacing w:after="0" w:line="11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and rate of market acceptance of our current and future products and Aquablation therapy;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and timing of investment in our sales force and expansion of our commercial organization;</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on our business from the ongoing and global COVID-19 pandemic and the end of the COVID-19 pandemic, or any other pandemic, epidemic or outbreak of an infectious disease;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or future clinical trials and registries;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additional regulatory clearances or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the manufacturing of our products at increased production levels;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attaining, defending and enforcing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acquire third-party companies, products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at which we expand internationally.</w:t>
      </w:r>
    </w:p>
    <w:p>
      <w:pPr>
        <w:spacing w:after="0" w:line="17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this offering.</w:t>
      </w:r>
    </w:p>
    <w:p>
      <w:pPr>
        <w:spacing w:after="0" w:line="11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For example, our current loan and security agreement prohibits us from incurring additional indebtedness without the prior written consent of our lender.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may be forced to work with a partner on one or more of our products or market development programs, which could lower the economic value of those programs to us.</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we are unable to obtain adequate financing on terms satisfactory to us when we require it, we may be required to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commercial success of our AquaBeam Robotic System and Aquablation therapy will depend upon the degree of market acceptance of our products among hospitals, surgeons and patients.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Our success will depend, in large part, on the acceptance of our AquaBeam Robotic System as safe, effective, reliable and durable and, with respect to hospitals, healthcare providers and patients, as cost-effective. We believe Aquablation therapy represents a new approach for treating BPH, employing a computer-assisted patient-specific visualization system, a heat-free waterjet and automated robotic system to target and remove prostate tissue. We believe that market acceptance will be driven primarily by surgeons and hospitals, and if they do not adopt the concept of computer-assisted robotics-enabled technology and perceive such technology as having significant advantages over other surgical alternatives, patients will be less likely to accept or be offered Aquablation therapy and we will fail to meet our business objectives. Surgeons’ and hospitals’ perceptions of such technology having significant advantages are likely to be based on a determination that, among other factors, our products are safe, cost-effective and represent acceptable methods of treatment. Even if we can prove the effectiveness of Aquablation therapy through clinical trials, there may not be broad adoption and use of our products and surgeons may elect not to use our products for any number of other reasons, including:</w:t>
      </w:r>
    </w:p>
    <w:p>
      <w:pPr>
        <w:spacing w:after="0" w:line="11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experience with our products and concerns that we are relatively new to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liability risk generally associated with the use of new products and treatment options;</w:t>
      </w:r>
    </w:p>
    <w:p>
      <w:pPr>
        <w:spacing w:after="0" w:line="171"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or perceived lack of sufficient clinical evidence, including long-term data, supporting clinical benefits or the cost-effectiveness of our products over existing treatment alternatives;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key opinion leaders to provide recommendations regarding our products, or to assure surgeons, patients and healthcare payors of the benefits of our products as an attractive alternative to other treatment options;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 that our products are unproven;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long-standing relationships with companies and distributors that sell other products or treatment options for BPH;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concerns over the capital investment required to purchase our AquaBeam Robotic System and perform Aquablation therapy procedures;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availability of adequate third-party payor coverage or reimbursement;</w:t>
      </w:r>
    </w:p>
    <w:p>
      <w:pPr>
        <w:spacing w:after="0" w:line="171" w:lineRule="exact"/>
        <w:rPr>
          <w:rFonts w:ascii="Arial" w:cs="Arial" w:eastAsia="Arial" w:hAnsi="Arial"/>
          <w:sz w:val="18"/>
          <w:szCs w:val="18"/>
          <w:color w:val="auto"/>
        </w:rPr>
      </w:pPr>
    </w:p>
    <w:p>
      <w:pPr>
        <w:ind w:left="660" w:right="58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pricing pressure, including from Group Purchasing Organizations, or GPOs, and Integrated Delivery Networks, or IDNs, seeking to obtain discounts on our AquaBeam Robotic System based on the collective buying power of the GPO and IDN members;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competitive response and negative selling efforts from providers of alternative treatments;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440" w:right="379" w:bottom="1440" w:gutter="0" w:footer="0" w:header="0"/>
        </w:sectPr>
      </w:pPr>
    </w:p>
    <w:bookmarkStart w:id="24" w:name="page25"/>
    <w:bookmarkEnd w:id="24"/>
    <w:p>
      <w:pPr>
        <w:spacing w:after="0" w:line="144"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Even if our AquaBeam Robotic System achieves widespread market acceptance, it may not maintain such level of market acceptance over the long term if competing products or technologies, which are more cost-effective or received more favorably, are introduced. In addition, our limited commercialization experience makes it difficult to evaluate our current business and predict our future prospects. We cannot predict how quickly, if at all, hospitals, surgeons and patients will accept our AquaBeam Robotic System or, if accepted, how frequently it will be used. Failure to achieve or maintain market acceptance and/or market share could materially and adversely affect our ability to generate revenue and would have a material adverse effect on our business, financial condition and results of operations.</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limited experience in training and marketing and selling our products and we may provide inadequate training, fail to increase our sales and marketing capabilities or fail to develop and maintain broad brand awareness in a cost-effective manner.</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limited experience marketing and selling our products. We currently rely on our direct sales force and distributors to sell our products in targeted geographic regions and territories, and any failure to maintain and grow our direct sales force and distributor relationships could harm our business. The members of our direct sales force are adequately trained and possess technical expertise, which we believe is critical in driving the awareness and adoption of our products. The members of our U.S. sales force are at-will employees. The loss of these personnel to competitors, or otherwise, could materially harm our business. If we are unable to retain our direct sales force personnel or replace them with individuals of comparable expertise and qualifications, or if we are unable to successfully instill such expertise in replacement personnel, our product sales, revenues and results of operations could be materially harmed.</w:t>
      </w:r>
    </w:p>
    <w:p>
      <w:pPr>
        <w:spacing w:after="0" w:line="14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order to generate future growth, we plan to continue to significantly expand and leverage our commercial infrastructure to increase our customer base and increase awareness and adoption by existing customers to drive our growth. Identifying and recruiting qualified sales and marketing professionals and training them on our products and Aquablation therapy, on applicable federal and state laws and regulations and on our internal policies and procedures requires significant time, expense and attention. It can take several months or more before a sales representative is fully trained and productive. Our sales force may subject us to higher fixed costs than those of companies with competing products or treatments that can utilize independent third parties, placing us at a competitive disadvantage. Our business may be harmed if our efforts to expand and train our sales force do not generate a corresponding increase in product sales and revenue, and our higher fixed costs may slow our ability to reduce costs in the face of a sudden decline in demand for our products. Any failure to hire, develop and retain talented sales personnel, to achieve desired productivity levels in a reasonable period of time or timely reduce fixed costs, could have material adverse effect on our business, financial condition and results of operations.</w:t>
      </w:r>
    </w:p>
    <w:p>
      <w:pPr>
        <w:spacing w:after="0" w:line="11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and educational programs. Our business may be harmed if these efforts and expenditures do not generate a corresponding increase in revenue. In addition, we believe that developing and maintaining broad awareness of our Aquablation therapy in a cost-effective manner is critical to achieving broad acceptance of our products and reaching new physicians, hospitals and patients. Promotion and educational activities may not generate hospital or surgeon awareness or increase revenue, and even if they do, any increase in revenue may not offset the costs and expenses we incur. If we fail to successfully promote Aquablation therapy in a cost-effective manner, we may fail to attract or retain the market acceptance necessary to realize a sufficient return on our promotional and educational efforts, or to achieve broad adoption of our products.</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adequate levels of third-party coverage and reimbursement, and third parties may rescind or modify their coverage or delay payments related to our products.</w:t>
      </w:r>
    </w:p>
    <w:p>
      <w:pPr>
        <w:spacing w:after="0" w:line="11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derive the majority of our revenue from sales of our AquaBeam Robotic System and single-use disposable handpieces to hospitals. Sales of our products will depend, in part, on the extent to which the procedures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is profitable for the provider. As a result, access to adequate coverage and reimbursement for our products by third-party payors is essential to the acceptance and adoption of our products</w:t>
      </w:r>
    </w:p>
    <w:p>
      <w:pPr>
        <w:spacing w:after="0" w:line="11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Coverage and reimbursement by governmental and third-party payors may depend upon a number of factors, including the determination that the product or service and its use or administration for a particular patient is:</w:t>
      </w:r>
    </w:p>
    <w:p>
      <w:pPr>
        <w:spacing w:after="0" w:line="1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covered benefit;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supported by guidelines established by the relevant professional societies;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customers typically bill third-party payors for the costs and fees associated with the procedures in which our products are used. Because there is often no separate reimbursement for supplies used in surgical procedures or for the purchase of the capital equipment needed to perform a procedure, the additional cost associated with the use of our products can affect the profit margin of the hospital or surgery center where the procedure is performed. Some of our target customers may be unwilling to adopt our products in light of potential additional associated cost. In addition, customers that perform the procedure may be subject to reimbursement claim denials upon submission of the claim. Customers may also be subject to recovery of overpayments if a payor makes payment for the claim and subsequently determines that the payor’s coding, billing or coverage policies were not followed. These events, or any other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131"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color w:val="auto"/>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using our products exists among third-party payors. Therefore, coverage and reimbursement for procedures using our products can differ significantly from payor to payor. Obtaining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w:t>
      </w:r>
    </w:p>
    <w:p>
      <w:pPr>
        <w:spacing w:after="0" w:line="12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Many third-party payors do not currently cover our products and the related procedures because they have determined that our products and the related procedures are experimental or investigational. When our products and the related procedures are reimbursed, they are reimbursed primarily on a per-patient prior authorization basis for patients covered by commercial insurers.</w:t>
      </w:r>
    </w:p>
    <w:p>
      <w:pPr>
        <w:spacing w:after="0" w:line="12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Further, we believe that future coverage and reimbursement may be subject to increased restrictions, such as additional prior authorization requirements, both in the United States and in relevant international markets in which we plan to operate. If Medicare no longer covers any of our products, there would be a material adverse effect on our business, financial condition and results of operations. In addition, Medicare Administrative Contractors could issue a local coverage determination decision that could restrict the patients eligible for the treatment with our products or in another manner unfavorable to our business. Third-party coverage and reimbursement for procedures using our products or any of our products in development for which we may receive regulatory clearance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approval may not be available or adequate in either the United States or international markets. Further, other BPH treatments may be more widely covered or subject to different co-pay policies and requirements, which could impact demand for our products. If hospital, surgeon and/or patient demand for our products is adversely affected by changes in third-party reimbursement policies and decisions, it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many sources, including larger companies, and we may be unable to compete successfully.</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medical device industry is highly competitive, subject to rapid change and significantly affected by the introduction of new products and technologies and other activities of industry participants. We compete with pharmaceutical products marketed to treat BPH, such as Flomax marketed by Boehringer Ingelheim, Rapaflow marketed by Allergan plc, Avodart marketed by GlaxoSmithKline plc, and Proscar marketed by Merck &amp; Co., Inc., and with medical device companies that manufacture resective or non-resective surgical alternatives for treating BPH. Resective alternatives include devices for the TURP procedure, laser-based therapies and simple prostatectomy, each of which is intended to remove the prostate tissue, and non-resective alternatives such as UroLift marketed by Teleflex Incorporated and Rezum marketed by Boston Scientific Corporation, which are intended to reshape the prostate and widen the cavity. Our primary medical device competitors are Boston Scientific Corporation and smaller companies that have single products or a limited range of products. Moreover, other products that are in current clinical trials, new drugs or additional indications for existing drugs could demonstrate better safety, effectiveness, clinical results, lower costs or greater physician and market acceptance than our products.</w:t>
      </w:r>
    </w:p>
    <w:p>
      <w:pPr>
        <w:spacing w:after="0" w:line="11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13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treatment patterns pursuant to which drugs are generally first-line or concurrent therapies for the treatment of BPH;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relationships with hospitals and physicians who are familiar with other surgical alternatives for the treatment of BPH;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financial and human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71"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or bundle products to offer greater discounts or incentives to gain a competitive advantage;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sales, marketing and worldwide distribution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continued success depends on our ability to: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improve outcomes for patients;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product safety, efficacy, reliability and durability;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the quality and volume of our clinical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market to and educate patients, physicians and hospitals;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company, product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broaden our sales force experience and access;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product support and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 and widen our technology lead over competitors by continuing to innovate and deliver new product enhancements on a continuous basis;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successful pricing and revenue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maintain and expand reimbursement coverage for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desired regulatory status and speed to market;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dedicated clinical representatives.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One of the major hurdles to adoption of our products will be overcoming established treatment patterns, which will require education of surgeons and supportive clinical data. However, because of the size of the market opportunity for the treatment of BPH, we believe current and potential future competitors will dedicate significant resources to aggressively promote their products or develop new products or treatments. New treatment options may be developed that could compete more effectively with our products due to the prevalence of BPH and the research and technological progress that exist within the market.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continue to innovate and improve our AquaBeam Robotic System, we could lose customers or market share.</w:t>
      </w:r>
    </w:p>
    <w:p>
      <w:pPr>
        <w:spacing w:after="0" w:line="17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success will depend on our ability to keep ahead of innovative developments in the treatment of BPH. It is critical to our competitiveness that we continue to innovate and make improvements to our AquaBeam Robotic System’s functionality and efficiency. If we fail to make improvements to our AquaBeam Robotic System’s functionality over time, our competitors may develop products that offer features and functionality similar or superior to those of our AquaBeam Robotic System. If we fail to make improvements to our AquaBeam Robotic System’s efficiency, our competitors may develop products that are more cost-effective than our AquaBeam Robotic System. Our failure to make continuous improvements to our AquaBeam Robotic System to keep ahead of the products of our competitors could result in the loss of customers or market share that would adversely affect our business, results of operations, and financial condition.</w:t>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limited experience manufacturing our products in large-scale commercial quantities, and we face a number of manufacturing risks that may adversely affect our manufacturing abilities which could delay, prevent or impair our growth.</w:t>
      </w:r>
    </w:p>
    <w:p>
      <w:pPr>
        <w:spacing w:after="0" w:line="11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growth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in our current manufacturing facility or any future manufacturing facilities. We have a sole manufacturing facility located in Redwood City, California, where we manufacture, assemble, inspect, test, package and ship our products. We currently assemble all of our AquaBeam Robotic System and single-use disposable handpieces at this one facility, and we do not have additional facilities. If this facility, or any of our future manufacturing facilities, suffers damage, or a force majeure event, such damage or event could materially impact our ability to operate, which could materially and adversely affect our business and financial performance.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also subject to numerous other risks relating to our manufacturing capabilities, including:</w:t>
      </w:r>
    </w:p>
    <w:p>
      <w:pPr>
        <w:spacing w:after="0" w:line="171"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almost all of whom are single source suppliers for the items and materials that they supply;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inability to secure components, sub-assemblies and materials in a timely manner, in sufficient quantities or on commercially reasonable terms;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maintain compliance with quality system requirements or pass regulatory quality inspections;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440" w:right="379" w:bottom="1440" w:gutter="0" w:footer="0" w:header="0"/>
        </w:sectPr>
      </w:pPr>
    </w:p>
    <w:bookmarkStart w:id="28" w:name="page29"/>
    <w:bookmarkEnd w:id="28"/>
    <w:p>
      <w:pPr>
        <w:spacing w:after="0" w:line="14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increase production capacity or volumes to meet demand;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potential risks associated with disruptions in our supply chain, such as on account of the COVID-19 pandemic or other macroeconomic events;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lead times associated with securing key components;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design or modify production processes to enable us to produce future products efficiently or implement changes in current products in response to design or regulatory requirements;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difficulty identifying and qualifying, and obtaining new regulatory approvals, for alternative suppliers for components in a timely manner.</w:t>
      </w:r>
    </w:p>
    <w:p>
      <w:pPr>
        <w:spacing w:after="0" w:line="1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These risks are likely to be exacerbated by our limited experience with our current products and manufacturing processes. For instance, in both 2019 and 2021, we initiated voluntary recalls for a limited number of lots of our handpiece. These were both due to certain issues related to our supply chain and manufacturing processes. We remedied the issue leading to the 2019 recall and are remedying the issue leading to the 2021 recall as we continue to develop and improve our manufacturing processes to scale the production of our handpieces at a higher volume. As demand for our products increases, we will have to invest additional resources to purchase components, sub-assemblies and materials, hire and train employees and enhance our manufacturing processes. If we fail to increase our production capacity efficiently, we may not be able to fill customer orders on a timely basis, our sales may not increase in line with our expectations and our operating margins could fluctuate or decline. In addition, although some future products may share product features, components, sub-assemblies and materials with our existing products, the manufacture of these products may require modification of our current production processes or unique production processes, the hiring of specialized employees, the identification of new suppliers for specific components, sub-assemblies and materials or the development of new manufacturing technologies. It may not be possible for us to manufacture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1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1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rely on third-party suppliers, almost all of whom are single source suppliers, to provide us with certain components, sub-assemblies and materials for our products. These components, sub-assemblies and materials are critical and, for certain items, there are relatively few alternative sources of supply. These single source suppliers may be unwilling or unable to supply the necessary materials and components or manufacture and assemble our products in a reliable manner and at the levels we anticipate or at levels adequate to satisfy demand for our products. While our suppliers have generally met our demand for their products and services on a timely basis in the past, we cannot guarantee that they will in the future be able to meet our demand for such products, either because of acts of nature, the nature of our agreements with those suppliers or our relative importance to them as a customer, and our suppliers may decide in the future to discontinue or reduce the level of business they conduct with us.</w:t>
      </w:r>
    </w:p>
    <w:p>
      <w:pPr>
        <w:spacing w:after="0" w:line="123"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We have not been qualified or obtained necessary regulatory approvals for additional suppliers for most of these components, sub-assemblies and materials. While we currently believe that alternative sources of supply or sterilization may be available, we cannot be certain whether they will be available if and when we need them, or that any alternative suppliers or providers would be able to provide the quantity and quality of components, materials and sterilization that we would need to manufacture and ship our products if our existing suppliers and providers were unable to satisfy our requirements. To utilize other sources, we would need to identify and qualify new providers to our quality standards and obtain any additional regulatory approvals required to change providers, which could result in manufacturing delays and increase our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dependence on third-parties subjects us to a number of risks that could impact our ability to manufacture our products and harm our business, including:</w:t>
      </w:r>
    </w:p>
    <w:p>
      <w:pPr>
        <w:spacing w:after="0" w:line="1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of supply or sterilization resulting from modifications to, or discontinuation of, a third party’s operations;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third party’s failure to produce components or complete sterilizations that consistently meet our quality specifications;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price fluctuations due to a lack of long-term supply arrangements with our third parties for key components or sterilization requirements;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adequate supply or services in a timely manner or on commercially reasonable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difficulty identifying and qualifying alternative third parties for the supply of components or for sterilization of our products in a timely manner;</w:t>
      </w:r>
    </w:p>
    <w:p>
      <w:pPr>
        <w:spacing w:after="0" w:line="182" w:lineRule="exact"/>
        <w:rPr>
          <w:rFonts w:ascii="Arial" w:cs="Arial" w:eastAsia="Arial" w:hAnsi="Arial"/>
          <w:sz w:val="17"/>
          <w:szCs w:val="17"/>
          <w:color w:val="auto"/>
        </w:rPr>
      </w:pPr>
    </w:p>
    <w:p>
      <w:pPr>
        <w:ind w:left="660" w:right="4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of third parties to comply with applicable provisions of the FDA’s Quality System Regulations, or QSR, or other applicable laws or regulations enforced by the FDA, state and global regulatory authorities;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ensure the quality of products manufactured or sterilization conducted by third parties;</w:t>
      </w:r>
    </w:p>
    <w:p>
      <w:pPr>
        <w:spacing w:after="0" w:line="171"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delays related to the evaluation and testing of products and services from alternative third parties and corresponding regulatory qualifications;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trends towards consolidation within the medical device manufacturing supplier industry;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delivery by our suppliers and service providers.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Although we require our third-party suppliers and providers to supply us with components and services that meet our specifications and other applicable legal and regulatory requirements in our agreements and contracts, and we perform incoming inspection, testing or other acceptance activities to ensure the components meet our requirements, there is a risk that these third parties will not always act consistent with our best interests, and may not always supply components or provide services that meet our requirements or in a timely manner.</w:t>
      </w:r>
    </w:p>
    <w:p>
      <w:pPr>
        <w:spacing w:after="0" w:line="133"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If we receive a significant number of warranty claims or our AquaBeam Robotic Systems require significant amounts of service after sale, our operating expenses may substantially increase and our business and financial results will be adversely affected.</w:t>
      </w:r>
    </w:p>
    <w:p>
      <w:pPr>
        <w:spacing w:after="0" w:line="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currently warrant each AquaBeam Robotic System against defects in materials and workmanship for a period of approximately 12 months from the installation of our product by a customer. We also expect to provide technical and other services to customers beyond the warranty period pursuant to a supplemental service plan that we sell for our AquaBeam Robotic System. We have a limited history of commercial placements from which to judge our rate of warranty claims, and we expect that the number of warranty claims we receive may increase as we scale our operations and as our existing commercial placements age. If product returns or warranty claims are significant or exceed our expectations, we could incur unanticipated reductions in sales or additional operating expenditures for parts and service. In addition, our reputation could be damaged and our products may not achieve the level of market acceptance that we are targeting in order to achieve and maintain profitability. Unforeseen warranty exposure could negatively impact our business and financial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ensure strong product performance and reliability to maintain and grow our business.</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need to maintain and continuously improve the performance and reliability of our AquaBeam Robotic System to achieve our profitability objectives. Poor product performance and reliability could lead to customer dissatisfaction, adversely affect our reputation and revenues, and increase our service and distribution costs and working capital requirements. In addition, software and hardware incorporated into our AquaBeam Robotic System may contain errors or defects, especially when first introduced and while we have made efforts to test this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hardware extensively, we cannot assure that the software and hardware, or software and hardware developed in the future, will not experience errors or performance problems.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results of operations and growth have been adversely impacted by the effects of the COVID-19 pandemic and may continue to be adversely impacted.</w:t>
      </w:r>
    </w:p>
    <w:p>
      <w:pPr>
        <w:spacing w:after="0" w:line="116"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We are subject to risks related to the public health crises such as the global pandemic associated with COVID-19. The COVID-19 outbreak has negatively impacted and may continue to negatively impact, including the emergence and impact of the various COVID-19 variants, our operations and revenues and overall financial condition by decreasing the number of BPH procedures generally, which has slowed adoption of our AquaBeam Robotic System during the course of the pandemic. We believe the number of our systems sold has also been impacted as health care organizations globally have prioritized the treatment of patients with COVID-19. For example, for a period of time in the United States, governmental authorities recommended, and in certain cases required, that elective, specialty and other procedures and appointments be suspended or canceled to avoid non-essential patient exposure to medical environments and potential infection with COVID-19 and to focus limited resources and personnel capacity toward the treatment of COVID-</w:t>
      </w:r>
    </w:p>
    <w:p>
      <w:pPr>
        <w:spacing w:after="0" w:line="2" w:lineRule="exact"/>
        <w:rPr>
          <w:sz w:val="20"/>
          <w:szCs w:val="20"/>
          <w:color w:val="auto"/>
        </w:rPr>
      </w:pPr>
    </w:p>
    <w:p>
      <w:pPr>
        <w:ind w:right="440" w:firstLine="8"/>
        <w:spacing w:after="0" w:line="253" w:lineRule="auto"/>
        <w:tabs>
          <w:tab w:leader="none" w:pos="2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measures and challenges led to our decision to reforecast our revenue for 2020, and they may continue or resume for the duration of the pandemic, which is uncertain, and may negatively impact our revenue growth while the pandemic continues. Further, once the pandemic subsides, we anticipate there may be a backlog of patients seeking appointments with physicians and surgeries to be performed at hospitals relating to a variety of medical conditions. As a result, patients seeking to have our Aquablation therapy performed will have to navigate limited provider capacity. We also experienced a slowdown of enrollment in certain clinical trials.</w:t>
      </w:r>
    </w:p>
    <w:p>
      <w:pPr>
        <w:spacing w:after="0" w:line="13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Numerous state and local jurisdictions have imposed, and others in the future may impose, “shelter-in-place” orders, quarantines, executive orders, and similar government orders and restrictions for their residents to control the spread of COVID-19. Starting in mid-March 2020, the governor of California, where our headquarters are located, issued “shelter-in-place” or “stay at home” orders restricting non-essential activities, travel, and business operations, subject to certain exceptions for necessary activities. Such orders or restrictions have resulted in our headquarters closing, slowdowns and delays, travel restrictions, and cancellation of training and other events, among other effects, thereby negatively impacting our operations. Employees whose tasks can be performed offsite have been encouraged to work from home. Additionally, if the COVID-19 situation persists or worsens in certain geographies around the world, shutdowns and continued government restrictions may impact our sales activities, supply chain, and business.</w:t>
      </w:r>
    </w:p>
    <w:p>
      <w:pPr>
        <w:spacing w:after="0" w:line="11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Identifying and recruiting qualified sales and marketing personnel and training them has been, and continues to be, more difficult as a result of the COVID-19 pandemic as many of these activities must be conducted remotely, and we believe that some candidates are reluctant to change jobs during the pandemic. In addition, even when we are able to hire additional sales and marketing personnel, we must then train them on our product, applicable federal and state laws, and regulations, and on our internal policies and procedures. This training process was initially conducted remotely, which made training more challenging. We recently resumed partial in-person training with respect to training sales and marketing personnel, among others. Upon completion of the training, the lead time that our territory managers typically require in the field to grow their network of accounts and achieve the productivity levels we expect them to reach in any individual territory, has been, and continues to be, prolonged during and as a result of the COVID-19 pandemic. We have also experienced disruptions, and may experience future disruptions, including: delays in territory managers becoming fully trained and productive; challenges in analyzing territory manager performance and in recruiting and hiring new employees; difficulties and delays in physician outreach and training physicians to use our AquaBeam Robotic System; restrictions on personnel to travel; delays in initiation, enrollment and follow-ups of our clinical studies; challenges with maintaining adequate supply from third-party manufacturers of components and finished goods and distribution providers; and access to physicians for training and case support. In addition, our customers have experienced financial hardship and some of them may not fully recover. This could lead to some of these customers temporarily or permanently shutting down, filing for bankruptcy, or being acquired by larger health systems, leading to reduced procedures or additional pricing pressure on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more information, see “Management’s Discussion and Analysis of Financial Condition and Results of Operations—Impact of COVID-19.”</w:t>
      </w:r>
    </w:p>
    <w:p>
      <w:pPr>
        <w:spacing w:after="0" w:line="18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to the extent the recovery from the COVID-19 pandemic is prolonged for any reason, including due to the emergence and impact of the various COVID-19 variants, and continues to adversely affect our business and results of operations, it may also have the effect of heightening many of the other risks and uncertainties described in this “Risk Factors” section.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experienced substantial growth in our operations, and we expect to experience continued substantial growth in our business. For example, as of June 30, 2021, we had approximately 205 employees compared to 104 employees as of June 30, 2018. Over the next several years, we expect to increase significantly the scope of our operations, particularly in the areas of manufacturing, sales and support, research and development, product development, regulatory affairs, marketing and other functional areas, including finance, accounting, quality control, and legal, especially as we transition to operating as a public company.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our AquaBeam Robotic System and manage our inventory.</w:t>
      </w:r>
    </w:p>
    <w:p>
      <w:pPr>
        <w:spacing w:after="0" w:line="116"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To ensure adequate inventory supply, we must forecast inventory needs and manufacture our AquaBeam Robotic System console and the single-use disposable handpieces based on our estimates of future demand for, and utilization of, our AquaBeam Robotic System. Our ability to accurately forecast demand and utilization could be negatively affected by many factors, including our failure to accurately manage our expansion strategy, product introductions by competitors, an increase or decrease in customer demand for our products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and utilization,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or utilization,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1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contractors or consultants, may fail or suffer security breaches, and such failure could negatively affect our business, financial condition and results of operations.</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internal computer, server, and other information technology systems as well as those of our third-party consultants, contractors, suppliers, and service providers, may be vulnerable to damage from physical or electronic break-ins, accidental or intentional exposure of our data by employees or others with authorized access to our networks, computer viruses, malware, ransomware, supply chain attacks, natural disasters, terrorism, war, telecommunication and electrical failure, denial of service, and other cyberattacks or disruptive incidents that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unauthorized access to, use or disclosure of, corruption of, or loss of sensitive, and/or proprietary data, including personal information, including health-related information, and could subject us to significant liabilities and regulatory and enforcement actions, and reputational damage.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If we or our third-party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third parties to conduct clinical trials, and similar events relating to their computer systems and networks could also have a material adverse effect on our business. The COVID-19 pandemic has generally increased the risk of cybersecurity intrusions. Our reliance on internet technology and the number of our employees who are working remotely may create additional opportunities for cybercriminals to exploit vulnerabilities. For example, there has been an increase in phishing and spam emails as well as social engineering attempts from “hackers” hoping to use the recent COVID-19 pandemic to their advantage.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To the extent that any disruption or security breach were to result in a loss of, or damage to, our data or systems or data or systems of our commercial partners, or inappropriate or unauthorized access to or disclosure or use of confidential, proprietary, or other sensitive, personal, or health information, we could incur liability and suffer reputational harm. Failure to maintain or protect our information technology systems effectively could negatively affect our business, financial condition and results of operations.</w:t>
      </w:r>
    </w:p>
    <w:p>
      <w:pPr>
        <w:spacing w:after="0" w:line="13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9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be subject to federal, state, and foreign data protection laws and regulations (i.e., laws and regulations that address privacy and data security). In the United States, numerous federal and state laws and regulations, including state data breach notification laws, state health information privacy laws, and federal and state consumer protection laws and regulations that govern the collection, processing, use, disclosure, and protection of health-related and other personal information could apply to our operations or the operations of our partners. For example, the federal Health Insurance Portability and Accountability Act of 1996, or HIPAA, as amended by the Health Information Technology for Economic and Clinical Health Act of 2009, or HITECH, and their respective implementing regulations, impose obligations on “covered entities,” including certain health care providers, health plans, and health 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We may obtain health information from third parties (including research institutions from which we obtain clinical trial data) that are subject to privacy and security requirements under HIPAA. Entities that are found to be in violation of HIPAA, whether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3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44"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and/or criminal penalties and private litigation. For example, California recently enacted the California Consumer Privacy Act, or CCPA, which creates new individual privacy rights for California consumers (as defined in the law), including the right to opt out of certain disclosures of their information, and places increased privacy and security obligations on entities handling certain personal data of consumers or households and may apply to us in the future. The CCPA also creates a private right of action with statutory damages for certain data breaches, thereby potentially increasing risks associated with a data breach. Further, the California Privacy Rights Act, or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The CCPA and CPRA could mark the beginning of a trend toward more stringent privacy legislation in the United States, as other states or the federal government may follow California's lead and increase protections for U.S. residents. For example, on March 2, 2021, the Virginia Consumer Data Protection Act, which will take effect on January 1, 2023, was signed into law. The CCPA has already prompted a number of proposals for new federal and state privacy legislation that, if passed, could increase our potential liability, add layers of complexity to compliance in the U.S. market, increase its compliance costs and adversely affect its business.</w:t>
      </w:r>
    </w:p>
    <w:p>
      <w:pPr>
        <w:spacing w:after="0" w:line="12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Foreign data protection laws, including the General Data Protection Regulation, or GDPR, which went into effect in May 2018, may also apply to our processing of health-related and other personal data regardless of where the processing in question is carried out.</w:t>
      </w:r>
    </w:p>
    <w:p>
      <w:pPr>
        <w:spacing w:after="0" w:line="11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GDPR imposes stringent requirements for controllers and processors of personal data of individuals within the European Economic Area, or EEA. The GDPR applies to any company established in the EEA as well as to those outside the EEA if they collect, process, and use personal data in connection with the offering of goods or services to individuals in the EEA or the monitoring of their behavior. The GDPR, together with national legislation, regulations and guidelines of the EEA Member States and the United Kingdom, or UK, governing the processing of personal data, impose strict obligations and restrictions on the ability to collect, analyze and transfer personal data, including health data from clinical trials and adverse event reporting. In particular, these obligations and restrictions involve the consent of the individuals to whom the personal data relates, the information provided to the individuals, the transfer of personal data out of the EEA or the UK to jurisdictions deemed to have inadequate,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relationship between the UK and the European Union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 Currently there is a four to six-month grace period agreed in the EU and UK Trade and Cooperation Agreement, ending June 30, 2021 at the latest, during which time the parties discuss an adequacy decision. The European Commission published a draft adequacy decision on February 19, 2021. If adopted, the decision will enable data transfers from EU Member States to the UK for a four-year period, subject to subsequent extensions.</w:t>
      </w:r>
    </w:p>
    <w:p>
      <w:pPr>
        <w:spacing w:after="0" w:line="1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Implementing mechanisms that endeavor to ensure compliance with the GDPR and relevant local legislation in EEA Member States and the UK may be onerous and may interrupt or delay our development activities,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 While we have taken steps to comply with the GDPR where applicable, including by reviewing our security procedures, and entering into data processing agreements with relevant contractors, our efforts to achieve and remain in compliance may not be fully successful.</w:t>
      </w:r>
    </w:p>
    <w:p>
      <w:pPr>
        <w:spacing w:after="0" w:line="13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Compliance with US, foreign, and local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may significantly disrupt our business, and negatively impact our business, financial condition and results of operations.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A significant portion of our employee base, and our primary operating facility and infrastructure are centralized in Northern California. Our facility may be harmed or rendered inoperable by natural or man-made disasters, including earthquakes, wildfires, floods, nuclear disasters, riots, acts of terrorism or other criminal activities, public health emergencies such as infectious disease outbreaks,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suppliers and manufacturers may be harmed or rendered inoperable by such natural or man-made disasters, which may cause disruptions, difficulties or otherwise materially and adversely affect our business, financial condition and results of operations.</w:t>
      </w:r>
    </w:p>
    <w:p>
      <w:pPr>
        <w:spacing w:after="0" w:line="1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sizes of the addressable markets for our AquaBeam Robotic System have not been established with precision and our potential market opportunity may be smaller than we estimate and may decline.</w:t>
      </w:r>
    </w:p>
    <w:p>
      <w:pPr>
        <w:spacing w:after="0" w:line="11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estimates of the annual total addressable market for our AquaBeam Robotic System are based on a number of internal and third-party estimates, including, without limitation, the assumed prices at which we can sell our AquaBeam Robotic System and the single-use disposable handpieces.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AquaBeam Robotic System may prove to be incorrect. If the actual number of patients who would benefit from our AquaBeam Robotic System, the price at which we can sell our AquaBeam Robotic System, or the total addressable market for our AquaBeam Robotic System is smaller than we have estimated, it may impair our sales growth and materially and adversely affect our business, financial condition and results of operations.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Until we are able to achieve broader market acceptance of our AquaBeam Robotic System and Aquablation therapy, we may face risks associated with a more concentrated customer base.</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One of our customers accounted for 19% of revenue during the year ended December 31, 2019. No customers accounted for more than 10% of revenue during the year ended December 31, 2020. Two customers accounted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13% and 12% of revenue during the six months ended June 30, 2020. No customers accounted for more than 10% of revenue during the six months ended June 30, 2021. Three of our customers accounted for 20%, 18%, and 11% of accounts receivable at December 31, 2019. Two of our customers accounted for 22% and 13% of accounts receivable at December 31, 2020. One customer accounted for 11% of accounts receivable at June 30, 2021. While we believe this concentration is primarily attributable to our limited history of commercial operations, until we are able to achieve broader market acceptance of our AquaBeam Robotic System and Aquablation therapy, we may face risks associated with a more concentrated customer base. There are risks whenever a significant percentage of revenue is concentrated with a limited number of customers. For example, revenue from these customers may fluctuate from time to time based on these customers’ business needs, the timing of which may be affected by market conditions or other facts outside of our control. These customers could also potentially pressure us to reduce the prices we charge for our single-use disposable handpieces, which could have an adverse effect on our margins and financial position and could negatively affect our revenue and results of operations. If any of our largest customers terminates its relationship with us, such termination could negatively affect our revenues and results of operations.</w:t>
      </w:r>
    </w:p>
    <w:p>
      <w:pPr>
        <w:spacing w:after="0" w:line="11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face an inherent risk of product liability as a result of the marketing and sale of our products. For example, we may be sued if our AquaBeam Robotic System, the single-use disposable handpiece or any of their component parts causes, or is perceived to cause, injury or is found to be otherwise unsuitable during manufacturing, marketing or sale. We may also be subject to product liability claims if our products or services are deemed non-compliant with applicable laws or regulations.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We may also be subject to claims that are caused by the activities of our suppliers, such as those who provide us with components and sub-assemblies, or manufacturers who produce our AquaBeam Robotic System and the single-use disposable handpieces.</w:t>
      </w:r>
    </w:p>
    <w:p>
      <w:pPr>
        <w:spacing w:after="0" w:line="12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our products. Even successful defense would require significant financial and management resources. Regardless of the merits or eventual outcome, liability claims may result in:</w:t>
      </w:r>
    </w:p>
    <w:p>
      <w:pPr>
        <w:spacing w:after="0" w:line="13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 which could result in enforcement action against us or our contract manufacturers;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7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risk of a product liability lawsuit may increase if our products were deemed to be non-compliant with applicable laws and regulation. In the event we face a product liability lawsuit, we believe we have adequate product liability insurance, but it may not prove to be adequate to cover all liabilities that we may incur.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440" w:right="379" w:bottom="1440" w:gutter="0" w:footer="0" w:header="0"/>
        </w:sectPr>
      </w:pPr>
    </w:p>
    <w:bookmarkStart w:id="36" w:name="page37"/>
    <w:bookmarkEnd w:id="36"/>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products.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organizations could have a material adverse effect on our sales and profitability.</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an effort to reduce costs, many hospitals in the United States have become members of GPOs and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AquaBeam Robotic System, thereby reducing our revenue and margins.</w:t>
      </w:r>
    </w:p>
    <w:p>
      <w:pPr>
        <w:spacing w:after="0" w:line="11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w:t>
      </w:r>
    </w:p>
    <w:p>
      <w:pPr>
        <w:spacing w:after="0" w:line="13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92"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We may form or seek strategic alliances, create joint ventures or collaborations or enter into licensing or partnership arrangements with third parties that we believe will compliment or augment our sales and marketing efforts with respect to our AquaBeam Robotic System. We may not be successful in our efforts to establish such collaborations.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our products.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tour sales and marketing efforts, which would harm our business prospects, financial condition and results of operations.</w:t>
      </w:r>
    </w:p>
    <w:p>
      <w:pPr>
        <w:spacing w:after="0" w:line="1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16"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We currently market and sell our products in 15 countries outside of the United States, including Germany, France, Italy, Spain and the United Kingdom. The sale and shipment of our products across international borders, as well as the purchase of components and products from international sources, subjects us to extensive U.S.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foreign governmental trade, import and export and customs laws and regulations. Compliance with these laws and regulations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13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staffing and managing foreign and geographically dispersed operations, to the extent we establish non-U.S.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and multiple payor reimbursement regimes, government payors or patient self-pay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determining and creating the proper sales pathway in new, international markets;</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various U.S. and international laws, including export control laws and the U.S. Foreign Corrupt Practices Act of 1977, or the FCPA, and anti-money laundering 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regulatory requirements for obtaining clearances or approvals to market our products;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or uncertainties relating to, foreign rules and regulations that may impact our ability to sell our products, perform services or repatriate profits to the United States;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tariffs and trade barriers, export regulations, sanctions and other regulatory and contractual limitations on our ability to sell our products in certain foreign markets;</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adverse tax consequences, including imposition of limitations on or increase of withholding and other taxes on remittances and other payments by foreign subsidiaries or joint ventures;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differing labor laws and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armed conflicts or economic, political or social instability in foreign countries and regions;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or reduced ability, to protect our intellectual property, including any effect of compulsory licensing imposed by government action;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government subsidies or other incentives that benefit competitors in their local markets that are not available to us.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116"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We are highly dependent on our senior management, including our chief executive officer, Reza Zadno, Ph.D., and other key personnel. Our success will depend on our ability to retain senior management and to attract, recruit, retain, manage and motivate qualified personnel in the future, particularly with respect to an expected increase in hiring in connection with becoming a public company,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2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Competition for skilled personnel in our market is intense and may limit our ability to hire and retain highly qualified personnel on acceptable terms, or at all. To induce valuable employees to remain at our company,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issued and may continue to issue equity awards that vest over time, in addition to salary and cash incentives.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 This lack of insurance means that we may not have adequate compensation for the loss of the services of these individuals.</w:t>
      </w:r>
    </w:p>
    <w:p>
      <w:pPr>
        <w:spacing w:after="0" w:line="14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We could be adversely affected by violations of the FCPA and similar worldwide anti-bribery laws, as well as violations of export or import controls or economic sanctions laws and regulations. Any investigation, and the outcome of any investigation, by government agencies of possible violations by us of such laws and regulations could have a material adverse effect on our business.</w:t>
      </w:r>
    </w:p>
    <w:p>
      <w:pPr>
        <w:spacing w:after="0" w:line="11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are subject to anti-corruption laws and regulations, including the U.S. Foreign Corrupt Practices Act of 1977, as amended, the U.S. domestic bribery statute in 18 U.S.C. 201, the International Travel Act of 1961, as amended, or the U.S. Travel Act, the U.K. Bribery Act 2010, or the Bribery Act, and similar anti-bribery laws in jurisdictions in which we conduct activities. Anti-corruption laws are interpreted broadly and prohibit companies and their employees, agents, and intermediaries from corruptly authorizing, promising, providing, or offering, directly or indirectly, improper payments or anything else of value to government officials and persons in the private sector for the purpose of obtaining or retaining business. In addition, an organization that fails to prevent bribery by anyone associated with the organization can be charged under the Bribery Act, unless the organization can establish the defense of having implemented adequate procedures to prevent bribery.</w:t>
      </w:r>
    </w:p>
    <w:p>
      <w:pPr>
        <w:spacing w:after="0" w:line="123" w:lineRule="exact"/>
        <w:rPr>
          <w:sz w:val="20"/>
          <w:szCs w:val="20"/>
          <w:color w:val="auto"/>
        </w:rPr>
      </w:pPr>
    </w:p>
    <w:p>
      <w:pPr>
        <w:ind w:right="360" w:firstLine="324"/>
        <w:spacing w:after="0" w:line="255" w:lineRule="auto"/>
        <w:rPr>
          <w:sz w:val="20"/>
          <w:szCs w:val="20"/>
          <w:color w:val="auto"/>
        </w:rPr>
      </w:pPr>
      <w:r>
        <w:rPr>
          <w:rFonts w:ascii="Arial" w:cs="Arial" w:eastAsia="Arial" w:hAnsi="Arial"/>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require us to obtain licenses and authorizations prior to export, create delays in the introduction of our products in certain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spacing w:after="0" w:line="13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are in the process of further enhancing policies designed to ensure compliance by us and our directors, officers, employees, representatives, consultants and agents with the FCPA, the Bribery Act, OFAC laws and regulations, and other export control, anti-corruption, anti-money-laundering and anti-terrorism laws and regulations. In the future, we may operate in parts of the world that pose a heightened corruption risk. Moreover, because of the significant role government entities play in the regulation of many foreign healthcare markets, we may be exposed to heightened FCPA and similar risks arising from our efforts to seek regulatory approval of and reimbursement for our products in such countries. We cannot assure you that our internal control policies and procedures will protect us from improper acts committed by our employees or agents, nor can we assure you that our business partners have not engaged and will not engage in improper conduct that could materially affect their ability to perform their contractual obligations to us or even result in our being held liable for such conduct. The U.S. Departments of Justice, Commerce, State and Treasury and other federal agencies and authorities have a broad range of civil and criminal penalties they may seek to impose against corporations and individuals for violations of anti-corruption laws, economic sanctions laws, and export control and import laws. In addition, violations of these laws, or allegations of such violations, would significantly disrupt our business and have a material adverse effect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171" w:lineRule="exact"/>
        <w:rPr>
          <w:sz w:val="20"/>
          <w:szCs w:val="20"/>
          <w:color w:val="auto"/>
        </w:rPr>
      </w:pPr>
    </w:p>
    <w:p>
      <w:pPr>
        <w:jc w:val="both"/>
        <w:ind w:right="540" w:firstLine="324"/>
        <w:spacing w:after="0" w:line="263" w:lineRule="auto"/>
        <w:rPr>
          <w:sz w:val="20"/>
          <w:szCs w:val="20"/>
          <w:color w:val="auto"/>
        </w:rPr>
      </w:pPr>
      <w:r>
        <w:rPr>
          <w:rFonts w:ascii="Arial" w:cs="Arial" w:eastAsia="Arial" w:hAnsi="Arial"/>
          <w:sz w:val="18"/>
          <w:szCs w:val="18"/>
          <w:color w:val="auto"/>
        </w:rPr>
        <w:t>As of December 31, 2020, we had U.S. federal and state net operating loss, or NOL, carryforwards of approximately $170.8 million and $100.7 million, respectively, and U.S. federal and state research and development credit carryforwards of $3.1 million and $2.5 million, respectively. NOLs incurred in taxable years beginning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December 31, 2017, may be carried forward indefinitely, but the deductibility of such federal NOLs in taxable years beginning after December 31, 2020, is limited to 80% of current year taxable income. In general, under Sections 382 and 383 of the Internal Revenue Code of 1986, as amended, or the Code, a corporation that undergoes an “ownership change,” generally defined as a greater than 50 percentage point change by value in its equity ownership over a rolling three-year period, is subject to limitations on its ability to utilize its pre-change NOLs and its research and development credit carryforwards to offset post-change taxable income. Similar rules may apply under state tax laws. Our existing NOLs and research and development credit carryforwards have been, and may in the future be, subject to limitations arising from previous ownership changes, and if we undergo an ownership change, our ability to utilize NOLs and research and development credit carryforwards could be further limited by Sections 382 and 383 of the Code. Future changes in our stock ownership, some of which might be beyond our control, could result in an ownership change under Section 382 of the Code. For these reasons, in the event we experience a future change of control, we may not be able to utilize a material portion of the NOLs, research and development credit carryforwards or disallowed interest expense carryovers, even if we attain profitability. In addition, for state income tax purposes, the extent to which states will conform to the federal laws is uncertain and there may be periods during which the use of NOL carryforwards is suspended or otherwise limited, which could accelerate or permanently increase state taxes owed. For example, California imposed limits on the usability of California state NOLs and tax credits in tax years beginning after 2019 and before 2023.</w:t>
      </w:r>
    </w:p>
    <w:p>
      <w:pPr>
        <w:spacing w:after="0" w:line="13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In addition, the tax benefit of NOLs, temporary differences and credit carryforwards are required to be recorded as an asset to the extent that we assess that realization is more likely than not. We believe that recognition of the deferred tax asset arising from these future tax benefits is not likely to be realized and, accordingly, have provided a full valuation allowance against our net deferred tax asset.</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1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part of our business strategy, we may in the future make acquisitions or investments in complementary companies, products or technologies that we believe fit within our business model and can address the needs of our existing and potential customers. However,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23" w:lineRule="exact"/>
        <w:rPr>
          <w:sz w:val="20"/>
          <w:szCs w:val="20"/>
          <w:color w:val="auto"/>
        </w:rPr>
      </w:pPr>
    </w:p>
    <w:p>
      <w:pPr>
        <w:jc w:val="both"/>
        <w:ind w:right="120" w:firstLine="324"/>
        <w:spacing w:after="0" w:line="287" w:lineRule="auto"/>
        <w:rPr>
          <w:sz w:val="20"/>
          <w:szCs w:val="20"/>
          <w:color w:val="auto"/>
        </w:rPr>
      </w:pPr>
      <w:r>
        <w:rPr>
          <w:rFonts w:ascii="Arial" w:cs="Arial" w:eastAsia="Arial" w:hAnsi="Arial"/>
          <w:sz w:val="16"/>
          <w:szCs w:val="16"/>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1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Also, the anticipated benefit of any acquisition may not materialize, or such acquisition may be prohibited. In September 2019, we entered into the loan and security agreement with Oxford Finance LLC which also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of which could harm our financial condition. We cannot predict the number, timing or size of future joint ventures or acquisitions, or the effect that any such transactions might have on our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the reimbursement rates for BPH treatments and measures to reduce healthcare costs may adversely impact our business.</w:t>
      </w:r>
    </w:p>
    <w:p>
      <w:pPr>
        <w:spacing w:after="0" w:line="18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derive our revenue from sales of our products to hospitals, ambulatory surgery centers and other healthcare facilities, which typically bill all or a portion of the costs and fees associated with using our products to various third-party payors, including Medicare, Medicaid, private commercial insurance companies, health maintenance organizations and other healthcare-related organizations. Because a vast majority of U.S. patients with BPH are covered by Medicare, the Medicare coverage policy and reimbursement rate are important factors in a physician’s decision to use Aquablation therapy and limits the prices we may charge for our products. In order to facilitate access for Medicare beneficiaries to new devices, the Centers for Medicare &amp; Medicaid Services, or CMS, the federal agency responsible for administering the Medicare program, grants approval for transitional pass-through payments under the Medicare hospital outpatient prospective payment system, or OPPS, and ambulatory surgical center, or ASC, payment system for medical devices that meet certain criteria. Effective January 1, 2020, hospitals and ASCs receive an additional payment for the single-use handpiece when performing Aquablation therapy in the hospital outpatient setting until December 31, 2022. When that payment expires, hospitals will no longer receive separate reimbursement for our device and instead, receive a single bundled payment rate intended to cover the costs of all items and services, including our products, using during the Aquablation therapy. Accordingly, the additional cost associated with the use of our products may affect the profit margin of the hospital or ASC where the procedure is performed. Some of our target customers may be unwilling to adopt our products in light of potential additional associated cost.</w:t>
      </w:r>
    </w:p>
    <w:p>
      <w:pPr>
        <w:spacing w:after="0" w:line="114"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Many BPH patients have Medicaid coverage that is supplemental to Medicare coverage, and some BPH patients may have Medicaid as their primary coverage. Because Medicaid is a state-administered program, Medicaid coverage policies and reimbursement vary by state. Changes in state Medicaid or other non-Medicare government-based programs or payment rates could have an adverse effect on our customer’s business.</w:t>
      </w:r>
    </w:p>
    <w:p>
      <w:pPr>
        <w:spacing w:after="0" w:line="11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Finally, some patients may have coverage through private insurance, for example through a marketplace plan set up under the Patient Protection and Affordable Care Act, as amended by the Health Care and Education Reconciliation Act, or collectively, the ACA, or through an employer or union group health plan. Private insurance coverage policies can vary and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w:t>
      </w:r>
    </w:p>
    <w:p>
      <w:pPr>
        <w:spacing w:after="0" w:line="134"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Any reduction in reimbursement rates for Aquablation therapy may adversely affect our customers’ businesses and cause them to enact cost reduction measures that may include reducing the scope of their programs, which could result in a reduced demand for our product or additional pricing pressures.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AquaBeam Robotic System.</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the United States, there have been, and we expect there will continue to be, a number of legislative and regulatory changes to the healthcare system in ways that may harm our future revenues and profitability and the demand for our AquaBeam Robotic System. Federal and state lawmakers regularly propose and, at times, enact legislation that would result in significant changes to the healthcare system, some of which are intended to contain or reduce the costs of medical products and services. Current and future legislative and regulatory proposals to further reform healthcare or reduce healthcare costs may limit coverage of or lower reimbursement for the procedures associated with the use of our AquaBeam Robotic System. The cost containment measures that payors and providers are instituting and the effect of any healthcare reform initiative implemented in the future could impact our revenue from the sale of our AquaBeam Robotic System.</w:t>
      </w:r>
    </w:p>
    <w:p>
      <w:pPr>
        <w:spacing w:after="0" w:line="12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By way of example, in the United States, the ACA was enacted in March 2010 and substantially changed the way healthcare is financed by both governmental and private insurers, and significantly impacts our industry.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numerous amendments to the ACA and revisions to implementing regulations, along with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Additional legislative changes, regulatory changes and judicial challenges related to the ACA remain possible. We cannot predict what effect further changes related to the ACA, including under the Biden administration, will have on our business.</w:t>
      </w:r>
    </w:p>
    <w:p>
      <w:pPr>
        <w:spacing w:after="0" w:line="12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For example, the Budget Control Act of 2011, among other things, and in connection with subsequent legislation, reduced Medicare payments to providers of, on average, 2% per fiscal year, which went into effect on April 1, 2013 and, due to subsequent legislative amendments to the statute, will remain in effect through 2030, with the exception of a temporary suspension from May 1, 2020 through December 31, 2021, unless additional Congressional action is taken.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w:t>
      </w:r>
    </w:p>
    <w:p>
      <w:pPr>
        <w:spacing w:after="0" w:line="11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payors of healthcare services to contain or reduce costs of healthcare may harm:</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AquaBeam Robotic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current presidential administration and Congress may continue to pursue significant changes to the current healthcare laws. We cannot predict what other laws and regulations will ultimately be enacted and implemented at the federal or state level or the effect of any future legislation or regulation in the United States on our business, financial condition, and results of operations. Future changes in healthcare policy could increase our costs and subject us to additional requirements that may interrupt commercialization of our current and future solutions, decrease our revenue and impact sales of and pricing for our current and future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anti-kickback, fraud and abuse, false claims, transparency, and other healthcare laws and regulations.</w:t>
      </w:r>
    </w:p>
    <w:p>
      <w:pPr>
        <w:spacing w:after="0" w:line="17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Our current and future operations are subject to various federal and state healthcare laws and regulations. These laws affect our sales, marketing and other promotional activities by limiting the kinds of financial arrangements, including sales programs, we may have with hospitals, physicians or other potential purchasers or users, including patients, of medical devices and services. They also impose additional administrative and compliance burdens on us. In particular, these laws influence, among other things, how we structure our sales, placement and rental offerings, including discount practices, customer support, education and training programs and physician consulting and other service arrangements. The laws that affect our practices and arrangements include, but are not limited to:</w:t>
      </w:r>
    </w:p>
    <w:p>
      <w:pPr>
        <w:spacing w:after="0" w:line="138" w:lineRule="exact"/>
        <w:rPr>
          <w:sz w:val="20"/>
          <w:szCs w:val="20"/>
          <w:color w:val="auto"/>
        </w:rPr>
      </w:pPr>
    </w:p>
    <w:p>
      <w:pPr>
        <w:ind w:left="660" w:right="100" w:hanging="328"/>
        <w:spacing w:after="0" w:line="286"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left="328"/>
        <w:spacing w:after="0" w:line="287" w:lineRule="auto"/>
        <w:rPr>
          <w:sz w:val="20"/>
          <w:szCs w:val="20"/>
          <w:color w:val="auto"/>
        </w:rPr>
      </w:pPr>
      <w:r>
        <w:rPr>
          <w:rFonts w:ascii="Arial" w:cs="Arial" w:eastAsia="Arial" w:hAnsi="Arial"/>
          <w:sz w:val="16"/>
          <w:szCs w:val="16"/>
          <w:color w:val="auto"/>
        </w:rPr>
        <w:t>service, for which payment may be made, in whole or in part, under federal healthcare programs such as Medicare and Medicaid.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114" w:lineRule="exact"/>
        <w:rPr>
          <w:sz w:val="20"/>
          <w:szCs w:val="20"/>
          <w:color w:val="auto"/>
        </w:rPr>
      </w:pPr>
    </w:p>
    <w:p>
      <w:pPr>
        <w:ind w:left="328" w:right="20" w:hanging="328"/>
        <w:spacing w:after="0" w:line="285" w:lineRule="auto"/>
        <w:tabs>
          <w:tab w:leader="none" w:pos="32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U.S. federal civil False Claims Act, which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False Claims Act. Actions under the False Claims Act may be brought by the government or as a qui tam action by a private individual in the name of the government and to share in any monetary recovery. Qui tam actions are filed under seal and impose a mandatory duty on the U.S. Department of Justice to investigate such allegations. False Claims Act liability is potentially significant in the healthcare industry because the statute provides for treble damages and significant mandatory penalties (adjusted annually for inflation) per false claim or statement for violations. Because of the potential for large monetary exposure, healthcare companies often resolve allegations without admissions of liability for significant and sometimes large settlement amounts to avoid the uncertainty of treble damages and per claim penalties that may be awarded in litigation proceedings. Many device manufacturers have resolved investigations of alleged improper activities, including causing false claims to be submitted as a result of the marketing of their products for unapproved and thus non reimbursable uses, and other interactions with prescribers and other customers including those that may have affected their billing or coding practices and submission to the federal government. Moreover, to avoid the risk of exclusion from federal healthcare programs as a result of a False Claims Act settlement, companies may enter into corporate integrity agreements with the government, which may impose substantial costs on companies to ensure compliance. There are also criminal penalties, including imprisonment and criminal fines, for making or presenting a false or fictitious or fraudulent claim or statement to the federal government;</w:t>
      </w:r>
    </w:p>
    <w:p>
      <w:pPr>
        <w:spacing w:after="0" w:line="119" w:lineRule="exact"/>
        <w:rPr>
          <w:rFonts w:ascii="Arial" w:cs="Arial" w:eastAsia="Arial" w:hAnsi="Arial"/>
          <w:sz w:val="16"/>
          <w:szCs w:val="16"/>
          <w:color w:val="auto"/>
        </w:rPr>
      </w:pPr>
    </w:p>
    <w:p>
      <w:pPr>
        <w:ind w:left="328" w:right="40" w:hanging="328"/>
        <w:spacing w:after="0" w:line="255"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criminal healthcare statutes that were added by HIPAA, and its implementing regulations,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138" w:lineRule="exact"/>
        <w:rPr>
          <w:rFonts w:ascii="Arial" w:cs="Arial" w:eastAsia="Arial" w:hAnsi="Arial"/>
          <w:sz w:val="18"/>
          <w:szCs w:val="18"/>
          <w:color w:val="auto"/>
        </w:rPr>
      </w:pPr>
    </w:p>
    <w:p>
      <w:pPr>
        <w:jc w:val="both"/>
        <w:ind w:left="328" w:right="40" w:hanging="328"/>
        <w:spacing w:after="0" w:line="263"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Physician Payments Sunshine Act, or Sunshine Act, and its implementing regulations, which requires certain manufacturers of drugs, devices, biologics and medical supplies that are reimbursable under Medicare, Medicaid, or the Children’s Health Insurance Program to report annually to the CMS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68"/>
          </w:cols>
          <w:pgMar w:left="652" w:top="1440" w:right="379" w:bottom="1440" w:gutter="0" w:footer="0" w:header="0"/>
        </w:sectPr>
      </w:pPr>
    </w:p>
    <w:bookmarkStart w:id="43" w:name="page44"/>
    <w:bookmarkEnd w:id="43"/>
    <w:p>
      <w:pPr>
        <w:spacing w:after="0" w:line="144"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information related to certain payments made in the preceding calendar year and other transfers of value to physicians (defined to include doctors, dentists, optometrists, podiatrists and chiropractors) and teaching hospitals, as well as ownership and investment interests held by physicians and their immediate family members. Beginning January 1, 2022, manufacturers will also be required to report payments and other transfers of value made during the prior calendar year to physician assistants, nurse practitioners, clinical nurse specialists, certified nurse anesthetists, anesthesiology assistants and certified nurse-midwives; and</w:t>
      </w:r>
    </w:p>
    <w:p>
      <w:pPr>
        <w:spacing w:after="0" w:line="134" w:lineRule="exact"/>
        <w:rPr>
          <w:sz w:val="20"/>
          <w:szCs w:val="20"/>
          <w:color w:val="auto"/>
        </w:rPr>
      </w:pPr>
    </w:p>
    <w:p>
      <w:pPr>
        <w:ind w:left="660" w:hanging="328"/>
        <w:spacing w:after="0" w:line="272"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foreign and state laws and regulations, including state payment reporting, anti-kickback and false claims laws, that may apply to items or services reimbursed by any third-party payor, including private insurers; foreign and state laws that require medical device companies to comply with the medical device industry’s voluntary compliance guidelines and the relevant compliance guidance promulgated by the U.S. federal government and other national governments, or otherwise restrict payments that may be made to healthcare providers and other potential referral sources; and foreign and state laws and regulations that require drug and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23"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The scope and enforcement of these laws is substantial and subject to rapid change. The shifting compliance environment and the need to build and maintain robust compliance programs,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 Because of the breadth of these laws and the narrowness of available statutory and regulatory exemptions or safe harbors, it is possible that some of our activities, such as stock-option compensation paid to physicians or our practice of loaning equipment to customers at no additional cost, could be subject to challenge under one or more of such laws. Any government investigation, even if we are able to successfully defend against it, will require the expenditure of significant resources, is likely to generate negative publicity, harm our reputation and potentially our financial condition and divert the attention of our management. Moreover, any investigation into our practices could cause adverse publicity and require a costly and time-consuming response. If our operations are found to be in violation of any of these laws or any other governmental regulations that may apply to us, we may be subject to significant civil, criminal and administrative penalties, damages, fines, imprisonment of individuals, exclusion from government funded healthcare programs, such as Medicare and Medicaid, imposition of compliance obligations and monitoring, and the curtailment or restructuring of our operations. Any of the foregoing consequences could seriously harm our business and our financial results.</w:t>
      </w:r>
    </w:p>
    <w:p>
      <w:pPr>
        <w:spacing w:after="0" w:line="12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AquaBeam Robotic System and our operations are subject to extensive government regulation and oversight in the United States. If we fail to maintain necessary marketing authorizations for our AquaBeam Robotic System, or if approvals or clearances for future products or modifications to existing products are delayed or not issued, it will negatively affect our business, financial condition and results of operations.</w:t>
      </w:r>
    </w:p>
    <w:p>
      <w:pPr>
        <w:spacing w:after="0" w:line="95"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Our AquaBeam Robotic System is a medical device subject to extensive regulation in the United States and elsewhere, including by the FDA and its foreign counterparts. Government regulations specific to medical devices are wide ranging and govern, among other things:</w:t>
      </w:r>
    </w:p>
    <w:p>
      <w:pPr>
        <w:spacing w:after="0" w:line="9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service operations, including relationships with healthcare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marketing, promotion and advertising, registration, sales and distribution;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71"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w:t>
      </w:r>
    </w:p>
    <w:p>
      <w:pPr>
        <w:spacing w:after="0" w:line="10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adverse publicity, warning letters, untitled letters, it has come to our attention letters, fines, injunctions, consent decrees and civil penalties;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AquaBeam Robotic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denial of our requests for regulatory clearance or approval of new products, new intended uses or modifications to existing products;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or suspension of regulatory clearance or approval that have already been granted;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of these events were to occur, it will negatively affect our business, financial condition and results of operations.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may not receive, or may be delayed in receiving, the necessary clearances or approvals for our future products or modifications to our current products, and failure to timely obtain necessary clearances or approvals for our future products or modifications to our current products would adversely affect our ability to grow our business.</w:t>
      </w:r>
    </w:p>
    <w:p>
      <w:pPr>
        <w:spacing w:after="0" w:line="130"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w:t>
      </w:r>
    </w:p>
    <w:p>
      <w:pPr>
        <w:spacing w:after="0" w:line="13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2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premarket approval application, or PMA. Some pre-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1440" w:right="439" w:bottom="1440" w:gutter="0" w:footer="0" w:header="0"/>
        </w:sectPr>
      </w:pPr>
    </w:p>
    <w:bookmarkStart w:id="45" w:name="page46"/>
    <w:bookmarkEnd w:id="45"/>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amendment devices are unclassified, but are subject to FDA’s premarket notification and clearance process in order to be commercially distributed. Our AquaBeam Robotic System is a Class II device subject to 510(k) clearance.</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Before a new medical device, or a new intended use of, claim for, or significant modification to an existing device, can be marketed in the United States, a company must first submit an application for and receive either 510(k) clearance pursuant to a premarket notification submitted under Section 510(k) of the FDCA, de novo classification, or approval of a PMA from the FDA, unless an exemption applies. Most Class I devices and some Class II devices are exempt from these premarket review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3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w:t>
      </w:r>
    </w:p>
    <w:p>
      <w:pPr>
        <w:spacing w:after="0" w:line="11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the de novo classification process, a manufacturer whose novel device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 Prior to the enactment of the Food and Drug Administration Safety and Innovation Act of 2012, or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2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510(k), de 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2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originally obtained de novo classification of our AquaBeam Robotic System for use in patients with BPH, and have subsequently obtained 510(k) clearances for modifications to the system. Any modification to these systems that has not been previously cleared may require us to submit a new 510(k) premarket notification and obtain clearance, or depending on the change, we may be required to submit a PMA and obtain FDA approval before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320" w:top="1440" w:right="399" w:bottom="1440" w:gutter="0" w:footer="0" w:header="0"/>
        </w:sectPr>
      </w:pPr>
    </w:p>
    <w:bookmarkStart w:id="46" w:name="page47"/>
    <w:bookmarkEnd w:id="46"/>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FDA or other regulators can delay, limit, or deny clearance or approval of a device for many reasons, including:</w:t>
      </w:r>
    </w:p>
    <w:p>
      <w:pPr>
        <w:spacing w:after="0" w:line="171" w:lineRule="exact"/>
        <w:rPr>
          <w:sz w:val="20"/>
          <w:szCs w:val="20"/>
          <w:color w:val="auto"/>
        </w:rPr>
      </w:pPr>
    </w:p>
    <w:p>
      <w:pPr>
        <w:ind w:left="660" w:right="2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our AquaBeam Robotic System, or any other future device, and any accessories are substantially equivalent to a legally marketed predicate device or safe or effective for their proposed intended uses;</w:t>
      </w:r>
    </w:p>
    <w:p>
      <w:pPr>
        <w:spacing w:after="0" w:line="129"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disagreement of the FDA with the design or implementation of any clinical trials or the interpretation of data from preclinical studies or clinical trials;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insufficiency of the data from preclinical studies or clinical trials to support clearance or approval, where required;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our manufacturing process or facilities to meet applicable requirements; and</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16"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p>
    <w:p>
      <w:pPr>
        <w:spacing w:after="0" w:line="7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It is important to our business that we build a pipeline of product offerings that address limitations of current BPH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w:t>
      </w:r>
    </w:p>
    <w:p>
      <w:pPr>
        <w:spacing w:after="0" w:line="13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success of any new product offering or enhancement to an existing product will depend on a number of factors, including our ability to, among others:</w:t>
      </w:r>
    </w:p>
    <w:p>
      <w:pPr>
        <w:spacing w:after="0" w:line="11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avoid infringing upon the intellectual property rights of third parties;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clinical studies;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comply fully with the FDA and foreign regulations on marketing of new products or modified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AquaBeam Robotic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Some of our future products will require FDA clearance of a 510(k). Other products may require the approval of a PMA. In addition, some of our future products may require clinical trials to support regulatory approval and we may not successfully complete these clinical trials. The FDA may not approve or clear these products for the indications that are necessary or desirable for successful commercialization. Indeed, the FDA may refuse our requests for 510(k) clearance or PMA of new products. Failure to receive clearance or approval for our new products would have an adverse effect on our ability to expand our business.</w:t>
      </w:r>
    </w:p>
    <w:p>
      <w:pPr>
        <w:spacing w:after="0" w:line="1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Modifications to our marketed products may require new 510(k) clearances or PMA approvals, or may require us to cease marketing or recall the modified products until clearances or approvals are obtained.</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Modifications to our AquaBeam Robotic System and associated consumables may require new regulatory approvals or clearances, including 510(k) clearances or PMAs,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AquaBeam Robotic System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AquaBeam Robotic System as modified, which could require us to redesign our AquaBeam Robotic System and/or seek new marketing authorizations and harm our operating results. In these circumstances, we may be subject to significant enforcement actions.</w:t>
      </w:r>
    </w:p>
    <w:p>
      <w:pPr>
        <w:spacing w:after="0" w:line="131"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If a manufacturer determines that a modification to an FDA-cleared device could significantly affect its safety or effectiveness, or would constitute a major change in its intended use, then the manufacturer must file for a new 510(k) clearance or possibly a PMA application. Where we determine that modifications to our AquaBeam Robotic System require a new 510(k) clearance or PMA application, we may not be able to obtain those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Even though we have obtained marketing authorization for our AquaBeam Robotic System, 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Even though we have obtained marketing authorization for our AquaBeam Robotic System, it and any other product for which we obtain clearance or approval, and the manufacturing processes, post-market surveillance, post-approval clinical data and promotional activities for such product, are or, in the case of future products,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any adverse inspectional observations or product safety issues, could result in, among other things, any of the following enforcement actions:</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of new products or modified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510(k) clearances on PMA approvals that have already been granted;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1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3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4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3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and state regulations, and we could be forced to recall our devices or terminate production if we fail to comply with these regulations.</w:t>
      </w:r>
    </w:p>
    <w:p>
      <w:pPr>
        <w:spacing w:after="0" w:line="11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1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or our third-party manufacturers may not take the necessary steps to comply with applicable regulations, which could cause delays in the delivery of our products. For instance, in 2019 we initiated a voluntary recall for a limited number of lots of our handpiece due to certain issues related to our supply chain and manufacturing processes. We have remedied these issues as we developed our manufacturing processes to scale the production of our handpieces at a higher volume.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2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products, such as our AquaBeam Robotic System, may in the future be subject to product recalls that could harm our reputation, business and financial results.</w:t>
      </w:r>
    </w:p>
    <w:p>
      <w:pPr>
        <w:spacing w:after="0" w:line="11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AquaBeam Robotic System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regulatory or enforcement actions if we engage in improper marketing or promotion of our AquaBeam Robotic System.</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our AquaBeam Robotic System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which could have an adverse impact on our reputation and financial results.</w:t>
      </w:r>
    </w:p>
    <w:p>
      <w:pPr>
        <w:spacing w:after="0" w:line="14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our AquaBeam Robotic System, the FDA or another regulatory agency could disagree and conclude that we have engaged in off-label promotion. It is also possible that other federal, state or foreign enforcement authorities might take action, including, but not limited to, through a whistleblower action under the federal civil False Claims Act, or FCA, if they consider our business activities constitute promotion of an off-label use, which could result in significant penalties, including, but not limited to, criminal, civil or administrative penalties, treble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3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are expensive to defend and could divert our management’s attention, result in substantial damage awards against us, and harm our reputation.</w:t>
      </w:r>
    </w:p>
    <w:p>
      <w:pPr>
        <w:spacing w:after="0" w:line="13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Product liability claims are expensive to defend and could divert our management’s attention, result in substantial damage awards against us, and harm our reputation.</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or approval of any future products and to manufacture, market and distribute our products after clearance or approval is obtained.</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approval, manufacture and marketing of regulated products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3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forthcoming steps that the FDA intended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 FDA also announced that it intended to finalize guidance to establish a premarket review pathway for “manufacturers of certain well-understood device types” as an alternative to the 510(k) clearance pathway and that such premarket review pathway would allow manufacturers to rely on objective safety and performance criteria recognized by the FDA to demonstrate substantial equivalence, obviating the need for manufacturers to compare the safety and performance of their medical devices to specific predicate devices in the clearance process.</w:t>
      </w:r>
    </w:p>
    <w:p>
      <w:pPr>
        <w:spacing w:after="0" w:line="11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recommended testing methods, where feasible. The FDA may establish performance criteria for classes of devices similar to ours, and it is unclear the extent to which such performance standards, if established, could impact our ability to obtain marketing authorization or otherwise create competition that may negatively affect our business.</w:t>
      </w:r>
    </w:p>
    <w:p>
      <w:pPr>
        <w:spacing w:after="0" w:line="12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2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promulgated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3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4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Initiating and completing clinical trials necessary to support any future PMA applications, and additional safety and efficacy data beyond that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118"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The initiation and completion of any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30" w:lineRule="exact"/>
        <w:rPr>
          <w:sz w:val="20"/>
          <w:szCs w:val="20"/>
          <w:color w:val="auto"/>
        </w:rPr>
      </w:pPr>
    </w:p>
    <w:p>
      <w:pPr>
        <w:ind w:left="660" w:right="100" w:hanging="328"/>
        <w:spacing w:after="0" w:line="342"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may be required to submit an investigational device exemption application, or IDE, to the FDA, which must become effective prior to commencing certain human clinical trials of medical devices, and the FDA may reject our IDE and notify us that we may not begin clinical trials;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regulators and other comparable foreign regulatory authorities may disagree as to the design or implementation of our clinical trials;</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regulators and/or an Institutional Review Board, or IRB, or other reviewing bodies may not authorize us or our investigators to commence a clinical trial, or to conduct or continue a clinical trial at a prospective or specific trial site;</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clinical trials may produce negative or inconclusive results, and we may decide, or regulators may require us, to conduct additional clinical trials or abandon product development programs;</w:t>
      </w:r>
    </w:p>
    <w:p>
      <w:pPr>
        <w:spacing w:after="0" w:line="116" w:lineRule="exact"/>
        <w:rPr>
          <w:rFonts w:ascii="Arial" w:cs="Arial" w:eastAsia="Arial" w:hAnsi="Arial"/>
          <w:sz w:val="18"/>
          <w:szCs w:val="18"/>
          <w:color w:val="auto"/>
        </w:rPr>
      </w:pPr>
    </w:p>
    <w:p>
      <w:pPr>
        <w:jc w:val="both"/>
        <w:ind w:left="660" w:right="20" w:hanging="328"/>
        <w:spacing w:after="0" w:line="286"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11" w:lineRule="exact"/>
        <w:rPr>
          <w:rFonts w:ascii="Arial" w:cs="Arial" w:eastAsia="Arial" w:hAnsi="Arial"/>
          <w:sz w:val="17"/>
          <w:szCs w:val="17"/>
          <w:color w:val="auto"/>
        </w:rPr>
      </w:pPr>
    </w:p>
    <w:p>
      <w:pPr>
        <w:ind w:left="660" w:right="12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might have to suspend or terminate clinical trials for various reasons, including a finding that the subjects are being exposed to unacceptable health risks;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ind w:left="660" w:right="62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regulators, IRBs, or other parties may require or recommend that we or our investigators suspend or terminate clinical research for various reasons, including safety signals or noncompliance with regulatory requirements;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clinical trials may be greater than we anticipate;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sites may not adhere to the clinical protocol or may drop out of a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recruit a sufficient number of clinical trial sites;</w:t>
      </w:r>
    </w:p>
    <w:p>
      <w:pPr>
        <w:spacing w:after="0" w:line="171" w:lineRule="exact"/>
        <w:rPr>
          <w:rFonts w:ascii="Arial" w:cs="Arial" w:eastAsia="Arial" w:hAnsi="Arial"/>
          <w:sz w:val="18"/>
          <w:szCs w:val="18"/>
          <w:color w:val="auto"/>
        </w:rPr>
      </w:pPr>
    </w:p>
    <w:p>
      <w:pPr>
        <w:jc w:val="both"/>
        <w:ind w:left="660" w:right="160" w:hanging="328"/>
        <w:spacing w:after="0" w:line="311"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94" w:lineRule="exact"/>
        <w:rPr>
          <w:rFonts w:ascii="Arial" w:cs="Arial" w:eastAsia="Arial" w:hAnsi="Arial"/>
          <w:sz w:val="16"/>
          <w:szCs w:val="16"/>
          <w:color w:val="auto"/>
        </w:rPr>
      </w:pPr>
    </w:p>
    <w:p>
      <w:pPr>
        <w:ind w:left="660" w:right="72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approval policies or regulations of the FDA or applicable foreign regulatory agencies may change in a manner rendering our clinical data insufficient for approval;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current or future products may have undesirable side effects or other unexpected characteristics.</w:t>
      </w:r>
    </w:p>
    <w:p>
      <w:pPr>
        <w:spacing w:after="0" w:line="17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7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Clinical trials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w:t>
      </w:r>
    </w:p>
    <w:p>
      <w:pPr>
        <w:spacing w:after="0" w:line="11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demonstrate safety and efficacy. Such increased costs and delays or failures could adversely affect our business, operating results and prospects.</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rely to conduct our clinical trials and to assist us with pre-clinical development do not perform as required or expected, we may not be able to obtain regulatory clearance or approval for or commercialize our products.</w:t>
      </w:r>
    </w:p>
    <w:p>
      <w:pPr>
        <w:spacing w:after="0" w:line="116"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may not have the ability to independently conduct our pre-clinical and clinical trials for our future products and we may need to rely on third parties, such as CROs, medical institutions, collaborators, clinical investigators and contract laboratories to conduct such trials.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products in clinical development. Regulatory authorities enforce these GCP requirements through periodic inspections of trial sponsors, principal investigators and trial sites.</w:t>
      </w:r>
    </w:p>
    <w:p>
      <w:pPr>
        <w:spacing w:after="0" w:line="11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we or any of these third parties fail to comply with applicable GCP regulations, the clinical data generated in our clinical trials may be deemed unreliable and the FDA or comparable foreign regulatory authorities may require us to perform additional clinical trials before clearing or approving our marketing applications. We cannot assure you that, upon inspection, such regulatory authorities will determine that any of our future clinical trials complies with the GCP regulations.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such as the COVID-19 pandemic, or otherwise, we may be affected by increased costs, program delays or both, any resulting data may be unreliable or unusable for regulatory purposes, and we may be subject to enforcement action.</w:t>
      </w:r>
    </w:p>
    <w:p>
      <w:pPr>
        <w:spacing w:after="0" w:line="12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1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3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Disruptions at the FDA and other agencies may also slow the time necessary for new product applications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3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inspections of foreign manufacturing facilities and products, and on March 18, 2020, the FDA temporarily postponed routine surveillance inspections of domestic manufacturing facilities. Subsequently, on July 10, 2020,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440" w:right="379" w:bottom="1440" w:gutter="0" w:footer="0" w:header="0"/>
        </w:sectPr>
      </w:pPr>
    </w:p>
    <w:bookmarkStart w:id="55" w:name="page56"/>
    <w:bookmarkEnd w:id="55"/>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Other regulatory authorities may adopt similar restrictions or other policy measures in response to the COVID-19 pandemic.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110"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13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FDA requirements, including those laws requiring the reporting of true, complete and accurate information to the FDA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spacing w:after="0" w:line="14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environmental and occupational safety laws.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to obtain, maintain and protect our intellectual property and failure to do so may adversely impact our competitive position.</w:t>
      </w:r>
    </w:p>
    <w:p>
      <w:pPr>
        <w:spacing w:after="0" w:line="18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commercial success and ability to compete will depend in part in our ability to obtain, maintain and enforce issued patents, trademark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rely on a combination of contractual provisions, confidentiality procedures and patent, trade secret, copyright and trademark laws to protect our proprietary technology, products, services, brands, trade secrets, know-how and data and prevent others from duplicating our AquaBeam Robotic System or its disposable components, and our other current and future products, services and technology. However, these legal means afford only limited protection and may not:</w:t>
      </w:r>
    </w:p>
    <w:p>
      <w:pPr>
        <w:spacing w:after="0" w:line="13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prevent our competitors from duplicating our AquaBeam Robotic System or its disposable components, and our other current and future products;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prevent our competitors from gaining access to our proprietary information and technology;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permit us to gain or maintain a competitive advantage.</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13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products and services, and may not provide an adequate remedy if our intellectual property rights are infringed, misappropriated or otherwise violated.</w:t>
      </w:r>
    </w:p>
    <w:p>
      <w:pPr>
        <w:spacing w:after="0" w:line="10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rely in part on our portfolio of issued patents and pending patent applications in the United States and other countries to protect our intellectual property and competitive position. However,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It is also possible that we will fail to identify patentable aspects of inventions made in the course of our development, manufacture and commercialization activities before it is too late to obtain patent protection on them. If we fail to timely file for a patent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to sell or sell patented products, we may not accurately predict all of the countries where patent protection will ultimately be desirable. Furthermore, the issuance of a patent does not give us the right to practice the patented invention. Third parties may have blocking patents that could prevent us from manufacturing and/or commercializing our own products or services, or otherwise practicing our own technology. Any of these outcomes could impair our ability to prevent competition from third parties, which may have an adverse impact on our business.</w:t>
      </w:r>
    </w:p>
    <w:p>
      <w:pPr>
        <w:spacing w:after="0" w:line="123"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patent positions of medical device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The scope of a patent may also be reinterpreted after issuance. The rights that may be granted under our future issued patents may not provide us with the proprietary protection or competitive advantages we are seeking. We cannot offer any assurances that the breadth of our granted patents will be sufficient to stop a competitor from developing, manufacturing and commercializing a product or a service in a non-infringing manner that would be competitive with one or more of our products or services,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13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Patents have a limited lifespan. In the United States, the natural expiration of a utility patent is generally 20 years from the earliest effective non-provisional filing date. Further, if we encounter delays in any future regulatory approvals, the period of time during which we could market a product or a service under patent protection could be reduced, and, given the amount of time required for the development, testing and regulatory review of planned or future products or services, patents protecting such products or services might expire before or shortly after such products or services are commercialized. As a result, our patent rights may not provide us with sufficient rights to exclude others from manufacturing or commercializing products or services similar or identical to ours.</w:t>
      </w:r>
    </w:p>
    <w:p>
      <w:pPr>
        <w:spacing w:after="0" w:line="138"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If we are unable to obtain, maintain and enforce our issued patent, trademarks and other intellectual property rights related to our products, services or technology, or if the scope of the issued patents, trademarks or other intellectual property right protection is insufficient, our competitors could develop, manufacture and commercialize products, services or technology similar or superior to ours, and our competitive position may be adversely affected.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12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0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patent owner or successors in title to the patent to grant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“nonexclusive, partially exclusive, or exclusive license” to a “responsible applicant or applicants.” If the patent owner refuses to do so, the government may grant the license to itself. We cannot be sure that if we acquire intellectual property rights in the future it will be free from government rights or regulations pursuant to the Bayh-Dole Act. If, in the future, we own, co-own or license in technology that is critical to our business that is developed in whole or in part with federal funds subject to the Bayh-Dole Act, our ability to enforce or otherwise exploit patents covering such technology may be adversely affected. Any of the foregoing could have a material adverse effect on our business, financial condition and results of operations.</w:t>
      </w:r>
    </w:p>
    <w:p>
      <w:pPr>
        <w:spacing w:after="0" w:line="122"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9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services, we may not be able to stop a competitor from marketing products or services that are the same as or similar to our products or services, which would have a material adverse effect on our business, financial condition and results of operations.</w:t>
      </w:r>
    </w:p>
    <w:p>
      <w:pPr>
        <w:spacing w:after="0" w:line="1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 and if unsuccessful, the commercial value of our products and services will be adversely affected and our competitive position may be harmed.</w:t>
      </w:r>
    </w:p>
    <w:p>
      <w:pPr>
        <w:spacing w:after="0" w:line="13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While we are not aware of any unauthorized use of our intellectual property rights, we do not regularly conduct monitoring for unauthorized use at this time. In the future, we may, from time to time, seek to analyze our competitors’ products and services, or seek to enforce our rights against potential infringement, misappropriation or violation of our intellectual property rights. The steps we have taken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Thus, we may not be able to detect unauthorized use of, or take appropriate steps to enforce, our intellectual property rights. Any inability to meaningfully enforce our intellectual property rights could harm our ability to compete and reduce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the future, we may become involved in lawsuits to protect or enforce our intellectual property rights. An adverse result in any litigation proceeding could harm our business. In any lawsuit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product or a service,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Any claims we assert against perceived infringers could also provoke these parties to assert counterclaims against us alleging that we infringe, misappropriate or otherwise violate their intellectual property rights.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inter partes review, interference proceedings, derivation proceedings, and equivalent proceedings in foreign jurisdictions (e.g., opposition proceedings).</w:t>
      </w:r>
    </w:p>
    <w:p>
      <w:pPr>
        <w:spacing w:after="0" w:line="11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Decisions by courts and governmental patent agencies may introduce uncertainty in the enforceability or scope of patents and other intellectual properties owned by us. A court may decide that a patent or other intellectual property right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An adverse result in any litigation proceeding could put one or more of our patents at risk of being invalidated or interpreted narrowly.</w:t>
      </w:r>
    </w:p>
    <w:p>
      <w:pPr>
        <w:spacing w:after="0" w:line="13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proceedings. 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12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rights from third parties that may be necessary to develop, manufacture and/or commercialize our current and/or future products or services.</w:t>
      </w:r>
    </w:p>
    <w:p>
      <w:pPr>
        <w:spacing w:after="0" w:line="116"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manufacture and/or commercialization of our current and/or future products or services, in which case we would be need to acquire or obtain a license to such intellectual property rights from such third party. A third party that perceive us to be a competitor may be unwilling to assign or license its intellectual property rights to us. In addition, the licensing or acquisition of third party intellectual property rights is a competitive area, and other companies may also pursue similar strategies to license or acquire such third party’s intellectual property rights. Some of these companies may be established and may have a competitive advantage over us due to their size,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resources and greater development, manufacture and commercialization capabilities. We also may be unable to license or acquire third party intellectual property rights on commercially reasonable terms that would allow us to make an appropriate return on our investment, or at all, or we may be unable to obtain any such license or acquisition at all. If we are unable to successfully obtain rights to necessary third party intellectual property rights, we may not be able to develop, manufacture or commercialize our current and/or future products or services, which could have a material adverse effect on our business, financial condition and results of operations.</w:t>
      </w:r>
    </w:p>
    <w:p>
      <w:pPr>
        <w:spacing w:after="0" w:line="134"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our AquaBeam Robotic System and our other current and future products.</w:t>
      </w:r>
    </w:p>
    <w:p>
      <w:pPr>
        <w:spacing w:after="0" w:line="7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may be subject to claims that current or former employees, collaborators or other third parties have an interest in our current or future patents, patent applications, trade secrets or other intellectual property rights as an inventor or co-inventor. For example, we may have inventorship disputes arise from conflicting obligations of employees, consultants or others who are involved in developing our AquaBeam Robotic System or our other current or future products, services or technology. Although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rights,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3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Additionally,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Litigation may be necessary to defend against such claims, and it may be necessary or we may desire to obtain a license to such third party’s intellectual property rights to settle any such claim, however, there can be no assurance that we would be able to obtain such license on commercially reasonable terms, if at all . If we fail in defending any such claims, in addition to paying monetary damages, we may lose valuable intellectual property rights, such as exclusive ownership of, or right to use, intellectual property that is important to our AquaBeam Robotic System and our other current and future products, services or technology.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our AquaBeam Robotic System, or our other current or future products, services and technologies, and we could be prohibited from using our other technologies, features or intellectual property rights that are essential to our products or services,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services could have a material adverse effect on our business, financial condition, results of operations, and competitive position, and may prevent us from developing, manufacturing and/or selling our products or services. In addition, we may lose valuable intellectual property rights or personnel. Even if we are successful in defending against these claims, litigation could result in substantial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and could be a distraction to management and our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In addition to seeking patent protection for our AquaBeam Robotic System and our other current and future products and services,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4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cannot guarantee that we have entered into such agreements with each party that has or may have had access to our trade secrets or proprietary information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33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 disseminated within the industry through independent development, the publication of journal articles describing the methodology, the movement of personnel within the industry and from academic to industry scientific positions.</w:t>
      </w:r>
    </w:p>
    <w:p>
      <w:pPr>
        <w:spacing w:after="0" w:line="11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could have a material adverse effect on our competitive position, business, financial condition, results of operations and prospects.</w:t>
      </w:r>
    </w:p>
    <w:p>
      <w:pPr>
        <w:spacing w:after="0" w:line="1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13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3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AquaBeam Robotic System or our other current and future products or services, if such technologies or features are found to incorporate or be derived from the trade secrets or other proprietary information of the former employers.</w:t>
      </w:r>
    </w:p>
    <w:p>
      <w:pPr>
        <w:spacing w:after="0" w:line="123"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An inability to incorporate technologies or features that are important or essential to our product could have a material adverse effect on our business, financial condition and results of operations, and may prevent us from selling our AquaBeam Robotic System or our other current and future products or services.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w:t>
      </w:r>
    </w:p>
    <w:p>
      <w:pPr>
        <w:spacing w:after="0" w:line="11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 or services, and could increase the uncertainties and costs surrounding the prosecution of our patent applications and the enforcement or defense of our current or future patents.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4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w:t>
      </w:r>
    </w:p>
    <w:p>
      <w:pPr>
        <w:spacing w:after="0" w:line="11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1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Changes in either patent laws or in interpretations of patent laws in the United States and other countries may materially diminish the value of our intellectual property rights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1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rely on our trademarks, trade names and brand names to distinguish our products and services from the products and services of our competitors, and have registered or applied to register many of these trademarks in the United States and certain countries outside the United States.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w:t>
      </w:r>
    </w:p>
    <w:p>
      <w:pPr>
        <w:spacing w:after="0" w:line="112"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trademarks or trade names may be challenged, invalidated, infringed, circumvented and circumvented by third parties, and our trademarks could also be diluted, declared generic or determined to be violating or infringing on other marks. We may not be able to protect our rights to these trademarks and trade names, which we need to build name recognition among potential partners and customers in our markets of interest. If any of the foregoing occurs, we could be forced to re-brand our products or services, resulting in loss of brand recognition and requiring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or other third parties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may be adversely affected. Any of the foregoing could have a material adverse effect on our competitive position, business, financial condition, operating results and prospects.</w:t>
      </w:r>
    </w:p>
    <w:p>
      <w:pPr>
        <w:spacing w:after="0" w:line="1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expensive, time-consuming, unsuccessful, and could interfere with our ability to sell and market our products or services.</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products and services and use our proprietary technologies without infringing, misappropriating or otherwise violating the proprietary rights and intellectual property of third parties. The medical device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spacing w:after="0" w:line="107"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Third parties may initiate legal proceedings alleging that we are infringing, misappropriating or otherwise violating their intellectual property rights, the outcome of which would be uncertain and could have a negative impact on the success of our business. It is possible that U.S. and foreign patents and pending patent applications controlled by third parties may be alleged to cover our products and services,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or services, including interference proceedings, post grant review and inter partes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or services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 party patents are valid and enforceable, and infringed by the use of our products and/or services, which could have a negative impact on the commercial success of our current and any future products or services.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in the United States, the patent owner need only prove infringement by a preponderance of the evidence, which is a lower burden of proof. We will have similar burdens to overcome in foreign courts in order to successfully challenge a third party claim of patent infringement.</w:t>
      </w:r>
    </w:p>
    <w:p>
      <w:pPr>
        <w:spacing w:after="0" w:line="11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defense of any litigation or interference proceedings may fail and, even if successful, defending such claims brought against us would cause us to incur substantial expenses. If such claims are successfully asserted against us, they may result in substantial costs and distract our management and other employees and could cause us to pay substantial damages. Further, if a patent infringement or other intellectual property rights-related lawsuit were brought against us, we could be forced, including by court order, to cease developing, manufacturing and/or commercializing the infringing product or service. In addition, we could be found liable for monetary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including treble damages and attorneys’ fees, if we are found to have willfully infringed a patent or other intellectual property right. Although patent, trademark, trade secret, and other intellectual property disputes in the medical device area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or services, we could be forced to cease some aspect of our business operations, which could harm our business significantly.</w:t>
      </w:r>
    </w:p>
    <w:p>
      <w:pPr>
        <w:spacing w:after="0" w:line="14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 finding of infringement, or an unfavorable interference or derivation proceedings outcome could prevent us from developing, manufacturing and/or commercializing our products or services,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or service introductions while we attempt to develop alternative products or services.</w:t>
      </w:r>
    </w:p>
    <w:p>
      <w:pPr>
        <w:spacing w:after="0" w:line="12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or services.</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Additionally, our products include components that we purchase from suppliers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services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and business operations infringe, misappropriate or otherwise violate the intellectual property rights of others. The defense of these matters can be time-consuming, costly to defend in litigation, divert management’s attention and resources, damage our reputation and brand and cause us to incur significant expenses or make substantial payments. In addition, suppliers from whom we purchase hardware or software may not indemnify us in the event that such hardware or software is accused of infringing a third party’s patent or trademark or of misappropriating a third party’s trade secret.</w:t>
      </w:r>
    </w:p>
    <w:p>
      <w:pPr>
        <w:spacing w:after="0" w:line="1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products or services. Two of our applications filed in Europe are currently subject to opposition challenges.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services. Such a loss of patent protection would have a material adverse impact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our proprietary software to general release, adversely affect our ability to sell our AquaBeam Robotic System or our other current or future products and services and subject us to possible litigation.</w:t>
      </w:r>
    </w:p>
    <w:p>
      <w:pPr>
        <w:spacing w:after="0" w:line="11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software that uses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AquaBeam Robotic System and our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AquaBeam Robotic System and our other current and future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jc w:val="both"/>
        <w:ind w:left="660" w:right="120" w:hanging="328"/>
        <w:spacing w:after="0" w:line="26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AquaBeam Robotic System and our other current or future products or utilize similar technology but that are not covered by the claims of our patents or that incorporate certain technology in our AquaBeam Robotic System and our other current and future products that is in the public domain;</w:t>
      </w:r>
    </w:p>
    <w:p>
      <w:pPr>
        <w:spacing w:after="0" w:line="129"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4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file patent applications covering certain of our or their inventions;</w:t>
      </w:r>
    </w:p>
    <w:p>
      <w:pPr>
        <w:spacing w:after="0" w:line="182" w:lineRule="exact"/>
        <w:rPr>
          <w:rFonts w:ascii="Arial" w:cs="Arial" w:eastAsia="Arial" w:hAnsi="Arial"/>
          <w:sz w:val="17"/>
          <w:szCs w:val="17"/>
          <w:color w:val="auto"/>
        </w:rPr>
      </w:pPr>
    </w:p>
    <w:p>
      <w:pPr>
        <w:ind w:left="660" w:right="48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patent applications will not lead to issued patents;</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116" w:lineRule="exact"/>
        <w:rPr>
          <w:rFonts w:ascii="Arial" w:cs="Arial" w:eastAsia="Arial" w:hAnsi="Arial"/>
          <w:sz w:val="18"/>
          <w:szCs w:val="18"/>
          <w:color w:val="auto"/>
        </w:rPr>
      </w:pPr>
    </w:p>
    <w:p>
      <w:pPr>
        <w:ind w:left="660" w:right="100" w:hanging="328"/>
        <w:spacing w:after="0" w:line="308"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Third parties may attempt to develop, manufacture and/or commercialize competitive products or services in foreign countries utilizing our proprietary technology, design, trademarks or tradenames in foreign countries where we do not have any patents or patent applications, trademarks, and/or other forms of intellectual property rights and/or where legal recourse may be limited. This may have a significant commercial impact on our foreign business operations.</w:t>
      </w:r>
    </w:p>
    <w:p>
      <w:pPr>
        <w:spacing w:after="0" w:line="13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Filing, prosecuting and defending patents or trademarks on our AquaBeam Robotic System and all of our other current and future products and services in all countries throughout the world would be prohibitively expensive, and the laws of foreign countries particularly those of developing countries, may not protect our rights to the same extent as the laws of the United States. For example, as of May 1, 2021, the Patent Cooperation Treaty had 153 contracting states, and it is only economically feasible to file for protection in a portion of these countries. With the COVID-19 pandemic, some of our foreign associates have requested instructions well in advance of deadlines, which could adversely affect our ability to meet foreign deadlines for filing and prosecuting patent applications. Also, it is unclear to what extent the COVID-19 pandemic will adversely impact operations at some foreign patent offices where we have sought protection. Consequently, we may not be able to prevent third parties from practicing our inventions or trademarks in all jurisdictions outside the United States to the same extent as the United States, or from developing, manufacturing, selling or importing products or services using or incorporating our inventions or trademarks in and into the United States or other jurisdictions. Competitors may use our technologies in jurisdictions where we have not obtained patent or trademark protection to develop, manufacture and/or market their own products or services and, further, may export otherwise infringing products or services to territories where we have patent or trademark protection, but enforcement on infringing activities is inadequate or not as strong as that in the United States. These products or services may compete with our AquaBeam Robotic System or other current or future products or services, and our patents, trademarks or other intellectual property rights may not be effective or sufficient to prevent them from competing.</w:t>
      </w:r>
    </w:p>
    <w:p>
      <w:pPr>
        <w:spacing w:after="0" w:line="13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that depending on the country, the scope of patent protection may vary for the same product or technology. For example, certain jurisdictions do not allow for patent protection with respect to method of treatment.</w:t>
      </w:r>
    </w:p>
    <w:p>
      <w:pPr>
        <w:spacing w:after="0" w:line="11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While we seek to protect our intellectual property rights in our expected significant markets, we cannot ensure that we will be able to initiate or maintain similar efforts in all jurisdictions in which we may wish to manufacture or market our products or services. Accordingly, our efforts to protect our intellectual property rights in such countries may be inadequate, which may have an adverse effect on our ability to successfully manufacture or commercialize our products or services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1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w:t>
      </w:r>
    </w:p>
    <w:p>
      <w:pPr>
        <w:spacing w:after="0" w:line="10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heavily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are dependent on patents, know-how and other proprietary technology licensed from AquaBeam LLC, which is affiliated with Rodney Perkins, one of our co-founders and a member of our board of directors who will resign from the board effective immediately upon effectiveness of the registration statement of which this prospectus is a part. This and other licenses we currently possess or may possess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Moreover, if we fail to comply with our obligations under such licenses, or if disputes over intellectual property that we have licensed prevent or impair our ability to maintain our current licensing arrangements on acceptable terms, we may be unable to successfully develop and commercialize the affected technology or products.</w:t>
      </w:r>
    </w:p>
    <w:p>
      <w:pPr>
        <w:spacing w:after="0" w:line="12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Certain provisions in our intellectual property agreements with third parties may also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results of operations, financial condition, cash flows and prospects. In spite of our efforts, our current and future licensors might also conclude that we have breached our obligations under our license agreements and might therefore seek to terminate such license agreements, thereby removing or limiting our ability to develop and commercialize products and technology covered by these license agreements. As a result, any termination of these licenses could result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4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loss of significant rights and could harm our ability to commercialize our products, including, for example, the AquaBeam Robotic System, and our financial results.</w:t>
      </w:r>
    </w:p>
    <w:p>
      <w:pPr>
        <w:spacing w:after="0" w:line="1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we may need to obtain additional licenses from our existing licensors and others to allow commercialization of products we may develop. Moreover,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technology or products. Even if we are able to obtain such additional licenses, they may be non-exclusive thereby giving our competitors and other third parties access to the same technology licensed to us. Any of the foregoing could have an adverse impact on our business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7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which could result in substantial losses for purchasers of our common stock in this offering, and we may not be able to meet investor or analyst expectations.</w:t>
      </w:r>
    </w:p>
    <w:p>
      <w:pPr>
        <w:spacing w:after="0" w:line="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Following this offering, the market price of our common stock may be highly volatile and fluctuate or decline significantly in response to numerous factors, many of which are beyond our control, including:</w:t>
      </w:r>
    </w:p>
    <w:p>
      <w:pPr>
        <w:spacing w:after="0" w:line="116" w:lineRule="exact"/>
        <w:rPr>
          <w:sz w:val="20"/>
          <w:szCs w:val="20"/>
          <w:color w:val="auto"/>
        </w:rPr>
      </w:pPr>
    </w:p>
    <w:p>
      <w:pPr>
        <w:ind w:left="660" w:right="3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between our actual operating results, or those of companies that are perceived to be similar to us, and the expectations of securities analysts, investors and the financial community;</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additional shares of our common stock being sold into the market by us or our existing stockholders, or the anticipation of such sales, including if existing stockholders sell shares into the market when applicable “lock-up” period ends;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hedging activities by market participants;</w:t>
      </w:r>
    </w:p>
    <w:p>
      <w:pPr>
        <w:spacing w:after="0" w:line="171"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third-party payor reimbursement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price and volume fluctuations in the overall stock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320" w:top="1440" w:right="399" w:bottom="1440" w:gutter="0" w:footer="0" w:header="0"/>
        </w:sectPr>
      </w:pPr>
    </w:p>
    <w:bookmarkStart w:id="70" w:name="page71"/>
    <w:bookmarkEnd w:id="70"/>
    <w:p>
      <w:pPr>
        <w:spacing w:after="0" w:line="144" w:lineRule="exact"/>
        <w:rPr>
          <w:sz w:val="20"/>
          <w:szCs w:val="20"/>
          <w:color w:val="auto"/>
        </w:rPr>
      </w:pPr>
    </w:p>
    <w:p>
      <w:pPr>
        <w:ind w:left="660" w:right="40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political conditions, election cycles, war or incidents of terrorism, or responses to these events, many of which are outside of our control.</w:t>
      </w:r>
    </w:p>
    <w:p>
      <w:pPr>
        <w:spacing w:after="0" w:line="116" w:lineRule="exact"/>
        <w:rPr>
          <w:sz w:val="20"/>
          <w:szCs w:val="20"/>
          <w:color w:val="auto"/>
        </w:rPr>
      </w:pPr>
    </w:p>
    <w:p>
      <w:pPr>
        <w:ind w:right="340" w:firstLine="324"/>
        <w:spacing w:after="0" w:line="296" w:lineRule="auto"/>
        <w:rPr>
          <w:sz w:val="20"/>
          <w:szCs w:val="20"/>
          <w:color w:val="auto"/>
        </w:rPr>
      </w:pPr>
      <w:r>
        <w:rPr>
          <w:rFonts w:ascii="Arial" w:cs="Arial" w:eastAsia="Arial" w:hAnsi="Arial"/>
          <w:sz w:val="16"/>
          <w:szCs w:val="16"/>
          <w:color w:val="auto"/>
        </w:rPr>
        <w:t>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spacing w:after="0" w:line="10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 and you may not be able to resell your shares at or above the initial public offering price.</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Prior to this offering, there has been no public market for our common stock. Although we have applied to list our common stock on The Nasdaq Stock Market under the symbol “PRCT,” an active trading market for our common stock may never develop or be sustained following this offering. The initial public offering price for our common stock will be determined through negotiations between the underwriters and us, and may vary from the market price of our common stock following this offering. This initial public offering price may not be indicative of the market price of our common stock after this offering. We cannot assure you that the market price following this offering will equal or exceed prices in privately negotiated transactions of our shares that have occurred from time to time before this offering. In the absence of an active trading market for our common stock, you may not be able to sell your shares of our common stock when desired or at or above the initial public offering price. An inactive market may also impair our ability to raise capital by selling shares and may impair our ability to acquire other businesses or technologies using our shares as consideration, which, in turn, could materially and adversely affect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71"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after the lock-up and legal restrictions on resale discussed in this prospectus lapse, the trading price of our common stock could decline. Based on 35,641,832 shares of common stock outstanding as of June 30, 2021 (including the automatic conversion of 29,849,810 shares of our redeemable convertible preferred stock into an equivalent number of shares of our common stock immediately prior to the completion of this offering) and the exercise of outstanding warrants as of June 30, 2021 for 71,705 shares of redeemable convertible preferred stock, at a cash exercise price of $13.73 per share, and subsequent conversion into an equivalent number of shares of common stock, on the completion of this offering, we will have a total of 41,213,537 shares of common stock outstanding. Of these shares, only the shares of common stock sold in this offering will be freely tradable, without restriction, in the public market immediately after the offering. Each of our directors, executive officers and other holders of substantially all our outstanding equity securities are subject to lock-up and market standoff agreements that restrict their ability to, among other things and subject to certain exceptions, sell or transfer their shares for a period of 180 days after the date of this prospectus subject to certain exceptions. However, BofA Securities, Inc. and Goldman Sachs &amp; Co. LLC may, in their sole discretion, waive the contractual lock-up before the lock-up agreements expire. After the lock-up agreements expire, all shares outstanding as of June 30, 2021 (assuming the closing of the offering) will be eligible for sale in the public market, of which the shares are held by directors, executive officers and other affiliates and will be subject to volume limitations under Rule 144 of the Securities Act, and various vesting agreements. Sales of a substantial number of such shares upon expiration of the lock-up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addition, 6,621,256 shares of our common stock were issuable upon the exercise of options outstanding as of June 30, 2021. These shares will become eligible for sale in the public market to the extent permitted by the provisions of various vesting agreements, the lock-up agreements and Rules 144 and 701 of the Securities Act. We intend to file a registration statement on Form S-8 under the Securities Act covering all the shares of common stock subject to stock options outstanding and reserved for issuance under our stock plans. That registration statement will become effective immediately on filing, and shares covered by that registration statement will be eligible for sale in the public markets, subject to Rule 144 limitations applicable to affiliates and the lock-up agreement described above. If these additional shares are sold, or if it is perceived that they will be sold in the public market, the trading price of our common stock could decline.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assumed initial public offering price is substantially higher than the pro forma net tangible book value per share of our common stock (which gives effect to the automatic conversion of all outstanding shares of our redeemable convertible preferred stock into shares of common stock, and the exercise of outstanding redeemable convertible preferred stock warrants and subsequent conversion into common stock, immediately prior to the closing of this offering) of $3.38 per share as of June 30, 2021. Investors purchasing common stock in this offering will pay a price per share that substantially exceeds the net book value of our tangible assets (after the automatic conversion of our redeemable convertible preferred stock, and the exercise of outstanding redeemable convertible preferred stock warrants and subsequent conversion, and after subtracting our liabilities). As a result, investors purchasing common stock in this offering will incur immediate dilution of $17.29 per share, based on the assumed initial public offering price of $23.00 per share, which is the midpoint of the price range set forth on the cover page of this prospectus. This dilution is due to the substantially lower price paid by our investors who purchased shares prior to this offering as compared to the price offered to the public in this offering.</w:t>
      </w:r>
    </w:p>
    <w:p>
      <w:pPr>
        <w:spacing w:after="0" w:line="12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1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loan and security agreement with Oxford Finance LLC restrict our ability to pay dividends to limited circumstances. Accordingly, investors must rely on sales of their common stock after price appreciation, which may never occur, as the only way to realize any future gains on their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how we may use the net proceeds from this offering, and we may not use them effectively.</w:t>
      </w:r>
    </w:p>
    <w:p>
      <w:pPr>
        <w:spacing w:after="0" w:line="17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Our management will have broad discretion in applying the net proceeds we receive from this offering, and accordingly, investors in this offering will need to rely upon the judgment of our management with respect to the use of proceeds with only limited information concerning management’s specific intentions. We currently intend to use the net proceeds of this offering, together with our existing cash and cash equivalents, to hire additional sales and marketing personnel, to fund product development and research and development activities and the remainder for working capital and other general corporate purposes. We may use a portion of our net proceeds to acquire and invest in complementary products, technologies or businesses; however, we currently have no agreements or commitments to complete any such transaction. We may also spend or invest these proceeds in a way with which our stockholders disagree. If our management fails to use these funds effectively, our business could be seriously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After this offering, our principal stockholders and management will own a significant percentage of our stock and will be able to exercise significant influence over matters subject to stockholder approval.</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of June 30, 2021, our executive officers, directors and 5% stockholders beneficially owned approximately 37.9% of the outstanding shares of capital stock, and, upon the closing of this offering, that same group will hold approximately 33.0% of our outstanding shares of common stock (assuming no exercise of the underwriters’ option to purchase additional shares from us). Therefore, even after this offering, these stockholders will have the ability to influence us through this ownership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18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in this offering bear the risk that future issuances of debt or equity securities may reduce the value of our common stock and further dilute their ownership interest.</w:t>
      </w:r>
    </w:p>
    <w:p>
      <w:pPr>
        <w:spacing w:after="0" w:line="124"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bylaws that will be in effect on the completion of this offering could make a merger, tender offer or proxy contest difficult, thereby depressing the trading price of our common stock.</w:t>
      </w:r>
    </w:p>
    <w:p>
      <w:pPr>
        <w:spacing w:after="0" w:line="7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amended and restated certificate of incorporation and bylaws that will be in effect on the completion of this offering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1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permitting our board of directors to establish the number of directors and fill any vacancies and newly-created directorships;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 and only by the affirmative vote of the holders of at least a majority of the voting power of all then outstanding shares of our capital stock;</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requiring the approval of holders of two-thirds of our outstanding common stock to amend some provisions in our amended and restated certificate of incorporation and bylaws;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our board of directors could use to implement a stockholder rights plan;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prohibiting stockholders from calling special meetings of stockholders;</w:t>
      </w:r>
    </w:p>
    <w:p>
      <w:pPr>
        <w:spacing w:after="0" w:line="171"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has the effect of requiring all stockholder actions to be taken at a meeting of our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make, alter or repeal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4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restricting the forum for certain litigation involving us to Delaware or federal courts, as applicable; and</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upon by stockholders at annual stockholder meetings.</w:t>
      </w:r>
    </w:p>
    <w:p>
      <w:pPr>
        <w:spacing w:after="0" w:line="116"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Any provision of our amended and restated certificate of incorporation or bylaws that will be in effect on the completion of this offering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For information regarding these and other provisions, see section titled “Description of Capital Stock—Anti-Takeover Provisions.”</w:t>
      </w:r>
    </w:p>
    <w:p>
      <w:pPr>
        <w:spacing w:after="0" w:line="13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provisions of our amended and restated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will provide that, unless we consent in writing to the selection of an alternative forum, the sole and exclusive forum, to the fullest extent permitted by law, for (i) any derivative action or proceeding brought on our behalf, (ii) any action asserting a breach of a fiduciary duty owed by any director, officer or other employee to us or our stockholders, (iii) any action asserting a claim against us or any director, officer, or other employee arising pursuant to the Delaware General Corporation Law, (iv) any action to interpret, apply, enforce, or determine the validity of our second amended and restated certificate of incorporation or amended and restated bylaws, or (v)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w:t>
      </w:r>
    </w:p>
    <w:p>
      <w:pPr>
        <w:spacing w:after="0" w:line="12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 These provisions may also result in increased costs for investors seeking to bring a claim against us or any of our directors, officers or other employees.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effective internal control over financial reporting, which may result in material misstatements of our financial statements or cause us to fail to meet our periodic reporting obligations.</w:t>
      </w:r>
    </w:p>
    <w:p>
      <w:pPr>
        <w:spacing w:after="0" w:line="13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connection with the preparation of our consolidated financial statements, a material weakness in our internal control over financial reporting was identified as of December 31, 2020.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is the result of our failure to design and maintain effective controls over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technology, or IT, general controls for information systems that are relevant to the preparation of our financial statements. Specifically, we did not design and maintain:</w:t>
      </w:r>
    </w:p>
    <w:p>
      <w:pPr>
        <w:spacing w:after="0" w:line="116" w:lineRule="exact"/>
        <w:rPr>
          <w:sz w:val="20"/>
          <w:szCs w:val="20"/>
          <w:color w:val="auto"/>
        </w:rPr>
      </w:pPr>
    </w:p>
    <w:p>
      <w:pPr>
        <w:ind w:left="660" w:right="3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program change management controls to ensure that information technology program and data changes affecting financial IT applications and underlying accounting records are identified, tested, authorized and implemented appropriately, and</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user access controls to ensure appropriate segregation of duties and that adequately restrict user and privileged access to financial applications, programs and data to appropriate Company personnel.</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These IT general control deficiencies did not result in a material misstatement to the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our management determined these deficiencies in the aggregate constitute a material weakness.</w:t>
      </w:r>
    </w:p>
    <w:p>
      <w:pPr>
        <w:spacing w:after="0" w:line="138"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are in the process of designing and implementing measures to remediate the material weakness in our internal control over financial reporting, which includes designing and implementing controls over the review and update of user access rights and privileges, including segregation of duties, and controls over program changes to our information systems that contain data used for financial reporting. While we are designing and implementing measures to remediate the material weakness, we cannot predict the success of such measures or the outcome of our assessment of these measures at this time. We can give no assurance that these measures will remediate the material weakness in our internal control over financial reporting or that additional material weaknesses in our internal control over financial reporting will not be identified in the future. 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 Our failure to design and maintain effective internal control over financial reporting could result in errors in our financial statements that may lead to a restatement of our financial statements or cause us to fail to meet our reporting obligations.</w:t>
      </w:r>
    </w:p>
    <w:p>
      <w:pPr>
        <w:spacing w:after="0" w:line="13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a public company, our management will be required to report upon the effectiveness of our internal control over financial reporting beginning with the annual report for our fiscal year ending December 31, 2022. This assessment will need to include disclosure of any material weaknesses identified by our management in our internal control over financial reporting. When we lose our status as an “emerging growth company,” our independent registered public accounting firm will be required to audit the effectiveness of our internal control over financial reporting. Failure to comply with the Sarbanes-Oxley Act could potentially subject us to sanctions or investigations by the SEC or other regulatory authorities, which would require additional financial and management resources. Failure to remediate any material weakness in our internal control over financial reporting, or to design and maintain effective internal control over financial reporting, could also restrict our future access to the capital markets.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71"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collusion of two or more people or by an unauthorized override of the controls. Accordingly, because of the inherent limitations in our control system, misstatements due to error or fraud may occur and not be detected.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more litigation, and divert management’s attention.</w:t>
      </w:r>
    </w:p>
    <w:p>
      <w:pPr>
        <w:spacing w:after="0" w:line="18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public company, we will be subject to the reporting requirements of the Exchange Act, the Sarbanes-Oxley Act, the Dodd-Frank Wall Street Reform and Consumer Protection Act, or the Dodd-Frank Act, the listing requirements of The Nasdaq Stock Market,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spacing w:after="0" w:line="114"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2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this offering by our directors, officers or affiliates would reduce the available public float of our shares.</w:t>
      </w:r>
    </w:p>
    <w:p>
      <w:pPr>
        <w:spacing w:after="0" w:line="171"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If any of our directors, officers or affiliates purchase shares in this offering, such purchases would reduce the available public float of our common stock because such purchasers would be restricted from selling such shares during the 180-day period following this offering and thereafter would be subject to volume limitations pursuant to restrictions under applicable securities laws. As a result, any purchase of shares by our directors, officers or affiliates in this offering will reduce the liquidity of our common stock relative to what it would have been had these shares been purchased by investors that were not directors, officers or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From time-to-time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AquaBeam Robotic System, even if the regulatory or legal action is unfounded or not material to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Our customers and distributors may respond to such economic pressures by reducing or deferring their capital spending or reducing staff. Furthermore, unfavorable changes in foreign exchange rates versus the U.S. dollar could increase our product and labor costs, thus reducing our gross profit.</w:t>
      </w:r>
    </w:p>
    <w:p>
      <w:pPr>
        <w:spacing w:after="0" w:line="10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3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2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growth companies could make our common stock less attractive to investors.</w:t>
      </w:r>
    </w:p>
    <w:p>
      <w:pPr>
        <w:spacing w:after="0" w:line="13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30" w:lineRule="exact"/>
        <w:rPr>
          <w:sz w:val="20"/>
          <w:szCs w:val="20"/>
          <w:color w:val="auto"/>
        </w:rPr>
      </w:pPr>
    </w:p>
    <w:p>
      <w:pPr>
        <w:ind w:left="660" w:right="10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4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completion of our initial public offering. Our status as an emerging growth company will end as soon as any of the following takes place:</w:t>
      </w:r>
    </w:p>
    <w:p>
      <w:pPr>
        <w:spacing w:after="0" w:line="116"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we qualify as a “large accelerated filer;”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our initial public offering.</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3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avail ourselves of this exemption and, therefore, for new or revised accounting standards applicable to public companies, we will be subject to an extended transition period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10" w:lineRule="exact"/>
        <w:rPr>
          <w:sz w:val="20"/>
          <w:szCs w:val="20"/>
          <w:color w:val="auto"/>
        </w:rPr>
      </w:pPr>
    </w:p>
    <w:p>
      <w:pPr>
        <w:jc w:val="both"/>
        <w:ind w:right="200" w:firstLine="324"/>
        <w:spacing w:after="0" w:line="257"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 regarding executive compensation in this prospectus and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320" w:top="1440" w:right="379" w:bottom="1440" w:gutter="0" w:footer="0" w:header="0"/>
        </w:sectPr>
      </w:pPr>
    </w:p>
    <w:bookmarkStart w:id="78" w:name="page79"/>
    <w:bookmarkEnd w:id="78"/>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This prospectus contains forward-looking statements.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 Forward-looking statements include those we make regarding the following matters:</w:t>
      </w:r>
    </w:p>
    <w:p>
      <w:pPr>
        <w:spacing w:after="0" w:line="13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estimates of our total addressable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business model and strategic plans for our products, technologies and business, including our implementation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hire and retain our senior management and other highly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future impact of the COVID-19 pandemic and the end of the COVID-19 pandemic on our business and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commercial success and market acceptance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for our products and manage our inventory;</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commercialize or obtain regulatory approvals for our AquaBeam Robotic System, or the effect of delays in commercializing or obtaining regulatory approvals;</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the healthcare industry generally, including healthcare reform measures in the United States and international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anticipate and effectively respond to disruptions or inefficiencies in our distribution network;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intellectual property and avoid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 and our existing cash and cash equivalents;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estimates of our need for additional financing and our ability to obtain additional financing in the future;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the sections of this prospectus titled “Prospectus Summary,” “Risk Factors,” “Management’s Discussion and Analysis of Financial Condition and Results of Operations” and “Business,” may cause our actual results, performance or achievements to differ materially from any future results, performance or achievements expressed or implied by these forward-looking statements. Furthermore, the potential impact of the COVID-19 pandemic on our business operations and financial results and on the world economy as a whole may heighten the risks and uncertainties that affect our forward-looking statements described above. Given these risks and uncertainties, you are cautioned not to place undue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320" w:top="1440" w:right="379" w:bottom="1440" w:gutter="0" w:footer="0" w:header="0"/>
        </w:sectPr>
      </w:pPr>
    </w:p>
    <w:bookmarkStart w:id="79" w:name="page80"/>
    <w:bookmarkEnd w:id="79"/>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reliance on such forward-looking statements. The forward-looking statements included elsewhere in this prospectus are not guarantees of future performance and our actual results of operations, financial condition and liquidity, and the development of the industry in which we operate, may differ materially from the forward-looking statements included elsewhere in this prospectus. In addition, even if our results of operations, financial condition and liquidity, and events in the industry in which we operate, are consistent with the forward-looking statements included elsewhere in this prospectus, they may not be predictive of results or developments in future periods.</w:t>
      </w:r>
    </w:p>
    <w:p>
      <w:pPr>
        <w:spacing w:after="0" w:line="13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Any forward-looking statement that we make in this prospectus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320" w:top="1440" w:right="419" w:bottom="1440" w:gutter="0" w:footer="0" w:header="0"/>
        </w:sectPr>
      </w:pPr>
    </w:p>
    <w:bookmarkStart w:id="80" w:name="page81"/>
    <w:bookmarkEnd w:id="80"/>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estimate that the net proceeds to us from the sale of shares of our common stock in this offering will be approximately $113.6 million, or approximately $131.3 million if the underwriters exercise their option to purchase additional shares in full, based upon an assumed initial public offering price of $23.00 per share, which is the midpoint of the estimated price range set forth on the cover page of this prospectus, and after deducting the estimated underwriting discounts and commissions and estimated offering expenses payable by us.</w:t>
      </w:r>
    </w:p>
    <w:p>
      <w:pPr>
        <w:spacing w:after="0" w:line="11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Each $1.00 increase or decrease in the assumed initial public offering price of $23.00 per share, the midpoint of the estimated price range set forth on the cover page of this prospectus, would increase or decrease, as applicable, the net proceeds to us from this offering by approximately $5.1 million, assuming the number of shares offered by us, as set forth on the cover page of this prospectus, remains the same, and after deducting underwriting discounts and estimated offering expenses payable by us. Similarly, each increase or decrease of 1.0 million shares in the number of shares sold in this offering by us, as set forth on the cover page of this prospectus, would increase or decrease, as applicable, the net proceeds to us from this offering by approximately $21.4 million, assuming an initial public offering price of $23.00 per share remains the same, and after deducting underwriting discounts and estimated offering expenses payable by us. The information discussed above is illustrative only and will adjust based on the actual initial public offering price and other terms of this offering determined at pricing.</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shares of our common stock, to facilitate our future access to the public equity markets and to increase awareness of our company among potential customers. We currently intend to use the net proceeds from this offering, together with our existing cash and cash equivalents, as follows:</w:t>
      </w:r>
    </w:p>
    <w:p>
      <w:pPr>
        <w:spacing w:after="0" w:line="13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$45.0 million to hire additional sales and marketing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$25.0 million to fund product development and research and development activities;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171"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We may also use a portion of the net proceeds from this offering to acquire, in-license or invest in products, technologies or businesses that are complementary to our business. However, we currently have no agreements or commitments to complete any such transaction.</w:t>
      </w:r>
    </w:p>
    <w:p>
      <w:pPr>
        <w:spacing w:after="0" w:line="9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Based on our operating plan, we currently believe that our existing cash and cash equivalents, anticipated revenue and available debt financing arrangements, together with the net proceeds from this offering, will be sufficient to meet our capital requirements and fund our operations through at least the next 12 months from the date of this prospectus.</w:t>
      </w:r>
    </w:p>
    <w:p>
      <w:pPr>
        <w:spacing w:after="0" w:line="13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management will have broad discretion over the use of the net proceeds from this offering. The expected use of net proceeds from this offering represents our intentions based upon our present plans and business conditions, which could change in the future as or plans and business conditions evolve. We may find it necessary or advisable to use the net proceeds for other purposes, and we will have broad discretion in the application of the net proceeds.</w:t>
      </w:r>
    </w:p>
    <w:p>
      <w:pPr>
        <w:spacing w:after="0" w:line="13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Pending the uses described above, we plan to invest the net proceeds from this offering in short-and intermediate-term, interest-bearing obligations, investment-grade instruments or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320" w:top="1440" w:right="379" w:bottom="1440" w:gutter="0" w:footer="0" w:header="0"/>
        </w:sectPr>
      </w:pPr>
    </w:p>
    <w:bookmarkStart w:id="81" w:name="page82"/>
    <w:bookmarkEnd w:id="81"/>
    <w:p>
      <w:pPr>
        <w:spacing w:after="0" w:line="14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2021:</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71" w:lineRule="exact"/>
        <w:rPr>
          <w:rFonts w:ascii="Arial" w:cs="Arial" w:eastAsia="Arial" w:hAnsi="Arial"/>
          <w:sz w:val="18"/>
          <w:szCs w:val="18"/>
          <w:color w:val="auto"/>
        </w:rPr>
      </w:pPr>
    </w:p>
    <w:p>
      <w:pPr>
        <w:ind w:left="660" w:right="220" w:hanging="328"/>
        <w:spacing w:after="0" w:line="273" w:lineRule="auto"/>
        <w:tabs>
          <w:tab w:leader="none" w:pos="6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a pro forma basis to give effect to (i) the automatic conversion of 29,849,810 shares of our redeemable convertible preferred stock into an equivalent number of shares of common stock immediately prior to the closing of this offering, (ii) the exercise of 71,705 warrants for shares of redeemable convertible preferred stock, at a cash exercise price of $13.73 per share, and subsequent conversion into an equivalent number of shares of common stock, and the resultant reclassification of our redeemable convertible preferred stock warrant liability to additional paid-in capital, a component of stockholders’ (deficit) equity, all of which will occur immediately prior to the completion of this offering and (iii) the filing of our amended and restated certificate of incorporation in connection with the closing of this offering; and</w:t>
      </w:r>
    </w:p>
    <w:p>
      <w:pPr>
        <w:spacing w:after="0" w:line="123" w:lineRule="exact"/>
        <w:rPr>
          <w:rFonts w:ascii="Arial" w:cs="Arial" w:eastAsia="Arial" w:hAnsi="Arial"/>
          <w:sz w:val="17"/>
          <w:szCs w:val="17"/>
          <w:color w:val="auto"/>
        </w:rPr>
      </w:pPr>
    </w:p>
    <w:p>
      <w:pPr>
        <w:ind w:left="660" w:right="240" w:hanging="328"/>
        <w:spacing w:after="0" w:line="301"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a pro forma as adjusted basis, to give effect to the pro forma adjustments described above as well as the sale and issuance by us of 5,500,000 shares of our common stock in this offering at the initial public offering price of $23.00 per share, the midpoint of the estimated price range set forth on the cover page of this prospectus, and after deducting the estimated underwriting discounts and commissions and estimated offering expenses payable by us, net of amounts recorded in accrued expenses and other current liabilities and other assets at June 30, 2021.</w:t>
      </w:r>
    </w:p>
    <w:p>
      <w:pPr>
        <w:spacing w:after="0" w:line="10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information below is illustrative only and our capitalization following the closing of this offering will be adjusted based on the actual initial public offering price and other terms of this offering determined at the pricing of this offering. You should read this information in conjunction with the sections titled “Use of Proceeds,” “Prospectus Summary─Summary Consolidated Financial Data” and “Management’s Discussion and Analysis of Financial Condition and Results of Operations” and our financial statements and related notes included elsewhere in this prospectus.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June 30, 2021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1"/>
                <w:szCs w:val="11"/>
                <w:color w:val="auto"/>
              </w:rPr>
            </w:pPr>
          </w:p>
        </w:tc>
        <w:tc>
          <w:tcPr>
            <w:tcW w:w="1340" w:type="dxa"/>
            <w:vAlign w:val="bottom"/>
          </w:tcPr>
          <w:p>
            <w:pPr>
              <w:jc w:val="right"/>
              <w:ind w:right="253"/>
              <w:spacing w:after="0" w:line="135"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53"/>
              <w:spacing w:after="0" w:line="189"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1"/>
        </w:trPr>
        <w:tc>
          <w:tcPr>
            <w:tcW w:w="6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40" w:type="dxa"/>
            <w:vAlign w:val="bottom"/>
            <w:gridSpan w:val="7"/>
          </w:tcPr>
          <w:p>
            <w:pPr>
              <w:jc w:val="center"/>
              <w:ind w:right="253"/>
              <w:spacing w:after="0"/>
              <w:rPr>
                <w:sz w:val="20"/>
                <w:szCs w:val="20"/>
                <w:color w:val="auto"/>
              </w:rPr>
            </w:pPr>
            <w:r>
              <w:rPr>
                <w:rFonts w:ascii="Arial" w:cs="Arial" w:eastAsia="Arial" w:hAnsi="Arial"/>
                <w:sz w:val="14"/>
                <w:szCs w:val="14"/>
                <w:b w:val="1"/>
                <w:bCs w:val="1"/>
                <w:color w:val="auto"/>
                <w:w w:val="91"/>
              </w:rPr>
              <w:t>(dollars in thousands, except per share data)</w:t>
            </w: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273,900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Borders>
              <w:top w:val="single" w:sz="8" w:color="CCEEFF"/>
              <w:bottom w:val="single" w:sz="8" w:color="CCEEFF"/>
            </w:tcBorders>
            <w:vMerge w:val="continue"/>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Redeemable convertible preferred stock, $0.00001 par value; 31,431,541 shares</w:t>
            </w: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authorized, 29,849,810 shares issued and outstanding, actual; no shares authorized,</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328,564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or outstanding, pro forma and pro forma as adjusted</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Stockholders’ (deficit) equity:</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 stock, $0.00001 par value per share; no shares authorized, issued or</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outstanding, actual; 10,000,000 shares authorized, no shares issued or outstanding,</w:t>
            </w:r>
          </w:p>
        </w:tc>
        <w:tc>
          <w:tcPr>
            <w:tcW w:w="3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and pro forma as adjusted</w:t>
            </w:r>
          </w:p>
        </w:tc>
        <w:tc>
          <w:tcPr>
            <w:tcW w:w="3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89"/>
              </w:rPr>
              <w:t>Common stock; $0.00001 par value per share; 47,240,000 shares authorized, 5,792,022</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180"/>
              <w:spacing w:after="0" w:line="176" w:lineRule="exact"/>
              <w:rPr>
                <w:sz w:val="20"/>
                <w:szCs w:val="20"/>
                <w:color w:val="auto"/>
              </w:rPr>
            </w:pPr>
            <w:r>
              <w:rPr>
                <w:rFonts w:ascii="Arial" w:cs="Arial" w:eastAsia="Arial" w:hAnsi="Arial"/>
                <w:sz w:val="18"/>
                <w:szCs w:val="18"/>
                <w:color w:val="auto"/>
                <w:w w:val="94"/>
              </w:rPr>
              <w:t>shares issued and outstanding, actual; 47,240,000 shares authorized, 35,713,537</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180"/>
              <w:spacing w:after="0" w:line="176" w:lineRule="exact"/>
              <w:rPr>
                <w:sz w:val="20"/>
                <w:szCs w:val="20"/>
                <w:color w:val="auto"/>
              </w:rPr>
            </w:pPr>
            <w:r>
              <w:rPr>
                <w:rFonts w:ascii="Arial" w:cs="Arial" w:eastAsia="Arial" w:hAnsi="Arial"/>
                <w:sz w:val="18"/>
                <w:szCs w:val="18"/>
                <w:color w:val="auto"/>
                <w:w w:val="89"/>
              </w:rPr>
              <w:t>shares issued and outstanding, pro forma, 300,000,000 shares authorized, 41,213,537</w:t>
            </w:r>
          </w:p>
        </w:tc>
        <w:tc>
          <w:tcPr>
            <w:tcW w:w="3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Arial" w:cs="Arial" w:eastAsia="Arial" w:hAnsi="Arial"/>
                <w:sz w:val="18"/>
                <w:szCs w:val="18"/>
                <w:color w:val="auto"/>
              </w:rPr>
              <w:t>shares issued and outstanding, pro forma as adjusted</w:t>
            </w:r>
          </w:p>
        </w:tc>
        <w:tc>
          <w:tcPr>
            <w:tcW w:w="3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466,126</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(229,070)</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(deficit) equity</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237,017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237,017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64" w:lineRule="auto"/>
        <w:tabs>
          <w:tab w:leader="none" w:pos="332" w:val="left"/>
        </w:tabs>
        <w:numPr>
          <w:ilvl w:val="0"/>
          <w:numId w:val="56"/>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$23.00 per share, which is the midpoint of the estimated price range set forth on the cover page of this prospectus, would increase or decrease, as applicable, the pro forma as adjusted amount of each of our cash and cash equivalents, additional paid-in capital and total stockholders’ equity by approximately $5.1 million, assuming that the number of shares offered by us, as set forth on the cover page of this prospectus, remains the same and after deducting the estimated underwriting discounts and commissions and estimated offering expenses payable by us. Similarly, each increase or decrease of 1.0 million shares in the number of shares offered by us at the assumed initial public offering price would increase or decrease, as applicable, each of our cash and cash equivalents, additional paid-in capital and total stockholders’ equity by approximately $21.4 million, assuming the shares of our common stock offered by this prospectus are sold at the assumed initial public offering price of $23.00 per share and after deducting the estimated underwriting discounts and commissions and estimated offering expenses payable by us. The pro forma as adjusted information discussed above is illustrative only and will be adjusted based on the actual initial public offering price, the number of shares we sell and other terms of this offering that will be determined at pricing.</w:t>
      </w:r>
    </w:p>
    <w:p>
      <w:pPr>
        <w:spacing w:after="0" w:line="135" w:lineRule="exact"/>
        <w:rPr>
          <w:sz w:val="20"/>
          <w:szCs w:val="20"/>
          <w:color w:val="auto"/>
        </w:rPr>
      </w:pPr>
    </w:p>
    <w:p>
      <w:pPr>
        <w:ind w:right="1160" w:firstLine="324"/>
        <w:spacing w:after="0" w:line="277"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 the 35,713,537 shares of our common stock outstanding as of June 30, 2021, and excludes:</w:t>
      </w:r>
    </w:p>
    <w:p>
      <w:pPr>
        <w:spacing w:after="0" w:line="116" w:lineRule="exact"/>
        <w:rPr>
          <w:sz w:val="20"/>
          <w:szCs w:val="20"/>
          <w:color w:val="auto"/>
        </w:rPr>
      </w:pPr>
    </w:p>
    <w:p>
      <w:pPr>
        <w:ind w:left="660" w:right="28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6,621,256 shares of our common stock issuable upon the exercise of options outstanding as of June 30, 2021, with a weighted-average exercise price of $4.66 per share;</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195,782 shares of our common stock issuable upon the exercise of options granted after June 30, 2021, with a weighted-average exercise price of $8.71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1,145,325 shares of our common stock that remain available for issuance under our 2008 Plan as of June 30, 2021;</w:t>
      </w:r>
    </w:p>
    <w:p>
      <w:pPr>
        <w:spacing w:after="0" w:line="171"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3,303,910 shares of our common stock reserved for future issuance under our 2021 Plan, which will become effective in connection with this offering (and which excludes any potential annual evergreen increases pursuant to the terms of the 2021 Plan); and</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412,988 shares of our common stock reserved for future issuance under our ESPP, which will become effective in connection with this offering (and which excludes any potential annual evergreen increases pursuant to the terms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loan and security agreement with Oxford Finance LLC. Our ability to pay cash dividends on our capital stock in the future may also be limited by the terms of any preferred securities we may issue or agreements governing any additional indebtedness we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320" w:top="1440" w:right="399" w:bottom="1440" w:gutter="0" w:footer="0" w:header="0"/>
        </w:sectPr>
      </w:pPr>
    </w:p>
    <w:bookmarkStart w:id="84" w:name="page85"/>
    <w:bookmarkEnd w:id="8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If you invest in our common stock in this offering, your interest will be diluted to the extent of the difference between the amount per share paid by purchasers of shares of our common stock in this initial public offering and the as adjusted net tangible book value per share of our common stock immediately after this offering.</w:t>
      </w:r>
    </w:p>
    <w:p>
      <w:pPr>
        <w:spacing w:after="0" w:line="130"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As of June 30, 2021, our historical net tangible book value (deficit) was $(209.1) million, or $(36.10) per share of common stock. Our historical net tangible book value (deficit) represents our total tangible assets less total liabilities and our redeemable convertible preferred stock, which is not included within stockholders’ equity.</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June 30, 2021, our pro forma net tangible book value was $120.6 million, or $3.38 per share. As adjusted net tangible book value per share represents the amount of our total tangible assets reduced by the amount of our total liabilities and divided by the total number of shares of our common stock outstanding as of June 30, 2021 after giving effect to (i) the automatic conversion of 29,849,810 shares of our redeemable convertible preferred stock into an equivalent number of shares of common stock immediately prior to the closing of this offering, (ii) the assumed exercise of 71,705 warrants for shares of redeemable convertible preferred stock at a cash exercise price of $13.73 per share, and subsequent conversion into an equivalent number of shares of common stock and (iii) the filing of our amended and restated certificate of incorporation in connection with the closing of this offering. Pro forma net tangible book value per share represents our pro forma net tangible book value divided by the number of shares of our common stock outstanding as of June 30, 2021, after giving effect to the pro forma adjustments described above.</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After giving further effect to our sale of 5,500,000 shares of our common stock in this offering at an assumed initial public offering price of $23.00 per share, the midpoint of the price range set forth on the cover page of this prospectus, after deducting the estimated underwriting discounts and commissions and estimated offering expenses payable by us, our pro forma as adjusted net tangible book value as of June 30, 2021 would have been approximately $235.1 million, or $5.71 per share. This represents an immediate increase in pro forma net tangible book value of $2.33 per share to our existing stockholders and an immediate dilution in pro forma net tangible book value of approximately $17.29 per share to new investors purchasing shares of our common stock in this offering.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9"/>
        </w:trPr>
        <w:tc>
          <w:tcPr>
            <w:tcW w:w="8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 of common stock</w:t>
            </w:r>
          </w:p>
        </w:tc>
        <w:tc>
          <w:tcPr>
            <w:tcW w:w="56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Historical net tangible book value (deficit) per share as of June 30, 2021</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the pro forma effects described above</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Pro forma net tangible book value (deficit) per share as of June 30, 2021</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Increase in book value per share attributable to new investors purchasing common stock in this offering</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5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in this offering</w:t>
            </w:r>
          </w:p>
        </w:tc>
        <w:tc>
          <w:tcPr>
            <w:tcW w:w="56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Each $1.00 increase or decrease in the assumed initial offering price of $23.00 per share, the midpoint of the estimated price range set forth on the cover page of this prospectus, would increase or decrease, as applicable, our pro forma as adjusted net tangible book value by $5.1 million, or $0.12 per share, and the dilution per share of common stock to new investors in this offering by $0.88 per share, assuming the number of shares offered by us, as set forth on the cover page of this prospectus, remains the same, and after deducting the estimated underwriting discounts and commissions and estimated offering expenses payable by us. Similarly, each increase of 1.0 million shares in the number of shares of common stock offered by us, as set forth on the cover page of this prospectus, would increase our pro forma as adjusted net tangible book value per share by $0.37 and decrease the dilution per share to new investors by $0.37, assuming no change in the assumed initial public offering price and after deducting the estimated underwriting discounts and commissions and estimated offering expenses payable by us. Each decrease of 1.0 million shares in the number of shares of common stock offered by us, as set forth on the cover page of this prospectus, would decrease our pro forma as adjusted net tangible book value per share by $0.39 and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dilution per share to new investors by $0.39, assuming no change in the assumed initial public offering price and after deducting the estimated underwriting discounts and commissions and estimated offering expenses payable by us.</w:t>
      </w:r>
    </w:p>
    <w:p>
      <w:pPr>
        <w:spacing w:after="0" w:line="11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The following table summarizes, on an as adjusted basis as of June 30, 2021, after giving effect to the pro forma as adjusted adjustments described above, the difference among existing stockholders and new investors purchasing shares of our common stock in this offering with respect to the number of shares purchased from us, the total consideration paid to us and the average price per share paid by our existing stockholders or to be paid by investors purchasing shares in this offering at the initial public offering price of $23.00 per share, which is the midpoint of the estimated price range set forth on the cover page of this prospectus, before deducting the estimated underwriting discounts and commissions and estimated offering expenses payable by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Weighted-Average Price</w:t>
            </w:r>
          </w:p>
        </w:tc>
      </w:tr>
      <w:tr>
        <w:trPr>
          <w:trHeight w:val="201"/>
        </w:trPr>
        <w:tc>
          <w:tcPr>
            <w:tcW w:w="3420" w:type="dxa"/>
            <w:vAlign w:val="bottom"/>
          </w:tcPr>
          <w:p>
            <w:pPr>
              <w:spacing w:after="0"/>
              <w:rPr>
                <w:sz w:val="17"/>
                <w:szCs w:val="17"/>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Number</w:t>
            </w: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760" w:type="dxa"/>
            <w:vAlign w:val="bottom"/>
            <w:gridSpan w:val="2"/>
          </w:tcPr>
          <w:p>
            <w:pPr>
              <w:ind w:left="600"/>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7"/>
                <w:szCs w:val="17"/>
                <w:color w:val="auto"/>
              </w:rPr>
            </w:pPr>
          </w:p>
        </w:tc>
        <w:tc>
          <w:tcPr>
            <w:tcW w:w="1240" w:type="dxa"/>
            <w:vAlign w:val="bottom"/>
          </w:tcPr>
          <w:p>
            <w:pPr>
              <w:jc w:val="right"/>
              <w:ind w:right="376"/>
              <w:spacing w:after="0"/>
              <w:rPr>
                <w:sz w:val="20"/>
                <w:szCs w:val="20"/>
                <w:color w:val="auto"/>
              </w:rPr>
            </w:pPr>
            <w:r>
              <w:rPr>
                <w:rFonts w:ascii="Arial" w:cs="Arial" w:eastAsia="Arial" w:hAnsi="Arial"/>
                <w:sz w:val="14"/>
                <w:szCs w:val="14"/>
                <w:b w:val="1"/>
                <w:bCs w:val="1"/>
                <w:color w:val="auto"/>
              </w:rPr>
              <w:t>Per Share</w:t>
            </w:r>
          </w:p>
        </w:tc>
      </w:tr>
      <w:tr>
        <w:trPr>
          <w:trHeight w:val="224"/>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35,713,537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86.7 %</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345,884,000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13.3 %</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126,500,000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41,213,537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472,384,000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Each $1.00 increase or decrease in the assumed initial public offering price of $23.00 per share, the midpoint of the estimated price range set forth on the cover page of this prospectus, would increase or decrease, as applicable, total consideration paid by new investors by $5.5 million and total consideration paid by all stockholders by $5.5 million, assuming the number of shares offered by us, as set forth on the cover page of this prospectus, remains the same, and after deducting the estimated underwriting discounts and commissions and estimated offering expenses payable by us. Similarly, each increase or decrease of 1.0 million shares in the number of shares offered by us, as set forth on the cover page of this prospectus, would increase or decrease, as applicable, total consideration paid by new investors by $23.0 million and total consideration paid by all stockholders by $23.0 million, assuming the assumed initial public offering price of $23.00 per share remains the same, and after deducting the estimated underwriting discounts and commissions and estimated offering expenses payable by us.</w:t>
      </w:r>
    </w:p>
    <w:p>
      <w:pPr>
        <w:spacing w:after="0" w:line="124"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table above assumes the underwriters do not exercise their option to purchase additional shares in this offering. If the underwriters fully exercise their option to purchase 825,000 additional shares of our common stock in this offering, the pro forma as adjusted net tangible book value per share would be $6.00 per share and the dilution to new investors in this offering would be $17.00 per share. If the underwriters fully exercise their option, the number of shares held by new investors will increase to 6,325,000 shares of our common stock, or approximately 15.3% of the total number of shares of our common stock outstanding after this offering.</w:t>
      </w:r>
    </w:p>
    <w:p>
      <w:pPr>
        <w:spacing w:after="0" w:line="13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foregoing tables and calculations (other than historical net tangible book value calculations) are based on the 35,713,537 shares of our common stock outstanding as of June 30, 2021, and excludes:</w:t>
      </w:r>
    </w:p>
    <w:p>
      <w:pPr>
        <w:spacing w:after="0" w:line="116" w:lineRule="exact"/>
        <w:rPr>
          <w:sz w:val="20"/>
          <w:szCs w:val="20"/>
          <w:color w:val="auto"/>
        </w:rPr>
      </w:pPr>
    </w:p>
    <w:p>
      <w:pPr>
        <w:ind w:left="660" w:right="28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6,621,256 shares of our common stock issuable upon the exercise of options outstanding as of June 30, 2021, with a weighted-average exercise price of $4.66 per share;</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195,782 shares of our common stock issuable upon the exercise of options granted after June 30, 2021, with a weighted-average exercise price of $8.71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1,145,325 shares of our common stock that remain available for issuance under our 2008 Plan as of June 30, 2021;</w:t>
      </w:r>
    </w:p>
    <w:p>
      <w:pPr>
        <w:spacing w:after="0" w:line="171"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3,303,910 shares of our common stock reserved for future issuance under our 2021 Plan, which will become effective in connection with this offering (and which excludes any potential annual evergreen increases pursuant to the terms of the 2021 Plan); and</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412,988 shares of our common stock reserved for future issuance under our ESPP, which will become effective in connection with this offering (and which excludes any potential annual evergreen increases pursuant to the terms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the extent any options or similar rights are granted and exercised in the future, there may be additional economic dilution to new investors.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1440" w:right="439" w:bottom="1440" w:gutter="0" w:footer="0" w:header="0"/>
        </w:sectPr>
      </w:pPr>
    </w:p>
    <w:bookmarkStart w:id="87" w:name="page88"/>
    <w:bookmarkEnd w:id="87"/>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together with the section titled “Prospectus Summary─Summary Consolidated Financial Data,” and our consolidated financial statements and related notes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the section titled “Risk Factors” and elsewhere in this prospectus. Please also see the section titled “Special Note Regarding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are a commercial-stage surgical robotics company focused on advancing patient care by developing transformative solutions in urology. We develop, manufacture and sell the AquaBeam Robotic System, an advanced, image-guided, surgical robotic system for use in minimally invasive urologic surgery, with an initial focus on treating benign prostatic hyperplasia, or BPH. BPH is the most common prostate disease and impacts approximately 40 million men in the United States. The AquaBeam Robotic System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AquaBeam Robotic System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LUTS due to BPH that are independent of prostate size and shape or surgeon experience. We have developed a significant and growing body of clinical evidence, which includes nine clinical studies and over 100 peer-reviewed publications, supporting the benefits and clinical advantages of Aquablation therapy. As of June 30, 2021, we had an installed base of 124 AquaBeam Robotic Systems globally and 73 in the United States, and Aquablation therapy has been utilized in the treatment of more than 5,500 patients whose prostates have ranged in size from less than 30 ml to over 300 ml.</w:t>
      </w:r>
    </w:p>
    <w:p>
      <w:pPr>
        <w:spacing w:after="0" w:line="11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U.S. pivotal trial, the WATER study, is the only FDA pivotal study randomized against transurethral resection of prostate, or TURP, which is the historical standard of care for the surgical treatment of BPH.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w:t>
      </w:r>
    </w:p>
    <w:p>
      <w:pPr>
        <w:spacing w:after="0" w:line="14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United States, we sell our products to hospitals. We are initially targeting 860 high-volume hospitals that perform, on average, more than 200 resective procedures annually and account for approximately 70% of all hospital-based resective procedures. Over time, we will gradually expand our focus to also include mid- and low-volume hospitals. These customers in turn bill various third-party payors, such as commercial payors and government agencies, for treatment payment of each patient. Effective in 2021, all local Medicare Administrative Contractors, or MACs, which represent 100% of eligible Medicare patients, issued final positive local coverage determinations to provide Medicare beneficiaries with access to Aquablation therapy in all 50 states. We also have favorable coverage decisions from several large commercial payors, including Anthem, BlueCross – Massachusetts, Emblem Health, Health Care Service Corp, and Humana. We plan to leverage these recent successes in our active discussions with all commercial payors to establish additional positive national and regional coverage policies. Outside of the United States, we have ongoing efforts in key markets to expand established coverage and improve payment which we believe will expand patient access to Aquablation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primarily sell our products through our direct sales organization in the United States. As of June 30, 2021, we employed a Vice President of U.S. sales, a sales director and 24 sales professionals, including four sales managers, 10 robotic sales representatives, and 10 Aquablation sales representatives who focus on driving utilization. Our sales personnel are supported by a team of three reimbursement specialists. We also employ ten clinical specialists and professional education employees, who are responsible for training and supporting surgeons, and two field service employees, who support our customers. We intend to expand the size of our direct sales organization in the United States to support our efforts for adoption and utilization of Aquablation therapy. Outside the United States, our commercialization strategy is focused on large addressable markets through a broad range of market development activities, including increasing awareness, obtaining regulatory approvals and establishing reimbursement. We sell our products using both our direct sales organization and, in certain regions, our network of distribution partners. In EMEA, our direct sales organization is currently primarily focused on Germany, France, the United Kingdom, Switzerland and Austria. In other countries, such as Italy and Spain, we engage distribution partners to assist us with market development and sales activities. As of June 30, 2021, we employed nine personnel members to support sales and marketing activities in EMEA. We will opportunistically choose distribution partners with clinical and marketing expertise to enter new markets. In the Asia-Pacific region, we are focused on obtaining local regulatory clearances with the assistance of our distribution partners in this region. We have regulatory approval in Hong Kong, where we are engaged with a distribution partner for market development activities.</w:t>
      </w:r>
    </w:p>
    <w:p>
      <w:pPr>
        <w:spacing w:after="0" w:line="12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manufacture the AquaBeam Robotic System, the handpiece, integrated scope and other accessories at our facility in Redwood City, California. This includes supporting the supply chain distribution and logistics of the various components. Components, sub-assemblies and services required to manufacture our products are purchased from numerous global suppliers. Each AquaBeam Robotic System is shipped to our customers with a third-party manufactured ultrasound system and probe. We utilize a well-known third-party logistics provider located in the United States and the Netherlands to ship our products to our customers globally.</w:t>
      </w:r>
    </w:p>
    <w:p>
      <w:pPr>
        <w:spacing w:after="0" w:line="134" w:lineRule="exact"/>
        <w:rPr>
          <w:sz w:val="20"/>
          <w:szCs w:val="20"/>
          <w:color w:val="auto"/>
        </w:rPr>
      </w:pPr>
    </w:p>
    <w:p>
      <w:pPr>
        <w:ind w:right="340" w:firstLine="324"/>
        <w:spacing w:after="0" w:line="291" w:lineRule="auto"/>
        <w:rPr>
          <w:sz w:val="20"/>
          <w:szCs w:val="20"/>
          <w:color w:val="auto"/>
        </w:rPr>
      </w:pPr>
      <w:r>
        <w:rPr>
          <w:rFonts w:ascii="Arial" w:cs="Arial" w:eastAsia="Arial" w:hAnsi="Arial"/>
          <w:sz w:val="16"/>
          <w:szCs w:val="16"/>
          <w:color w:val="auto"/>
        </w:rPr>
        <w:t>We generated revenue of $7.7 million and incurred a net loss of $53.0 million for the year ended December 31, 2020, compared to revenue of $6.2 million and a net loss of $42.0 million for the year ended December 31, 2019. We generated revenue of $15.7 million and incurred a net loss of</w:t>
      </w:r>
    </w:p>
    <w:p>
      <w:pPr>
        <w:ind w:right="220"/>
        <w:spacing w:after="0" w:line="290" w:lineRule="auto"/>
        <w:rPr>
          <w:sz w:val="20"/>
          <w:szCs w:val="20"/>
          <w:color w:val="auto"/>
        </w:rPr>
      </w:pPr>
      <w:r>
        <w:rPr>
          <w:rFonts w:ascii="Arial" w:cs="Arial" w:eastAsia="Arial" w:hAnsi="Arial"/>
          <w:sz w:val="17"/>
          <w:szCs w:val="17"/>
          <w:color w:val="auto"/>
        </w:rPr>
        <w:t>$27.4 million for the six months ended June 30, 2021, compared to revenue of $2.4 million and a net loss of $25.7 million for the six months ended June 30, 2020. As of June 30, 2021, we had cash and cash equivalents of $159.2 million and an accumulated deficit of $229.1 million.</w:t>
      </w:r>
    </w:p>
    <w:p>
      <w:pPr>
        <w:spacing w:after="0" w:line="10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primary sources of capital have been from private placements of redeemable convertible preferred securities and debt financing agreements. As of June 30, 2021, we have raised $337.1 million from private placements of redeemable convertible preferred securities from our investors, net of issuance costs. We expect our expenses will increase for the foreseeable future, in particular as we continue to make substantial investments in sales and marketing, operations and research and development. Moreover, we expect to incur additional expenses as a result of operating as a public company, including legal, accounting, insurance, compliance with the rules and regulations of the SEC and those of any stock exchange on which our securities are traded, investor relations, and other administrative and professional services expenses. Based on our operating plan, we currently believe that our existing cash and cash equivalents, anticipated revenue and available debt financing arrangements will be sufficient to meet our capital requirements and fund our operations through at least the next twelve months from the date of this prospectus. If these sources are insufficient to satisfy our liquidity requirements, we may seek to sell additional public or private equity or debt securities or obtain an additional credit facility. The sale of equity and convertible debt securities may result in dilution to our stockholders and, in the case of preferred equity securities or convertible debt, those securities could provide for rights, preferences or privileges senior to those of our common stock.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 If we are unable to obtain additional financing, we may be required to delay the development, commercialization and marketing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1440" w:right="359" w:bottom="1440" w:gutter="0" w:footer="0" w:header="0"/>
        </w:sectPr>
      </w:pPr>
    </w:p>
    <w:bookmarkStart w:id="89" w:name="page90"/>
    <w:bookmarkEnd w:id="8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Performance</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for the foreseeable future. While these factors may present significant opportunities for us, they also pose significant risks and challenges that we must address. See the section titled “Risk Factors” for more information. These factors include:</w:t>
      </w:r>
    </w:p>
    <w:p>
      <w:pPr>
        <w:spacing w:after="0" w:line="130" w:lineRule="exact"/>
        <w:rPr>
          <w:sz w:val="20"/>
          <w:szCs w:val="20"/>
          <w:color w:val="auto"/>
        </w:rPr>
      </w:pPr>
    </w:p>
    <w:p>
      <w:pPr>
        <w:ind w:left="660" w:right="100" w:hanging="328"/>
        <w:spacing w:after="0" w:line="291"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Grow our installed base of AquaBeam Robotic Systems: </w:t>
      </w:r>
      <w:r>
        <w:rPr>
          <w:rFonts w:ascii="Arial" w:cs="Arial" w:eastAsia="Arial" w:hAnsi="Arial"/>
          <w:sz w:val="16"/>
          <w:szCs w:val="16"/>
          <w:color w:val="auto"/>
        </w:rPr>
        <w:t>As of June 30, 2021, we had an installed base of 124 AquaBeam Robotic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globally and 73 in the United States. In the United States, we are initially focused on driving adoption of Aquablation therapy among urologists that perform hospital-based resective BPH surgery. We are initially targeting 860 high-volume hospitals that we estimate perform, on average, more than 200 resective procedures annually and account for approximately 70% of all hospital-based resective procedures. To penetrate these hospitals, we will continue to increase our direct team of capital sales representatives, who are focused on driving system placement within hospitals by engaging with key surgeons and decision makers to educate them about the compelling value proposition of Aquablation therapy. As we increase our installed base of AquaBeam Robotic systems our revenue will increase as a result of the system sale and resulting utilization.</w:t>
      </w:r>
    </w:p>
    <w:p>
      <w:pPr>
        <w:spacing w:after="0" w:line="112" w:lineRule="exact"/>
        <w:rPr>
          <w:rFonts w:ascii="Arial" w:cs="Arial" w:eastAsia="Arial" w:hAnsi="Arial"/>
          <w:sz w:val="16"/>
          <w:szCs w:val="16"/>
          <w:color w:val="auto"/>
        </w:rPr>
      </w:pPr>
    </w:p>
    <w:p>
      <w:pPr>
        <w:ind w:left="660" w:hanging="328"/>
        <w:spacing w:after="0" w:line="254"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Increase system utilization: </w:t>
      </w:r>
      <w:r>
        <w:rPr>
          <w:rFonts w:ascii="Arial" w:cs="Arial" w:eastAsia="Arial" w:hAnsi="Arial"/>
          <w:sz w:val="18"/>
          <w:szCs w:val="18"/>
          <w:color w:val="auto"/>
        </w:rPr>
        <w:t>Our revenue is significantly impacted by the utilization of our AquaBeam robotic system. As of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Aquablation therapy has been utilized in the treatment of more than 5,500 patients. Once we place a system within a hospital our 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will leverage their experiences to capture more surgical volumes and establish Aquablation therapy as the surgical standard of care.</w:t>
      </w:r>
    </w:p>
    <w:p>
      <w:pPr>
        <w:spacing w:after="0" w:line="13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and coverage decisions by third-party payors. </w:t>
      </w:r>
      <w:r>
        <w:rPr>
          <w:rFonts w:ascii="Arial" w:cs="Arial" w:eastAsia="Arial" w:hAnsi="Arial"/>
          <w:sz w:val="16"/>
          <w:szCs w:val="16"/>
          <w:color w:val="auto"/>
        </w:rPr>
        <w:t>Healthcare providers in the United States generally rely on third-party payors,</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federal Medicare, state Medicaid and private health insurance plans, to cover all or part of the cost of procedures using our AquaBeam Robotic System. The revenue we are able to generate from sales of our products depends in large part on the availability of sufficient reimbursement from such payors. Effective in 2021, all local MACs, representing 100% of eligible Medicare patients, issued final positive local coverage determinations to provide Medicare beneficiaries with access to Aquablation therapy in all 50 states. We believe that these favorable coverage decisions have been a catalyst for hospital adoption of our AquaBeam Robotic System. Our strong body of clinical evidence and support from key societies, supplemented by the momentum from Medicare coverage, have led to favorable coverage decisions from several large commercial payors, including Anthem, BlueCross – Massachusetts, Emblem Health, Health Care Service Corp and Humana. We plan to leverage these recent successes in our active discussions with commercial payors to establish additional positive national and regional coverage policies. We believe that additional commercial payor coverage will contribute to increasing utilization of our system over time. Outside of the United States, we have ongoing efforts in key markets to expand established coverage and further improve patient access to Aquablation therapy.</w:t>
      </w:r>
    </w:p>
    <w:p>
      <w:pPr>
        <w:spacing w:after="0" w:line="117" w:lineRule="exact"/>
        <w:rPr>
          <w:rFonts w:ascii="Arial" w:cs="Arial" w:eastAsia="Arial" w:hAnsi="Arial"/>
          <w:sz w:val="16"/>
          <w:szCs w:val="16"/>
          <w:color w:val="auto"/>
        </w:rPr>
      </w:pPr>
    </w:p>
    <w:p>
      <w:pPr>
        <w:ind w:left="660" w:hanging="328"/>
        <w:spacing w:after="0" w:line="25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results of our operations will depend, in part, on our ability to increase our gross margins by more effectively managing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 produce our AquaBeam Robotic System and single-use disposable handpieces, and to scale our manufacturing operations efficiently. We anticipate that as we expand our sales and marketing efforts and drive further sales growth, our purchasing costs on a per unit basis may decrease, and in turn improve our gross margin. As our commercial operations continue to grow, we expect to continue to realize operating leverage through increased scale efficiencies.</w:t>
      </w:r>
    </w:p>
    <w:p>
      <w:pPr>
        <w:spacing w:after="0" w:line="133"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Investment in research and development to drive continuous improvements and innovation. </w:t>
      </w:r>
      <w:r>
        <w:rPr>
          <w:rFonts w:ascii="Arial" w:cs="Arial" w:eastAsia="Arial" w:hAnsi="Arial"/>
          <w:sz w:val="18"/>
          <w:szCs w:val="18"/>
          <w:color w:val="auto"/>
        </w:rPr>
        <w:t>We are currently developing additional and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technologies to support and improve Aquablation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44"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machine-learning to enable computer-assisted anatomy recognition and improved treatment planning and personalization. Our future growth is dependent on these continuous improvements which require significant resources and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COVID-19 outbreak has negatively impacted and may continue to negatively impact our operations, revenue and overall financial condition. In response to the pandemic, numerous state and local jurisdictions imposed, and others in the future may impose, “shelter-in-place” orders, quarantines, executive orders, and similar government orders and restrictions for their residents to control the spread of COVID-19. Starting in mid-March 2020, the governor of California, where our headquarters are located, issued “shelter-in-place” or “stay at home” orders restricting non-essential activities, travel, and business operations, subject to certain exceptions for necessary activities. Such orders or restrictions have resulted in our headquarters closing, slowdowns and delays, travel restrictions, and cancellation of training and other events, among other effects, thereby negatively impacting our operations. Additionally, in the United States, governmental authorities have recommended, and in certain cases required, that elective, specialty and other procedures and appointments be suspended or canceled to avoid non-essential patient exposure to medical environments and potential infection with COVID-19 and to focus limited resources and personnel capacity toward the treatment of COVID-19.</w:t>
      </w:r>
    </w:p>
    <w:p>
      <w:pPr>
        <w:spacing w:after="0" w:line="12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These measures and challenges have decreased the number of BPH procedures generally, and consequently slowed adoption of our AquaBeam therapy and impacted our ability to sell our AquaBeam Robotic System. We believe the number of our systems sold has been impacted as health care organizations globally have prioritized the treatment of patients with COVID-19. Numerous procedures have been and in certain jurisdictions in which we operate are continuing to be cancelled or delayed as a result of local public health measures and hospital policies. We have also experienced disruptions, and may experience future disruptions, including: delays in sales personnel becoming fully trained and productive; difficulties and delays in physician outreach and training physicians to use our AquaBeam Robotic System; restrictions on personnel to travel; delays in follow-ups of our clinical studies; challenges with maintaining adequate supply from third-party manufacturers of components and finished goods and distribution providers; and access to physicians for training and case support.</w:t>
      </w:r>
    </w:p>
    <w:p>
      <w:pPr>
        <w:spacing w:after="0" w:line="12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While many restrictions associated with COVID-19 have more recently been relaxed, the longevity and extent of the various COVID-19 pandemic remains uncertain, including due to the emergence and impact of the COVID-19 variants. These measures and challenges may continue for the duration of the pandemic and may negatively impact our revenue growth while the pandemic continues.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generate our revenue primarily from the capital portion of our business, which includes sales and rentals of our AquaBeam Robotic System, and from the recurring revenue associated with sales of our single-use disposable handpieces that are used during each surgery performed with our system. The initial sale of an AquaBeam Robotic System involves a capital purchase by the hospital, which may require approval of senior management at the hospital, or in some cases, inclusion in the hospital’s budget process. Other revenue is derived primarily from service and repair and extended warranty contracts with our existing customers. We expect our revenue to increase in absolute dollars for the foreseeable future as we continue to focus on driving adoption of Aquablation therapy, including eventually to mid- and low-volume hospitals, and increased system utilization, though it may fluctuate from quarter to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revenue by significant geographical locations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Borders>
              <w:bottom w:val="single" w:sz="8" w:color="auto"/>
            </w:tcBorders>
            <w:gridSpan w:val="2"/>
          </w:tcPr>
          <w:p>
            <w:pPr>
              <w:jc w:val="right"/>
              <w:ind w:right="75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4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right"/>
              <w:ind w:right="1176"/>
              <w:spacing w:after="0"/>
              <w:rPr>
                <w:sz w:val="20"/>
                <w:szCs w:val="20"/>
                <w:color w:val="auto"/>
              </w:rPr>
            </w:pPr>
            <w:r>
              <w:rPr>
                <w:rFonts w:ascii="Arial" w:cs="Arial" w:eastAsia="Arial" w:hAnsi="Arial"/>
                <w:sz w:val="14"/>
                <w:szCs w:val="14"/>
                <w:b w:val="1"/>
                <w:bCs w:val="1"/>
                <w:color w:val="auto"/>
              </w:rPr>
              <w:t>2020</w:t>
            </w:r>
          </w:p>
        </w:tc>
        <w:tc>
          <w:tcPr>
            <w:tcW w:w="1140" w:type="dxa"/>
            <w:vAlign w:val="bottom"/>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183"/>
        </w:trPr>
        <w:tc>
          <w:tcPr>
            <w:tcW w:w="44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top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(unaudited)</w:t>
            </w:r>
          </w:p>
        </w:tc>
        <w:tc>
          <w:tcPr>
            <w:tcW w:w="1140" w:type="dxa"/>
            <w:vAlign w:val="bottom"/>
            <w:tcBorders>
              <w:top w:val="single" w:sz="8" w:color="auto"/>
            </w:tcBorders>
          </w:tcPr>
          <w:p>
            <w:pPr>
              <w:spacing w:after="0"/>
              <w:rPr>
                <w:sz w:val="15"/>
                <w:szCs w:val="15"/>
                <w:color w:val="auto"/>
              </w:rPr>
            </w:pPr>
          </w:p>
        </w:tc>
      </w:tr>
      <w:tr>
        <w:trPr>
          <w:trHeight w:val="231"/>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40 %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Outside the United States</w:t>
            </w:r>
          </w:p>
        </w:tc>
        <w:tc>
          <w:tcPr>
            <w:tcW w:w="52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2220" w:type="dxa"/>
            <w:vAlign w:val="bottom"/>
          </w:tcPr>
          <w:p>
            <w:pPr>
              <w:jc w:val="right"/>
              <w:ind w:right="516"/>
              <w:spacing w:after="0"/>
              <w:rPr>
                <w:sz w:val="20"/>
                <w:szCs w:val="20"/>
                <w:color w:val="auto"/>
              </w:rPr>
            </w:pPr>
            <w:r>
              <w:rPr>
                <w:rFonts w:ascii="Arial" w:cs="Arial" w:eastAsia="Arial" w:hAnsi="Arial"/>
                <w:sz w:val="18"/>
                <w:szCs w:val="18"/>
                <w:color w:val="auto"/>
              </w:rPr>
              <w:t>60 %</w:t>
            </w:r>
          </w:p>
        </w:tc>
        <w:tc>
          <w:tcPr>
            <w:tcW w:w="11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5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Germany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24 %</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gridSpan w:val="2"/>
          </w:tcPr>
          <w:p>
            <w:pPr>
              <w:ind w:left="240"/>
              <w:spacing w:after="0"/>
              <w:rPr>
                <w:sz w:val="20"/>
                <w:szCs w:val="20"/>
                <w:color w:val="auto"/>
              </w:rPr>
            </w:pPr>
            <w:r>
              <w:rPr>
                <w:rFonts w:ascii="Arial" w:cs="Arial" w:eastAsia="Arial" w:hAnsi="Arial"/>
                <w:sz w:val="18"/>
                <w:szCs w:val="18"/>
                <w:color w:val="auto"/>
              </w:rPr>
              <w:t>Italy</w:t>
            </w:r>
          </w:p>
        </w:tc>
        <w:tc>
          <w:tcPr>
            <w:tcW w:w="5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2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Austria</w:t>
            </w:r>
          </w:p>
        </w:tc>
        <w:tc>
          <w:tcPr>
            <w:tcW w:w="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18 %</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c>
          <w:tcPr>
            <w:tcW w:w="5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20" w:type="dxa"/>
            <w:vAlign w:val="bottom"/>
          </w:tcPr>
          <w:p>
            <w:pPr>
              <w:jc w:val="right"/>
              <w:ind w:right="516"/>
              <w:spacing w:after="0"/>
              <w:rPr>
                <w:sz w:val="20"/>
                <w:szCs w:val="20"/>
                <w:color w:val="auto"/>
              </w:rPr>
            </w:pPr>
            <w:r>
              <w:rPr>
                <w:rFonts w:ascii="Arial" w:cs="Arial" w:eastAsia="Arial" w:hAnsi="Arial"/>
                <w:sz w:val="18"/>
                <w:szCs w:val="18"/>
                <w:color w:val="auto"/>
              </w:rPr>
              <w:t>14 %</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Less than 10% of total net revenues for the period indicated.</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expect that both our U.S. and international revenue will increase in the near term as we continue to expand the installed base of AquaBeam Robotic Systems and increase the related patient utilization in the United States. We expect our increase in revenues in absolute dollars to be larger in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Cost of sales consists primarily of manufacturing overhead costs, material costs, direct labor and other direct costs such as shipping costs. A significant portion of our cost of sales currently consists of manufacturing overhead costs. These overhead costs include compensation for personnel, including stock-based compensation, facilities, equipment and operations supervision, quality assurance and material procurement. We expect our cost of sales to increase in absolute dollars for the foreseeable future primarily as, and to the extent, our revenue grows, or we make additional investments in our manufacturing capabilities, though it may fluctuate from quarter to quarter.</w:t>
      </w:r>
    </w:p>
    <w:p>
      <w:pPr>
        <w:spacing w:after="0" w:line="13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calculate gross margin percentage as gross profit divided by revenue. Our gross margin has been and will continue to be affected by a variety of factors, primarily, product and geographic mix and the resulting average selling prices, production volumes, manufacturing costs and product yields, and to a lesser extent the implementation of cost reduction strategies. We expect our gross margin to increase over the long term as our production volume increases and as we spread the fixed portion of our manufacturing overhead costs over a larger number of units produced, thereby significantly reducing our per unit manufacturing costs, though it may fluctuate from quarter to quarter. Our gross margins can fluctuate due to geographic mix. To the extent we sell more systems and handpieces in the United States, we expect our margins will increase due to the higher average selling prices as compared to sales outside of the United States.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Research and development, or R&amp;D, expenses consist primarily of engineering, product development, regulatory affairs, consulting services, materials, depreciation and other costs associated with products and technologies being developed. These expenses include employee and non-employee compensation, including stock-based compensation, supplies, materials, quality assurance expenses, consulting, related travel expenses and facilities expenses. We expect our R&amp;D expenses to increase in absolute dollars for the foreseeable future as we continue to develop, enhance and commercialize new products and technologies, though it may fluctuate from quarter to quarter. However, we expect our R&amp;D expenses as a percentage of revenue to vary over time depending on the level and timing of initiating new product development efforts.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w:t>
      </w:r>
    </w:p>
    <w:p>
      <w:pPr>
        <w:spacing w:after="0" w:line="171"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Selling, general and administrative, or SG&amp;A, expenses consist primarily of compensation for personnel, including stock-based compensation, related to selling, marketing, clinical affairs, professional education, finance, information technology, and human resource functions. SG&amp;A expenses also include commissions, training,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expenses, promotional activities, conferences, trade shows, professional services fees, audit fees, legal fees, insurance costs and general corporate expenses including allocated facilities-related expenses. Clinical expenses include clinical trial design, clinical site reimbursement, data management and travel expenses. We expect our SG&amp;A expenses to increase in absolute dollars for the foreseeable future as we expand our commercial infrastructure and incur additional fees associated with operating as a public company, including legal, accounting, insurance, compliance with the rules and regulations of the SEC and those of any stock exchange on which our securities are traded, investor relations, and other administrative and professional services expenses, though it may fluctuate from quarter to quarter. However, over time, we expect our SG&amp;A expenses to decrease as a percentage of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primarily of interest expense from our loan payable.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Interest and other income (expense), net, consists primarily of interest income from our cash and cash equivalents balances, and fair value adjustments from our redeemable convertible preferred stock warrant liabilities and our loan facility derivative liability.</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connection with our sales of redeemable convertible preferred stock, we issued warrants to purchase shares of our Series B, Series D and Series E redeemable convertible preferred stock. We classify these warrants as a liability on our balance sheets that we remeasure to fair value at each reporting date with the corresponding change in fair value being recognized in our statements of operations. Upon the completion of this offering, the redeemable convertible preferred stock warrant liability will be reclassified to additional paid-in capital in stockholders’ deficit.</w:t>
      </w:r>
    </w:p>
    <w:p>
      <w:pPr>
        <w:spacing w:after="0" w:line="11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Additionally, in connection with the loan facility, we are obligated to pay a fee upon the earlier occurrence of a defined liquidity event, including but not limited to, a merger or sale of our assets or voting stock, or our achieving a $200 million trailing twelve months revenue target, in each case, by September 2029. The fee is calculated at the time of the liquidity event occurrence to be $1 million if only the first installment has been drawn, $2 million if the first two installments have been drawn, $2.4 million if the first three installments have been drawn, or $3 million if all four installments have been drawn, in each case, upon the occurrence of the liquidity event. We adjust the carrying values of the loan facility derivative liability for changes in fair value and recognize those changes in interest and other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320" w:top="1440" w:right="379" w:bottom="1440" w:gutter="0" w:footer="0" w:header="0"/>
        </w:sectPr>
      </w:pPr>
    </w:p>
    <w:bookmarkStart w:id="93" w:name="page94"/>
    <w:bookmarkEnd w:id="9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2020 and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results of operations for the six months ended June 30, 2020 and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w w:val="95"/>
              </w:rPr>
              <w:t>Six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gridSpan w:val="9"/>
          </w:tcPr>
          <w:p>
            <w:pPr>
              <w:jc w:val="center"/>
              <w:ind w:right="860"/>
              <w:spacing w:after="0"/>
              <w:rPr>
                <w:sz w:val="20"/>
                <w:szCs w:val="20"/>
                <w:color w:val="auto"/>
              </w:rPr>
            </w:pPr>
            <w:r>
              <w:rPr>
                <w:rFonts w:ascii="Arial" w:cs="Arial" w:eastAsia="Arial" w:hAnsi="Arial"/>
                <w:sz w:val="14"/>
                <w:szCs w:val="14"/>
                <w:b w:val="1"/>
                <w:bCs w:val="1"/>
                <w:color w:val="auto"/>
                <w:w w:val="89"/>
              </w:rPr>
              <w:t>(in thousands, except percentages)</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2,389</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15,668</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13,279</w:t>
            </w: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556 %</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4,082</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8,558</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4,476</w:t>
            </w:r>
          </w:p>
        </w:tc>
        <w:tc>
          <w:tcPr>
            <w:tcW w:w="5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93"/>
              </w:rPr>
              <w:t>110</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7,110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8,803</w:t>
            </w: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520</w:t>
            </w:r>
          </w:p>
        </w:tc>
        <w:tc>
          <w:tcPr>
            <w:tcW w:w="0" w:type="dxa"/>
            <w:vAlign w:val="bottom"/>
          </w:tcPr>
          <w:p>
            <w:pPr>
              <w:spacing w:after="0"/>
              <w:rPr>
                <w:sz w:val="1"/>
                <w:szCs w:val="1"/>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i w:val="1"/>
                <w:iCs w:val="1"/>
                <w:color w:val="auto"/>
              </w:rPr>
              <w:t>Gross margin</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i w:val="1"/>
                <w:iCs w:val="1"/>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i w:val="1"/>
                <w:iCs w:val="1"/>
                <w:color w:val="auto"/>
              </w:rPr>
              <w:t>45 %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7,839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8,998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1,159</w:t>
            </w: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14,084</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22,648</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8,564</w:t>
            </w:r>
          </w:p>
        </w:tc>
        <w:tc>
          <w:tcPr>
            <w:tcW w:w="5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21,923</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31,646</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9,723</w:t>
            </w: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(23,616)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(24,536)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income (expense), net</w:t>
            </w:r>
          </w:p>
        </w:tc>
        <w:tc>
          <w:tcPr>
            <w:tcW w:w="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47</w:t>
            </w:r>
          </w:p>
        </w:tc>
        <w:tc>
          <w:tcPr>
            <w:tcW w:w="5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93"/>
              </w:rPr>
              <w:t>362</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(25,732)</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(27,402)</w:t>
            </w:r>
          </w:p>
        </w:tc>
        <w:tc>
          <w:tcPr>
            <w:tcW w:w="1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i w:val="1"/>
                <w:iCs w:val="1"/>
                <w:color w:val="auto"/>
              </w:rPr>
              <w:t>Revenue</w:t>
            </w: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8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gridSpan w:val="9"/>
          </w:tcPr>
          <w:p>
            <w:pPr>
              <w:jc w:val="center"/>
              <w:ind w:right="1140"/>
              <w:spacing w:after="0"/>
              <w:rPr>
                <w:sz w:val="20"/>
                <w:szCs w:val="20"/>
                <w:color w:val="auto"/>
              </w:rPr>
            </w:pPr>
            <w:r>
              <w:rPr>
                <w:rFonts w:ascii="Arial" w:cs="Arial" w:eastAsia="Arial" w:hAnsi="Arial"/>
                <w:sz w:val="14"/>
                <w:szCs w:val="14"/>
                <w:b w:val="1"/>
                <w:bCs w:val="1"/>
                <w:color w:val="auto"/>
                <w:w w:val="89"/>
              </w:rPr>
              <w:t>(in thousands, except percentages)</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6"/>
          </w:tcPr>
          <w:p>
            <w:pPr>
              <w:jc w:val="center"/>
              <w:ind w:left="435"/>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 sales and rentals</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Hand pieces and other consumables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3,607</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6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15,668</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Revenue increased $13.3 million, or 556%, to $15.7 million during the six months ended June 30, 2021, compared to $2.4 million during the six months ended June 30, 2020. The growth in revenue was primarily attributable to an increase of $11.7 million in unit sales of both our AquaBeam Robotic System and our single-use disposable handpieces in the United States resulting from the expansion of our sales and marketing organizations. In addition, sales of both our AquaBeam Robotic System and our single-use disposable handpieces outside of the United States increased by $1.3 million.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Sales and Gross Margin</w:t>
      </w:r>
    </w:p>
    <w:p>
      <w:pPr>
        <w:spacing w:after="0" w:line="171"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Cost of sales increased $4.5 million, or 110%, to $8.6 million during the six months ended June 30, 2021, compared to $4.1 million during the six months ended June 30, 2020. The increase in cost of sales was primarily attributable to the growth in the number of units sold.</w:t>
      </w:r>
    </w:p>
    <w:p>
      <w:pPr>
        <w:spacing w:after="0" w:line="92"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Gross margin increased to 45% during the six months ended June 30, 2021, compared to a negative 71% for the six months ended June 30, 2020. The increase in gross margin was primarily attributable to the growth in unit sales, which allowed us to spread the fixed portion of our manufacturing overhead costs over more production units, and a higher percentage of sales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R&amp;D expenses increased $1.2 million, or 15%, to $9.0 million during the six months ended June 30, 2021, compared to $7.8 million during the six months ended June 30, 2020. The increase in R&amp;D expenses was primarily due to employee-related expenses of our R&amp;D organization. These expenses support ongoing product improvements and the development of additional and next generation technologies.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SG&amp;A expenses increased $8.5 million, or 61%, to $22.6 million during the six months ended June 30, 2021, compared to $14.1 million during the six months ended June 30, 2020. The increase in SG&amp;A expenses was primarily due to employee-related expenses of our sales and marketing, reimbursement and administrative organizations as we expanded our infrastructure to drive and support the anticipated growth in revenue.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Interest expense increased $0.8 million to $2.9 million during the six months ended June 30, 2021, compared to $2.1 million during the six months ended June 30, 2020. The increase was due to increased borrowings under our debt financing arrangements.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other income (expense), net, was consistent during the six months ended June 30, 2020 and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2019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results of operations for the years ended December 31, 2019 and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6,169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7,717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8,054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8,972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6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(1,255)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i w:val="1"/>
                <w:iCs w:val="1"/>
                <w:color w:val="auto"/>
              </w:rPr>
              <w:t>Gross margin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13,147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16,275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28,518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30,272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6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41,665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46,547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(43,550)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(47,802)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(4,252)</w:t>
            </w:r>
          </w:p>
        </w:tc>
        <w:tc>
          <w:tcPr>
            <w:tcW w:w="60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(5,261)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income (expense), net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6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(41,975)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(53,019)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vMerge w:val="restart"/>
          </w:tcPr>
          <w:p>
            <w:pPr>
              <w:jc w:val="right"/>
              <w:ind w:right="996"/>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 sales and rentals</w:t>
            </w:r>
          </w:p>
        </w:tc>
        <w:tc>
          <w:tcPr>
            <w:tcW w:w="12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3,532</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4,158</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5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Hand pieces and other consumables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2,623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3,421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798</w:t>
            </w:r>
          </w:p>
        </w:tc>
        <w:tc>
          <w:tcPr>
            <w:tcW w:w="1580" w:type="dxa"/>
            <w:vAlign w:val="bottom"/>
          </w:tcPr>
          <w:p>
            <w:pPr>
              <w:jc w:val="right"/>
              <w:ind w:right="96"/>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5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886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2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6,169</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7,717</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1,548</w:t>
            </w:r>
          </w:p>
        </w:tc>
        <w:tc>
          <w:tcPr>
            <w:tcW w:w="1580" w:type="dxa"/>
            <w:vAlign w:val="bottom"/>
          </w:tcPr>
          <w:p>
            <w:pPr>
              <w:jc w:val="right"/>
              <w:ind w:right="96"/>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Revenue increased $1.5 million, or 25%, to $7.7 million during the year ended December 31, 2020, compared to $6.2 million during the year ended December 31, 2019. The growth in revenue was primarily attributable to an increase of $2.0 million in unit sales of both our AquaBeam Robotic System and our single-use disposable handpieces in the United States resulting from the expansion of our sales and marketing organizations. This increase was partially offset by a decrease of $0.5 million in sales outside of the United States, resulting primarily from a decrease in system sales.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Sales and Gross Margin</w:t>
      </w:r>
    </w:p>
    <w:p>
      <w:pPr>
        <w:spacing w:after="0" w:line="171"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Cost of sales increased $0.9 million, or 11%, to $9.0 million during the year ended December 31, 2020, compared to $8.1 million during the year ended December 31, 2019. The increase in cost of sales was primarily attributable to the growth in the number of units sold.</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Gross margin increased to a negative 16% during the year ended December 31, 2020, compared to a negative 31% for the year ended December 31, 2019. The increase in gross margin was primarily attributable to the growth in unit sales, which allowed us to spread the fixed portion of our manufacturing overhead costs over more production units, and a higher percentage of sales in the United States.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R&amp;D expenses increased $3.1 million, or 24%, to $16.3 million during the year ended December 31, 2020, compared to $13.1 million during the year ended December 31, 2019. The increase in R&amp;D expenses was primarily due to employee-related expenses of our R&amp;D organization. These expenses support ongoing product improvements and the development of additional and next generation technologies.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SG&amp;A expenses increased $1.8 million, or 6%, to $30.3 million during the year ended December 31, 2020, compared to $28.5 million during the year ended December 31, 2019. The increase in SG&amp;A expenses was primarily due to employee-related expenses of our sales and marketing, reimbursement and administrative organizations as we expanded our infrastructure to drive and support the anticipated growth in revenue.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Interest expense increased $4.5 million to $5.3 million during the year ended December 31, 2020, compared to $0.7 million during the year ended December 31, 2019. The increase was due to increased borrowings under our debt financing arrangements.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7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Interest and other income (expense), net, decreased $2.2 million to $0.1 million during the year ended December 31, 2020, compared to $2.3 million during the year ended December 31, 2019. The decrease in other income (expense), net was primarily attributable to a decrease in interest income of $1.0 million primarily due to lower interest rates. In addition, during the year ended December 31, 2019, the fair value of our preferred stock warrant liability decreased by $1.0 million due to the shorter remaining time to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primary sources of capital have been from private placements of redeemable convertible preferred securities and debt financing agreements. As of June 30, 2021, we have raised $337.1 million from private placements of redeemable convertible preferred securities from our investors, net of issuance costs.</w:t>
      </w:r>
    </w:p>
    <w:p>
      <w:pPr>
        <w:spacing w:after="0" w:line="13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As of June 30, 2021, we had cash and cash equivalents of $159.2 million, an accumulated deficit of $229.1 million, and $50.0 million outstanding on our loan facility. We expect our expenses will increase for the foreseeable future, in particular as we continue to make substantial investments in sales and marketing, operations and research and development. Moreover, we expect to incur additional expenses as a result of operating as a public company, including legal, accounting, insurance, compliance with the rules and regulations of the SEC and those of any stock exchange on which our securities are traded, investor relations, and other administrative and professional services expenses. Our future funding requirements will depend on many factors, including:</w:t>
      </w:r>
    </w:p>
    <w:p>
      <w:pPr>
        <w:spacing w:after="0" w:line="138"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degree and rate of market acceptance of our products and Aquablation therapy;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and timing of investment in our sales force and expansion of our commercial organization;</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impact on our business from the ongoing and global COVID-19 pandemic and the end of the COVID-19 pandemic, or any other pandemic, epidemic or outbreak of an infectious disease;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or future clinical trials and registries;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and timing of additional regulatory clearances or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associated with the manufacturing of our products at increased production levels;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of attaining, defending and enforcing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we acquire third-party companies, products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rate at which we expand internationally.</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Based on our operating plan, we currently believe that our existing cash and cash equivalents, anticipated revenue and available debt financing arrangements will be sufficient to meet our capital requirements and fund our operations through at least the next twelve months from the date of this prospectus. We have based this estimate on assumptions that may prove to be wrong, and we may need to utilize additional available capital resources. If these sources are insufficient to satisfy our liquidity requirements, we may seek to sell additional public or private equity or debt securities or obtain an additional credit facility. The sale of equity and convertible debt securities may result in dilution to our stockholders and, in the case of preferred equity securities or convertible debt, those securities could provide for rights, preferences or privileges senior to those of our common stock.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 If we are unable to obtain additional financing, we may be required to delay the development, commercialization and marketing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1440" w:right="379" w:bottom="1440" w:gutter="0" w:footer="0" w:header="0"/>
        </w:sectPr>
      </w:pPr>
    </w:p>
    <w:bookmarkStart w:id="97" w:name="page98"/>
    <w:bookmarkEnd w:id="9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September 2019, we entered into a loan facility for up to $75.0 million available in four installments. We borrowed $25.0 million in September 2019 and an additional $25.0 million in March 2020. The third installment is for $10.0 million and was originally available for draw through March 31, 2021 contingent upon our achieving $20.0 million trailing six months revenue in any month before March 31, 2021.</w:t>
      </w:r>
    </w:p>
    <w:p>
      <w:pPr>
        <w:spacing w:after="0" w:line="13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remaining $15.0 million was originally available for draw through June 30, 2021 contingent upon achieving $25.0 million in trailing six months revenue. In January 2021, the third installment was amended to be available for draw through March 31, 2022 contingent upon our achieving $6.4 million trailing six months revenue prior to June 30, 2021, and the fourth installment was amended to be available for draw though June 30, 2022. The facility bears an interest rate of the greater of (i) 9.37% and (ii) 7.17% plus 30-day LIBOR. The facility includes customary negative covenants that, among other things, restrict our ability to incur indebtedness or enter into certain change of control transactions. It also contains customary events of default that would result in the termination of the commitments under the facility and permit the lender to accelerate payment on outstanding borrowings. As of June 30, 2021, we were in compliance with all covenants under the facility. The initial term of the facility is 60 months with interest-only payments, with the repayment of principal being amortized over a period of: 36 months, if we fail to achieve the revenue target for the third installment, 24 months if we achieve the revenue target for the third installment but have not raised at least $50.0 million in an initial public offering, or 12 months if we achieve the revenue target for the third installment and raise at least $50.0 million in an initial public offering. We pledged substantially all of our assets as collateral for the loan. Commencing with the quarter ended June 30, 2021, we are required to achieve revenue for the previous six months ended equal to 70% of the forecast for the commensurate quarterly period. Additionally, in connection with the loan facility, we are obligated to pay a fee upon the earlier occurrence of a defined liquidity event, including but not limited to, a merger or sale of our assets or voting stock, or our achieving a $200.0 million trailing twelve months revenue target, in each case, by September 2029. The fee is calculated at the time of the liquidity event occurrence to be $1.0 million if only the first installment has been drawn, $2.0 million if the first two installments have been drawn, $2.4 million if the first three installments have been drawn, or $3.0 million if all four installments have been drawn, in each case, upon the occurrence of the liquidity event. As of June 30, 2021, we had $50.0 million outstanding under the loan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years ended December 31, 2019 and 2020 and the six months ended June 30, 2020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3"/>
              </w:rPr>
              <w:t>Six Months Ended</w:t>
            </w:r>
          </w:p>
        </w:tc>
        <w:tc>
          <w:tcPr>
            <w:tcW w:w="98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r>
      <w:tr>
        <w:trPr>
          <w:trHeight w:val="183"/>
        </w:trPr>
        <w:tc>
          <w:tcPr>
            <w:tcW w:w="4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175"/>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2"/>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4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r>
      <w:tr>
        <w:trPr>
          <w:trHeight w:val="23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458"/>
              <w:spacing w:after="0"/>
              <w:rPr>
                <w:sz w:val="20"/>
                <w:szCs w:val="20"/>
                <w:color w:val="auto"/>
              </w:rPr>
            </w:pPr>
            <w:r>
              <w:rPr>
                <w:rFonts w:ascii="Arial" w:cs="Arial" w:eastAsia="Arial" w:hAnsi="Arial"/>
                <w:sz w:val="18"/>
                <w:szCs w:val="18"/>
                <w:color w:val="auto"/>
                <w:w w:val="92"/>
              </w:rPr>
              <w:t>(43,818)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(48,343)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(23,950)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(28,107)</w:t>
            </w: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78"/>
              <w:spacing w:after="0"/>
              <w:rPr>
                <w:sz w:val="20"/>
                <w:szCs w:val="20"/>
                <w:color w:val="auto"/>
              </w:rPr>
            </w:pPr>
            <w:r>
              <w:rPr>
                <w:rFonts w:ascii="Arial" w:cs="Arial" w:eastAsia="Arial" w:hAnsi="Arial"/>
                <w:sz w:val="18"/>
                <w:szCs w:val="18"/>
                <w:color w:val="auto"/>
                <w:w w:val="87"/>
              </w:rPr>
              <w:t>43,153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78"/>
              <w:spacing w:after="0"/>
              <w:rPr>
                <w:sz w:val="20"/>
                <w:szCs w:val="20"/>
                <w:color w:val="auto"/>
              </w:rPr>
            </w:pPr>
            <w:r>
              <w:rPr>
                <w:rFonts w:ascii="Arial" w:cs="Arial" w:eastAsia="Arial" w:hAnsi="Arial"/>
                <w:sz w:val="18"/>
                <w:szCs w:val="18"/>
                <w:color w:val="auto"/>
                <w:w w:val="87"/>
              </w:rPr>
              <w:t>26,527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106,771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87,350</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78"/>
              <w:spacing w:after="0"/>
              <w:rPr>
                <w:sz w:val="20"/>
                <w:szCs w:val="20"/>
                <w:color w:val="auto"/>
              </w:rPr>
            </w:pPr>
            <w:r>
              <w:rPr>
                <w:rFonts w:ascii="Arial" w:cs="Arial" w:eastAsia="Arial" w:hAnsi="Arial"/>
                <w:sz w:val="18"/>
                <w:szCs w:val="18"/>
                <w:color w:val="auto"/>
                <w:w w:val="87"/>
              </w:rPr>
              <w:t>25,862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During the six months ended June 30, 2021, net cash used in operating activities was $28.1 million, consisting primarily of a net loss of $27.4 million and an increase in net operating assets of $4.2 million, partially offset by non-cash charges of $3.5 million. The cash used in operations was primarily due to the increase in net loss primarily due to the increase in operating expenses to support our commercialization and development activities and interest expense payable on our outstanding loan. The expansion of our commercialization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resulted in an increase in accounts receivable, inventory and prepaid expenses, partially offset by an increase in accounts payable. Non-cash charges consisted primarily of depreciation and stock-based compensation.</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During the six months ended June 30, 2020, net cash used in operating activities was $24.0 million, consisting primarily of a net loss of $25.7 million and an increase in net operating assets of $0.6 million, partially offset by non-cash charges of $2.3 million. The cash used in operations was primarily due to the increase in net loss primarily due to the increase in operating expenses to support our commercialization and development activities and interest expense to service the loan payable all of which support the commercialization and development. The increase in net operating assets was primarily due to a decrease in accounts payable, and an increase in inventory, prepaid expenses and accounts receivable, partially offset by an increase in accrued interests and compensation. Non-cash charges consisted primarily of depreciation and stock-based compensation.</w:t>
      </w:r>
    </w:p>
    <w:p>
      <w:pPr>
        <w:spacing w:after="0" w:line="110"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During the year ended December 31, 2020, net cash used in operating activities was $48.3 million, consisting primarily of a net loss of $53.0 million and an increase in net operating assets of $0.5 million, partially offset by non-cash charges of $5.2 million. The cash used in operations was primarily due to the increase in net loss primarily due to the increase in operating expenses and interest expense to service the loan payable all of which support the commercialization and development. The expansion of our commercialization and development activities resulted in an increase in inventory, partially offset by an increase in accrued compensation and interest. Non-cash charges consisted primarily of depreciation and stock-based compensation.</w:t>
      </w:r>
    </w:p>
    <w:p>
      <w:pPr>
        <w:spacing w:after="0" w:line="10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During the year ended December 31, 2019, net cash used in operating activities was $43.8 million, consisting primarily of a net loss of $42.0 million and an increase in net operating assets of $3.5 million, partially offset by non-cash charges of $1.7 million. The increase in net operating assets was primarily due to an increase in inventory to support our commercial launch. Non-cash charges consisted primarily of stock-based compensation and depreciation, partially offset by a decrease in the fair value of our redeemable convertible preferred stock warrants.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six months ended June 30, 2021, net cash used in investing activities was $0.1 million, consisting of purchases of property and equipment.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2020, net cash used in investing activities was $0.2 million, consisting of purchases of property and equipment.</w:t>
      </w:r>
    </w:p>
    <w:p>
      <w:pPr>
        <w:spacing w:after="0" w:line="18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year ended December 31, 2020, net cash used in investing activities was $0.2 million, consisting of purchases of property and equipment. During the year ended December 31, 2019, net cash provided by investing activities was $43.2 million, consisting primarily of sales and maturities of short-term investments of $50.8 million, partially offset by purchases of property and equipment of $7.6 million, primarily related to non-recurring leasehold improvements associated with our corporate headquarters.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During the six months ended June 30, 2021, net cash provided by financing activities was $87.4 million, consisting primarily of net proceeds from the issuance of shares of our Series G redeemable convertible preferred stock of $84.7 million. During the six months ended June 30, 2020, net cash provided by financing activities was $27.3 million, consisting primarily of net proceeds from the issuance of notes payable of $24.7 million.</w:t>
      </w:r>
    </w:p>
    <w:p>
      <w:pPr>
        <w:spacing w:after="0" w:line="11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During the year ended December 31, 2020, net cash provided by financing activities was $106.8 million, consisting primarily of net proceeds from the issuance of shares of our Series F redeemable convertible preferred stock of $76.5 million and notes payable of $24.7 million. During the year ended December 31, 2019, net cash provided by financing activities was $26.5 million, consisting primarily of net proceeds from the issuance of 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60"/>
          </w:cols>
          <w:pgMar w:left="320" w:top="1440" w:right="419" w:bottom="1440" w:gutter="0" w:footer="0" w:header="0"/>
        </w:sectPr>
      </w:pPr>
    </w:p>
    <w:bookmarkStart w:id="99" w:name="page100"/>
    <w:bookmarkEnd w:id="9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schedule summarizing our obligations to make future payments under contractual obligations as of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7"/>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6"/>
                <w:szCs w:val="16"/>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2 Years</w:t>
            </w:r>
          </w:p>
        </w:tc>
        <w:tc>
          <w:tcPr>
            <w:tcW w:w="28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3 Years</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4 Years</w:t>
            </w: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More than 5 Years</w:t>
            </w:r>
          </w:p>
        </w:tc>
      </w:tr>
      <w:tr>
        <w:trPr>
          <w:trHeight w:val="183"/>
        </w:trPr>
        <w:tc>
          <w:tcPr>
            <w:tcW w:w="29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31"/>
        </w:trPr>
        <w:tc>
          <w:tcPr>
            <w:tcW w:w="29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Note Payable</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Interest on Note Payable</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lease</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29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69,776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19,346</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r>
      <w:tr>
        <w:trPr>
          <w:trHeight w:val="20"/>
        </w:trPr>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more information, see Note 5 to our consolidated financial statements included elsewhere in this prospectus.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more information, see Note 9 to our consolidated financial statements included elsewhere in this prospectus.</w:t>
      </w:r>
    </w:p>
    <w:p>
      <w:pPr>
        <w:spacing w:after="0" w:line="15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purchase commitments and obligations include all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 and hence, have not been included in the table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such as structured finance, special purpose entities or variable interest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Cash and cash equivalents of $159.2 million as of June 30, 2021, consisted of securities carried at quoted market prices with an original maturity of three months or less and therefore there is minimal risk associated with fluctuating interest rates. We do not currently use or plan to use financial derivatives in our investment portfolio.</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as described above under the subsection titled “Indebtedness,” amounts outstanding under our loan facility bear interest at a floating rate equal to 7.17% plus the greater of 2.2% or 30-day LIBOR. As a result, we are exposed to risks from changes in interest rates. We do not believe that a hypothetical 100 basis point increase or decrease in interest rates or 30-day LIBOR would have had a material impact on our financial statements included elsewhere in this prospectus at both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maintain our cash and cash equivalents with two financial institutions in the United States, and our current deposits are likely in excess of insured limits. We have reviewed the financial statements of these institutions and believe it has sufficient assets and liquidity to conduct its operations in the ordinary course of business with little or no credit risk to us.</w:t>
      </w:r>
    </w:p>
    <w:p>
      <w:pPr>
        <w:spacing w:after="0" w:line="13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accounts receivable primarily relate to revenue from the sale or rental of our products. One customer accounted for 11% of accounts receivable at June 30, 2021. We believe that credit risk in our accounts receivable is mitigated by our credit evaluation process, relatively short collection terms and diversity of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ind w:right="380" w:firstLine="324"/>
        <w:spacing w:after="0" w:line="255" w:lineRule="auto"/>
        <w:rPr>
          <w:sz w:val="20"/>
          <w:szCs w:val="20"/>
          <w:color w:val="auto"/>
        </w:rPr>
      </w:pPr>
      <w:r>
        <w:rPr>
          <w:rFonts w:ascii="Arial" w:cs="Arial" w:eastAsia="Arial" w:hAnsi="Arial"/>
          <w:sz w:val="18"/>
          <w:szCs w:val="18"/>
          <w:color w:val="auto"/>
        </w:rPr>
        <w:t>A portion of our net sales and expenses are denominated in foreign currencies, most notably the Euro. Future fluctuations in the value of the U.S. Dollar may affect the price competitiveness of our products outside the United States. For direct sales outside the United States, we sell in both U.S. Dollars and local currencies, which could expose us to additional foreign currency risks, including changes in currency exchange rates. Our operating expenses in countries outside the United States, are payable in foreign currencies and therefore expose us to currency risk. We do not believe that a hypothetical 10% increase or decrease in the relative value of the U.S. dollar to other currencies would have had a material impact on our financial statements included elsewhere in this prospectus.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currently maintain a program to hedge exposures to non-U.S. dollar currencies.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do not believe that inflation had a material effect on our financial statements included elsewhere in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description of our related party transactions, see the section titled “Certain Relationships and Related Party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connection with the preparation of our consolidated financial statements, a material weakness in our internal control over financial reporting was identified as of December 31, 2020.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is the result of our failure to design and maintain effective controls over certain information technology, or IT, general controls for information systems that are relevant to the preparation of our financial statements. Specifically, we did not design and maintain:</w:t>
      </w:r>
    </w:p>
    <w:p>
      <w:pPr>
        <w:spacing w:after="0" w:line="107" w:lineRule="exact"/>
        <w:rPr>
          <w:sz w:val="20"/>
          <w:szCs w:val="20"/>
          <w:color w:val="auto"/>
        </w:rPr>
      </w:pPr>
    </w:p>
    <w:p>
      <w:pPr>
        <w:ind w:left="660" w:right="28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program change management controls to ensure that information technology program and data changes affecting financial IT applications and underlying accounting records are identified, tested, authorized and implemented appropriately,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user access controls to ensure appropriate segregation of duties and that adequately restrict user and privileged access to financial applications, programs and data to appropriate company personnel.</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These IT general control deficiencies did not result in a material misstatement to the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our management determined these deficiencies in the aggregate constitute a material weakness.</w:t>
      </w:r>
    </w:p>
    <w:p>
      <w:pPr>
        <w:spacing w:after="0" w:line="107"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are in the process of designing and implementing measures to remediate the material weakness in our internal control over financial reporting, which includes designing and implementing controls over the review and update of user access rights and privileges, including segregation of duties, and controls over program changes to our information systems that contain data used for financial reporting. While we are designing and implementing measures to remediate the material weakness, we cannot predict the success of such measures or the outcome of our assessment of these measures at this time. We can give no assurance that these measures will remediate the material weakness in our internal control over financial reporting or that additional material weaknesses in our internal control over financial reporting will not be identified in the future. The material weakness will not be considered remediated until management completes the design and implementation of the measures described above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320" w:top="1440" w:right="419" w:bottom="1440" w:gutter="0" w:footer="0" w:header="0"/>
        </w:sectPr>
      </w:pPr>
    </w:p>
    <w:bookmarkStart w:id="101" w:name="page102"/>
    <w:bookmarkEnd w:id="101"/>
    <w:p>
      <w:pPr>
        <w:spacing w:after="0" w:line="14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controls operate for a sufficient period of time and management has concluded, through testing, that these controls are effective. Our failure to design and maintain effective internal control over financial reporting could result in errors in our financial statements that may lead to a restatement of our financial statements or cause us to fail to meet our reporting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2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While our significant accounting policies are more fully described in Note 2 of our consolidated financial statements included elsewhere in this prospectus,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Revenue is derived primarily from the sales of the AquaBeam Robotic Systems, and handpieces that are for one-time use during each surgery using the AquaBeam Robotic System. The AquaBeam Robotic System contains both software and non-software components that are delivered together as a single product and generally contain a one-year warranty.</w:t>
      </w:r>
    </w:p>
    <w:p>
      <w:pPr>
        <w:spacing w:after="0" w:line="13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To determine revenue recognition for arrangements that we determine are within the scope of Accounting Standards Codification, or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the performance obligations.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based on the contract.</w:t>
      </w:r>
    </w:p>
    <w:p>
      <w:pPr>
        <w:spacing w:after="0" w:line="123"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contracts are typically in the form of a contract and a purchase order from the customer. Our AquaBeam Robotic System sales generally contain multiple products and services and can include a combination of the following performance obligations: robotic system, handpieces and consumables, and service.</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 determines the transaction price it expects to be entitled to in exchange for transferring the promised product to the customer, which is based on the invoiced price for the products. All prices are at fixed amounts per the sales agreement with the customer and there are generally no discounts, rebates or other price concessions or a right of return, once the agreement is signed.</w:t>
      </w:r>
    </w:p>
    <w:p>
      <w:pPr>
        <w:spacing w:after="0" w:line="13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considering market conditions and entity-specific factors including, but not limited to, features and functionality of the products and services, geographies, and type of customer. We regularly review standalone selling prices and updates these estimates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44"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recognize revenue as the performance obligations are satisfied by transferring control of the product or service to a customer. We generally recognize revenue for the performance obligations at the following points in time:</w:t>
      </w:r>
    </w:p>
    <w:p>
      <w:pPr>
        <w:spacing w:after="0" w:line="1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AquaBeam Robotic Systems </w:t>
      </w:r>
      <w:r>
        <w:rPr>
          <w:rFonts w:ascii="Arial" w:cs="Arial" w:eastAsia="Arial" w:hAnsi="Arial"/>
          <w:sz w:val="17"/>
          <w:szCs w:val="17"/>
          <w:color w:val="auto"/>
        </w:rPr>
        <w:t>- For systems (including system components and system accessories) sold directly to end customers, revenue is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when we transfer control to the customer, which is generally at the time of delivery. Systems rented for a fixed monthly fee during an evaluation period, typically three to 12 months, are recognized as revenue straight-line during the lease term, in accordance with ASC 842, and are not material. For systems sold following an evaluation period, revenue is recognized generally once sales terms are mutually agreed (as the system is already installed at the customer site). For systems sold through distributors, revenue is recognized generally at the time of delivery. Our system arrangements generally do not provide a right of return. The systems are generally covered by a one-year warranty.</w:t>
      </w:r>
    </w:p>
    <w:p>
      <w:pPr>
        <w:spacing w:after="0" w:line="12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 xml:space="preserve">Hand pieces and other consumables </w:t>
      </w:r>
      <w:r>
        <w:rPr>
          <w:rFonts w:ascii="Arial" w:cs="Arial" w:eastAsia="Arial" w:hAnsi="Arial"/>
          <w:sz w:val="18"/>
          <w:szCs w:val="18"/>
          <w:color w:val="auto"/>
        </w:rPr>
        <w:t>- Revenue from sales of handpieces and other consumables is recognized when control is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which generally occurs at the time of shipment but also occurs at the time of delivery.</w:t>
      </w:r>
    </w:p>
    <w:p>
      <w:pPr>
        <w:spacing w:after="0" w:line="11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i w:val="1"/>
          <w:iCs w:val="1"/>
          <w:color w:val="auto"/>
        </w:rPr>
        <w:t xml:space="preserve">Service </w:t>
      </w:r>
      <w:r>
        <w:rPr>
          <w:rFonts w:ascii="Arial" w:cs="Arial" w:eastAsia="Arial" w:hAnsi="Arial"/>
          <w:sz w:val="18"/>
          <w:szCs w:val="18"/>
          <w:color w:val="auto"/>
        </w:rPr>
        <w:t>- Service revenue, inclusive of the amounts associated with the AquaBeam Robotic system warranties, is recognized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period, as the customer benefits from the services throughout the service period.</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determined that certain promises in the multiple-element arrangements, such as installation, training and certain ancillary products, are immaterial, and/or do not represent separate performance obligations for which transaction price is allocated.</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Revenue is recognized when the item is delivered, which is when control is transferred to the customer. Systems rented for a fixed monthly fee during an evaluation period, typically three to 12 months, are recognized as revenue straight line during the lease term, in accordance with ASC 842, and are not material. For systems sold following an evaluation or lease period, revenue is recognized once the sales terms are mutually agreed (as the system is already installed at the customer site). The timing of revenue recognition may differ from the timing of invoicing to customers. We record deferred revenue when revenue is recognized subsequent to invoicing, such as service contracts, which are recognized ratably as revenue over the performance period, which is not material.</w:t>
      </w:r>
    </w:p>
    <w:p>
      <w:pPr>
        <w:spacing w:after="0" w:line="138"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typical payment terms are between approximately 30 to 90 days. We expense shipping and handling costs as incurred and include them in the cost of sales. In those cases where shipping and handling costs are billed to customers, we classify the amounts billed as a component of revenue. Taxes collected from customers and remitted to governmental authorities are excluded from revenue. We expense any incremental costs of obtaining a contract, including but not limited to, sales commissions, as and when incurred as the expected amortization period of the incremental costs would have been less than one year and are reported in selling, general and administrative expense in the statements of operations and comprehensive loss.</w:t>
      </w:r>
    </w:p>
    <w:p>
      <w:pPr>
        <w:spacing w:after="0" w:line="10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must make significant assumptions regarding the future collectability of amounts receivable from customers to determine whether revenue recognition criteria have been met. If collectability is not assured at the time of shipment, we defer revenue until such criteria have been met. Our standard terms and conditions of sale do not allow for product returns, and we generally do not allow product returns, except in the case of damaged goods, and we have not experienced any significant returns of our products.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We maintain a payment equity incentive plan to provide long-term incentives for employees, consultants and members of the board of directors. The plan allows for the issuance of non-statutory and incentive stock options to employees and non-statutory stock options to consultants and non-employee directors.</w:t>
      </w:r>
    </w:p>
    <w:p>
      <w:pPr>
        <w:spacing w:after="0" w:line="130"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We are required to determine the fair value of equity incentive awards and recognize compensation expense for all equity incentive awards granted, including employee stock options. Stock-based compensation expense is recognized over the requisite service period in the statements of operations and comprehensive loss. We 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straight-line method for expense attribution. We amortize all stock-based compensation over the requisite service period of the awards, which is generally the same as the vesting period of the awards. We amortize the grant date fair value on a straight-line basis over the expected service periods. For performance-based grants, we estimate when and if they will be earned. If we consider such award to be probable, we recognize expense over the estimated service period, which would be the estimated period of performance. If we do not consider such awards probable of achievement, we recognize no amount of stock-based compensation. Additionally, we have elected to account for forfeitures as they occur.</w:t>
      </w:r>
    </w:p>
    <w:p>
      <w:pPr>
        <w:spacing w:after="0" w:line="12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valuation model used for calculating the fair value of awards for stock-based compensation expense is the Black-Scholes option pricing model. The Black-Scholes option pricing model requires us to make assumptions and judgments about the variables used in the calculation, including the following:</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discussed in the subsection titled “—Common Stock Valuations” below, the fair value of the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underlying the stock options has historically been determined by our board of directors. Because there has been no public market for our common stock, our board of directors has determined the fair value of our common stock at the time of grant of the option by considering a number of objective and subjective factors.</w:t>
      </w:r>
    </w:p>
    <w:p>
      <w:pPr>
        <w:spacing w:after="0" w:line="13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stock options represents the weighted-average period that the stock options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We estimated the expected term based on the simplified method, which is the average of the weighted-average vesting period and contractual term of the option.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there has been no public market for our common stock and lack of company specific historical volatility, we have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 price volatility for options granted based on an analysis of the volatility of a peer group of publicly traded companies. In evaluating similarity, we consider factors such as industry, stage of life cycle and size.</w:t>
      </w:r>
    </w:p>
    <w:p>
      <w:pPr>
        <w:spacing w:after="0" w:line="13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in effect at the time of the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remaining terms similar to the expected term of the options.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Expected Dividend Rate. </w:t>
      </w:r>
      <w:r>
        <w:rPr>
          <w:rFonts w:ascii="Arial" w:cs="Arial" w:eastAsia="Arial" w:hAnsi="Arial"/>
          <w:sz w:val="16"/>
          <w:szCs w:val="16"/>
          <w:color w:val="auto"/>
        </w:rPr>
        <w:t>We assumed the expected dividend rate to be zero as we have never paid dividends and have no current plans to do so.</w:t>
      </w:r>
    </w:p>
    <w:p>
      <w:pPr>
        <w:spacing w:after="0" w:line="19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See Note 8 to our consolidated financial statements included elsewhere in this prospectus for information concerning certain of the specific assumption we used in applying the Black-Scholes option pricing model to determine the fair value of our stock options granted in the years ended December 31, 2019 and 2020, and the six months ended June 30, 2020 and 2021. If factors change and we employ different assumptions, stock-based compensation expense may differ significantly from what we have recorded in the past. If there are any modifications or cancellations of the underlying unvested securities, we may be required to accelerate, increase or cancel any remaining unearned stock-based compensation expense.</w:t>
      </w:r>
    </w:p>
    <w:p>
      <w:pPr>
        <w:spacing w:after="0" w:line="12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recorded stock-based compensation expense of $2.0 million and $2.2 million during the years ended December 31, 2019 and 2020, respectively, and $1.0 million and $1.4 million during the six months ended June 30, 2020 and 2021, respectively. As of June 30, 2021, there was $8.9 million, of unrecognized stock-based compensation expense related to unvested common stock options which we expect to recognize over a weighted-average period of 3.0 years. We expect to continue to grant stock options and other equity-based awards in the future, and to the extent that we do, our stock-based compensation expense recognized in future periods is expected to increase.</w:t>
      </w:r>
    </w:p>
    <w:p>
      <w:pPr>
        <w:spacing w:after="0" w:line="13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Based upon an assumed initial public offering price of $23.00 per share, the midpoint of the price range set forth on the cover page of this prospectus, the aggregate intrinsic value of options outstanding as of June 30, 2021 was $121.4 million, of which $50.0 million related to vested options and $71.4 million related to unvested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Our intent has been to grant all options with an exercise price not less than the fair value of our common stock underlying those options on the date of grant. We have determined the estimated fair value of our common stock at each valuation date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or the Practice Aid. Our board of directors, with the assistance of management, developed these valuations using significant judgment and taking into account numerous factors, including:</w:t>
      </w:r>
    </w:p>
    <w:p>
      <w:pPr>
        <w:spacing w:after="0" w:line="134"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valuations of our common stock with the assistance of independent third-party valuation specialists;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stage of development and business strategy, including the status of research and development efforts, of our products and product candidates, and the material risks related to our business and industry;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medical device sectors, as well as recently completed mergers and acquisitions of peer companies;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prices of our redeemable convertible preferred stock sold to investors in arm’s length transactions and the rights, preferences, and privileges of our redeemable convertible preferred stock relative to those of our common stock;</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inability of our stockholders to freely trade our common stock in the public markets, resulting in a discount to reflect the lack of marketability of our common stock based on the weighted-average expected time to liquidity;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medical device industry sectors.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board of directors determined the fair value of our common stock by first determining the aggregate equity value of our business using the market approach, income approach or from the value implied by the latest round of equity financing,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 In accordance with the Practice Aid, we considered the option pricing method, or OPM, under which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4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For all option grants our board allocated the equity value based on the OPM, which was determined to be the most appropriate method based on our stage of development and other relevant factors. OPM treats the rights of the holders of preferred and common stock as equivalent to call options on any value of the enterprise above certain break points of value based upon the liquidation preferences of the holders of preferred stock, as well as their rights to participation and conversion. Thus, the estimated value of the common stock can be determined by estimating the value of its portion of each of these call option rights. When valuing options granted around the time of an equity financing that is considered arms-length, OPM derives our equity value from the price of our securities issued in the equity financing. Following the closing of this offering, the fair value of our common stock will be determined based on the closing price of our common stock on The Nasdaq Global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7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have issued freestanding warrants to purchase shares of convertible preferred stock to investors in connection with sales of certain of our redeemable convertible preferred stock. We classify these warrants as a derivative liability because they contain liquidation features that are not solely within our control. We record the fair value of the warrant on the balance sheet at the inception of such classification and adjust to fair value at each financial reporting date. The changes in the fair value of the warrants are recorded in the statement of operations as a component of interest and other income or expense as appropriate. We will continue to adjust the carrying value of the redeemable convertible preferred stock warrant liability for changes in the fair value of the warrants until the earlier of: the exercise of the warrants, at which time the liability will be reclassified to temporary equity or the expiration of the warrant, at which time the entire amount would be reversed and reflected in the consolidated statements of operations and comprehensive loss. Our assumptions with regard to the warrant valuation are based on estimates of the valuation of the underlying preferred stock, volatility, interest rate and such estimates could vary significantly.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Facility Derivative Liability</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have determined that our obligation to pay success fees to a lender upon a successful liquidation event or achieving a revenue target represents freestanding financial instruments. The instrument is classified as a long-term liability in the consolidated balance sheets and is subject to remeasurement at each consolidated balance sheet date. Any change in fair value is recognized through other income (expense) in the consolidated statements of operations and comprehensive loss. We adjust the carrying values of the loan facility derivative liability for changes in fair value and will continue to do so until the earlier of cash payment or expiration. The assumptions used in determining the fair value of the obligation require significant judgment.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 and Smaller Reporting Company Status</w:t>
      </w:r>
    </w:p>
    <w:p>
      <w:pPr>
        <w:spacing w:after="0" w:line="17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our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 commercial-stage surgical robotics company focused on advancing patient care by developing transformative solutions in urology. We develop, manufacture and sell the AquaBeam Robotic System, an advanced, image-guided, surgical robotic system for use in minimally-invasive urologic surgery, with an initial focus on treating benign prostatic hyperplasia, or BPH. BPH is the most common prostate disease and impacts approximately 40 million men in the United States. Our proprietary AquaBeam Robotic System employs a single-use disposable handpiece to deliver our Aquablation therapy, which combines real-time, multidimensional imaging, personalized treatment planning, automated robotics and heat-free waterjet ablation for targeted and rapid removal of prostate tissue.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are independent of prostate size and shape or surgeon experience. We have developed a significant and growing body of clinical evidence, which includes nine clinical studies and over 100 peer-reviewed publications, supporting the benefits and clinical advantages of Aquablation therapy. As of June 30, 2021, we had an installed base of 124 AquaBeam Robotic Systems, and Aquablation therapy has been utilized in the treatment of more than 5,500 patients whose prostates have ranged in size from less than 30 ml to over 300 ml.</w:t>
      </w:r>
    </w:p>
    <w:p>
      <w:pPr>
        <w:spacing w:after="0" w:line="1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BPH refers to the non-malignant enlargement of the prostate gland, a small gland in the male reproductive system. The main role of the prostate is to produce the fluid that protects and gives nutrients to sperm. The prostate sits underneath the bladder and surrounds the top part of the urethra, which carries urine from the bladder. 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w:t>
      </w:r>
    </w:p>
    <w:p>
      <w:pPr>
        <w:spacing w:after="0" w:line="12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United States it is estimated that approximately 40 million men are impacted by symptoms of BPH, with aging demographics expected to drive future growth. Over the next ten years, it is expected that the number of men over 65 years old in the United States will double and include a corresponding increase in the number of men with enlarged prostates. Of these men, approximately 12 million are being managed by a physician for symptoms related to their disease. Our total addressable patient population in the United States includes approximately 8.2 million patients, comprising 6.7 million receiving drug therapy, 1.1 million who have tried but failed drug therapy and 400,000 undergoing surgical intervention each year. Based on the average selling price of our single-use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w:t>
      </w:r>
    </w:p>
    <w:p>
      <w:pPr>
        <w:spacing w:after="0" w:line="13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main goal of BPH treatment is to alleviate the symptoms associated with the disease and improve the patient’s quality of life. While drug therapy is typically a first line treatment option, limited efficacy and negative side effects contribute to low compliance and high failure rates and drop outs. On the other hand, surgical intervention is proven to provide effective and durable symptom relief compared to drug therapy, but the use of surgery is significantly underpenetrated, largely due to the compromise patients must make between the incidence of irreversible side effects associated with alternative resective surgical interventions, where obstructive tissue is removed at the time of intervention, or the lower rates of efficacy and durability associated with non-resective surgical interventions, where obstructive tissue is not removed, but rather the prostatic urethra is re-shaped. In addition, most alternative surgical interventions are limited by prostate size and shape, with no single procedure capable of effectively addressing the full range of prostate anatomies regardless of surgeon experience level.</w:t>
      </w:r>
    </w:p>
    <w:p>
      <w:pPr>
        <w:spacing w:after="0" w:line="124"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We were founded by Dr. Nikolai Aljuri, Ph.D. and Dr. Rodney Perkins and began developing our proprietary AquaBeam Robotic System in 2009 to address many of the shortcomings of alternative surgical interventions by delivering our Aquablation therapy, the first and only image-guided robotic therapy for the treatment of BPH. The AquaBeam Robotic System combines real-time image guidance, personalized treatment planning, automated robotic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execution and heat-free waterjet ablation. We believe our Aquablation therapy addresses the compromise between safety and efficacy of alternative surgical interventions, providing the following unique combination of benefits:</w:t>
      </w:r>
    </w:p>
    <w:p>
      <w:pPr>
        <w:spacing w:after="0" w:line="116" w:lineRule="exact"/>
        <w:rPr>
          <w:sz w:val="20"/>
          <w:szCs w:val="20"/>
          <w:color w:val="auto"/>
        </w:rPr>
      </w:pPr>
    </w:p>
    <w:p>
      <w:pPr>
        <w:ind w:left="660" w:hanging="328"/>
        <w:spacing w:after="0" w:line="288" w:lineRule="auto"/>
        <w:tabs>
          <w:tab w:leader="none" w:pos="655"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Significant and durable symptom relief. </w:t>
      </w:r>
      <w:r>
        <w:rPr>
          <w:rFonts w:ascii="Arial" w:cs="Arial" w:eastAsia="Arial" w:hAnsi="Arial"/>
          <w:sz w:val="16"/>
          <w:szCs w:val="16"/>
          <w:color w:val="auto"/>
        </w:rPr>
        <w:t>Given obstructive prostate tissue is removed during the procedure, Aquablation therapy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demonstrated significant and long-lasting levels of symptom relief similar to those of alternative resective procedures. In our U.S. pivotal trial, Waterjet Ablation Therapy for Endoscopic Resection of prostate tissue, or the WATER study, Aquablation therapy demonstrated superior safety and non-inferior efficacy compared to transurethral resection of the prostate, or TURP, the historical standard of care for the surgical treatment of BPH. In the WATER and WATER II studies, surgical retreatment rates at three years were only 4.3% and 3.0%, respectively. In the OPEN WATER study, there were no surgical retreatments at one year. The three-year retreatment rates in the WATER and WATER II studies compare favorably to surgical retreatment rates observed for alternative treatments for BPH. One study published in the BJU International Journal reported on 52,748 men undergoing TURP or PVP with an approximated three-year freedom from surgical retreatment of 92% and 89%, respectively. A second study published in the Journal of Urology reported on 43,041 men undergoing TURP, PVP, enucleation, or open simple prostatectomy with an approximated three-year freedom from surgical retreatment of 93%, 89%, 94%, and 96%, respectively.</w:t>
      </w:r>
    </w:p>
    <w:p>
      <w:pPr>
        <w:spacing w:after="0" w:line="114" w:lineRule="exact"/>
        <w:rPr>
          <w:rFonts w:ascii="Arial" w:cs="Arial" w:eastAsia="Arial" w:hAnsi="Arial"/>
          <w:sz w:val="16"/>
          <w:szCs w:val="16"/>
          <w:color w:val="auto"/>
        </w:rPr>
      </w:pPr>
    </w:p>
    <w:p>
      <w:pPr>
        <w:jc w:val="both"/>
        <w:ind w:left="660" w:right="220" w:hanging="328"/>
        <w:spacing w:after="0" w:line="311" w:lineRule="auto"/>
        <w:tabs>
          <w:tab w:leader="none" w:pos="655"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Favorable safety profile. </w:t>
      </w:r>
      <w:r>
        <w:rPr>
          <w:rFonts w:ascii="Arial" w:cs="Arial" w:eastAsia="Arial" w:hAnsi="Arial"/>
          <w:sz w:val="16"/>
          <w:szCs w:val="16"/>
          <w:color w:val="auto"/>
        </w:rPr>
        <w:t>Aquablation therapy has demonstrated low rates of irreversible complications, including urinary incontinence, erectile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dysfunction and ejaculatory dysfunction, compared to published rates observed for other resective surgeries. In our WATER study, patients who underwent Aquablation therapy maintained a higher level of sexual function compared to those who underwent TURP.</w:t>
      </w:r>
    </w:p>
    <w:p>
      <w:pPr>
        <w:spacing w:after="0" w:line="94" w:lineRule="exact"/>
        <w:rPr>
          <w:rFonts w:ascii="Arial" w:cs="Arial" w:eastAsia="Arial" w:hAnsi="Arial"/>
          <w:sz w:val="16"/>
          <w:szCs w:val="16"/>
          <w:color w:val="auto"/>
        </w:rPr>
      </w:pPr>
    </w:p>
    <w:p>
      <w:pPr>
        <w:ind w:left="660" w:right="140" w:hanging="328"/>
        <w:spacing w:after="0" w:line="272"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Outcomes independent of prostate size and shape and surgeon experience. </w:t>
      </w:r>
      <w:r>
        <w:rPr>
          <w:rFonts w:ascii="Arial" w:cs="Arial" w:eastAsia="Arial" w:hAnsi="Arial"/>
          <w:sz w:val="17"/>
          <w:szCs w:val="17"/>
          <w:color w:val="auto"/>
        </w:rPr>
        <w:t>We designed Aquablation therapy to deliver outcomes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safe and durable for males suffering from LUTS due to BPH across all prostate sizes and shapes. Our WATER, WATER II and OPEN WATER studies enrolled men with prostate sizes between 20 ml and 150 ml; however, in the commercial setting, we have successfully treated men with prostate sizes over 300 ml. Additionally, in the WATER and WATER II studies, 50% and 83% of men, respectively, had an obstructive median lobe, and the average prostate size in each study was 54 ml and 107 ml, respectively. Compared to other resective procedures, we believe Aquablation therapy is relatively simple to learn, enabled by the intuitive user interface of the conformal planning unit, or CPU, and automated robotic resection, and delivers outcomes that are independent of surgeon experience.</w:t>
      </w:r>
    </w:p>
    <w:p>
      <w:pPr>
        <w:spacing w:after="0" w:line="123" w:lineRule="exact"/>
        <w:rPr>
          <w:rFonts w:ascii="Arial" w:cs="Arial" w:eastAsia="Arial" w:hAnsi="Arial"/>
          <w:sz w:val="17"/>
          <w:szCs w:val="17"/>
          <w:color w:val="auto"/>
        </w:rPr>
      </w:pPr>
    </w:p>
    <w:p>
      <w:pPr>
        <w:ind w:left="660" w:right="80" w:hanging="328"/>
        <w:spacing w:after="0" w:line="259"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Personalized treatment planning and improved decision-making. </w:t>
      </w:r>
      <w:r>
        <w:rPr>
          <w:rFonts w:ascii="Arial" w:cs="Arial" w:eastAsia="Arial" w:hAnsi="Arial"/>
          <w:sz w:val="18"/>
          <w:szCs w:val="18"/>
          <w:color w:val="auto"/>
        </w:rPr>
        <w:t>Aquablation therapy combines cystoscopic visualization, which uses a camera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attached to a hollow tube, along with ultrasound imaging and advanced planning software to provide the surgeon with a multidimensional view of the treatment area and enable personalized treatment planning for the patient’s unique anatomy, improved decision-making and real-time monitoring during the procedure.</w:t>
      </w:r>
    </w:p>
    <w:p>
      <w:pPr>
        <w:spacing w:after="0" w:line="132" w:lineRule="exact"/>
        <w:rPr>
          <w:rFonts w:ascii="Arial" w:cs="Arial" w:eastAsia="Arial" w:hAnsi="Arial"/>
          <w:sz w:val="18"/>
          <w:szCs w:val="18"/>
          <w:color w:val="auto"/>
        </w:rPr>
      </w:pPr>
    </w:p>
    <w:p>
      <w:pPr>
        <w:jc w:val="both"/>
        <w:ind w:left="660" w:right="260" w:hanging="328"/>
        <w:spacing w:after="0" w:line="26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Targeted and controlled resection with consistent resection times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Aquablation therapy utilizes automated robotic resection to remove prostate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tissue using a precise, heat-free waterjet. These features enable targeted and controlled tissue removal with rapid resection times that are highly consistent across prostate sizes and shapes and surgeon experience.</w:t>
      </w:r>
    </w:p>
    <w:p>
      <w:pPr>
        <w:spacing w:after="0" w:line="13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have developed a significant and growing body of clinical data that demonstrate the efficacy, safety and durability of Aquablation therapy, independent of prostate size and shape and surgeon experience. Our robust body of clinical evidence includes nine clinical studies and more than 100 peer-reviewed publications. Our WATER study is the only FDA pivotal study randomized against TURP. In this study, Aquablation therapy demonstrated superior safety and non-inferior efficacy compared to TURP across prostate sizes between 30 ml and 80 ml, and superior efficacy in a subset of patients with prostates larger than 50 ml. We have established strong relationships with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 or AUA.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In the United States, we sell our products to hospitals. These customers in turn bill various third-party payors, such as commercial payors and government agencies, for treatment payment of each patient. Effective in 2021, all local Medicare Administrative Contractors, or MACs, which represent 100% of eligible Medicare patients, issued final positive local coverage determinations to provide Medicare beneficiaries with access to Aquablation therapy in all 50 states. Our strong body of clinical evidence and support from key societies, supplemented by the momentum from Medicare coverage, have led to favorable coverage decisions from several large commercial payors, including Anthem, BlueCross – Massachusetts, Emblem Health, Health Care Service Corp, and Humana. We plan to leverage these recent successes in our active discussions with commercial payors to establish additional positive national and regional coverage policies. Outside of the United States, we have ongoing efforts in key markets to expand established coverage and improve payment which we will believe will expand patient access to Aquablation therapy.</w:t>
      </w:r>
    </w:p>
    <w:p>
      <w:pPr>
        <w:spacing w:after="0" w:line="11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primarily sell our products through our direct sales organization in the United States, which targets urologists across the United States, who we believe represent the primary physician specialty managing the care of and receiving referrals for patients with BPH. We are initially targeting 860 high-volume hospitals that perform, on average, more than 200 resective procedures annually and account for approximately 70% of all hospital-based resective procedures. We estimate that approximately 50% of BPH patients who are on drug therapy as well as 50% who have failed drug therapy are under the care of a urologist, equating to approximately 3.9 million men. We believe we can reach these patients by continuing to educate our network of urologists of the clinical benefits of Aquablation therapy, provide comprehensive training programs and deepen our relationships with key urologists and various medical societies. As of June 30, 2021, we employed a Vice President of U.S. sales, a sales director and 24 sales professionals, including four sales</w:t>
      </w:r>
    </w:p>
    <w:p>
      <w:pPr>
        <w:spacing w:after="0" w:line="2"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managers, 10 robotic sales representatives and 10 Aquablation sales representatives, who focus on driving utilization. We intend to expand the size of our direct sales organization in the United States to support our efforts for adoption and utilization of Aquablation therapy. Outside the United States, we sell our products using both our direct sales organization and, in certain regions, our network of distribution partners.</w:t>
      </w:r>
    </w:p>
    <w:p>
      <w:pPr>
        <w:spacing w:after="0" w:line="11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generated revenue of $7.7 million and incurred a net loss of $53.0 million for the year ended December 31, 2020, compared to revenue of $6.2 million and a net loss of $42.0 million for the year ended December 31, 2019. We generated revenue of $15.7 million and incurred a net loss of $27.4 million for the six months ended June 30, 2021, compared to revenue of $2.4 million and a net loss of $25.7 million for the six months ended June 30, 2020. As of June 30, 2021, we had an accumulated deficit of $229.1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continued growth of our company will be driven by the following success factors:</w:t>
      </w:r>
    </w:p>
    <w:p>
      <w:pPr>
        <w:spacing w:after="0" w:line="171" w:lineRule="exact"/>
        <w:rPr>
          <w:sz w:val="20"/>
          <w:szCs w:val="20"/>
          <w:color w:val="auto"/>
        </w:rPr>
      </w:pPr>
    </w:p>
    <w:p>
      <w:pPr>
        <w:ind w:left="660" w:right="180" w:hanging="328"/>
        <w:spacing w:after="0" w:line="290"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First and only image-guided, heat-free robotic therapy for BPH that addresses the compromise between safety and efficacy of alternative surgical interventions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developed the AquaBeam Robotic System, an advanced, image-guided, surgical robotic system for use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minimally invasive BPH surgery. The AquaBeam Robotic System delivers our Aquablation therapy, the first and only image-guided, heat-free robotic therapy for the treatment of BPH. Aquablation therapy combines real-time, multidimensional imaging, personalized treatment planning, automated robotics and heat-free waterjet ablation for targeted and rapid removal of prostate tissue. We believe that alternative surgical interventions for BPH have a number of shortcomings which require patients to compromise between safety and efficacy, either providing significant symptom relief but with a heightened risk of irreversible complications or a lower risk of complications but with significantly less symptom relief. We believe Aquablation therapy represents a paradigm shift in the surgical treatment of BPH by addressing this compromise.</w:t>
      </w:r>
    </w:p>
    <w:p>
      <w:pPr>
        <w:spacing w:after="0" w:line="111" w:lineRule="exact"/>
        <w:rPr>
          <w:rFonts w:ascii="Arial" w:cs="Arial" w:eastAsia="Arial" w:hAnsi="Arial"/>
          <w:sz w:val="16"/>
          <w:szCs w:val="16"/>
          <w:color w:val="auto"/>
        </w:rPr>
      </w:pPr>
    </w:p>
    <w:p>
      <w:pPr>
        <w:ind w:left="660" w:right="140" w:hanging="328"/>
        <w:spacing w:after="0" w:line="255"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Large, growing and underpenetrated market opportunity. </w:t>
      </w:r>
      <w:r>
        <w:rPr>
          <w:rFonts w:ascii="Arial" w:cs="Arial" w:eastAsia="Arial" w:hAnsi="Arial"/>
          <w:sz w:val="18"/>
          <w:szCs w:val="18"/>
          <w:color w:val="auto"/>
        </w:rPr>
        <w:t>BPH is the number one reason men visit a urologist and we estimate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40 million men in the United States alone are impacted by symptoms of BPH, with aging demographics expected to drive future growth. Of these men, approximately 12 million are being managed by a physician for symptoms related to their disease. While drug therapy is typically a first-line treatment option, limited efficacy and negative side effects, including neurologic, ophthalmic and sexual complications, contribute to low compliance and high failure rates, often as high as 30%. On the other hand, surgical intervention is proven to provide effective and durable symptom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320" w:top="1440" w:right="399" w:bottom="1440" w:gutter="0" w:footer="0" w:header="0"/>
        </w:sectPr>
      </w:pPr>
    </w:p>
    <w:bookmarkStart w:id="109" w:name="page110"/>
    <w:bookmarkEnd w:id="109"/>
    <w:p>
      <w:pPr>
        <w:spacing w:after="0" w:line="144" w:lineRule="exact"/>
        <w:rPr>
          <w:sz w:val="20"/>
          <w:szCs w:val="20"/>
          <w:color w:val="auto"/>
        </w:rPr>
      </w:pPr>
    </w:p>
    <w:p>
      <w:pPr>
        <w:ind w:left="328" w:right="80"/>
        <w:spacing w:after="0" w:line="273" w:lineRule="auto"/>
        <w:rPr>
          <w:sz w:val="20"/>
          <w:szCs w:val="20"/>
          <w:color w:val="auto"/>
        </w:rPr>
      </w:pPr>
      <w:r>
        <w:rPr>
          <w:rFonts w:ascii="Arial" w:cs="Arial" w:eastAsia="Arial" w:hAnsi="Arial"/>
          <w:sz w:val="17"/>
          <w:szCs w:val="17"/>
          <w:color w:val="auto"/>
        </w:rPr>
        <w:t>compared to drug therapy, but the use of surgery is significantly underpenetrated, largely due to the compromise and limitations associated with alternative surgical interventions. Our total addressable patient population in the United States includes approximately 8.2 million patients, comprised of 6.7 million who are receiving drug therapy, 1.1 million who have tried but failed drug therapy and 400,000 who are undergoing surgical intervention each year. Based on the average selling price of our single-use handpiece, we estimate that our total U.S. addressable market opportunity is in excess of $20 billion. The global incidence of BPH among men over 50 years old is similar to that of the United States, representing a significant incremental market opportunity outside of the United States.</w:t>
      </w:r>
    </w:p>
    <w:p>
      <w:pPr>
        <w:spacing w:after="0" w:line="124" w:lineRule="exact"/>
        <w:rPr>
          <w:sz w:val="20"/>
          <w:szCs w:val="20"/>
          <w:color w:val="auto"/>
        </w:rPr>
      </w:pPr>
    </w:p>
    <w:p>
      <w:pPr>
        <w:ind w:left="328" w:hanging="328"/>
        <w:spacing w:after="0" w:line="285" w:lineRule="auto"/>
        <w:tabs>
          <w:tab w:leader="none" w:pos="323"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Significant and growing body of clinical evidence and strong support from key opinion leaders, or KOLs, resulting in the inclusion of Aquablation therapy into societal guidelines and rapid expansion of positive reimbursement coverage policies. </w:t>
      </w:r>
      <w:r>
        <w:rPr>
          <w:rFonts w:ascii="Arial" w:cs="Arial" w:eastAsia="Arial" w:hAnsi="Arial"/>
          <w:sz w:val="16"/>
          <w:szCs w:val="16"/>
          <w:color w:val="auto"/>
        </w:rPr>
        <w:t>We have developed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growing body of clinical data that demonstrates the efficacy, safety and durability of Aquablation therapy, consistent across all prostate sizes and shapes and independent of surgeon experience. Our robust clinical evidence includes nine clinical studies that we sponsored and enrolled between 2013 and 2018, as well as more than 100 peer-reviewed publications. Our employees participated in protocol design, data management, monitoring, and statistical analysis in all nine clinical studies and results were provided to authors for publication upon request. Our WATER study is the only FDA pivotal study randomized against TURP, which is the historical standard of care for the surgical treatment of BPH. In this study, Aquablation therapy demonstrated superior safety and non-inferior efficacy compared to TURP across prostate sizes between 30 ml and 80 ml, and superior efficacy in a subset of patients with prostates larger than 50 ml. We have established strong relationships with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 European Association of Urology, Canadian Urological Association, and National Institute for Health and Care Excellence; has achieved favorable coverage determinations from MACs; and has been designated by Centers for Medicare and Medicaid Services, or CMS, as demonstrating substantial clinical improvement over alternative surgical interventions and granted transitional pass-through payment status. We believe our compelling clinical evidence, strong KOL relationships and engagement with global urological societies will continue to play an important role in growing awareness and increasing adoption of Aquablation therapy.</w:t>
      </w:r>
    </w:p>
    <w:p>
      <w:pPr>
        <w:spacing w:after="0" w:line="119" w:lineRule="exact"/>
        <w:rPr>
          <w:rFonts w:ascii="Arial" w:cs="Arial" w:eastAsia="Arial" w:hAnsi="Arial"/>
          <w:sz w:val="16"/>
          <w:szCs w:val="16"/>
          <w:color w:val="auto"/>
        </w:rPr>
      </w:pPr>
    </w:p>
    <w:p>
      <w:pPr>
        <w:ind w:left="328" w:right="20" w:hanging="328"/>
        <w:spacing w:after="0" w:line="288" w:lineRule="auto"/>
        <w:tabs>
          <w:tab w:leader="none" w:pos="323"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Compelling value proposition and benefits to hospitals, surgeons and patients. </w:t>
      </w:r>
      <w:r>
        <w:rPr>
          <w:rFonts w:ascii="Arial" w:cs="Arial" w:eastAsia="Arial" w:hAnsi="Arial"/>
          <w:sz w:val="16"/>
          <w:szCs w:val="16"/>
          <w:color w:val="auto"/>
        </w:rPr>
        <w:t>We designed our AquaBeam Robotic System to enable consistent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reproducible BPH surgery outcomes that are independent of surgeon experience and require minimal training. In addition, we believe the differentiated features of Aquablation therapy allow for improved predictability of outcomes and, as such, increase surgeon confidence in recommending surgical intervention to their patients. Given its ability to treat prostate sizes of all shapes and sizes, Aquablation therapy enables hospitals to consolidate the surgical treatment of BPH in a single therapy. We also believe that hospital administrators will be able to leverage the differentiation of Aquablation therapy as a marketing tool to attract skilled surgeons and patients to their hospital system. Furthermore, the AquaBeam Robotic System is highly mobile and compact, requiring no retrofitting of the operating room, and we believe is competitively priced compared to other robotic systems and capital equipment devices, both factors which we believe remove adoption hurdles for hospital customers and allow for a more streamlined hospital sales cycle. For patients, Aquablation therapy offers significant and durable symptom relief with an attractive safety profile. We believe these benefits will continue to support the adoption of Aquablation therapy by hospitals and surgeons.</w:t>
      </w:r>
    </w:p>
    <w:p>
      <w:pPr>
        <w:spacing w:after="0" w:line="114" w:lineRule="exact"/>
        <w:rPr>
          <w:rFonts w:ascii="Arial" w:cs="Arial" w:eastAsia="Arial" w:hAnsi="Arial"/>
          <w:sz w:val="16"/>
          <w:szCs w:val="16"/>
          <w:color w:val="auto"/>
        </w:rPr>
      </w:pPr>
    </w:p>
    <w:p>
      <w:pPr>
        <w:ind w:left="328" w:right="160" w:hanging="328"/>
        <w:spacing w:after="0" w:line="259"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Recurring revenue model. </w:t>
      </w:r>
      <w:r>
        <w:rPr>
          <w:rFonts w:ascii="Arial" w:cs="Arial" w:eastAsia="Arial" w:hAnsi="Arial"/>
          <w:sz w:val="18"/>
          <w:szCs w:val="18"/>
          <w:color w:val="auto"/>
        </w:rPr>
        <w:t>We generate revenue primarily from hospitals making capital purchases of our AquaBeam Robotic System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our single-use handpieces for individual patient use. We also generate revenue by providing post-warranty service for the AquaBeam Robotic System. We believe our business model of selling capital equipment that generates corresponding disposables utilization and post-warranty service contracts provides a path to predictable, recurring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888"/>
          </w:cols>
          <w:pgMar w:left="652" w:top="1440" w:right="359" w:bottom="1440" w:gutter="0" w:footer="0" w:header="0"/>
        </w:sectPr>
      </w:pPr>
    </w:p>
    <w:bookmarkStart w:id="110" w:name="page111"/>
    <w:bookmarkEnd w:id="110"/>
    <w:p>
      <w:pPr>
        <w:spacing w:after="0" w:line="144" w:lineRule="exact"/>
        <w:rPr>
          <w:sz w:val="20"/>
          <w:szCs w:val="20"/>
          <w:color w:val="auto"/>
        </w:rPr>
      </w:pPr>
    </w:p>
    <w:p>
      <w:pPr>
        <w:ind w:left="660" w:right="20" w:hanging="328"/>
        <w:spacing w:after="0" w:line="255"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research and development capabilities and a robust intellectual property portfolio. </w:t>
      </w:r>
      <w:r>
        <w:rPr>
          <w:rFonts w:ascii="Arial" w:cs="Arial" w:eastAsia="Arial" w:hAnsi="Arial"/>
          <w:sz w:val="18"/>
          <w:szCs w:val="18"/>
          <w:color w:val="auto"/>
        </w:rPr>
        <w:t>We have invested in establishing strong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capabilities for over a decade, including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 We have a broad patent portfolio, including 96 issued patents and 85 pending patent applications as of June 30, 2021. We believe our intellectual property and know-how present a significant barrier to entry for our competitors.</w:t>
      </w:r>
    </w:p>
    <w:p>
      <w:pPr>
        <w:spacing w:after="0" w:line="138" w:lineRule="exact"/>
        <w:rPr>
          <w:rFonts w:ascii="Arial" w:cs="Arial" w:eastAsia="Arial" w:hAnsi="Arial"/>
          <w:sz w:val="18"/>
          <w:szCs w:val="18"/>
          <w:color w:val="auto"/>
        </w:rPr>
      </w:pPr>
    </w:p>
    <w:p>
      <w:pPr>
        <w:ind w:left="660" w:right="180" w:hanging="328"/>
        <w:spacing w:after="0" w:line="296"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leadership team and board members with deep industry experience. </w:t>
      </w:r>
      <w:r>
        <w:rPr>
          <w:rFonts w:ascii="Arial" w:cs="Arial" w:eastAsia="Arial" w:hAnsi="Arial"/>
          <w:sz w:val="16"/>
          <w:szCs w:val="16"/>
          <w:color w:val="auto"/>
        </w:rPr>
        <w:t>We are led by a highly experienced management team and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successful track record of building businesses by identifying and providing solutions for underserved markets in the medical device industry. Our team has successfully led and managed dynamic growth phases in organizations and commercialized products in markets with established incumbents by addressing the unmet needs of the physicians and patients they serve. Our senior management team has an average of over 18 years of experience in the medical device industry across both public and private companies.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establish Aquablation therapy as the surgical standard of care for BPH. The key elements of our growth strategy are:</w:t>
      </w:r>
    </w:p>
    <w:p>
      <w:pPr>
        <w:spacing w:after="0" w:line="171" w:lineRule="exact"/>
        <w:rPr>
          <w:sz w:val="20"/>
          <w:szCs w:val="20"/>
          <w:color w:val="auto"/>
        </w:rPr>
      </w:pPr>
    </w:p>
    <w:p>
      <w:pPr>
        <w:ind w:left="660" w:hanging="328"/>
        <w:spacing w:after="0" w:line="289"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installed base of AquaBeam Robotic Systems by driving adoption of Aquablation therapy among urologists. </w:t>
      </w:r>
      <w:r>
        <w:rPr>
          <w:rFonts w:ascii="Arial" w:cs="Arial" w:eastAsia="Arial" w:hAnsi="Arial"/>
          <w:sz w:val="16"/>
          <w:szCs w:val="16"/>
          <w:color w:val="auto"/>
        </w:rPr>
        <w:t>In the United States,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initially focused on driving adoption of Aquablation therapy among urologists that perform hospital-based resective BPH surgery. We estimate that approximately 290,000 of the 400,000 annual BPH surgeries are resective procedures performed across approximately 2,700 hospitals. We are initially targeting 860 high-volume hospitals that we estimate perform, on average, more than 200 resective procedures annually and account for approximately 70% of all hospital-based resective procedures. To penetrate these hospitals, we will continue to increase our direct team of capital sales representatives, who are focused on driving system placement within hospitals by engaging with key surgeons and decision makers to educate them about the compelling value proposition of Aquablation therapy. We also intend to increase awareness of Aquablation therapy by continuing to publish clinical data in various industry and scientific journals, present our clinical data at various industry conferences and sponsor peer-to-peer education programs and proctorships. Over time, we will gradually expand our focus to also include mid- and low-volume hospitals.</w:t>
      </w:r>
    </w:p>
    <w:p>
      <w:pPr>
        <w:spacing w:after="0" w:line="112" w:lineRule="exact"/>
        <w:rPr>
          <w:rFonts w:ascii="Arial" w:cs="Arial" w:eastAsia="Arial" w:hAnsi="Arial"/>
          <w:sz w:val="16"/>
          <w:szCs w:val="16"/>
          <w:color w:val="auto"/>
        </w:rPr>
      </w:pPr>
    </w:p>
    <w:p>
      <w:pPr>
        <w:ind w:left="660" w:right="60" w:hanging="328"/>
        <w:spacing w:after="0" w:line="269" w:lineRule="auto"/>
        <w:tabs>
          <w:tab w:leader="none" w:pos="655"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 system utilization by establishing Aquablation therapy as the surgical treatment of choice for BPH. </w:t>
      </w:r>
      <w:r>
        <w:rPr>
          <w:rFonts w:ascii="Arial" w:cs="Arial" w:eastAsia="Arial" w:hAnsi="Arial"/>
          <w:sz w:val="17"/>
          <w:szCs w:val="17"/>
          <w:color w:val="auto"/>
        </w:rPr>
        <w:t>Once we place a system within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hospital, our 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will leverage their experiences to capture more surgical volumes and establish Aquablation therapy as the surgical standard of care. Over time, we intend to leverage our relationships with urologists to drive utilization of Aquablation therapy beyond the current surgical market. We estimate that approximately 50% of BPH patients who are on drug therapy as well as 50% who have failed drug therapy are under the care of a urologist, equating to approximately 3.9 million men. We believe we can reach these patients by continuing to educate our network of urologists of the clinical benefits of Aquablation therapy, provide comprehensive training programs and deepen our relationships with key urologists and various medical societies. Furthermore, we believe that additional coverage by private payors will continue to drive increased utilization.</w:t>
      </w:r>
    </w:p>
    <w:p>
      <w:pPr>
        <w:spacing w:after="0" w:line="124" w:lineRule="exact"/>
        <w:rPr>
          <w:rFonts w:ascii="Arial" w:cs="Arial" w:eastAsia="Arial" w:hAnsi="Arial"/>
          <w:sz w:val="17"/>
          <w:szCs w:val="17"/>
          <w:color w:val="auto"/>
        </w:rPr>
      </w:pPr>
    </w:p>
    <w:p>
      <w:pPr>
        <w:ind w:left="660" w:right="58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broaden private payor coverage. </w:t>
      </w:r>
      <w:r>
        <w:rPr>
          <w:rFonts w:ascii="Arial" w:cs="Arial" w:eastAsia="Arial" w:hAnsi="Arial"/>
          <w:sz w:val="18"/>
          <w:szCs w:val="18"/>
          <w:color w:val="auto"/>
        </w:rPr>
        <w:t>Since the addition of Aquablation therapy to AUA clinical guidelines in May 2019,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significantly grown coverage for Aquablation therapy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44"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color w:val="auto"/>
        </w:rPr>
        <w:t>States. Effective in 2021, all local MACs, which represent 100% of eligible Medicare patients, issued final positive local coverage determinations to provide Medicare beneficiaries with access to Aquablation therapy in all 50 states. We believe that these favorable coverage decisions have been a catalyst for hospital adoption of our AquaBeam Robotic System. Our strong body of clinical evidence and support from key societies, supplemented by the momentum from Medicare coverage, have led to favorable coverage decisions from several large private payors, including Anthem, BlueCross – Massachusetts, Emblem Health, Health Care Service Corp, and Humana. We plan to leverage these recent successes in our active discussions with private payors to establish additional positive national and regional coverage policies. We believe that additional private payor coverage will contribute to increasing utilization of our system over time. Outside of the United States, we have ongoing efforts in key markets to expand established coverage and further improve patient access to Aquablation therapy.</w:t>
      </w:r>
    </w:p>
    <w:p>
      <w:pPr>
        <w:spacing w:after="0" w:line="111" w:lineRule="exact"/>
        <w:rPr>
          <w:sz w:val="20"/>
          <w:szCs w:val="20"/>
          <w:color w:val="auto"/>
        </w:rPr>
      </w:pPr>
    </w:p>
    <w:p>
      <w:pPr>
        <w:ind w:left="660" w:right="120" w:hanging="328"/>
        <w:spacing w:after="0" w:line="272" w:lineRule="auto"/>
        <w:tabs>
          <w:tab w:leader="none" w:pos="655"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upon our strong base of clinical evidence. </w:t>
      </w:r>
      <w:r>
        <w:rPr>
          <w:rFonts w:ascii="Arial" w:cs="Arial" w:eastAsia="Arial" w:hAnsi="Arial"/>
          <w:sz w:val="17"/>
          <w:szCs w:val="17"/>
          <w:color w:val="auto"/>
        </w:rPr>
        <w:t>We are committed to continuing to build upon our foundation of clinical evidence,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 will help drive increased awareness and adoption of our products. For example, we are continuing to follow patients in our WATER and WATER II studies to collect five-year clinical outcomes as well as conducting sub-group analyses across our base of clinical data that we believe will further define the role of Aquablation therapy across patient populations. We also plan to further build our base of clinical evidence by supporting new clinical studies intended to support commercial, regulatory and reimbursement efforts. For example, we are supporting an investigator-initiated clinical study, called WATER III, which will be a randomized controlled trial evaluating Aquablation therapy against laser enucleation in treating BPH patients with large prostate sizes.</w:t>
      </w:r>
    </w:p>
    <w:p>
      <w:pPr>
        <w:spacing w:after="0" w:line="123" w:lineRule="exact"/>
        <w:rPr>
          <w:rFonts w:ascii="Arial" w:cs="Arial" w:eastAsia="Arial" w:hAnsi="Arial"/>
          <w:sz w:val="17"/>
          <w:szCs w:val="17"/>
          <w:color w:val="auto"/>
        </w:rPr>
      </w:pPr>
    </w:p>
    <w:p>
      <w:pPr>
        <w:ind w:left="660" w:right="60" w:hanging="328"/>
        <w:spacing w:after="0" w:line="255"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 in research and development to drive continuous improvements and innovation. </w:t>
      </w:r>
      <w:r>
        <w:rPr>
          <w:rFonts w:ascii="Arial" w:cs="Arial" w:eastAsia="Arial" w:hAnsi="Arial"/>
          <w:sz w:val="18"/>
          <w:szCs w:val="18"/>
          <w:color w:val="auto"/>
        </w:rPr>
        <w:t>We are currently developing additional and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machine-learning to enable computer-assisted anatomy recognition and improved treatment planning and personalization. In the future, we may evaluate the application of the AquaBeam Robotic System in new urologic conditions beyond BPH.</w:t>
      </w:r>
    </w:p>
    <w:p>
      <w:pPr>
        <w:spacing w:after="0" w:line="138"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increased awareness of Aquablation therapy beyond the urology community. </w:t>
      </w:r>
      <w:r>
        <w:rPr>
          <w:rFonts w:ascii="Arial" w:cs="Arial" w:eastAsia="Arial" w:hAnsi="Arial"/>
          <w:sz w:val="18"/>
          <w:szCs w:val="18"/>
          <w:color w:val="auto"/>
        </w:rPr>
        <w:t>As we expand our network of urologists and grow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installed base, we intend to increase awareness and brand recognition of Aquablation therapy beyond urologists, primarily among primary care physicians who manage BPH patients. We estimate that approximately 3.9 million men, including approximately 3.3 million patients who are on drug therapy and 600,000 who have failed drug therapy, are under the care of a primary care physician. To achieve this objective, we will invest in marketing initiatives directed at primary care physicians in order to optimize referral pathways and expand networks for BPH patients to visit a urologist. Once we have established a broader installed base of systems, we may seek to further increase patient awareness through various direct-to-patient marketing initiatives.</w:t>
      </w:r>
    </w:p>
    <w:p>
      <w:pPr>
        <w:spacing w:after="0" w:line="140" w:lineRule="exact"/>
        <w:rPr>
          <w:rFonts w:ascii="Arial" w:cs="Arial" w:eastAsia="Arial" w:hAnsi="Arial"/>
          <w:sz w:val="18"/>
          <w:szCs w:val="18"/>
          <w:color w:val="auto"/>
        </w:rPr>
      </w:pPr>
    </w:p>
    <w:p>
      <w:pPr>
        <w:ind w:left="660" w:right="140" w:hanging="328"/>
        <w:spacing w:after="0" w:line="273" w:lineRule="auto"/>
        <w:tabs>
          <w:tab w:leader="none" w:pos="655"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Further penetrate and expand into existing and new international markets. </w:t>
      </w:r>
      <w:r>
        <w:rPr>
          <w:rFonts w:ascii="Arial" w:cs="Arial" w:eastAsia="Arial" w:hAnsi="Arial"/>
          <w:sz w:val="17"/>
          <w:szCs w:val="17"/>
          <w:color w:val="auto"/>
        </w:rPr>
        <w:t>We plan to establish and strengthen our presence internationally.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the United States remains our primary focus in the near-term, we are growing our existing presence in the large European markets, including Germany, France, Italy, Spain and the United Kingdom, by continuing to promote the clinical benefits of Aquablation therapy, supporting investments in clinical studies to improve coverage and reimbursement and fostering relationships with KOLs. In addition, we intend to expand our reach to selected new markets in the Asia-Pacific region over time. We plan to strategically invest in new markets based on our assessment of market size and opportunity and prospects for compelling reimbursement.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Addressable Market Opportunity in BPH</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the United States, BPH is the number one reason men visit a urologist. BPH is estimated to occur in more than 50% of men in their 50s, growing to 70% of men in their 60s, and is the fourth most common diagnosed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320" w:top="1440" w:right="379" w:bottom="1440" w:gutter="0" w:footer="0" w:header="0"/>
        </w:sectPr>
      </w:pPr>
    </w:p>
    <w:bookmarkStart w:id="112" w:name="page113"/>
    <w:bookmarkEnd w:id="112"/>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men above 50 years old, ranking behind coronary artery disease, hypertension and type 2 diabetes. BPH often results in uncomfortable LUTS, which can have a significant impact on quality of life. If left untreated, BPH may eventually lead to more serious complications.</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the United States, we estimate that approximately 40 million men are impacted by symptoms of BPH, with aging demographics expected to drive future growth. Over the next ten years, we expect that the number of men over 65 years old in the United States will double and include a corresponding increase in the number of men with enlarged prostates. Of these men, approximately 12 million are being managed by a physician for symptoms related to their disease. While drug therapy is typically a first line treatment option, limited efficacy and negative side effects contribute to low patient compliance, high failure rates and drop outs. On the other hand, surgical intervention is proven to provide effective and durable symptom relief compared to drug therapy, but the use of surgery is significantly underpenetrated, largely due to the compromise patients must make between (1) the incidence of irreversible side effects associated with current resective surgical interventions, or (2) the lower rates of efficacy and durability associated with non-resective surgical interventions. Our total addressable patient population in the United States includes approximately 8.2 million patients, comprised of 6.7 million receiving drug therapy, 1.1 million who have tried but failed drug therapy and 400,000 undergoing surgical intervention each year. Based on the average selling price of our single-use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Prostate</w:t>
      </w:r>
    </w:p>
    <w:p>
      <w:pPr>
        <w:spacing w:after="0" w:line="171"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prostate is a small gland in the male reproductive system. The main role of the prostate is to produce the fluid that protects and gives nutrients to sperm. The prostate sits underneath the bladder and surrounds the top part of the urethra, which carries urine from the bladder.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Prostate and Surrounding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3566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144"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prostate is approximately the size of a walnut in men younger than 30 years old; as men age, the prostate grows larger. At puberty, testosterone levels in boys start to increase and the prostate grows to about eight times its size. The prostate continues to grow, doubling in size between the ages of 21 and 50 years, and almost doubles again in size between the ages of 50 and 80 years. Prostate size is generally measured in volume using milliliters, or ml.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BPH Disease Overview and Diagnosis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BPH refers to the non-malignant enlargement of the prostate gland. 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 An enlarged prostate can range between roughly 30 ml to above 300 ml. As prostates increase in size so does the complexity of shape where the obstructive tissue will grow back into the bladder (called an intravesical component).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Normal Prostate versus Enlarged Prostate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117475</wp:posOffset>
            </wp:positionV>
            <wp:extent cx="5143500" cy="1466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While some BPH patients are asymptomatic, most will experience symptoms, which generally become more bothersome with age. According to the AUA guidelines, it is estimated that 90% of men between the ages of 45 and 80 will experience LUTS, and 50% of them will experience moderate-to-severe symptoms by the time they are 85 years old, which we believe are predominantly caused by BPH. Furthermore, 50% of men between the ages of 51-60 have pathological BPH. Symptoms associated with BPH can have a significant impact on a patient’s quality of life, including inability to sleep through the night, limiting activities due to proximity to the bathroom, impact on relationships, professional life and social activities, ongoing embarrassment and frustration and impact on sexual function. According to our internal marketing survey, 99% of men diagnosed with BPH say symptoms impact their quality of life.</w:t>
      </w:r>
    </w:p>
    <w:p>
      <w:pPr>
        <w:spacing w:after="0" w:line="14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Clinical diagnosis of BPH typically involves a number of tests that are used to assess the degree of LUTS and determine whether the symptoms are caused by BPH or another condition. A symptom score index utilizes standardized questionnaires to quantify a patient’s degree of LUTS. One of the most common scoring systems is the International Prostate Symptom Score, or IPSS. Using this scoring system, LUTS are classified as either mild, moderate or severe. The IPSS questionnaire is a key tool used to evaluate treatment options and assess treatment success. Other commonly used tests include a digital rectal exam, urine sample tests, imaging scans, blood tests and uroflowmetry tests, which measure the strength and amount of urine flow during urination. Patients suffering from symptoms of BPH are typically first seen by a primary care physician, who may diagnose and manage the patient, or refer the patient to a urologist. A urologist is a physician who specializes in diseases of the urinary tract in both males and females as well as the male reproductive system. Urologists are trained to perform surgery for various types of urologic conditions, including BPH.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BPH Treatment Options</w:t>
      </w:r>
    </w:p>
    <w:p>
      <w:pPr>
        <w:spacing w:after="0" w:line="171"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main goal of BPH treatment is to alleviate the symptoms associated with the disease and improve the patient’s quality of life. As such, a patient’s recommended course of treatment is largely based on the patient’s degree of symptoms, typically measured using validated scoring systems such as IPSS. Patients with mild symptoms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who have not developed other complications of BPH may choose watchful waiting, meaning that before proceeding with active treatment, the physician and patient wait to see if symptoms get worse or if new symptoms develop. Patients who choose this approach are generally advised to implement lifestyle changes and return for yearly visits with their physician to determine if symptoms are changing. For most men, the prostate will continue to grow and symptoms will worsen. As symptoms become more bothersome, active treatment may be recommended. The two primary categories of active treatment for BPH are drug therapy and surgical intervention.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Drug Therapy</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Drug therapy is often the first step in actively treating mild-to-moderate symptoms of BPH. While there is no pharmacological cure for BPH, drugs may be used to manage symptoms. Available drugs address symptoms by either shrinking (5-alpha reductase inhibitors) the prostate or relaxing (alpha blockers) muscles surrounding the prostate. In some instances, patients may be prescribed a combination of both medications. Most men with BPH who start drug therapy will need to continue it indefinitely in order to relieve symptoms, unless they choose to undergo surgical intervention. While drug therapy can provide relief for some men, two out of three patients are not satisfied with the effectiveness of their medication. In general, drug therapy provides IPSS reduction of approximately five points and flow improvement of up to 2.5 ml per second. Drug therapy is also often associated with negative side effects, including headaches, dizziness, nausea, erectile dysfunction, ejaculatory dysfunction, loss of libido, cardiac failure and dementia. These side effects often contribute to poor treatment compliance, with drug therapy failing in up to 30% of men within two years. Furthermore, drug therapy may be costly, particularly in light of limited symptom relief. For example, a recent study has shown that payor costs for branded combination drug therapy over a two-year period was the least cost-effective of all treatment options included in the study, as drug therapy requires extended use and yields the least symptom relief.</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Surgical Intervention</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Surgical intervention is recommended for patients who have failed or are unwilling to consider drug therapy, or are suffering from complications due to their BPH. Although more invasive than drug therapy, surgical intervention generally provides more significant, longer-lasting symptom relief. We estimate that approximately 400,000 BPH surgeries were performed in the United States in 2019, growing at a compounded annual growth rate, or CAGR, of 11% since 2016. We believe that growth in the use of surgical intervention over the past several years is due to the introduction of new technologies that better balance the compromise between efficacy and safety as well as growing awareness of surgical intervention as an effective way to manage BPH symptoms compared to drug therapy.</w:t>
      </w:r>
    </w:p>
    <w:p>
      <w:pPr>
        <w:spacing w:after="0" w:line="13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There are two categories of surgical intervention, resective, where obstructive tissue is removed at the time of intervention, and non-resective, where obstructive tissue is not removed, but rather the prostatic urethra is re-shaped.</w:t>
      </w:r>
    </w:p>
    <w:p>
      <w:pPr>
        <w:spacing w:after="0" w:line="11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b w:val="1"/>
          <w:bCs w:val="1"/>
          <w:i w:val="1"/>
          <w:iCs w:val="1"/>
          <w:color w:val="auto"/>
        </w:rPr>
        <w:t xml:space="preserve">Resective Procedures. </w:t>
      </w:r>
      <w:r>
        <w:rPr>
          <w:rFonts w:ascii="Arial" w:cs="Arial" w:eastAsia="Arial" w:hAnsi="Arial"/>
          <w:sz w:val="17"/>
          <w:szCs w:val="17"/>
          <w:color w:val="auto"/>
        </w:rPr>
        <w:t>In resective surgery, tissue is removed during the procedure. Resective prostate procedures generally provide more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longer-lasting symptom relief than non-resective procedures, but may result in a higher incidence of irreversible complications, including urinary incontinence, erectile dysfunction and ejaculatory dysfunction. Resective procedures generally provide IPSS reduction of approximately 15 points. These procedures are typically performed in the hospital or outpatient surgery center under general or spinal anesthesia. In 2019, approximately 290,000 resective surgeries were performed in the United States, accounting for over 70% of all BPH surgeries.</w:t>
      </w:r>
    </w:p>
    <w:p>
      <w:pPr>
        <w:spacing w:after="0" w:line="122"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Resective surgeries may be performed endoscopically, allowing the procedure to be completed through a tubular instrument, or via an open or a laparoscopic procedure, called a simple prostatectomy.</w:t>
      </w:r>
    </w:p>
    <w:p>
      <w:pPr>
        <w:spacing w:after="0" w:line="11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Endoscopic procedures access the prostate through the urethra, so no incisions are made in the patient’s abdomen. These procedures typically use heat-based technologies to resect prostate tissue, utilizing a single camera called a cystoscope that provides limited visualization of the anatomy during the procedure. Common alternative endoscopic resective procedures include:</w:t>
      </w:r>
    </w:p>
    <w:p>
      <w:pPr>
        <w:spacing w:after="0" w:line="130" w:lineRule="exact"/>
        <w:rPr>
          <w:sz w:val="20"/>
          <w:szCs w:val="20"/>
          <w:color w:val="auto"/>
        </w:rPr>
      </w:pPr>
    </w:p>
    <w:p>
      <w:pPr>
        <w:jc w:val="both"/>
        <w:ind w:left="660" w:right="6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Transurethral Resection of the Prostate. </w:t>
      </w:r>
      <w:r>
        <w:rPr>
          <w:rFonts w:ascii="Arial" w:cs="Arial" w:eastAsia="Arial" w:hAnsi="Arial"/>
          <w:sz w:val="18"/>
          <w:szCs w:val="18"/>
          <w:color w:val="auto"/>
        </w:rPr>
        <w:t>TURP is a resective procedure which uses electrocautery to cut and remove prostate tissue. Despite being</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over a century, this procedure is still the most frequently performed resective surgery and is considered the historical standard of care for the surgical treatment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BPH for prostates less than 80 ml. In 2019, approximately 135,000 TURP procedures were performed in the United States.</w:t>
      </w:r>
    </w:p>
    <w:p>
      <w:pPr>
        <w:spacing w:after="0" w:line="171" w:lineRule="exact"/>
        <w:rPr>
          <w:sz w:val="20"/>
          <w:szCs w:val="20"/>
          <w:color w:val="auto"/>
        </w:rPr>
      </w:pPr>
    </w:p>
    <w:p>
      <w:pPr>
        <w:ind w:left="660" w:right="100" w:hanging="328"/>
        <w:spacing w:after="0" w:line="259"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Photoselective Vaporization of the Prostate, or PVP. </w:t>
      </w:r>
      <w:r>
        <w:rPr>
          <w:rFonts w:ascii="Arial" w:cs="Arial" w:eastAsia="Arial" w:hAnsi="Arial"/>
          <w:sz w:val="18"/>
          <w:szCs w:val="18"/>
          <w:color w:val="auto"/>
        </w:rPr>
        <w:t>PVP is a transurethral form of treatment that utilizes a laser fiber to vaporize prostate tissue</w:t>
      </w:r>
      <w:r>
        <w:rPr>
          <w:rFonts w:ascii="Arial" w:cs="Arial" w:eastAsia="Arial" w:hAnsi="Arial"/>
          <w:sz w:val="18"/>
          <w:szCs w:val="18"/>
          <w:i w:val="1"/>
          <w:iCs w:val="1"/>
          <w:color w:val="auto"/>
        </w:rPr>
        <w:t xml:space="preserve"> </w:t>
      </w:r>
      <w:r>
        <w:rPr>
          <w:rFonts w:ascii="Arial" w:cs="Arial" w:eastAsia="Arial" w:hAnsi="Arial"/>
          <w:sz w:val="18"/>
          <w:szCs w:val="18"/>
          <w:color w:val="auto"/>
        </w:rPr>
        <w:t>sequentially outwards until the surgeon creates a sufficient cavity through which the patient may now void. PVP is generally used in patients with small- to average-sized prostates and can be used in patients who are at high risk of bleeding complications. In 2019, approximately 80,000 PVP procedures were performed in the United States.</w:t>
      </w:r>
    </w:p>
    <w:p>
      <w:pPr>
        <w:spacing w:after="0" w:line="132" w:lineRule="exact"/>
        <w:rPr>
          <w:rFonts w:ascii="Arial" w:cs="Arial" w:eastAsia="Arial" w:hAnsi="Arial"/>
          <w:sz w:val="18"/>
          <w:szCs w:val="18"/>
          <w:color w:val="auto"/>
        </w:rPr>
      </w:pPr>
    </w:p>
    <w:p>
      <w:pPr>
        <w:ind w:left="660" w:right="80" w:hanging="328"/>
        <w:spacing w:after="0" w:line="25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Laser Enucleation of the Prostate. </w:t>
      </w:r>
      <w:r>
        <w:rPr>
          <w:rFonts w:ascii="Arial" w:cs="Arial" w:eastAsia="Arial" w:hAnsi="Arial"/>
          <w:sz w:val="18"/>
          <w:szCs w:val="18"/>
          <w:color w:val="auto"/>
        </w:rPr>
        <w:t>Laser enucleation utilizes a surgical laser to manually resect prostate tissue through the urethra. This procedure</w:t>
      </w:r>
      <w:r>
        <w:rPr>
          <w:rFonts w:ascii="Arial" w:cs="Arial" w:eastAsia="Arial" w:hAnsi="Arial"/>
          <w:sz w:val="18"/>
          <w:szCs w:val="18"/>
          <w:i w:val="1"/>
          <w:iCs w:val="1"/>
          <w:color w:val="auto"/>
        </w:rPr>
        <w:t xml:space="preserve"> </w:t>
      </w:r>
      <w:r>
        <w:rPr>
          <w:rFonts w:ascii="Arial" w:cs="Arial" w:eastAsia="Arial" w:hAnsi="Arial"/>
          <w:sz w:val="18"/>
          <w:szCs w:val="18"/>
          <w:color w:val="auto"/>
        </w:rPr>
        <w:t>allows the surgeon to follow anatomic planes to separate entire lobes of the prostate. In general, separated prostate lobes are then pushed into the bladder and suctioned out via a special tool. Laser enucleation is prostate size-independent; however, this procedure is more commonly used in larger prostates, and adoption has been limited due to the high degree of skill and experience required. In 2019, approximately 30,000 enucleation procedures were performed in the United States.</w:t>
      </w:r>
    </w:p>
    <w:p>
      <w:pPr>
        <w:spacing w:after="0" w:line="134"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A simple prostatectomy is an invasive, open procedure that requires one or more incisions to be made in the patient’s abdomen to access and remove part or all of the prostate. This procedure is typically a last resort treatment for BPH in patients with very large prostates or those patients with severe complications due to BPH. This surgery may be done manually, or with the assistance of a robot, but in either case is a procedure that requires a high degree of surgeon skill. In 2019, approximately 25,000 prostatectomy procedures were performed for the treatment of BPH in the United States.</w:t>
      </w:r>
    </w:p>
    <w:p>
      <w:pPr>
        <w:spacing w:after="0" w:line="10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i w:val="1"/>
          <w:iCs w:val="1"/>
          <w:color w:val="auto"/>
        </w:rPr>
        <w:t>Non-Resective Procedures</w:t>
      </w:r>
      <w:r>
        <w:rPr>
          <w:rFonts w:ascii="Arial" w:cs="Arial" w:eastAsia="Arial" w:hAnsi="Arial"/>
          <w:sz w:val="16"/>
          <w:szCs w:val="16"/>
          <w:color w:val="auto"/>
        </w:rPr>
        <w:t>. In non-resective procedures, prostate tissue is not removed at the time of surgery. By not removing tissue, symptom relief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generally less significant and durable compared to resective procedures. Non-resective procedures generally provide IPSS reduction of approximately ten points. The two most common commercially available non-resective procedures are prostatic urethral lift, or PUL, and water vapor therapy. PUL uses permanent implants of nitinol and stainless steel placed transurethrally to pin back and compress obstructing prostate tissue, thus creating a channel for improved urinary flow. Water vapor therapy utilizes principles of convection by transurethrally delivering water vapor into obstructing prostate tissue, which results in cell death and reduction of prostate volume over a period of three to six months. Non-resective procedures are generally approved for small- to average-sized prostates. In 2019, approximately 105,000 non-resective surgeries were performed in the United States.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Alternative Surgical Interventions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Two factors that surgeons and patients commonly consider when evaluating surgical intervention are efficacy and safety. Efficacy is generally measured by symptom relief as well as durability of relief, and safety by the occurrence of irreversible complications such as urinary incontinence, erectile dysfunction and ejaculatory dysfunction. We believe that alternative surgical interventions for BPH require patients to compromise between efficacy and safety. Alternative interventions either provide significant symptom relief with a heightened risk of irreversible complications or a lower risk of complications with significantly less symptom relief. In addition, most alternative surgical interventions are limited by prostate size and shape, with no single procedure capable of effectively addressing the full range of prostate anatomies regardless of surgeon experience level. We believe that the compromise and limitations associated with alternative surgical interventions have contributed to the relatively low penetration rate of surgical intervention.</w:t>
      </w:r>
    </w:p>
    <w:p>
      <w:pPr>
        <w:spacing w:after="0" w:line="11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Limitations of Endoscopic Resective Procedures. </w:t>
      </w:r>
      <w:r>
        <w:rPr>
          <w:rFonts w:ascii="Arial" w:cs="Arial" w:eastAsia="Arial" w:hAnsi="Arial"/>
          <w:sz w:val="18"/>
          <w:szCs w:val="18"/>
          <w:color w:val="auto"/>
        </w:rPr>
        <w:t>While endoscopic resective surgeries such as TURP and laser-based procedures may provide BPH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with durable symptom relief, these procedures have a number of limitations, including:</w:t>
      </w:r>
    </w:p>
    <w:p>
      <w:pPr>
        <w:spacing w:after="0" w:line="116" w:lineRule="exact"/>
        <w:rPr>
          <w:sz w:val="20"/>
          <w:szCs w:val="20"/>
          <w:color w:val="auto"/>
        </w:rPr>
      </w:pPr>
    </w:p>
    <w:p>
      <w:pPr>
        <w:ind w:left="660" w:right="520" w:hanging="328"/>
        <w:spacing w:after="0" w:line="259"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High rates of irreversible complications. </w:t>
      </w:r>
      <w:r>
        <w:rPr>
          <w:rFonts w:ascii="Arial" w:cs="Arial" w:eastAsia="Arial" w:hAnsi="Arial"/>
          <w:sz w:val="18"/>
          <w:szCs w:val="18"/>
          <w:color w:val="auto"/>
        </w:rPr>
        <w:t>Irreversible complications are a common side effect of endoscopic resective procedures. Published</w:t>
      </w:r>
      <w:r>
        <w:rPr>
          <w:rFonts w:ascii="Arial" w:cs="Arial" w:eastAsia="Arial" w:hAnsi="Arial"/>
          <w:sz w:val="18"/>
          <w:szCs w:val="18"/>
          <w:i w:val="1"/>
          <w:iCs w:val="1"/>
          <w:color w:val="auto"/>
        </w:rPr>
        <w:t xml:space="preserve"> </w:t>
      </w:r>
      <w:r>
        <w:rPr>
          <w:rFonts w:ascii="Arial" w:cs="Arial" w:eastAsia="Arial" w:hAnsi="Arial"/>
          <w:sz w:val="18"/>
          <w:szCs w:val="18"/>
          <w:color w:val="auto"/>
        </w:rPr>
        <w:t>studies have shown rates of erectile dysfunction as high as 14%, 20% and 8%, ejaculatory dysfunction as high as 89%, 50% and 77%, and incontinence as high as 2%, 2%, and 33% for TURP, PVP and laser enucleation, respectively. We believe the high rates of irreversible complications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ind w:left="660" w:right="160"/>
        <w:spacing w:after="0" w:line="296" w:lineRule="auto"/>
        <w:rPr>
          <w:sz w:val="20"/>
          <w:szCs w:val="20"/>
          <w:color w:val="auto"/>
        </w:rPr>
      </w:pPr>
      <w:r>
        <w:rPr>
          <w:rFonts w:ascii="Arial" w:cs="Arial" w:eastAsia="Arial" w:hAnsi="Arial"/>
          <w:sz w:val="16"/>
          <w:szCs w:val="16"/>
          <w:color w:val="auto"/>
        </w:rPr>
        <w:t>are in large part due to these technologies utilizing heat to remove prostate tissue, which may lead to unintended thermal damage to critical parts of the anatomy. Furthermore, minimal intraoperative visualization, which is generally limited to a cystoscope, provides limited visibility of the prostate and makes it difficult for the surgeon to see and preserve critical parts of the prostate during tissue resection. This results in highly variable depth of tissue penetration, damage to tissue which may extend deeper than cavity created, a potential for unintended prostate capsule perforation, potential damage to nerve bundle responsible for erectile function, and delayed healing of prostatic urethra.</w:t>
      </w:r>
    </w:p>
    <w:p>
      <w:pPr>
        <w:spacing w:after="0" w:line="107" w:lineRule="exact"/>
        <w:rPr>
          <w:sz w:val="20"/>
          <w:szCs w:val="20"/>
          <w:color w:val="auto"/>
        </w:rPr>
      </w:pPr>
    </w:p>
    <w:p>
      <w:pPr>
        <w:ind w:left="660" w:right="120" w:hanging="328"/>
        <w:spacing w:after="0" w:line="311" w:lineRule="auto"/>
        <w:tabs>
          <w:tab w:leader="none" w:pos="655"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Prostate size limitations. </w:t>
      </w:r>
      <w:r>
        <w:rPr>
          <w:rFonts w:ascii="Arial" w:cs="Arial" w:eastAsia="Arial" w:hAnsi="Arial"/>
          <w:sz w:val="16"/>
          <w:szCs w:val="16"/>
          <w:color w:val="auto"/>
        </w:rPr>
        <w:t>While TURP is considered the standard of care for surgical treatment of BPH, it is generally reserved for small- to</w:t>
      </w:r>
      <w:r>
        <w:rPr>
          <w:rFonts w:ascii="Arial" w:cs="Arial" w:eastAsia="Arial" w:hAnsi="Arial"/>
          <w:sz w:val="16"/>
          <w:szCs w:val="16"/>
          <w:i w:val="1"/>
          <w:iCs w:val="1"/>
          <w:color w:val="auto"/>
        </w:rPr>
        <w:t xml:space="preserve"> </w:t>
      </w:r>
      <w:r>
        <w:rPr>
          <w:rFonts w:ascii="Arial" w:cs="Arial" w:eastAsia="Arial" w:hAnsi="Arial"/>
          <w:sz w:val="16"/>
          <w:szCs w:val="16"/>
          <w:color w:val="auto"/>
        </w:rPr>
        <w:t>average-sized prostates below 80 ml given the length and manual nature of the procedure. For laser-based therapies, PVP is also most commonly used for small- to average-sized prostates, while laser enucleation is generally reserved for treating patients with larger prostates.</w:t>
      </w:r>
    </w:p>
    <w:p>
      <w:pPr>
        <w:spacing w:after="0" w:line="94" w:lineRule="exact"/>
        <w:rPr>
          <w:rFonts w:ascii="Arial" w:cs="Arial" w:eastAsia="Arial" w:hAnsi="Arial"/>
          <w:sz w:val="16"/>
          <w:szCs w:val="16"/>
          <w:color w:val="auto"/>
        </w:rPr>
      </w:pPr>
    </w:p>
    <w:p>
      <w:pPr>
        <w:ind w:left="660" w:right="80" w:hanging="328"/>
        <w:spacing w:after="0" w:line="273" w:lineRule="auto"/>
        <w:tabs>
          <w:tab w:leader="none" w:pos="655"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Experience dependent outcomes and long learning curves. </w:t>
      </w:r>
      <w:r>
        <w:rPr>
          <w:rFonts w:ascii="Arial" w:cs="Arial" w:eastAsia="Arial" w:hAnsi="Arial"/>
          <w:sz w:val="17"/>
          <w:szCs w:val="17"/>
          <w:color w:val="auto"/>
        </w:rPr>
        <w:t>Endoscopic resective procedures rely on manual resection of the prostate, with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outcomes often highly dependent on the surgeon’s experience level. For example, a study of a large number of patients undergoing TURP found that the rate of reoperation was 1.2-fold higher in men treated by surgeons who had performed 172 or fewer TURP procedures versus surgeons that had performed more than 402 TURP procedures. In addition, a study of 200 procedures by a surgeon performing PVP showed that the surgeon required at least 120 procedures to achieve optimal clinical outcomes. Furthermore, a study of surgeons learning to perform laser enucleation demonstrated that one-third of the surgeons failed to complete the training program.</w:t>
      </w:r>
    </w:p>
    <w:p>
      <w:pPr>
        <w:spacing w:after="0" w:line="123" w:lineRule="exact"/>
        <w:rPr>
          <w:rFonts w:ascii="Arial" w:cs="Arial" w:eastAsia="Arial" w:hAnsi="Arial"/>
          <w:sz w:val="17"/>
          <w:szCs w:val="17"/>
          <w:color w:val="auto"/>
        </w:rPr>
      </w:pPr>
    </w:p>
    <w:p>
      <w:pPr>
        <w:jc w:val="both"/>
        <w:ind w:left="660" w:right="300" w:hanging="328"/>
        <w:spacing w:after="0" w:line="342" w:lineRule="auto"/>
        <w:tabs>
          <w:tab w:leader="none" w:pos="655"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Inconsistent and lengthy resection times. </w:t>
      </w:r>
      <w:r>
        <w:rPr>
          <w:rFonts w:ascii="Arial" w:cs="Arial" w:eastAsia="Arial" w:hAnsi="Arial"/>
          <w:sz w:val="16"/>
          <w:szCs w:val="16"/>
          <w:color w:val="auto"/>
        </w:rPr>
        <w:t>Endoscopic resective procedures require manual resection of prostate tissue performed under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visualization. This manual process contributes to highly inconsistent and lengthy resection times that are strongly correlated with prostate size.</w:t>
      </w:r>
    </w:p>
    <w:p>
      <w:pPr>
        <w:spacing w:after="0" w:line="70"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b w:val="1"/>
          <w:bCs w:val="1"/>
          <w:i w:val="1"/>
          <w:iCs w:val="1"/>
          <w:color w:val="auto"/>
        </w:rPr>
        <w:t xml:space="preserve">Limitations of a Simple Prostatectomy. </w:t>
      </w:r>
      <w:r>
        <w:rPr>
          <w:rFonts w:ascii="Arial" w:cs="Arial" w:eastAsia="Arial" w:hAnsi="Arial"/>
          <w:sz w:val="18"/>
          <w:szCs w:val="18"/>
          <w:color w:val="auto"/>
        </w:rPr>
        <w:t>While a simple prostatectomy typically provides maximum symptom relief by removing part or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prostate gland, this procedure is generally considered a treatment of last resort reserved for patients with large prostates. Limitations of a simple prostatectomy include:</w:t>
      </w:r>
    </w:p>
    <w:p>
      <w:pPr>
        <w:spacing w:after="0" w:line="130" w:lineRule="exact"/>
        <w:rPr>
          <w:sz w:val="20"/>
          <w:szCs w:val="20"/>
          <w:color w:val="auto"/>
        </w:rPr>
      </w:pPr>
    </w:p>
    <w:p>
      <w:pPr>
        <w:ind w:left="660" w:right="100" w:hanging="328"/>
        <w:spacing w:after="0" w:line="342" w:lineRule="auto"/>
        <w:tabs>
          <w:tab w:leader="none" w:pos="655"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Surgical safety concerns. </w:t>
      </w:r>
      <w:r>
        <w:rPr>
          <w:rFonts w:ascii="Arial" w:cs="Arial" w:eastAsia="Arial" w:hAnsi="Arial"/>
          <w:sz w:val="16"/>
          <w:szCs w:val="16"/>
          <w:color w:val="auto"/>
        </w:rPr>
        <w:t>Even when performed robotically, a simple prostatectomy still requires incisions to be made in the patient’s abdomen in</w:t>
      </w:r>
      <w:r>
        <w:rPr>
          <w:rFonts w:ascii="Arial" w:cs="Arial" w:eastAsia="Arial" w:hAnsi="Arial"/>
          <w:sz w:val="16"/>
          <w:szCs w:val="16"/>
          <w:i w:val="1"/>
          <w:iCs w:val="1"/>
          <w:color w:val="auto"/>
        </w:rPr>
        <w:t xml:space="preserve"> </w:t>
      </w:r>
      <w:r>
        <w:rPr>
          <w:rFonts w:ascii="Arial" w:cs="Arial" w:eastAsia="Arial" w:hAnsi="Arial"/>
          <w:sz w:val="16"/>
          <w:szCs w:val="16"/>
          <w:color w:val="auto"/>
        </w:rPr>
        <w:t>order to access the prostate gland. Bleeding events are a key risk in these types of procedures, with transfusion rates as high as 25%.</w:t>
      </w:r>
    </w:p>
    <w:p>
      <w:pPr>
        <w:spacing w:after="0" w:line="69" w:lineRule="exact"/>
        <w:rPr>
          <w:rFonts w:ascii="Arial" w:cs="Arial" w:eastAsia="Arial" w:hAnsi="Arial"/>
          <w:sz w:val="16"/>
          <w:szCs w:val="16"/>
          <w:color w:val="auto"/>
        </w:rPr>
      </w:pPr>
    </w:p>
    <w:p>
      <w:pPr>
        <w:ind w:left="660" w:right="780" w:hanging="328"/>
        <w:spacing w:after="0" w:line="263"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High rates of irreversible complications. </w:t>
      </w:r>
      <w:r>
        <w:rPr>
          <w:rFonts w:ascii="Arial" w:cs="Arial" w:eastAsia="Arial" w:hAnsi="Arial"/>
          <w:sz w:val="18"/>
          <w:szCs w:val="18"/>
          <w:color w:val="auto"/>
        </w:rPr>
        <w:t>Similar to endoscopic resective procedures, open procedures commonly result in high rates of</w:t>
      </w:r>
      <w:r>
        <w:rPr>
          <w:rFonts w:ascii="Arial" w:cs="Arial" w:eastAsia="Arial" w:hAnsi="Arial"/>
          <w:sz w:val="18"/>
          <w:szCs w:val="18"/>
          <w:i w:val="1"/>
          <w:iCs w:val="1"/>
          <w:color w:val="auto"/>
        </w:rPr>
        <w:t xml:space="preserve"> </w:t>
      </w:r>
      <w:r>
        <w:rPr>
          <w:rFonts w:ascii="Arial" w:cs="Arial" w:eastAsia="Arial" w:hAnsi="Arial"/>
          <w:sz w:val="18"/>
          <w:szCs w:val="18"/>
          <w:color w:val="auto"/>
        </w:rPr>
        <w:t>irreversible complications, with studies showing erectile, ejaculatory dysfunction, and incontinence rates as high as 2-3%, 90% and 8%, respectively.</w:t>
      </w:r>
    </w:p>
    <w:p>
      <w:pPr>
        <w:spacing w:after="0" w:line="129"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Long hospital stay and recovery time. </w:t>
      </w:r>
      <w:r>
        <w:rPr>
          <w:rFonts w:ascii="Arial" w:cs="Arial" w:eastAsia="Arial" w:hAnsi="Arial"/>
          <w:sz w:val="17"/>
          <w:szCs w:val="17"/>
          <w:color w:val="auto"/>
        </w:rPr>
        <w:t>Given the invasiveness of open procedures, long hospital stays and post-procedure recovery are common.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patients typically stay in the hospital for an average of five days after surgery and have long recovery times.</w:t>
      </w:r>
    </w:p>
    <w:p>
      <w:pPr>
        <w:spacing w:after="0" w:line="9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b w:val="1"/>
          <w:bCs w:val="1"/>
          <w:i w:val="1"/>
          <w:iCs w:val="1"/>
          <w:color w:val="auto"/>
        </w:rPr>
        <w:t xml:space="preserve">Limitations of Non-Resective Procedures. </w:t>
      </w:r>
      <w:r>
        <w:rPr>
          <w:rFonts w:ascii="Arial" w:cs="Arial" w:eastAsia="Arial" w:hAnsi="Arial"/>
          <w:sz w:val="18"/>
          <w:szCs w:val="18"/>
          <w:color w:val="auto"/>
        </w:rPr>
        <w:t>While non-resective procedures are associated with favorable safety profiles and limited impact on sexual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these procedures generally deliver lower and less durable symptom relief than resective procedures. Limitations of non-resective procedures include:</w:t>
      </w:r>
    </w:p>
    <w:p>
      <w:pPr>
        <w:spacing w:after="0" w:line="130" w:lineRule="exact"/>
        <w:rPr>
          <w:sz w:val="20"/>
          <w:szCs w:val="20"/>
          <w:color w:val="auto"/>
        </w:rPr>
      </w:pPr>
    </w:p>
    <w:p>
      <w:pPr>
        <w:ind w:left="660" w:hanging="328"/>
        <w:spacing w:after="0" w:line="272" w:lineRule="auto"/>
        <w:tabs>
          <w:tab w:leader="none" w:pos="655"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Limited symptom relief and durability. </w:t>
      </w:r>
      <w:r>
        <w:rPr>
          <w:rFonts w:ascii="Arial" w:cs="Arial" w:eastAsia="Arial" w:hAnsi="Arial"/>
          <w:sz w:val="17"/>
          <w:szCs w:val="17"/>
          <w:color w:val="auto"/>
        </w:rPr>
        <w:t>By not removing obstructive prostate tissue, non-resective procedures generally results in less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and durable symptom relief compared to resective procedures. In addition, since prostate tissue continues to grow over time, durability of symptom relief is typically less favorable in non-resective procedures, with higher rates of patients needing to undergo surgical retreatment or go back on drugs. For example, five-year surgical retreatment rates for PUL and water vapor therapy were 13.6% and 4.4%, respectively. In addition, the rates of PUL and water vapor therapy patients back on drug therapy at five years were 10.7% and 11.1%, respectively. Furthermore, since PUL requires the use of a permanent implant, there is risk of post-operative complications due to the implant which may require implant removal, with a published five-year rate of implant removal of 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44" w:lineRule="exact"/>
        <w:rPr>
          <w:sz w:val="20"/>
          <w:szCs w:val="20"/>
          <w:color w:val="auto"/>
        </w:rPr>
      </w:pPr>
    </w:p>
    <w:p>
      <w:pPr>
        <w:ind w:left="660" w:right="260" w:hanging="328"/>
        <w:spacing w:after="0" w:line="27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Limited intraoperative visualization. </w:t>
      </w:r>
      <w:r>
        <w:rPr>
          <w:rFonts w:ascii="Arial" w:cs="Arial" w:eastAsia="Arial" w:hAnsi="Arial"/>
          <w:sz w:val="18"/>
          <w:szCs w:val="18"/>
          <w:color w:val="auto"/>
        </w:rPr>
        <w:t>Similar to endoscopic resective procedures, the surgeon’s view of the prostate in endoscopic non-resective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is limited to a cystoscope that provides minimal visibility of the prostate.</w:t>
      </w:r>
    </w:p>
    <w:p>
      <w:pPr>
        <w:spacing w:after="0" w:line="116"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Prostate size and shape limitations. </w:t>
      </w:r>
      <w:r>
        <w:rPr>
          <w:rFonts w:ascii="Arial" w:cs="Arial" w:eastAsia="Arial" w:hAnsi="Arial"/>
          <w:sz w:val="18"/>
          <w:szCs w:val="18"/>
          <w:color w:val="auto"/>
        </w:rPr>
        <w:t>Both PUL and water vapor therapy are generally used for small- to average-sized prostates. Unlike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resective procedures, both of these procedures are specifically limited by the FDA for use in certain prostate sizes. The mean prostate volumes for PUL and water vapor therapy were 45 ml and 46 ml, respectively, in their respective U.S. pivotal, prospective, randomized clinical trials. In addition, the use of these procedures may be limited for certain complex prostate shapes.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have developed the AquaBeam Robotic System, an advanced, image-guided, surgical robotic system for use in minimally invasive urologic surgery. Our proprietary AquaBeam Robotic System delivers our Aquablation therapy, the first and only image-guided robotic therapy for the treatment of BPH. We market the AquaBeam Robotic System in the United States pursuant to FDA 510(k) clearance that we received in March 2021. The most common side effects observed for Aquablation therapy are mild and transient and may include mild pain or difficulty when urinating, discomfort in the pelvis, blood in the urine, inability to empty the bladder or a frequent or urgent need to urinate, and bladder or urinary tract infection. During our clinical studies, we documented a rate of incontinence between 0%-2%, ejaculatory dysfunction between 6.9%-24.6%, and a peri-operative transfusion rate between 0.9%-5.9%. Since then, a number of publications have reported on transfusion rates. A key study published in April 2021 of 2,089 men undergoing Aquablation therapy with prostates ranging in size from 20 ml to 363 ml observed a transfusion rate of only 0.8%.</w:t>
      </w:r>
    </w:p>
    <w:p>
      <w:pPr>
        <w:spacing w:after="0" w:line="11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AquaBeam Robotic System combines the following highly differentiated features that are intended to deliver effective, safe and durable outcomes for males suffering from LUTS due to BPH that are consistent across all prostate sizes and shapes and independent of surgeon experience:</w:t>
      </w:r>
    </w:p>
    <w:p>
      <w:pPr>
        <w:spacing w:after="0" w:line="70" w:lineRule="exact"/>
        <w:rPr>
          <w:sz w:val="20"/>
          <w:szCs w:val="20"/>
          <w:color w:val="auto"/>
        </w:rPr>
      </w:pPr>
    </w:p>
    <w:p>
      <w:pPr>
        <w:ind w:left="660" w:right="80" w:hanging="328"/>
        <w:spacing w:after="0" w:line="342" w:lineRule="auto"/>
        <w:tabs>
          <w:tab w:leader="none" w:pos="655"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Real-time image guidance. </w:t>
      </w:r>
      <w:r>
        <w:rPr>
          <w:rFonts w:ascii="Arial" w:cs="Arial" w:eastAsia="Arial" w:hAnsi="Arial"/>
          <w:sz w:val="16"/>
          <w:szCs w:val="16"/>
          <w:color w:val="auto"/>
        </w:rPr>
        <w:t>Intraoperative ultrasound imaging combined with cystoscopic visualization, using a camera attached to a hollow tube,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provides a multidimensional view of the treatment area, enabling improved decision-making and real-time treatment monitoring.</w:t>
      </w:r>
    </w:p>
    <w:p>
      <w:pPr>
        <w:spacing w:after="0" w:line="69" w:lineRule="exact"/>
        <w:rPr>
          <w:rFonts w:ascii="Arial" w:cs="Arial" w:eastAsia="Arial" w:hAnsi="Arial"/>
          <w:sz w:val="16"/>
          <w:szCs w:val="16"/>
          <w:color w:val="auto"/>
        </w:rPr>
      </w:pPr>
    </w:p>
    <w:p>
      <w:pPr>
        <w:ind w:left="660" w:right="60" w:hanging="328"/>
        <w:spacing w:after="0" w:line="342" w:lineRule="auto"/>
        <w:tabs>
          <w:tab w:leader="none" w:pos="655"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Personalized treatment planning. </w:t>
      </w:r>
      <w:r>
        <w:rPr>
          <w:rFonts w:ascii="Arial" w:cs="Arial" w:eastAsia="Arial" w:hAnsi="Arial"/>
          <w:sz w:val="16"/>
          <w:szCs w:val="16"/>
          <w:color w:val="auto"/>
        </w:rPr>
        <w:t>Using ultrasound imaging integrated with advanced planning software, the surgeon is able to map the treatment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contour that precisely targets the resection area, personalizing the optimal tissue removal plan based on each patient’s unique anatomy.</w:t>
      </w:r>
    </w:p>
    <w:p>
      <w:pPr>
        <w:spacing w:after="0" w:line="69"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Automated robotic execution. </w:t>
      </w:r>
      <w:r>
        <w:rPr>
          <w:rFonts w:ascii="Arial" w:cs="Arial" w:eastAsia="Arial" w:hAnsi="Arial"/>
          <w:sz w:val="18"/>
          <w:szCs w:val="18"/>
          <w:color w:val="auto"/>
        </w:rPr>
        <w:t>Once the treatment plan is finalized, the robot automatically executes the plan, guiding the precisely calibrated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waterjet with speed and accuracy while the surgeon monitors.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Heat-free waterjet resection. </w:t>
      </w:r>
      <w:r>
        <w:rPr>
          <w:rFonts w:ascii="Arial" w:cs="Arial" w:eastAsia="Arial" w:hAnsi="Arial"/>
          <w:sz w:val="18"/>
          <w:szCs w:val="18"/>
          <w:color w:val="auto"/>
        </w:rPr>
        <w:t>Utilizing the unique power of a pulsating waterjet near the speed of sound, Aquablation therapy removes prostatic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tissue with a heat-free waterjet, minimizing the risk of complications arising from prolonged thermal injury.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the AquaBeam Robotic System</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AquaBeam Robotic System is highly mobile and compact, requiring no retrofitting of the operating room. The main components of the AquaBeam Robotic System are the conformal planning unit, or CPU, console, motorpack and handpiece with integrated scope.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2059940</wp:posOffset>
            </wp:positionH>
            <wp:positionV relativeFrom="page">
              <wp:posOffset>1014730</wp:posOffset>
            </wp:positionV>
            <wp:extent cx="3429000" cy="2914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4290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CPU serves as the primary user interface of the AquaBeam Robotic System, displaying live transrectal ultrasound, or TRUS, video which allows the surgeon to visualize the prostate and surrounding structures, identify key anatomical markers and personalize the resection based on the patient’s unique anatomy. Through an intuitive user interface, the CPU allows the surgeon to map the contour of the prostate and plan the resection pathway by selecting the resection angles, length and depth. The planned parameters of the resection are transferred to the console to initiate Aquablation therapy. During the procedure, the surgeon utilizes the CPU to observe the progress of the resection in real time and has the option to make adjustments to the treatment area as needed. The CPU is equipped with a variety of integrated safety mechanisms that provide the surgeon with advisory notifications during treatment.</w:t>
      </w:r>
    </w:p>
    <w:p>
      <w:pPr>
        <w:spacing w:after="0" w:line="11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 console contains a high-pressure pumping system that is responsible for generating the high-velocity waterjet used in Aquablation therapy. The high-pressure pumping system consists of a control unit and powerboards that drive the positioning and flow rates of the waterjet. In addition, the console utilizes a peristaltic pump that assists in active evacuation of saline and tissue from the bladder and prostatic urethra during the Aquablation therapy to manage fluid levels. The console interfaces with both the CPU and motorpack and handpiece assembly, generating the water flow rates based on instructions received from the CPU. The console is activated by a foot pedal and has a small screen that displays the pump level and procedure mode.</w:t>
      </w:r>
    </w:p>
    <w:p>
      <w:pPr>
        <w:spacing w:after="0" w:line="10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motorpack is connected to the console with a flexible cable that provides power and control instructions to the motorpack. The motorpack consists of a motor control system that drives the movement and position of the waterjet nozzle in the handpiece and is designed to mechanically dock with the handpiece, completing the waterjet drive mechanism as well as establishing a secure electrical connection. The motorpack has buttons that allow a surgeon to manually increase or decrease the pump power level during resection, if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handpiece is the sterile, single-use component of the AquaBeam Robotic System that delivers the high-velocity waterjet. The tip of the handpiece is inserted transurethrally into the patient, advanced through the prostatic urethra into the bladder and positioned using both TRUS imaging and cystoscopic guidance from the integrated, reusable scope. The motorpack and handpiece assembly is secured to an articulating arm. The start treatment location, end treatment location, depth and angle of resection are based on the transferred planned contour and profile from the CPU to the console and motorpack.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74295</wp:posOffset>
            </wp:positionV>
            <wp:extent cx="3429000" cy="1525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AquaBeam Robotic System also includes a customized ultrasound set through which ultrasound images are integrated with our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with Aquablation Therapy</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Aquablation therapy is currently performed in the hospital setting in a procedure that typically takes less than one hour. On the day of surgery, the patient is given either general or spinal anesthesia and then prepped and positioned on their back with their knees bent above the hips and legs spread apart using stirrups, similar to other BPH surgical procedures. The procedure begins with the insertion of the TRUS probe, followed by the insertion of the handpiece into the patient’s bladder through the urethra under visual guidance from the integrated scope. The surgeon confirms successful positioning of the TRUS probe and handpiece with visual markers on the CPU screen with adjustments made by advancing, retracting and rotating the TRUS probe. Once positioning is confirmed, the TRUS probe and motorpack and handpiece assembly are secured to articulating arms that are mounted to the bed rails to prevent movement during planning and the procedure.</w:t>
      </w:r>
    </w:p>
    <w:p>
      <w:pPr>
        <w:spacing w:after="0" w:line="123"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surgeon begins the planning process via the user interface of the CPU. Using real-time TRUS imaging displayed on the CPU to visualize the anatomy of the prostate, the surgeon plans the treatment area. The surgeon defines the treatment area by adjusting the boundaries of treatment along the length, width and height of the prostate. The boundaries serve as a tissue depth guide to help maintain the resection within the treatment area. If a median lobe is present, the surgeon can visualize and separately plan the resection of the median lobe. Once planning and mapping are complete, the surgeon then begins resection by depressing the foot pedal to initiate the high-velocity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4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waterjet, with the resection automatically executed based on the defined treatment plan. As the waterjet removes prostate tissue along the planned treatment contour, excess water and ablated tissue are actively suctioned out of the patient. The surgeon monitors the progress of the resection on the CPU and, at any point during the procedure, the surgeon can pause the treatment by releasing the foot pedal. Using buttons on the motorpack, the surgeon can manually decrease the resection depths in real time as the procedure is monitored on both live ultrasound and cystoscopy. Aquablation therapy treatment stops upon reaching the planned treatment endpoint. The surgeon may decide to plan additional resection passes depending on the length or depth of the prostate.</w:t>
      </w:r>
    </w:p>
    <w:p>
      <w:pPr>
        <w:spacing w:after="0" w:line="10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When the procedure is complete, the motorpack and handpiece assembly is undocked from the articulating arm. The surgeon can manually scan the treatment area endoscopically by using the integrated scope of the handpiece. After post-procedural cystoscopy is complete, the handpiece is removed from the urethra. The surgeon may then use a resectoscope to remove ablated tissue to improve visualization and then perform focal, targeted and methodical bladder neck cautery to achieve post-operative hemostasis, or a state where the bleeding has stopped. Following the procedure, the patients are typically monitored in the Post-Anesthesia Care Unit, or PACU, with the majority of patients discharged after one overnight stay, without needing to leave with a catheter.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Benefits of Aquablation Therapy</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believe our Aquablation therapy addresses the compromise between safety and efficacy of alternative surgical interventions, providing the following unique benefits:</w:t>
      </w:r>
    </w:p>
    <w:p>
      <w:pPr>
        <w:spacing w:after="0" w:line="116" w:lineRule="exact"/>
        <w:rPr>
          <w:sz w:val="20"/>
          <w:szCs w:val="20"/>
          <w:color w:val="auto"/>
        </w:rPr>
      </w:pPr>
    </w:p>
    <w:p>
      <w:pPr>
        <w:ind w:left="660" w:hanging="328"/>
        <w:spacing w:after="0" w:line="271" w:lineRule="auto"/>
        <w:tabs>
          <w:tab w:leader="none" w:pos="655"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durable symptom relief. </w:t>
      </w:r>
      <w:r>
        <w:rPr>
          <w:rFonts w:ascii="Arial" w:cs="Arial" w:eastAsia="Arial" w:hAnsi="Arial"/>
          <w:sz w:val="17"/>
          <w:szCs w:val="17"/>
          <w:color w:val="auto"/>
        </w:rPr>
        <w:t>Given obstructive prostate tissue is removed during the procedure, Aquablation therapy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demonstrated significant and long-lasting levels of symptom relief similar to those of alternative resective procedures. The efficacy of Aquablation therapy has been shown in nine clinical studies and over 100 peer reviewed publications. Significant symptom reduction, quality of life and uroflowmetry improvements were observed across the WATER, WATER II and OPEN WATER studies. In the WATER study, Aquablation therapy demonstrated superior safety and non-inferior efficacy compared to TURP, the historical standard of care for the surgical treatment of BPH. Our studies have also demonstrated durable outcomes with low rates of surgical retreatment and few men having to go back on drugs following surgery. In the WATER and WATER II studies, surgical retreatment rates at three years were only 4.3% and 3.0%, respectively. In the OPEN WATER study, there were no surgical retreatments at one year.</w:t>
      </w:r>
    </w:p>
    <w:p>
      <w:pPr>
        <w:spacing w:after="0" w:line="124" w:lineRule="exact"/>
        <w:rPr>
          <w:rFonts w:ascii="Arial" w:cs="Arial" w:eastAsia="Arial" w:hAnsi="Arial"/>
          <w:sz w:val="17"/>
          <w:szCs w:val="17"/>
          <w:color w:val="auto"/>
        </w:rPr>
      </w:pPr>
    </w:p>
    <w:p>
      <w:pPr>
        <w:ind w:left="660" w:right="20" w:hanging="328"/>
        <w:spacing w:after="0" w:line="255"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Uncompromised safety profile. </w:t>
      </w:r>
      <w:r>
        <w:rPr>
          <w:rFonts w:ascii="Arial" w:cs="Arial" w:eastAsia="Arial" w:hAnsi="Arial"/>
          <w:sz w:val="18"/>
          <w:szCs w:val="18"/>
          <w:color w:val="auto"/>
        </w:rPr>
        <w:t>Aquablation therapy has demonstrated low rates of irreversible complications, including urinary incontinence,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erectile dysfunction and ejaculatory dysfunction, compared to published rates observed for other resective surgeries. In our WATER study, patients who underwent Aquablation therapy maintained a higher level of sexual function compared to those who underwent TURP. We believe the strong safety profile of Aquablation therapy is a result of the therapy’s ability to preserve key anatomical structures and limit prolonged and unintended thermal injury. In addition, no implant remains in the body with Aquablation therapy, minimizing the risk of mid-to-long term post-operative complications resulting from the implant.</w:t>
      </w:r>
    </w:p>
    <w:p>
      <w:pPr>
        <w:spacing w:after="0" w:line="138" w:lineRule="exact"/>
        <w:rPr>
          <w:rFonts w:ascii="Arial" w:cs="Arial" w:eastAsia="Arial" w:hAnsi="Arial"/>
          <w:sz w:val="18"/>
          <w:szCs w:val="18"/>
          <w:color w:val="auto"/>
        </w:rPr>
      </w:pPr>
    </w:p>
    <w:p>
      <w:pPr>
        <w:ind w:left="660" w:right="100" w:hanging="328"/>
        <w:spacing w:after="0" w:line="290" w:lineRule="auto"/>
        <w:tabs>
          <w:tab w:leader="none" w:pos="655"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Outcomes consistent across all prostate sizes and shapes and independent of surgeon experience. </w:t>
      </w:r>
      <w:r>
        <w:rPr>
          <w:rFonts w:ascii="Arial" w:cs="Arial" w:eastAsia="Arial" w:hAnsi="Arial"/>
          <w:sz w:val="16"/>
          <w:szCs w:val="16"/>
          <w:color w:val="auto"/>
        </w:rPr>
        <w:t>We designed Aquablation therapy to deliver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outcomes that are effective, safe and durable for males suffering from LUTS due to BPH across all prostate sizes and shapes. Our WATER, WATER II and OPEN WATER studies enrolled men with prostate sizes between 20 ml and 150 ml; however, in the commercial setting, we have successfully treated men with prostate sizes over 300 ml. Additionally, in the WATER and WATER II studies, 50% and 83% of men, respectively, had an obstructive median lobe, and the average prostate size in each study was 54 ml and 107 ml, respectively. Compared to other resective procedures, we believe Aquablation therapy is relatively simple to learn, enabled by the intuitive interface of the CPU and automated robotic resection, and delivers outcomes that are independent of surgeon experience. In the WATER study, 14 of the 17 participating surgeons had no previous experience with Aquablation therapy, and in the WATER II study surgeons had a median previous experience of only 0.5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ind w:left="660" w:right="100" w:hanging="328"/>
        <w:spacing w:after="0" w:line="311" w:lineRule="auto"/>
        <w:tabs>
          <w:tab w:leader="none" w:pos="655"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Personalized treatment planning and improved decision-making. </w:t>
      </w:r>
      <w:r>
        <w:rPr>
          <w:rFonts w:ascii="Arial" w:cs="Arial" w:eastAsia="Arial" w:hAnsi="Arial"/>
          <w:sz w:val="16"/>
          <w:szCs w:val="16"/>
          <w:color w:val="auto"/>
        </w:rPr>
        <w:t>Aquablation therapy combines cystoscopic visualization, ultrasound imaging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advanced planning software. Together, these technologies provide the surgeon with a multidimensional view of the treatment area and enable personalized treatment planning for the patient’s unique anatomy, improved decision-making and real-time monitoring during the procedure.</w:t>
      </w:r>
    </w:p>
    <w:p>
      <w:pPr>
        <w:spacing w:after="0" w:line="94" w:lineRule="exact"/>
        <w:rPr>
          <w:rFonts w:ascii="Arial" w:cs="Arial" w:eastAsia="Arial" w:hAnsi="Arial"/>
          <w:sz w:val="16"/>
          <w:szCs w:val="16"/>
          <w:color w:val="auto"/>
        </w:rPr>
      </w:pPr>
    </w:p>
    <w:p>
      <w:pPr>
        <w:jc w:val="both"/>
        <w:ind w:left="660" w:right="240" w:hanging="328"/>
        <w:spacing w:after="0" w:line="263"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Targeted and controlled resection with consistent resection times. </w:t>
      </w:r>
      <w:r>
        <w:rPr>
          <w:rFonts w:ascii="Arial" w:cs="Arial" w:eastAsia="Arial" w:hAnsi="Arial"/>
          <w:sz w:val="18"/>
          <w:szCs w:val="18"/>
          <w:color w:val="auto"/>
        </w:rPr>
        <w:t>Aquablation therapy utilizes automated robotic resection to remove prostate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tissue using a precise, heat-free waterjet. These features enable targeted and controlled tissue removal with rapid resection times that are highly consistent across prostate sizes and shapes and surgeon experience.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Results and Studies</w:t>
      </w:r>
    </w:p>
    <w:p>
      <w:pPr>
        <w:spacing w:after="0" w:line="175"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A significant body of clinical evidence supports the efficacy, safety and durability of Aquablation therapy across prostate sizes and shapes as well as surgeon experience. This robust body of evidence includes more than 100 peer-reviewed publications in premier journals, such as the Journal of Urology, European Urology and BJU International, as well as nine clinical studies, including our three core studies: WATER, WATER II and OPEN WATER.</w:t>
      </w:r>
    </w:p>
    <w:p>
      <w:pPr>
        <w:spacing w:after="0" w:line="95" w:lineRule="exact"/>
        <w:rPr>
          <w:sz w:val="20"/>
          <w:szCs w:val="20"/>
          <w:color w:val="auto"/>
        </w:rPr>
      </w:pPr>
    </w:p>
    <w:p>
      <w:pPr>
        <w:ind w:left="660" w:hanging="328"/>
        <w:spacing w:after="0" w:line="269" w:lineRule="auto"/>
        <w:tabs>
          <w:tab w:leader="none" w:pos="655"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WATER. </w:t>
      </w:r>
      <w:r>
        <w:rPr>
          <w:rFonts w:ascii="Arial" w:cs="Arial" w:eastAsia="Arial" w:hAnsi="Arial"/>
          <w:sz w:val="17"/>
          <w:szCs w:val="17"/>
          <w:color w:val="auto"/>
        </w:rPr>
        <w:t>The WATER study was double-blind, randomized, controlled study of Aquablation therapy against TURP in men with prostate sizes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30 ml and 80 ml. This study is the only FDA pivotal trial for BPH randomized against TURP. The study was designed with 80% power to show superiority in safety and more than 80% power to show non-inferiority in efficacy. The results of our WATER study served as the basis for FDA grant of our De Novo application and were first published in the Journal of Urology in 2018.</w:t>
      </w:r>
    </w:p>
    <w:p>
      <w:pPr>
        <w:spacing w:after="0" w:line="1" w:lineRule="exact"/>
        <w:rPr>
          <w:rFonts w:ascii="Arial" w:cs="Arial" w:eastAsia="Arial" w:hAnsi="Arial"/>
          <w:sz w:val="17"/>
          <w:szCs w:val="17"/>
          <w:color w:val="auto"/>
        </w:rPr>
      </w:pPr>
    </w:p>
    <w:p>
      <w:pPr>
        <w:ind w:left="660" w:right="120" w:hanging="328"/>
        <w:spacing w:after="0" w:line="265" w:lineRule="auto"/>
        <w:tabs>
          <w:tab w:leader="none" w:pos="655"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WATER II. </w:t>
      </w:r>
      <w:r>
        <w:rPr>
          <w:rFonts w:ascii="Arial" w:cs="Arial" w:eastAsia="Arial" w:hAnsi="Arial"/>
          <w:sz w:val="17"/>
          <w:szCs w:val="17"/>
          <w:color w:val="auto"/>
        </w:rPr>
        <w:t>The WATER II study was a prospective, multicenter study of Aquablation therapy in patients with prostate sizes between 80 ml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150 ml. The study was designed with 80% power for safety and 99% power for efficacy against an objective performance criteria, or OPC, based upon TURP data, even though TURP procedures are typically performed in smaller prostates. The results of the WATER II study served as the basis for increased reimbursement and coverage and were first published in BJU International in 2019.</w:t>
      </w:r>
    </w:p>
    <w:p>
      <w:pPr>
        <w:ind w:left="660" w:right="40" w:hanging="328"/>
        <w:spacing w:after="0" w:line="302" w:lineRule="auto"/>
        <w:tabs>
          <w:tab w:leader="none" w:pos="655"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OPEN WATER. </w:t>
      </w:r>
      <w:r>
        <w:rPr>
          <w:rFonts w:ascii="Arial" w:cs="Arial" w:eastAsia="Arial" w:hAnsi="Arial"/>
          <w:sz w:val="16"/>
          <w:szCs w:val="16"/>
          <w:color w:val="auto"/>
        </w:rPr>
        <w:t>The OPEN WATER study was a prospective, multicenter, all-comer study conducted in a commercial setting spanning patients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prostate sizes between 20 ml and 150 ml. Due to the size of this study, it was sufficiently powered to statistical conclusions with the data. There was no OPC established for this study. The results of the OPEN WATER study were first published in Journal of Clinical Medicine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key findings from our three core studies.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OPEN WATER</w:t>
            </w:r>
          </w:p>
        </w:tc>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WATER II</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WATER</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WATER (TURP arm)</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(Aquablation arm)</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Number Treated</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Demographics (all data reported as mean)</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(years)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Prostate size</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59ml</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107ml</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54ml</w:t>
            </w:r>
          </w:p>
        </w:tc>
        <w:tc>
          <w:tcPr>
            <w:tcW w:w="1440" w:type="dxa"/>
            <w:vAlign w:val="bottom"/>
          </w:tcPr>
          <w:p>
            <w:pPr>
              <w:jc w:val="right"/>
              <w:spacing w:after="0"/>
              <w:rPr>
                <w:sz w:val="20"/>
                <w:szCs w:val="20"/>
                <w:color w:val="auto"/>
              </w:rPr>
            </w:pPr>
            <w:r>
              <w:rPr>
                <w:rFonts w:ascii="Arial" w:cs="Arial" w:eastAsia="Arial" w:hAnsi="Arial"/>
                <w:sz w:val="18"/>
                <w:szCs w:val="18"/>
                <w:color w:val="auto"/>
              </w:rPr>
              <w:t>52ml</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Obstructive median lobe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Longest Duration of Follow-up</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 year</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 years</w:t>
            </w:r>
          </w:p>
        </w:tc>
        <w:tc>
          <w:tcPr>
            <w:tcW w:w="2980" w:type="dxa"/>
            <w:vAlign w:val="bottom"/>
            <w:gridSpan w:val="3"/>
          </w:tcPr>
          <w:p>
            <w:pPr>
              <w:jc w:val="right"/>
              <w:ind w:right="1131"/>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Efficacy</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IPSS baseline</w:t>
            </w: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IPSS at longest FU</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IPSS-QoL baseline</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IPSS-QoL at longest FU</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Qmax baseline</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9.9 ml/sec</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8.7 ml/sec</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9.4 ml/sec</w:t>
            </w:r>
          </w:p>
        </w:tc>
        <w:tc>
          <w:tcPr>
            <w:tcW w:w="1440" w:type="dxa"/>
            <w:vAlign w:val="bottom"/>
          </w:tcPr>
          <w:p>
            <w:pPr>
              <w:jc w:val="right"/>
              <w:spacing w:after="0"/>
              <w:rPr>
                <w:sz w:val="20"/>
                <w:szCs w:val="20"/>
                <w:color w:val="auto"/>
              </w:rPr>
            </w:pPr>
            <w:r>
              <w:rPr>
                <w:rFonts w:ascii="Arial" w:cs="Arial" w:eastAsia="Arial" w:hAnsi="Arial"/>
                <w:sz w:val="18"/>
                <w:szCs w:val="18"/>
                <w:color w:val="auto"/>
              </w:rPr>
              <w:t>9.1 ml/sec</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Qmax at longest FU</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 ml/sec</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 ml/sec</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 ml/sec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ml/sec</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w w:val="88"/>
              </w:rPr>
              <w:t>Safety (irreversible complications assessed by protocol definitions)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Incontinence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Erectile dysfunction</w:t>
            </w:r>
          </w:p>
        </w:tc>
        <w:tc>
          <w:tcPr>
            <w:tcW w:w="14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Ejaculatory dysfunction (% in sexually active)</w:t>
            </w: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Durability</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Surgical retreatment for BPH at longest FU</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Surgical retreatment annualized</w:t>
            </w:r>
          </w:p>
        </w:tc>
        <w:tc>
          <w:tcPr>
            <w:tcW w:w="14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Back on BPH medication at longest FU</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Back on BPH medication annualized</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Efficacy and Durability</w:t>
      </w:r>
    </w:p>
    <w:p>
      <w:pPr>
        <w:spacing w:after="0" w:line="17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most common measure of efficacy in BPH clinical research is symptom relief measured by improvement in IPSS. IPSS is a validated, standardized questionnaire used to quantify a patient’s degree of LUTS. The questionnaire is comprised of seven questions that characterize urinary dysfunction. Scores range from 0 to 35, with a higher score indicating more severe symptoms. A total score of 7 or less indicates mild symptoms, 8 to 19 indicates moderate symptoms and 20 to 30 indicates severe symptoms. The IPSS-Quality of Life, or IPSS-QoL, is a single question with a score of 0 to 6 that asks the patient how he would feel if he had to spend the rest of his life with his current urinary symptoms. A higher score indicates a higher level of dissatisfaction. Uroflowmetry tests, which measure the strength and amount of urine flow during urination, are also used to measure efficacy, with Qmax being the primary measurement. Qmax is a measure of the max urinary flow rate. A study of 348 18-year-old males showed the majority of men had a Qmax of 20 ml/s or higher.</w:t>
      </w:r>
    </w:p>
    <w:p>
      <w:pPr>
        <w:spacing w:after="0" w:line="13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Our core clinical studies have demonstrated the strong efficacy of Aquablation therapy across prostate sizes and shapes. The following figures highlight efficacy results for IPSS scores, IPSS-QoL scores and Qmax at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20" w:top="1440" w:right="379" w:bottom="1440" w:gutter="0" w:footer="0" w:header="0"/>
        </w:sectPr>
      </w:pPr>
    </w:p>
    <w:bookmarkStart w:id="123" w:name="page124"/>
    <w:bookmarkEnd w:id="12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points in time across these studies. All changes for IPSS, IPPS-QoL, and Qmax had a statistically significant change from baseline (p &lt;0.0001).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132080</wp:posOffset>
            </wp:positionV>
            <wp:extent cx="5143500" cy="63436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6343650"/>
                    </a:xfrm>
                    <a:prstGeom prst="rect">
                      <a:avLst/>
                    </a:prstGeom>
                    <a:noFill/>
                  </pic:spPr>
                </pic:pic>
              </a:graphicData>
            </a:graphic>
          </wp:anchor>
        </w:drawing>
      </w:r>
    </w:p>
    <w:p>
      <w:pPr>
        <w:sectPr>
          <w:pgSz w:w="11900" w:h="16838" w:orient="portrait"/>
          <w:cols w:equalWidth="0" w:num="1">
            <w:col w:w="10360"/>
          </w:cols>
          <w:pgMar w:left="32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360"/>
          </w:cols>
          <w:pgMar w:left="320" w:top="1440" w:right="1219" w:bottom="1440" w:gutter="0" w:footer="0" w:header="0"/>
          <w:type w:val="continuous"/>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1014730</wp:posOffset>
            </wp:positionV>
            <wp:extent cx="5143500" cy="3094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An important factor related to efficacy is durability, which is commonly measured by freedom from surgical retreatment due to recurrent LUTS associated with BPH. In addition, since one of the key goals of surgical intervention is to reduce or eliminate the need for drugs, the rate of patients back on drug therapy due to recurrent LUTS associated with BPH is also an important measure of durability. Lower rates of surgical retreatment and being back on drug therapy are more favorable. The table below highlights the strong durability observed across our core clinical studies.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OPEN WATER</w:t>
            </w:r>
          </w:p>
        </w:tc>
        <w:tc>
          <w:tcPr>
            <w:tcW w:w="16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WATER II</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WATER</w:t>
            </w:r>
          </w:p>
        </w:tc>
        <w:tc>
          <w:tcPr>
            <w:tcW w:w="1520" w:type="dxa"/>
            <w:vAlign w:val="bottom"/>
          </w:tcPr>
          <w:p>
            <w:pPr>
              <w:jc w:val="right"/>
              <w:ind w:right="416"/>
              <w:spacing w:after="0"/>
              <w:rPr>
                <w:sz w:val="20"/>
                <w:szCs w:val="20"/>
                <w:color w:val="auto"/>
              </w:rPr>
            </w:pPr>
            <w:r>
              <w:rPr>
                <w:rFonts w:ascii="Arial" w:cs="Arial" w:eastAsia="Arial" w:hAnsi="Arial"/>
                <w:sz w:val="14"/>
                <w:szCs w:val="14"/>
                <w:b w:val="1"/>
                <w:bCs w:val="1"/>
                <w:color w:val="auto"/>
              </w:rPr>
              <w:t>WATER</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(Aquablation arm)</w:t>
            </w:r>
          </w:p>
        </w:tc>
        <w:tc>
          <w:tcPr>
            <w:tcW w:w="1520" w:type="dxa"/>
            <w:vAlign w:val="bottom"/>
          </w:tcPr>
          <w:p>
            <w:pPr>
              <w:jc w:val="right"/>
              <w:ind w:right="296"/>
              <w:spacing w:after="0"/>
              <w:rPr>
                <w:sz w:val="20"/>
                <w:szCs w:val="20"/>
                <w:color w:val="auto"/>
              </w:rPr>
            </w:pPr>
            <w:r>
              <w:rPr>
                <w:rFonts w:ascii="Arial" w:cs="Arial" w:eastAsia="Arial" w:hAnsi="Arial"/>
                <w:sz w:val="14"/>
                <w:szCs w:val="14"/>
                <w:b w:val="1"/>
                <w:bCs w:val="1"/>
                <w:color w:val="auto"/>
              </w:rPr>
              <w:t>(TURP arm)</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Longest Duration of Follow-up</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year</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Surgical retreatment for BPH at longest FU</w:t>
            </w:r>
          </w:p>
        </w:tc>
        <w:tc>
          <w:tcPr>
            <w:tcW w:w="154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Surgical retreatment annualized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Back on BPH medication at longest FU</w:t>
            </w:r>
          </w:p>
        </w:tc>
        <w:tc>
          <w:tcPr>
            <w:tcW w:w="1540" w:type="dxa"/>
            <w:vAlign w:val="bottom"/>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 on BPH medication annualized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Safety</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key measure of safety used in BPH clinical research is the rate of irreversible complications, which includes urinary incontinence, erectile dysfunction and ejaculatory dysfunction. Urinary incontinence refers to the loss of bladder control, resulting in the occasional leak of urine. Erectile dysfunction refers to the inability to get or maintain an erection firm enough for sexual intercourse. Ejaculatory dysfunction refers to the inability of a man to efficiently ejaculate semen from the penis at the moment of sexual climax.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4"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Aquablation therapy has demonstrated low rates of irreversible complications across our core studies, with consistently low rates of urinary incontinence and erectile dysfunction and ejaculatory dysfunction risk as low 10% in sexually active men. The table below highlights the strong safety profile observed across our core clinical studies.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OPEN WATER</w:t>
            </w:r>
          </w:p>
        </w:tc>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WATER II</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WATER</w:t>
            </w:r>
          </w:p>
        </w:tc>
        <w:tc>
          <w:tcPr>
            <w:tcW w:w="1440" w:type="dxa"/>
            <w:vAlign w:val="bottom"/>
          </w:tcPr>
          <w:p>
            <w:pPr>
              <w:jc w:val="right"/>
              <w:ind w:right="376"/>
              <w:spacing w:after="0"/>
              <w:rPr>
                <w:sz w:val="20"/>
                <w:szCs w:val="20"/>
                <w:color w:val="auto"/>
              </w:rPr>
            </w:pPr>
            <w:r>
              <w:rPr>
                <w:rFonts w:ascii="Arial" w:cs="Arial" w:eastAsia="Arial" w:hAnsi="Arial"/>
                <w:sz w:val="14"/>
                <w:szCs w:val="14"/>
                <w:b w:val="1"/>
                <w:bCs w:val="1"/>
                <w:color w:val="auto"/>
              </w:rPr>
              <w:t>WATER</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(Aquablation arm)</w:t>
            </w:r>
          </w:p>
        </w:tc>
        <w:tc>
          <w:tcPr>
            <w:tcW w:w="1440" w:type="dxa"/>
            <w:vAlign w:val="bottom"/>
          </w:tcPr>
          <w:p>
            <w:pPr>
              <w:jc w:val="right"/>
              <w:ind w:right="256"/>
              <w:spacing w:after="0"/>
              <w:rPr>
                <w:sz w:val="20"/>
                <w:szCs w:val="20"/>
                <w:color w:val="auto"/>
              </w:rPr>
            </w:pPr>
            <w:r>
              <w:rPr>
                <w:rFonts w:ascii="Arial" w:cs="Arial" w:eastAsia="Arial" w:hAnsi="Arial"/>
                <w:sz w:val="14"/>
                <w:szCs w:val="14"/>
                <w:b w:val="1"/>
                <w:bCs w:val="1"/>
                <w:color w:val="auto"/>
              </w:rPr>
              <w:t>(TURP arm)</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Incontinence</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Erectile dysfunction</w:t>
            </w: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Ejaculatory dysfunction (% in sexually active)</w:t>
            </w: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Surgical Standardization</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efficacy, safety and durability of Aquablation therapy across prostate sizes and shapes have been demonstrated across our three core studies. These studies have also demonstrated that outcomes are independent of surgeon experience. For example, in the WATER study, 14 of the 17 participating surgeons had no previous experience with Aquablation therapy and, in the WATER II study, participating surgeons had a median previous experience with Aquablation therapy of only 0.5 procedures. We believe the short learning curve associated with Aquablation therapy is in large part due to pre-operative planning capabilities and automated robotic execution.</w:t>
      </w:r>
    </w:p>
    <w:p>
      <w:pPr>
        <w:spacing w:after="0" w:line="13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Another key outcome observed across our core studies was consistency of operative and resection times. Regardless of prostate size or shape, the procedure setup and planning processes are the same. Once the surgeon has established the treatment area, the tissue resection is robotically executed, resulting in efficient resection times that are consistent across prostate sizes. The chart below demonstrates consistent resection times observed across our WATER and WATER II studies in prostate sizes between 30 ml and 150 ml. These resection times are in contrast to the highly variable data observed in the TURP arm of the WATER study, which is a key reason why TURP is generally limited to prostate sizes below 80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86360</wp:posOffset>
            </wp:positionV>
            <wp:extent cx="5143500" cy="2897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WATER study was a prospective, multicenter, double-blind, randomized, controlled study of Aquablation therapy against TURP for the treatment of LUTS associated with BPH in men with prostate sizes between 30 ml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40"/>
          </w:cols>
          <w:pgMar w:left="320" w:top="1440" w:right="339" w:bottom="1440" w:gutter="0" w:footer="0" w:header="0"/>
          <w:type w:val="continuous"/>
        </w:sectPr>
      </w:pPr>
    </w:p>
    <w:bookmarkStart w:id="126" w:name="page127"/>
    <w:bookmarkEnd w:id="126"/>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80 ml. One hundred eighty-one patients were enrolled and treated in the study, with 116 undergoing Aquablation therapy and 65 undergoing TURP, across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17 investigational sites. The study commenced in October 2015, and the results were first published in May 2018 in the Journal of Urology.</w:t>
      </w:r>
    </w:p>
    <w:p>
      <w:pPr>
        <w:spacing w:after="0" w:line="157" w:lineRule="exact"/>
        <w:rPr>
          <w:sz w:val="20"/>
          <w:szCs w:val="20"/>
          <w:color w:val="auto"/>
        </w:rPr>
      </w:pPr>
    </w:p>
    <w:p>
      <w:pPr>
        <w:ind w:right="380" w:firstLine="324"/>
        <w:spacing w:after="0" w:line="301" w:lineRule="auto"/>
        <w:rPr>
          <w:sz w:val="20"/>
          <w:szCs w:val="20"/>
          <w:color w:val="auto"/>
        </w:rPr>
      </w:pPr>
      <w:r>
        <w:rPr>
          <w:rFonts w:ascii="Arial" w:cs="Arial" w:eastAsia="Arial" w:hAnsi="Arial"/>
          <w:sz w:val="16"/>
          <w:szCs w:val="16"/>
          <w:color w:val="auto"/>
        </w:rPr>
        <w:t>At baseline for patients undergoing Aquablation therapy, the mean age was 66.0 years, the mean prostate size was 54.1 ml, with 54.1% of patients presenting with an obstructive median lobe, the mean IPSS score was 22.9, the mean IPSS-QoL score was 4.8 and the mean Qmax was 9.4 ml/s. At baseline for patients undergoing TURP, the mean age was 65.8 years, the mean prostate size was 51.8 ml, with 52.0% of patients presenting with an obstructive median lobe, the mean IPSS score was 22.2, the mean IPSS-QoL score was 4.8 and the mean Qmax was 9.1 ml/s.</w:t>
      </w:r>
    </w:p>
    <w:p>
      <w:pPr>
        <w:spacing w:after="0" w:line="103"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The primary efficacy endpoint was the change in IPSS at six months compared to baseline for the Aquablation therapy treatment arm randomized against the TURP arm. The primary safety endpoint was the occurrence of Clavien-Dindo persistent grade 1 or grade 2 or higher perioperative complications at three months. The study is planned to follow patients for five years, with three-year data currently published.</w:t>
      </w:r>
    </w:p>
    <w:p>
      <w:pPr>
        <w:spacing w:after="0" w:line="11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Mean total operative time was similar for the Aquablation therapy and TURP treatment arms (33 vs 36 minutes, p = 0.2752), but resection time was lower for Aquablation therapy (4 vs 27 minutes, p &lt;0.0001). Fourteen of the 17 participating surgeons had no previous experience with Aquablation therapy.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Efficacy and Durability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study successfully achieved its primary efficacy endpoint, with Aquablation therapy showing non-inferior symptom relief compared to TURP.</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Analysis of a patient subgroup with prostates above 50 ml demonstrated that Aquablation therapy was superior to TURP in symptom reduction.</w:t>
      </w:r>
    </w:p>
    <w:p>
      <w:pPr>
        <w:spacing w:after="0" w:line="168"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At six months, mean IPSS scores decreased from 22.9 at baseline to 5.9 in the Aquablation therapy treatment arm and from 22.2 at baseline to 6.8 in the TURP group. The IPSS change score at month six was 1.8 points larger for the Aquablation therapy treatment arm (95% CI -0.4 to 4.0). The lower confidence limit of the difference was above the pre-specified non-inferiority margin of 4.7, substantiating statistical and clinical non-inferiority of efficacy.</w:t>
      </w:r>
    </w:p>
    <w:p>
      <w:pPr>
        <w:spacing w:after="0" w:line="9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Improvements in IPSS scores were statistically similar across the two groups at three-year follow up. Mean improvements in IPSS scores at three years were 14.4 and 13.9 in the Aquablation therapy and TURP treatment arms, respectively (difference of 0.6 points, p=0.6848). Similarly, for Aquablation therapy and TURP, three-year mean improvements in IPSS-QoL were 3.2 and 3.2 (difference of 0 points, p=0.7845), respectively, and Qmax were 11.6 ml/s and 8.2 ml/s (difference of 3.3 ml/sec, p=0.0848), respectively.</w:t>
      </w:r>
    </w:p>
    <w:p>
      <w:pPr>
        <w:spacing w:after="0" w:line="13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Three-year surgical retreatment rates in the Aquablation therapy and TURP treatment arms were 4.3% and 1.5%, respectively, and not statistically different. There were no surgical retreatments for BPH beyond 20 months for either Aquablation therapy or TURP. At three years, the rate of patients in the Aquablation therapy and TURP treatment arms that were back on drug therapy were 1.7% and 7.7%, respectively.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Safety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primary safety endpoint occurred in 29 Aquablation therapy subjects, or 25.0%, and 26 TURP subjects, or 40.0%, which met the study primary non-inferiority safety hypothesis and subsequently demonstrated superiority (p = 0.0149). Among sexually active men, the rate of persistent retrograde ejaculation was lower in those treated with Aquablation therapy compared to TURP (10% vs 36%, p = 0.0003). There were no cases of urinary incontinence or erectile dysfunction among sexually active men. The transfusion rates in the Aquablation therapy and TURP treatment arms were 0.9% and 0.0%, respectively, and not statistically different. Published transfusion rates of TURP, typically performed in prostates sizes of less than 80 ml, are in the range of 1.8% - 2.8%.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II</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WATER II study was a prospective, multicenter single-arm study for the treatment of LUTS associated with BPH in men with prostate sizes between 80 ml and 150 ml. One hundred and one patients were enrolled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treated in the study across 16 investigational sites. The study commenced in 2017, and the results were first published BJU International in March 2019.</w:t>
      </w:r>
    </w:p>
    <w:p>
      <w:pPr>
        <w:spacing w:after="0" w:line="194"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At baseline for patients in the study, the mean age was 67.5 years, the mean prostate size was 107.4 ml, with 83.2% of patients presenting with an obstructive median lobe, the mean IPSS score was 23.2, the mean IPSS-QoL score was 4.6 and the mean Qmax was 8.7 ml/s.</w:t>
      </w:r>
    </w:p>
    <w:p>
      <w:pPr>
        <w:spacing w:after="0" w:line="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primary efficacy endpoint was IPSS reduction. Secondary efficacy endpoints include IPSS-QoL score, maximum urinary flow rate, post-void residual urine volume and prostate-specific antigen concentration. The primary safety endpoint was the percentage of Clavien–Dindo grade 2 or higher or any grade 1 event resulting in persistent disability. The study is planned to follow patients for five years, with three-year data having already been collected and analyzed.</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Mean total operative and resection time was 55 minutes and eight minutes, respectively. Participating surgeons had a median previous experience with Aquablation therapy of only 0.5 procedures.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Efficacy and Durability</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study met its primary and secondary efficacy endpoints showing the Aquablation procedure’s ability to provide significant symptom relief in large prostates and is a size independent procedure. The mean IPSS improved from 23.2 at baseline to 6.7 at three months (p &lt;0.001), which is a 17.4-point improvement and meeting the study’s primary efficacy endpoint goal. At three years, mean IPSS decreased from 23.2 at baseline to 6.5, mean IPSS-QoL decreased from 4.6 to 1.1 and mean Qmax increased from 8.7 ml/s to 18.5 ml/s.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Three-year surgical retreatment rate was 3.0%. At three years, the rate of patients that were back on drug therapy was 6.0%.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Safety</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study met its primary safety endpoint of Clavien–Dindo grade 2 or higher or any grade 1 event resulting in persistent disability. At three months, this occurred in 45.5% of men, which met the study design goal of less than 65%. Consistent with the results of the WATER study, WATER II observed low rates of irreversible complications: 2% new onset urinary incontinence and, among sexually active men, 0% erectile dysfunction and 19% ejaculatory dysfunction.</w:t>
      </w:r>
    </w:p>
    <w:p>
      <w:pPr>
        <w:spacing w:after="0" w:line="133"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While the primary safety endpoint was achieved, the procedure was done without any cauterization to achieve hemostasis, or a state where the bleeding has stopped. As a result, we experienced peri-operative transfusions, or transfusions that occur prior to a patient being discharged from the hospital, at a rate of 5.9%. We worked with numerous surgeons to identify the optimal hemostasis method that would work across all prostate sizes. That method, focal bladder neck cautery, was formally included as part of the Aquablation therapy training program beginning in January 2020. Since then, a number of publications have reported on transfusion rates. A key study published in April 2021 of 2,089 men undergoing Aquablation therapy with prostates ranging in size from 20 ml to 363 ml observed a transfusion rate of only 0.8%. Published transfusion rates of enucleation and simple prostatectomy, typically performed in prostates with sizes of greater than 80 ml, are in the range of 0.8% to 3.4% and 16% to 25%, respectively. TURP transfusion rates are not provided for comparison because TURP is routinely done in prostates less than 80ml.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WATER</w:t>
      </w:r>
    </w:p>
    <w:p>
      <w:pPr>
        <w:spacing w:after="0" w:line="171"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The OPEN WATER study was a prospective, multicenter, all-comer study conducted in a commercial setting spanning patients with prostate sizes between 20 ml and 150 ml. One hundred and seventy-eight patients were enrolled and treated in the study across five investigational sites. The study commenced in September 2017, and the results were first published in Journal of Clinical Medicine in February 2020.</w:t>
      </w:r>
    </w:p>
    <w:p>
      <w:pPr>
        <w:spacing w:after="0" w:line="95"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At baseline for patients in the study, the mean age was 66.0 years, the mean prostate size was 59.3 ml, with 59.6% of patients presenting with an obstructive median lobe, the mean IPSS score was 21.6, the mean IPSS-QoL score was 4.6 and the mean Qmax was 9.9 ml/s.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study’s primary endpoint was the change in total IPSS score from baseline to three months.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Efficacy and Durability</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primary efficacy endpoint of IPSS reduction was met with mean IPSS scores decreasing from 21.6 at baseline to 7.1 and 6.4 at the three- and 12-month follow-up, respectively.</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secondary endpoint of IPSS-QoL reduction was also met with mean IPSS-QoL scores decreasing from 4.6 at baseline to 1.5 and 1.4 at 3- and 12-month follow-up, respectively. The maximum urinary flow rate (Qmax) increased from 9.9 to 20.3 and 20.8 cc/sec at 3- and 12-month follow-up, respectively and post-void residual urinary volume decreased from 108cc at baseline to 47cc and 61cc at 3- and 12-month follow-up, respectively. All changes for IPSS, IPPS-QoL, and Qmax had a statistically significant change from baseline (p &lt;0.0001). We do not have any plans for additional follow-up with patients in the OPEN WATER study.</w:t>
      </w:r>
    </w:p>
    <w:p>
      <w:pPr>
        <w:spacing w:after="0" w:line="134" w:lineRule="exact"/>
        <w:rPr>
          <w:sz w:val="20"/>
          <w:szCs w:val="20"/>
          <w:color w:val="auto"/>
        </w:rPr>
      </w:pPr>
    </w:p>
    <w:p>
      <w:pPr>
        <w:ind w:left="340" w:right="1440"/>
        <w:spacing w:after="0" w:line="438" w:lineRule="auto"/>
        <w:rPr>
          <w:sz w:val="20"/>
          <w:szCs w:val="20"/>
          <w:color w:val="auto"/>
        </w:rPr>
      </w:pPr>
      <w:r>
        <w:rPr>
          <w:rFonts w:ascii="Arial" w:cs="Arial" w:eastAsia="Arial" w:hAnsi="Arial"/>
          <w:sz w:val="18"/>
          <w:szCs w:val="18"/>
          <w:color w:val="auto"/>
        </w:rPr>
        <w:t xml:space="preserve">There were no cases of surgical retreatment because of recurrent LUTS due to BPH at 12-months, with 3.4% back on drug therapy. </w:t>
      </w:r>
      <w:r>
        <w:rPr>
          <w:rFonts w:ascii="Arial" w:cs="Arial" w:eastAsia="Arial" w:hAnsi="Arial"/>
          <w:sz w:val="18"/>
          <w:szCs w:val="18"/>
          <w:i w:val="1"/>
          <w:iCs w:val="1"/>
          <w:color w:val="auto"/>
        </w:rPr>
        <w:t>Safety</w:t>
      </w:r>
    </w:p>
    <w:p>
      <w:pPr>
        <w:spacing w:after="0" w:line="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terms of safety, irreversible complications were similar to WATER and WATER II; 0% incontinence and among sexually active men 0% erectile dysfunction and 12% ejaculatory dysfunction.</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Following Aquablation therapy, 2.7% of patients underwent a transfusion and 7.9% of patients were taken back to the OR for postoperative hemostasis management. The prostate volumes included in the study spanned both WATER and WATER II, which were a broader range than routinely treated by TURP. The OPEN WATER trial demonstrated a similar transfusion rate of published TURP results (1.8% - 2.8%) where typically used in smaller prostates less than 80 ml.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Competitor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Prostatic Urethral Lift</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UroLift Prostate Implant, or UroLift, is a PUL system for the treatment of BPH. UroLift was cleared by the U.S. FDA in 2013, following successful completion of the Luminal Improvement Following Prostatic Tissue Approximation for the Treatment of Lower Urinary Tract Symptoms, or L.I.F.T., pivotal study. UroLift is indicated for patients with moderate-to-severe LUTS due to BPH with prostate sizes below 100 ml. Five-year data from this study has been published in June 2017 in the Canadian Journal of Urology.</w:t>
      </w:r>
    </w:p>
    <w:p>
      <w:pPr>
        <w:spacing w:after="0" w:line="13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L.I.F.T. study was designed as a prospective, multicenter, randomized, single-blinded controlled clinical trial. The study enrolled a total of 206 men randomized (140 UroLift vs 66 sham) across 19 investigational sites. At baseline for patients undergoing UroLift, the mean age was 67 years, the mean prostate size was 44.5 ml, the mean IPSS score was 22.2, the mean IPSS-QoL score was 4.6 and the mean Qmax was 7.9 ml/s. The study excluded prostates with an obstructive median lobe.</w:t>
      </w:r>
    </w:p>
    <w:p>
      <w:pPr>
        <w:spacing w:after="0" w:line="133"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At three years, patients undergoing UroLift had a mean IPSS score of 12.7, mean IPSS-QoL score of 2.2 and mean Qmax of 11.8 ml/s. Patients undergoing UroLift experienced the following at three years: 10.7% surgical retreatment and 9.3% back on drug therapy due to recurrent LUTS due to BPH, and 7.1% having one or more implants removed.</w:t>
      </w:r>
    </w:p>
    <w:p>
      <w:pPr>
        <w:spacing w:after="0" w:line="130"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At five years, patients undergoing UroLift had a mean IPSS score of 13.9, mean IPSS-QoL score of 2.2 and mean Qmax of 12.0 ml/s. Patients undergoing UroLift experienced the following at five years: 13.6% surgical retreatment and 10.7% back on drug therapy due to recurrent LUTS due to BPH, and 9.3% having one or more implants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Vapor Therapy</w:t>
      </w:r>
    </w:p>
    <w:p>
      <w:pPr>
        <w:spacing w:after="0" w:line="171"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The Rezūm System, or Rezūm, is a water vapor therapy for the treatment of BPH. Rezūm was granted 510(k) clearance by the U.S. FDA in 2015, following successful completion of the Rezūm II Study. Rezūm is indicated for patients with moderate-to-severe LUTS due to BPH with prostate sizes below 80 ml. Five-year data from this study has been published in April 2021 in the Journal of Urology.</w:t>
      </w:r>
    </w:p>
    <w:p>
      <w:pPr>
        <w:spacing w:after="0" w:line="130" w:lineRule="exact"/>
        <w:rPr>
          <w:sz w:val="20"/>
          <w:szCs w:val="20"/>
          <w:color w:val="auto"/>
        </w:rPr>
      </w:pPr>
    </w:p>
    <w:p>
      <w:pPr>
        <w:ind w:right="40" w:firstLine="324"/>
        <w:spacing w:after="0" w:line="340" w:lineRule="auto"/>
        <w:rPr>
          <w:sz w:val="20"/>
          <w:szCs w:val="20"/>
          <w:color w:val="auto"/>
        </w:rPr>
      </w:pPr>
      <w:r>
        <w:rPr>
          <w:rFonts w:ascii="Arial" w:cs="Arial" w:eastAsia="Arial" w:hAnsi="Arial"/>
          <w:sz w:val="15"/>
          <w:szCs w:val="15"/>
          <w:color w:val="auto"/>
        </w:rPr>
        <w:t>The Rezūm II Study was designed as a prospective, multicenter, randomized, double-blinded controlled clinical trial. The study enrolled a total of 197 men randomized (136 water vapor therapy vs 61 sham) across 15 investigational sites. At baseline for patients undergoing water vapor therapy, the mean age was 63 years, the mean prostate size was 45.8 ml, the mean IPSS score was 22.0, the mean IPSS-QoL score was 4.4 and the mean Qmax was 9.9 ml/s.</w:t>
      </w:r>
    </w:p>
    <w:p>
      <w:pPr>
        <w:spacing w:after="0" w:line="77"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At three years, patients undergoing water vapor therapy had a mean IPSS score of 10.5, mean IPSS-QoL score of 2.1 and mean Qmax of 13.2 ml/s. Patients undergoing water vapor therapy experienced the following at three years: 4.4% surgical retreatment and 3.7% back on drug therapy due to recurrent LUTS due to BPH.</w:t>
      </w:r>
    </w:p>
    <w:p>
      <w:pPr>
        <w:spacing w:after="0" w:line="130"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At five years, patients undergoing water vapor therapy had a mean IPSS score of 11.1, mean IPSS-QoL score of 2.2 and mean Qmax of 14.0 ml/s. Patients undergoing water vapor therapy experienced the following at four years: 4.4% surgical retreatment and 11.1% back on drug therapy due to recurrent LUTS due to BPH.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Activities in the United States</w:t>
      </w:r>
    </w:p>
    <w:p>
      <w:pPr>
        <w:spacing w:after="0" w:line="171"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designed our commercial strategy and built our direct sales team to target primarily urologists across the United States, who we believe represent the primary physician specialty managing the care of and receiving referrals for patients with BPH. We estimate that there are approximately 12,000 urologists who manage approximately 4.3 million BPH patients, comprised of 400,000 undergoing BPH surgery annually, 3.3 million who are on drug therapy and 600,000 who have tried but failed drug therapy. We are first focused on driving adoption of Aquablation therapy among urologists who perform hospital-based BPH resective surgery. We estimate that approximately 290,000 of the 400,000 annual BPH surgeries are resective procedures performed across approximately 2,700 hospitals. We are initially targeting 860 high-volume hospitals that perform, on average, more than 200 resective procedures annually and account for approximately 70% of all hospital-based resective procedures. Within each high-volume hospital, we are focused on targeting urologists who perform medium-to-high volumes of resective procedures and converting their resective cases to Aquablation therapy. As urologists gain experience with Aquablation therapy, we will leverage their experiences to capture more surgical volumes and establish Aquablation therapy as the surgical standard of care. We also intend to leverage our relationships with urologists to drive utilization of Aquablation therapy beyond the current surgical market. Over time, we will gradually expand our focus to also include mid- and low-volume hospitals.</w:t>
      </w:r>
    </w:p>
    <w:p>
      <w:pPr>
        <w:spacing w:after="0" w:line="11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primarily sell our products through our direct sales organization in the United States. As of June 30, 2021, we employed a Vice President of U.S. sales, a sales director and 24 sales professionals, including four sales managers, 10 robotic sales representatives and 10 Aquablation sales representatives, who focus on driving utilization. This team actively engages with providers to drive awareness, adoption and utilization of our Aquablation therapy. Our direct sales organization is supported by ten clinical specialists and professional education employees, who are responsible for training and supporting surgeons, two reimbursement specialists, who are responsible for customer and physician education on coding, coverage and payment, and two field service employees, who provide preventative maintenance and support for our customers. We intend to expand the size of our direct sales organization to support our efforts for adoption and utilization of Aquablation therapy.</w:t>
      </w:r>
    </w:p>
    <w:p>
      <w:pPr>
        <w:spacing w:after="0" w:line="12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to our direct sales efforts, we support our sales organization with marketing and market development initiatives. We plan to continue to expand and enhance our marketing capabilities to support our growing commercial organization and customer base. Our near-term marketing efforts center principally on increasing awareness and driving adoption of Aquablation therapy among urologists by continuing to publish clinical data in various industry and scientific journals, present our clinical data at various industry conferences, expand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320" w:top="1440" w:right="399" w:bottom="1440" w:gutter="0" w:footer="0" w:header="0"/>
        </w:sectPr>
      </w:pPr>
    </w:p>
    <w:bookmarkStart w:id="130" w:name="page131"/>
    <w:bookmarkEnd w:id="130"/>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network of KOLs and sponsor peer-to-peer education programs and proctorships. We believe these initiatives will further deepen our relationships with urologists and key medical societies, contributing to our goal of Aquablation therapy becoming the surgical standard of care for BPH surgery. Longer-term, as we expand our network of urologists and grow our installed base, we intend to increase awareness and brand recognition of Aquablation therapy beyond urologists, primarily among primary care physicians who manage BPH patients. To achieve this objective, we will invest in marketing initiatives directed at primary care physicians in order to optimize referral pathways and expand networks for BPH patients to visit a urologist. Once we have established a broader installed base of systems, we may seek to further increase patient awareness through various direct-to-patient marketing initiatives.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Activities Outside of the United States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commercialization strategy outside the United States is focused on large addressable markets through a broad range of market development activities, including increasing awareness, obtaining regulatory approvals and establishing reimbursement. We sell our products using both our direct sales organization and, in certain regions, our network of distribution partners.</w:t>
      </w:r>
    </w:p>
    <w:p>
      <w:pPr>
        <w:spacing w:after="0" w:line="130"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EMEA, our direct sales organization is currently primarily focused on Germany, France, the United Kingdom, Switzerland and Austria. In other countries, such as Italy and Spain, we engage distribution partners to assist us with market development and sales activities. As of June 30, 2021, we employed 9 personnel to support sales and marketing activities in EMEA. We will opportunistically choose distribution partners with clinical and marketing expertise to enter new markets. We are focused on distribution partners that have the capability to assist with surgeon training and, when required, obtaining regulatory approvals. In the Asia-Pacific region, we are focused on obtaining local regulatory clearances with the assistance of our distribution partners in this region. We have regulatory approval in Hong Kong, where we are engaged with a distribution partner for market development activities.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the United States, we sell our products to hospitals. These customers in turn bill various third-party payors, such as commercial payors and government agencies, for treatment payment of each patient. Our market access team includes four professionals who are focused on all key aspects of reimbursement, which include securing appropriate coding, payment and coverage policies for our products. This team focuses both on payer engagement as well as providing support to the providers.</w:t>
      </w:r>
    </w:p>
    <w:p>
      <w:pPr>
        <w:spacing w:after="0" w:line="13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Coverage and reimbursement by governmental and third-party payors may depend upon a number of factors, including the determination that the product or service and its use or administration for a particular patient is:</w:t>
      </w:r>
    </w:p>
    <w:p>
      <w:pPr>
        <w:spacing w:after="0" w:line="116"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covered benefit;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supported by guidelines established by the relevant professional societies;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exists among third-party payors. Therefore, coverage and reimbursement for procedures can differ significantly from payor to payor. Obtaining coverage and reimbursement can be a time-consuming process that could require supporting scientific, clinical and cost-effectiveness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4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Payors continually review new and existing technologies for possible coverage and can, without notice, deny or reverse coverage for new or existing products and procedures. Further, future coverage and reimbursement may be subject to increased restrictions, such as additional prior authorization requirements, both in the United States and in international markets. In addition, Medicare Administrative Contractors could issue a local coverage determination decision that could restrict the patients eligible for a treatment with our products. Third-party coverage and reimbursement may not be available or adequate in either the United States or international markets. Further, other BPH treatments may be more widely covered or subject to different co-pay policies and requirements, which could impact demand for our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Coding and Payment</w:t>
      </w:r>
    </w:p>
    <w:p>
      <w:pPr>
        <w:spacing w:after="0" w:line="171" w:lineRule="exact"/>
        <w:rPr>
          <w:sz w:val="20"/>
          <w:szCs w:val="20"/>
          <w:color w:val="auto"/>
        </w:rPr>
      </w:pPr>
    </w:p>
    <w:p>
      <w:pPr>
        <w:jc w:val="both"/>
        <w:ind w:right="440" w:firstLine="324"/>
        <w:spacing w:after="0" w:line="301" w:lineRule="auto"/>
        <w:rPr>
          <w:sz w:val="20"/>
          <w:szCs w:val="20"/>
          <w:color w:val="auto"/>
        </w:rPr>
      </w:pPr>
      <w:r>
        <w:rPr>
          <w:rFonts w:ascii="Arial" w:cs="Arial" w:eastAsia="Arial" w:hAnsi="Arial"/>
          <w:sz w:val="16"/>
          <w:szCs w:val="16"/>
          <w:color w:val="auto"/>
        </w:rPr>
        <w:t>Third-party payors require physicians and hospitals to identify the service for which they are seeking reimbursement by using Current Procedural Terminology, or CPT, codes, which are created and maintained by the American Medical Association, or AMA. The surgical treatment of BPH using Aquablation therapy is described by CPT code 0421T, which is the code describing transurethral waterjet ablation of the prostate, a Category III code published by the AMA in January 2017. In February 2021, the AMA approved an extension for CPT code 0421T through December 31, 2026.</w:t>
      </w:r>
    </w:p>
    <w:p>
      <w:pPr>
        <w:spacing w:after="0" w:line="103"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Physician reimbursement under Medicare generally is based on a defined fee schedule, the Physician Fee Schedule, through which payment amounts are determined by the relative values of the professional service rendered. Physician payment rates for Category III codes are determined by the MACs and vary from jurisdiction to jurisdiction. The payment to the surgeon using CPT code 0421T is similar to that for a TURP procedure.</w:t>
      </w:r>
    </w:p>
    <w:p>
      <w:pPr>
        <w:spacing w:after="0" w:line="1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to payment to the surgeon for professional services, Medicare provides reimbursement to our hospital customers for procedures under the hospital outpatient prospective payment system, or HOPPS, and inpatient prospective payment system, or IPPS. The HOPPS and IPPS provide bundled amounts generally intended to reimburse the hospital for all facility costs related to procedures performed in the hospital outpatient setting and inpatient setting, respectively. Under the HOPPS and IPPS, the national average Medicare payment to the hospital for this procedure is slightly more than $8,200 and $5,600, respectively, which includes payment for the hospitals’ costs for the device and procedure. Medicare also provides reimbursement for procedures performed in ASCs. The national average Medicare payment to an ASC for 0421T is approximately $4,000. Reimbursement rates from commercial payors vary depending on the commercial payor, contract terms, and other factors.</w:t>
      </w:r>
    </w:p>
    <w:p>
      <w:pPr>
        <w:spacing w:after="0" w:line="12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part of the 2020 Outpatient Prospective Payment System ruling, the CMS granted approval for a transitional pass-through, or TPT, payment for Aquablation therapy. TPT status is intended to encourage the use of newly FDA-approved medical devices, drugs, and biologics across all fields of medicine and to boost Medicare patients’ access to these innovative therapies by temporarily paying more than established facility fees. The TPT payment for Aquablation therapy is effective through December 31,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Payor and Government Program Coverage</w:t>
      </w:r>
    </w:p>
    <w:p>
      <w:pPr>
        <w:spacing w:after="0" w:line="17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A core pillar of our reimbursement strategy involves broadening our third-party payor coverage. We continue to have active discussions with commercial payors to establish positive national coverage policies by highlighting our compelling and robust clinical data, increased patient demand and support from leading medical societies and key opinion leaders. Approximately 32 commercial payors have reimbursed hospitals for the Aquablation procedure, although a number of commercial payors have adopted noncoverage policies for Aquablation therapy. We have secured positive coverage policies from two U.S. commercial payors at the national level; Anthem Blue Cross Blue Shield and Humana. We have secured positive coverage policies from two commercial payors at the local and regional level, namely Blue Cross Blue Shield Massachusetts and EmblemHealth.</w:t>
      </w:r>
    </w:p>
    <w:p>
      <w:pPr>
        <w:spacing w:after="0" w:line="11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As of December 27, 2020, all MACs cover procedures involving Aquablation therapy are covered for Medicare patients. We believe Medicare accounts for approximately 50% of all hospital-based resective BPH procedures performed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Authorization Approval Process</w:t>
      </w:r>
    </w:p>
    <w:p>
      <w:pPr>
        <w:spacing w:after="0" w:line="171"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Our reimbursement strategy includes leveraging our market access team as advisors when needed to support in obtaining appropriate prior authorization approvals in advance of treatment. We believe we are highly effective in providing guidance to obtain prior authorizations when needed.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Outside of the United States</w:t>
      </w:r>
    </w:p>
    <w:p>
      <w:pPr>
        <w:spacing w:after="0" w:line="17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Outside of the United States, reimbursement levels vary significantly by country, and within some countries by region, as well as by payor type. Reimbursement is obtained from a variety of sources, including government sponsors, hospital budgets or private health insurance plans, or combinations thereof. Obtaining reimbursement is a key part of our market development strategy outside of the United States. We currently have established reimbursement in Germany, the United Kingdom, Spain and Italy are continuing to establish new, as well as more favorable, reimbursement.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established a dedicated research and development team, including 29 engineers as of June 30, 2021, with strong research and development capabilities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w:t>
      </w:r>
    </w:p>
    <w:p>
      <w:pPr>
        <w:spacing w:after="0" w:line="13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To improve customer experience, we are continually innovating our 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machine-learning to enable computer-assisted anatomy recognition and improved treatment planning and personalization. In the future, we may evaluate the application of the AquaBeam Robotic System in new urologic conditions beyond BPH.</w:t>
      </w:r>
    </w:p>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years ended December 31, 2019 and 2020, and the six months ended June 30, 2020 and 2021, our research, development and clinical expenses were $13.1 million, $16.3 million, $7.8 million and $9.0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directly manufacture the AquaBeam Robotic System, the handpiece, integrated scope and other accessories at our facility in Redwood City, California. This includes supporting the supply chain distribution and logistics of the various components. Components, sub-assemblies and services required to manufacture our products are purchased from numerous global suppliers. Each AquaBeam Robotic System is shipped to our customers with a third-party manufactured ultrasound system and probe. We utilize a well-known third-party logistics provider located in United States and the Netherlands to ship our products to our customers globally. While we do not believe we are substantially dependent on any suppliers, currently our principal suppliers include Shantou Institute of Ultrasonic Instruments Co. Ltd. (which manufactures our transrectal ultrasound set), Myriad Fiber Imaging Tech., Inc. (which manufactures our articulating arms), HydroCision, Inc. (which manufactures our pump cartridge contract), and Medical Targeting Technologies GmbH (which manufactures our integrated scope).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industry in which we operate is subject to rapid change from the introduction of new products and technologies and other activities of industry participants. While we believe Aquablation therapy and the AquaBeam Robotic System provide us with a competitive advantage against other competing BPH treatment modalities, our currently marketed products are, and any future products we commercialize will be, subject to intense competition.</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of our current and potential competitors may have significantly greater financial, technical, marketing and other resources than we do and may be able to devote greater resources to the development, regulatory approval, promotion, sale and support of their products. Our competitors may also have more extensive customer bases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60"/>
          </w:cols>
          <w:pgMar w:left="320" w:top="1440" w:right="419" w:bottom="1440" w:gutter="0" w:footer="0" w:header="0"/>
        </w:sectPr>
      </w:pPr>
    </w:p>
    <w:bookmarkStart w:id="133" w:name="page134"/>
    <w:bookmarkEnd w:id="133"/>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broader customer relationships than we do, including relationships with our potential customers. In addition, many of these companies have longer operating histories and greater brand recognition than we do. Because of the size of the BPH market, we anticipate that companies will dedicate significant resources to developing competing products.</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consider our primary competition to be resective surgical treatments. These include among others, those manufacturers producing devices for the TURP procedure and laser-based therapies marketed by Boston Scientific Corporation. We also believe we will eventually compete with non-resective and non-surgical treatments. The non-resective treatments include, among others, UroLift marketed by Teleflex Incorporated and Rezum marketed by Boston Scientific Corporation. Non-surgical treatments for BPH are primarily pharmaceuticals. The primary pharmaceutical products marketed to treat BPH include Flomax marketed by Boehringer Ingelheim, Rapaflow marketed by Allergan plc, Avodart marketed by GlaxoSmithKline plc, and Proscar marketed by Merck &amp; Co., Inc.</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primary bases on which we compete include:</w:t>
      </w:r>
    </w:p>
    <w:p>
      <w:pPr>
        <w:spacing w:after="0" w:line="171"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improved outcomes for patients;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product safety, efficacy, reliability and durability;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quality and volume of clinical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effective marketing to and education of patients, physicians and hospitals;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company, product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sales force experience and access;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product support and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technological innovation, product enhancements and speed of innovation;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pricing and revenue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effectiveness of reimbursement teams and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regulatory status and speed to market;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dedicated clinical representatives.</w:t>
      </w:r>
    </w:p>
    <w:p>
      <w:pPr>
        <w:spacing w:after="0" w:line="171" w:lineRule="exact"/>
        <w:rPr>
          <w:sz w:val="20"/>
          <w:szCs w:val="20"/>
          <w:color w:val="auto"/>
        </w:rPr>
      </w:pPr>
    </w:p>
    <w:p>
      <w:pPr>
        <w:ind w:right="1360" w:firstLine="324"/>
        <w:spacing w:after="0" w:line="438" w:lineRule="auto"/>
        <w:rPr>
          <w:sz w:val="20"/>
          <w:szCs w:val="20"/>
          <w:color w:val="auto"/>
        </w:rPr>
      </w:pPr>
      <w:r>
        <w:rPr>
          <w:rFonts w:ascii="Arial" w:cs="Arial" w:eastAsia="Arial" w:hAnsi="Arial"/>
          <w:sz w:val="18"/>
          <w:szCs w:val="18"/>
          <w:color w:val="auto"/>
        </w:rPr>
        <w:t xml:space="preserve">We cannot assure you that we will be able to compete effectively against our competitors in regard to any one or all of these factors. </w:t>
      </w:r>
      <w:r>
        <w:rPr>
          <w:rFonts w:ascii="Arial" w:cs="Arial" w:eastAsia="Arial" w:hAnsi="Arial"/>
          <w:sz w:val="18"/>
          <w:szCs w:val="18"/>
          <w:b w:val="1"/>
          <w:bCs w:val="1"/>
          <w:color w:val="auto"/>
        </w:rPr>
        <w:t>Intellectual Property</w:t>
      </w:r>
    </w:p>
    <w:p>
      <w:pPr>
        <w:spacing w:after="0" w:line="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rely on a combination of patent, copyright, trademark and trade secret laws and confidentiality and invention assignment agreements to protect our intellectual property rights.</w:t>
      </w:r>
    </w:p>
    <w:p>
      <w:pPr>
        <w:spacing w:after="0" w:line="116" w:lineRule="exact"/>
        <w:rPr>
          <w:sz w:val="20"/>
          <w:szCs w:val="20"/>
          <w:color w:val="auto"/>
        </w:rPr>
      </w:pPr>
    </w:p>
    <w:p>
      <w:pPr>
        <w:jc w:val="both"/>
        <w:ind w:right="160" w:firstLine="324"/>
        <w:spacing w:after="0" w:line="277" w:lineRule="auto"/>
        <w:rPr>
          <w:sz w:val="20"/>
          <w:szCs w:val="20"/>
          <w:color w:val="auto"/>
        </w:rPr>
      </w:pPr>
      <w:r>
        <w:rPr>
          <w:rFonts w:ascii="Arial" w:cs="Arial" w:eastAsia="Arial" w:hAnsi="Arial"/>
          <w:sz w:val="18"/>
          <w:szCs w:val="18"/>
          <w:color w:val="auto"/>
        </w:rPr>
        <w:t>As of June 30, 2021, we had rights to 26 issued U.S. patents, expiring between 2028 and 2037, 70 issued foreign patents, expiring between 2028 and 2035, 36 pending U.S. patent applications, eight pending PCT applications, and 41 foreign patent applications.</w:t>
      </w:r>
    </w:p>
    <w:p>
      <w:pPr>
        <w:spacing w:after="0" w:line="116"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As of June 30, 2021, our rights to foreign issued patents include 10 granted Chinese patents, 18 granted Japanese patents and eight granted European patents, of which eight have been validated in Germany, seven in Spain, eight in France, eight in the United Kingdom, four in Ireland, and seven in Italy. As of June 30, 2021, our rights to foreign patent applications include 11 pending European applications, seven pending Chinese applications, six pending Japanese applications, nine pending Brazilian applications, and eight pending Indian applications.</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of June 30, 2021, we have the rights to issued patents and pending patent applications directed to our current AquaBeam Robotic System, including nine issued U.S. patents and 31 foreign issued or granted patents. The nine issued U.S. patents, expiring between 2028 and 2034, include machine and process claims, with six issued</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00"/>
          </w:cols>
          <w:pgMar w:left="320" w:top="1440" w:right="379" w:bottom="1440" w:gutter="0" w:footer="0" w:header="0"/>
          <w:type w:val="continuous"/>
        </w:sectPr>
      </w:pPr>
    </w:p>
    <w:bookmarkStart w:id="134" w:name="page135"/>
    <w:bookmarkEnd w:id="134"/>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patents directed to the hand-piece and three issued patents directed to the system. The 31 foreign issued patents, expiring between 2028 and 2034, include machine claims, with 22 issued patents directed to the hand-piece and nine issued patents directed to the system. The 31 foreign issued patents include three Chinese patents, seven Japanese patents, four German patents, three Spanish patents, four French patents, four United Kingdom patents, three Irish patents and three Italian patents. The remaining 17 of the 26 issued U.S. patents and the remaining 39 of the 70 foreign issued patents have machine and process claims directed to prostate treatments with laser energy, enulceation of the prostate, radiation therapy, cell sampling and hemostasis.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active patent litigation involving any of our patents and we have not received any notices of patent infringement</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June 30, 2021, we had 36 pending and registered trademark filings worldwide, some of which may provide trademark protection in multiple countries.</w:t>
      </w:r>
    </w:p>
    <w:p>
      <w:pPr>
        <w:spacing w:after="0" w:line="116"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also rely, in part, upon unpatented trade secrets, know-how and continuing technological innovation, and may in the future rely upon licensing opportunities,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spacing w:after="0" w:line="11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pending patent applications may not result in issued patents, and we cannot assure you that any current or subsequently issued patents will protect our intellectual property rights or provide us with any competitive advantage. While there is no active litigation involving any of our patents or other intellectual property rights and we have not received any notices of patent infringement, we may be required to enforce or defend our intellectual property rights against third parties in the future. See the section titled “Risk Factors—Risks Related to Intellectual Property Matters” for additional information regarding these and other risks related to our intellectual property portfolio and their potential effect on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AquaBeam</w:t>
      </w:r>
    </w:p>
    <w:p>
      <w:pPr>
        <w:spacing w:after="0" w:line="17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 2008, we assigned to AquaBeam LLC, or AquaBeam, certain provisional patent applications, or AquaBeam Patent Applications, which have since issued as patents, and any future patent applications that claim priority to the AquaBeam Patent Applications, or AquaBeam Patents. AquaBeam is affiliated with Rodney Perkins, one of our co-founders and a member of our board of directors who will resign from the board effective immediately upon effectiveness of the registration statement of which this prospectus is a part, and Nikolai Aljuri, who holds more than 5% of our common stock.</w:t>
      </w:r>
    </w:p>
    <w:p>
      <w:pPr>
        <w:spacing w:after="0" w:line="103"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September 2019, we entered into an amended and restated license agreement, or the AquaBeam License Agreement, with AquaBeam. Pursuant to the AquaBeam License Agreement, AquaBeam grants us a worldwide, exclusive (even as to AquaBeam), sublicensable, royalty-free license under the AquaBeam Patents and to all other patent rights owned by AquaBeam, which are filed on or before the earlier of October 28, 2021 and the date on which we are acquired by a third party, that claim certain technology related to delivering energy to tissues by directing a liquid fluid stream, or together with AquaBeam Patents, Licensed Patents, in the field of urology, or Field. Pursuant to the AquaBeam License Agreement, and subject to the terms therein, we grant AquaBeam a worldwide, exclusive (even as to us), sublicensable, royalty-free license under certain of our patents rights, which are filed on or before the earlier of October 28, 2021 and the date on which AquaBeam is acquired by a third party, that claim certain technology related to delivering energy to tissues by directing a liquid fluid stream, or PROCEPT Patents, outside the Field. No upfront payments or milestone payments (except for patent prosecution and maintenance costs) have been made or are otherwise required under the AquaBeam License Agreement.</w:t>
      </w:r>
    </w:p>
    <w:p>
      <w:pPr>
        <w:spacing w:after="0" w:line="11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If AquaBeam desires to grant a license under the Licensed Patents to any third party outside the Field on or before the earlier of October 28, 2021 and the date on which AquaBeam is acquired by a third party, we have the first right to negotiate such license grant pursuant to the terms of the AquaBeam License Agreement.</w:t>
      </w:r>
    </w:p>
    <w:p>
      <w:pPr>
        <w:spacing w:after="0" w:line="130"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AquaBeam has the first right to prosecute and maintain the Licensed Patents and we have the right to step-in if AquaBeam declines or fails to prosecute or maintain any of the Licensed Patents. We have the first right to prosecute and maintain the PROCEPT Patents. We have the first right to enforce the Licensed Patents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PROCEPT Patents if a third party infringes on any such patents in the Field, provided, if such third party infringes the Licensed Patents or the PROCEPT Patents both in and outside of the Field , or Cross-Field Infringement, and AquaBeam or any of its other licensees under the Licensed Patents or the PROCEPT Patents are developing or commercializing products that are covered by the infringed Licensed Patents or the PROCEPT Patents, then AquaBeam and we will discuss which party will control the enforcement action with respect to such Cross-Field Infringement.</w:t>
      </w:r>
    </w:p>
    <w:p>
      <w:pPr>
        <w:spacing w:after="0" w:line="10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AquaBeam License Agreement will remain in full force and effect on a country-by-country basis until the last to expire of the Licensed Patents and the PROCEPT Patents in such country. The expiration date of the last-to-expire of the Licensed Patents and PROCEPT Patents will not be earlier than 2037. The AquaBeam License Agreement may be terminated by either party in the event of uncured material breach by the other party that remains uncured for 90 days (or 30 days for payment related breaches), or bankruptcy of the other party.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United States, as well as comparable authorities in the EEA. Our products are subject to regulation as medical devices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2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addition to U.S. regulations, we are subject to a variety of regulations in the EEA governing clinical trials and the commercial sales and distribution of our products. Whether or not we have or are required to obtain FDA clearance or approval for a product, we will be required to obtain authorization before commencing clinical trials and to obtain marketing authorization or approval of our products under the comparable regulatory authorities of countries outside of the United States before we can commence clinical trials or commercialize our products in those countries. The approval process varies from country to country and the time may be longer or shorter than that required for FDA clearance or approval.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71" w:lineRule="exact"/>
        <w:rPr>
          <w:sz w:val="20"/>
          <w:szCs w:val="20"/>
          <w:color w:val="auto"/>
        </w:rPr>
      </w:pPr>
    </w:p>
    <w:p>
      <w:pPr>
        <w:jc w:val="both"/>
        <w:ind w:right="140" w:firstLine="324"/>
        <w:spacing w:after="0" w:line="287"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FDA clearance of a 510(k) premarket notification or PMA approval. Under the FDCA, medical devices are classified into one of three classes—Class I, Class II or Class III—depending on the degree of risk associated with each medical device and the extent of manufacturer and regulatory control needed to ensure its safety and effectiveness.</w:t>
      </w:r>
    </w:p>
    <w:p>
      <w:pPr>
        <w:spacing w:after="0" w:line="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to through the 510(k) process.</w:t>
      </w:r>
    </w:p>
    <w:p>
      <w:pPr>
        <w:spacing w:after="0" w:line="13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Devices deemed by the FDA to pose the greatest risks, such as life-sustaining, life-supporting or some implantable devices, or devices that have a new intended use, or use advanced technology that is not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equivalent to that of a legally marketed device, are placed in Class III, requiring are unclassified, but are subject to the FDA’s premarket notification and clearance process in order to be commercially distributed.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Novo Classification</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w:t>
      </w:r>
    </w:p>
    <w:p>
      <w:pPr>
        <w:spacing w:after="0" w:line="13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or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28"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Our currently marketed AquaBeam Robotic System is a Class II device, which was initially granted marketing authorization pursuant to a de novo classification. We have subsequently received FDA clearance of a 510(k) pre-market notification for modifications to the AquaBeam Robotic System where we used the initially authorized device as the predicate device for our more recent 510(k) clearance.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PMA Approval Pathway</w:t>
      </w:r>
    </w:p>
    <w:p>
      <w:pPr>
        <w:spacing w:after="0" w:line="17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Quality System Regulation, or QSR. PMA applications are also subject to the payment of user fees, which for fiscal year 2021 includes a standard application fee of $365,657.</w:t>
      </w:r>
    </w:p>
    <w:p>
      <w:pPr>
        <w:spacing w:after="0" w:line="11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3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Clinical trials are almost always required to support a PMA and are sometimes required to support a 510(k) submission. All clinical investigations of investigational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Regardless of the degree of risk presented by the medical device, clinical studies must be approved by, and conducted under the oversight of, an Institutional Review Board, or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14"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1440" w:right="379" w:bottom="1440" w:gutter="0" w:footer="0" w:header="0"/>
        </w:sectPr>
      </w:pPr>
    </w:p>
    <w:bookmarkStart w:id="138" w:name="page139"/>
    <w:bookmarkEnd w:id="138"/>
    <w:p>
      <w:pPr>
        <w:spacing w:after="0" w:line="144"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17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16" w:lineRule="exact"/>
        <w:rPr>
          <w:rFonts w:ascii="Arial" w:cs="Arial" w:eastAsia="Arial" w:hAnsi="Arial"/>
          <w:sz w:val="18"/>
          <w:szCs w:val="18"/>
          <w:color w:val="auto"/>
        </w:rPr>
      </w:pPr>
    </w:p>
    <w:p>
      <w:pPr>
        <w:ind w:left="660" w:right="240" w:hanging="328"/>
        <w:spacing w:after="0" w:line="311"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94" w:lineRule="exact"/>
        <w:rPr>
          <w:rFonts w:ascii="Arial" w:cs="Arial" w:eastAsia="Arial" w:hAnsi="Arial"/>
          <w:sz w:val="16"/>
          <w:szCs w:val="16"/>
          <w:color w:val="auto"/>
        </w:rPr>
      </w:pPr>
    </w:p>
    <w:p>
      <w:pPr>
        <w:ind w:left="660" w:right="300" w:hanging="328"/>
        <w:spacing w:after="0" w:line="342"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devices;</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29" w:lineRule="exact"/>
        <w:rPr>
          <w:rFonts w:ascii="Arial" w:cs="Arial" w:eastAsia="Arial" w:hAnsi="Arial"/>
          <w:sz w:val="18"/>
          <w:szCs w:val="18"/>
          <w:color w:val="auto"/>
        </w:rPr>
      </w:pPr>
    </w:p>
    <w:p>
      <w:pPr>
        <w:ind w:left="660" w:right="260" w:hanging="328"/>
        <w:spacing w:after="0" w:line="342"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69"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complying with the new federal law and regulations requiring Unique Device Identifiers, or UDI, on devices and also requiring the submission of certain information about each device to the FDA’s Global Unique Device Identification Database, or GUDID;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1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92"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refusal to grant export or import approvals for our products;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Medical Devices in the EEA</w:t>
      </w:r>
    </w:p>
    <w:p>
      <w:pPr>
        <w:spacing w:after="0" w:line="171"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There is currently no premarket government of medical devices in the EEA (which is comprised of the 28 Member States of the EU plus Norway, Liechtenstein and Iceland). However, all medical devices placed on the market in the EEA must meet the relevant essential requirements laid down in Annex I of Directive 93/42/EEC concerning medical devices, or the Medical Devices Directive, and the regulations laid down in the 2017/745, or the Medical Device Regulations. There is also a directive specifically addressing Active Implantable Medical Devices (Directive 90/385/EEC). The most fundamental essential requirement is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Compliance with a standard developed to implement an essential requirement also creates a rebuttable presumption that the device satisfies that essential requirement.</w:t>
      </w:r>
    </w:p>
    <w:p>
      <w:pPr>
        <w:spacing w:after="0" w:line="11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To demonstrate compliance with the essential requirements laid down in Annex I to the Medical Devices Directive, medical device manufacturers must undergo a conformity assessment procedure, which varies according to the type of medical device and its classification. Conformity assessment procedures require an assessment of available clinical evidence, literature data for the product and post-market experience in respect of similar products already marketed. Except for low-risk medical devices (Class I non-sterile, non-measuring devices), where the manufacturer can self-declare the conformity of its products with the essential requirements (except for any parts which relate to sterility or metrology), a conformity assessment procedure requires the intervention of a Notified Body. Notified bodies are often separate entities and are authorized or licensed to perform such assessments by government authorities. The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EEA. Once the product has been placed on the market in the EEA, the manufacturer must comply with requirements for reporting incidents and field safety corrective actions associated with the medical device.</w:t>
      </w:r>
    </w:p>
    <w:p>
      <w:pPr>
        <w:spacing w:after="0" w:line="12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In order to demonstrate safety and efficacy for their medical devices, manufacturers must conduct clinical investigations in accordance with the requirements of Annex X to the Medical Devices Directive, Annex 7 of the Active Implantable Medical Devices Directive, and applicable European and International Organization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Standardization standards, as implemented or adopted in the EEA member states. Clinical trials for medical devices usually require the approval of an ethics review board and approval by or notification to the national regulatory authorities. Both regulators and ethics committees also require the submission of serious adverse event reports during a study and may request a copy of the final study report.</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May 25, 2017 the new Medical Devices Regulation, or 2017/745 or MDR, was adopted by the European Parliament, which repeals and replaces the EU Medical Devices Directive and the Active Implantable Medical Devices Directive. Following its entry into application on May 26, 2021, the MDR will introduce substantial changes to the obligations with which medical device manufacturers must comply in the EU. High risk medical devices will be subject to additional scrutiny during the conformity assessment procedure.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ensure a high level of safety and health while supporting innovation.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the effective date, May 26, 2021, the new regulations will among other things:</w:t>
      </w:r>
    </w:p>
    <w:p>
      <w:pPr>
        <w:spacing w:after="0" w:line="17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a unique identification number;</w:t>
      </w:r>
    </w:p>
    <w:p>
      <w:pPr>
        <w:spacing w:after="0" w:line="182" w:lineRule="exact"/>
        <w:rPr>
          <w:rFonts w:ascii="Arial" w:cs="Arial" w:eastAsia="Arial" w:hAnsi="Arial"/>
          <w:sz w:val="17"/>
          <w:szCs w:val="17"/>
          <w:color w:val="auto"/>
        </w:rPr>
      </w:pPr>
    </w:p>
    <w:p>
      <w:pPr>
        <w:ind w:left="660" w:right="14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strengthened rules for the assessment of certain high-risk devices, such as implants, which may have to undergo an additional check by experts before they are placed on the market.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regulations and product registration requirements in many foreign countries in which we may sell our products, including in the areas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57"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 development, manufacturing and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product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product safety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packaging and storage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labeling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content and language of instructions for 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recalls and field corrective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4" w:lineRule="exact"/>
        <w:rPr>
          <w:sz w:val="20"/>
          <w:szCs w:val="20"/>
          <w:color w:val="auto"/>
        </w:rPr>
      </w:pPr>
    </w:p>
    <w:p>
      <w:pPr>
        <w:ind w:left="660" w:right="50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tariff regulations, duties and tax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registration for reimbursement;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necessity of testing performed in country by distributors for licensees.</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time required to obtain clearance required by foreign countries may be longer or shorter than that required for FDA clearance, and requirements for licensing a product in a foreign country may differ significantly from FDA requirements.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this revised regulation to include further controls and requirements on the following activities:</w:t>
      </w:r>
    </w:p>
    <w:p>
      <w:pPr>
        <w:spacing w:after="0" w:line="171"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high level of request for premarket clinical evidence for high risk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increased scrutiny of technical files for implantable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monitoring of notified bodies, by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increased requirements regarding vigilance and product traceability (specifically related to labeling requirements);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increased regulation for non-traditional roles such as importer and distributor.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Foreign Fraud and Abuse and Physician Payment Transparency Laws</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stock, stock options, and the compensation derived through ownership interests.</w:t>
      </w:r>
    </w:p>
    <w:p>
      <w:pPr>
        <w:spacing w:after="0" w:line="13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 Moreover, a claim including items or services resulting from a violation of the federal Anti-Kickback Statute constitutes a false or fraudulent claim for purposes of the federal civil False Claims Act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4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Violations of the federal Anti-Kickback Statute may result in significant civil monetary penalties for each violation, plus up to three times the remuneration involved. Civil penalties for such conduct can further be assessed under the federal False Claims Act. Violations can also result in criminal penalties, including significant criminal fines and imprisonment, as well as exclusion from participation in government healthcare programs, including Medicare and Medicaid. Liability under the federal Anti-Kickback Statute may also arise because of the intentions or actions of the parties with whom we do business. Conduct and business arrangements that do not fully satisfy one of these safe harbor provisions may result in increased scrutiny by government enforcement authorities. The majority of states also have anti-kickback laws which establish similar prohibitions and, in some cases, may apply more broadly to items or services covered by any third-party payor, including commercial insurers and self-pay patients.</w:t>
      </w:r>
    </w:p>
    <w:p>
      <w:pPr>
        <w:spacing w:after="0" w:line="11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or fraudulent claim for payment of government funds or knowingly making, using or causing to be made or used a false record or statement material to a false or fraudulent claim to the federal government. In addition, private parties may initiate “qui tam” whistleblower lawsuits against any person or entity under the federal civil False Claims Act in the name of the government and share in the proceeds of any monetary recovery. Penalties for federal civil False Claim Act violations include penalties for each false claim, plus up to three times the amount of damages sustained by the federal government and, most critically, may provide the basis for exclusion from the federally funded healthcare program. There are also criminal penalties for making or presenting of a claim to the government knowing such claim to be false, fictitious or fraudulent.</w:t>
      </w:r>
    </w:p>
    <w:p>
      <w:pPr>
        <w:spacing w:after="0" w:line="12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3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Many foreign countries have similar laws relating to healthcare fraud and abuse. Foreign laws and regulations may vary greatly from country to country. For example, the advertising and promotion of our products is subject to EU Directives concerning misleading and comparative advertising and unfair commercial practices, as well as other EEA Member State legislation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13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Additionally, there has been a recent trend of increased foreign, federal, and state regulation of payments and transfers of value provided to healthcare professionals or entities. The federal Physician Payments Sunshine Act requires manufacturers of drugs, devices, biologics and medical supplies for which payment is available under Medicare, Medicaid, or the Children’s Health Insurance Program to report annually to the CMS, information related to payments or and other “transfers of value” made to physicians (currently defined to include doctors, dentists, optometrists, podiatrists and chiropractors) and teaching hospitals, and requires applicable manufacturers to report annually to CMS ownership and investment interests held by physicians and their immediate family members and payments or other “transfers of value” to such physician owners. Beginning in 2022, applicable manufacturers also will be required to report information regarding payments and transfers of value provided (beginning in 2021) to physician assistants, nurse practitioners, clinical nurse specialists, certified nurse anesthetists, anesthesiology assistants and certified nurse-midwives.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the United States, there have been, and may continue to be, a number of legislative and regulatory changes to the healthcare system. Federal and state lawmakers regularly propose and, at times, enact legislation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result in significant changes to the healthcare system, some of which are intended to contain or reduce the costs of medical products and services.</w:t>
      </w:r>
    </w:p>
    <w:p>
      <w:pPr>
        <w:spacing w:after="0" w:line="1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By way of example, in the United States, the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Additional legislative changes, regulatory changes and judicial challenges related to the ACA remain possible. We cannot predict what effect further changes related to the ACA, including under the Biden administration, will have on our business.</w:t>
      </w:r>
    </w:p>
    <w:p>
      <w:pPr>
        <w:spacing w:after="0" w:line="1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among other things, and in connection with subsequent legislation, reduced CMS Medicare payments to providers of, on average, 2% per fiscal year, which went into effect on April 1, 2013 and, due to subsequent legislative amendments to the statute, will remain in effect through 2030, with the exception of a temporary suspension from May 1, 2020 through December 31, 2021, unless additional Congressional action is taken.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 The current presidential administration and Congress may continue to pursue significant changes to the current healthcare laws.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FTC Act), that govern the collection, use, disclosure, and protection of health-related and other personal information could apply to our operations or the operations of our partners. For example, HIPAA, as amended by HITECH, and their implementing regulations, impose obligations, including mandatory contractual terms, on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 In addition, certain state and non-U.S. laws, such as the CCPA, the CPRA and the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Anti-Bribery and Corruption Laws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U.S. operations are subject to the FCPA. We are required to comply with the FCPA, which generally prohibits covered entities and their employees, agents and intermediaries from engaging in bribery or authorizing, promising, providing, or offering, directly or indirectly, anything of value to foreign officials for the purpose of obtaining or retaining business or other benefits. In addition, the FCPA imposes accounting standards and requirements on publicly traded U.S. corporations and their foreign affiliates, which requires such companies to maintain complete and accurate books and records and maintain a system of internal accounting controls. We also are subject to similar anticorruption laws and regulations implementing the Organization for Economic Co-operation and Development’s Convention on Combating Bribery of Foreign Public Officials in International Business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Our principal office is located at 900 Island Drive, Redwood City, California, where we lease approximately 43,485 square feet of office space. We lease this space under a lease that terminates on October 29, 2023. We intend to add new facilities as we add employees, and we believe that suitable additional or substitute space will be available as needed to accommodate any such expansion of our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June 30, 2021, we had 205 employees. None of our employees is subject to a collective bargaining agreement or represented by a trade or labor union. We consider our relationship with our employees to be good.</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320" w:top="1440" w:right="399" w:bottom="1440" w:gutter="0" w:footer="0" w:header="0"/>
        </w:sectPr>
      </w:pPr>
    </w:p>
    <w:bookmarkStart w:id="145" w:name="page146"/>
    <w:bookmarkEnd w:id="14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about our executive officers and directors, including their ages as of July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6780" w:type="dxa"/>
            <w:vAlign w:val="bottom"/>
          </w:tcPr>
          <w:p>
            <w:pPr>
              <w:ind w:left="314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0"/>
              </w:rPr>
              <w:t>Executive Officers and Employee Directors:</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780" w:type="dxa"/>
            <w:vAlign w:val="bottom"/>
            <w:tcBorders>
              <w:top w:val="single" w:sz="8" w:color="auto"/>
            </w:tcBorders>
            <w:shd w:val="clear" w:color="auto" w:fill="CCEEFF"/>
          </w:tcPr>
          <w:p>
            <w:pPr>
              <w:spacing w:after="0"/>
              <w:rPr>
                <w:sz w:val="19"/>
                <w:szCs w:val="19"/>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Reza Zadno, Ph.D.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Waters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SVP, Chief Financial Officer</w:t>
            </w: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Alaleh Nouri</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SVP, General Counsel &amp; Corporate Secretary</w:t>
            </w: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Hisham Shiblaq</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SVP, Global Commercialization</w:t>
            </w: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80" w:type="dxa"/>
            <w:vAlign w:val="bottom"/>
          </w:tcPr>
          <w:p>
            <w:pPr>
              <w:spacing w:after="0"/>
              <w:rPr>
                <w:sz w:val="19"/>
                <w:szCs w:val="19"/>
                <w:color w:val="auto"/>
              </w:rPr>
            </w:pPr>
          </w:p>
        </w:tc>
      </w:tr>
      <w:tr>
        <w:trPr>
          <w:trHeight w:val="229"/>
        </w:trPr>
        <w:tc>
          <w:tcPr>
            <w:tcW w:w="3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Frederic Moll, M.D.</w:t>
            </w:r>
            <w:r>
              <w:rPr>
                <w:rFonts w:ascii="Arial" w:cs="Arial" w:eastAsia="Arial" w:hAnsi="Arial"/>
                <w:sz w:val="23"/>
                <w:szCs w:val="23"/>
                <w:color w:val="auto"/>
                <w:vertAlign w:val="superscript"/>
              </w:rPr>
              <w:t>(4)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and Chair of the Board</w:t>
            </w:r>
          </w:p>
        </w:tc>
      </w:tr>
      <w:tr>
        <w:trPr>
          <w:trHeight w:val="229"/>
        </w:trPr>
        <w:tc>
          <w:tcPr>
            <w:tcW w:w="3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Antal Desai</w:t>
            </w:r>
            <w:r>
              <w:rPr>
                <w:rFonts w:ascii="Arial" w:cs="Arial" w:eastAsia="Arial" w:hAnsi="Arial"/>
                <w:sz w:val="23"/>
                <w:szCs w:val="23"/>
                <w:color w:val="auto"/>
                <w:vertAlign w:val="superscript"/>
              </w:rPr>
              <w:t>(3)(4)</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Amy Dodrill</w:t>
            </w:r>
            <w:r>
              <w:rPr>
                <w:rFonts w:ascii="Arial" w:cs="Arial" w:eastAsia="Arial" w:hAnsi="Arial"/>
                <w:sz w:val="23"/>
                <w:szCs w:val="23"/>
                <w:color w:val="auto"/>
                <w:vertAlign w:val="superscript"/>
              </w:rPr>
              <w:t>(2)(3)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Taylor Harris</w:t>
            </w:r>
            <w:r>
              <w:rPr>
                <w:rFonts w:ascii="Arial" w:cs="Arial" w:eastAsia="Arial" w:hAnsi="Arial"/>
                <w:sz w:val="23"/>
                <w:szCs w:val="23"/>
                <w:color w:val="auto"/>
                <w:vertAlign w:val="superscript"/>
              </w:rPr>
              <w:t>(2)</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Thomas Krummel, M.D.</w:t>
            </w:r>
            <w:r>
              <w:rPr>
                <w:rFonts w:ascii="Arial" w:cs="Arial" w:eastAsia="Arial" w:hAnsi="Arial"/>
                <w:sz w:val="23"/>
                <w:szCs w:val="23"/>
                <w:color w:val="auto"/>
                <w:vertAlign w:val="superscript"/>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Rodney Perkins, M.D.</w:t>
            </w:r>
            <w:r>
              <w:rPr>
                <w:rFonts w:ascii="Arial" w:cs="Arial" w:eastAsia="Arial" w:hAnsi="Arial"/>
                <w:sz w:val="23"/>
                <w:szCs w:val="23"/>
                <w:color w:val="auto"/>
                <w:vertAlign w:val="superscript"/>
              </w:rPr>
              <w:t>(1)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Colby Wood</w:t>
            </w:r>
            <w:r>
              <w:rPr>
                <w:rFonts w:ascii="Arial" w:cs="Arial" w:eastAsia="Arial" w:hAnsi="Arial"/>
                <w:sz w:val="23"/>
                <w:szCs w:val="23"/>
                <w:color w:val="auto"/>
                <w:vertAlign w:val="superscript"/>
              </w:rPr>
              <w:t>(2)(4)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Perkins will be resigning from our board of directors immediately upon effectiveness of the registration statement of which this prospectus is a part.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and Employee Directors</w:t>
      </w:r>
    </w:p>
    <w:p>
      <w:pPr>
        <w:spacing w:after="0" w:line="17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b w:val="1"/>
          <w:bCs w:val="1"/>
          <w:i w:val="1"/>
          <w:iCs w:val="1"/>
          <w:color w:val="auto"/>
        </w:rPr>
        <w:t xml:space="preserve">Reza Zadno, Ph.D. </w:t>
      </w:r>
      <w:r>
        <w:rPr>
          <w:rFonts w:ascii="Arial" w:cs="Arial" w:eastAsia="Arial" w:hAnsi="Arial"/>
          <w:sz w:val="16"/>
          <w:szCs w:val="16"/>
          <w:color w:val="auto"/>
        </w:rPr>
        <w:t>Dr. Zadno has served as our President and Chief Executive Officer and a member of our board of directors since February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previously served as President and Chief Executive Officer of Avedro, Inc., a healthcare company, from September 2016 to November 2019, where he also served as a member of the board of directors from September 2016 to November 2020. Dr. Zadno also previously served as Innovation Advisor and Venture Partner at InterWest Partners, a venture capital firm, from January 2012 to January 2018. Dr. Zadno has also served on the boards of directors of Invuity, Inc. from January 2013 to June 2017, where he was a member of the audit committee, and Carbylan Therapeutics, Inc. from June 2013 to November 2016, where he was a member of the audit committee, in addition to a number of private companies. Dr. Zadno received both a Ph.D. and an M.Sc. in Mechanical Properties of Materials from Ecole Nationale Superieure des Mines de Paris.</w:t>
      </w:r>
    </w:p>
    <w:p>
      <w:pPr>
        <w:spacing w:after="0" w:line="11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believe that Dr. Zadno is qualified to serve on our board of directors based on his understanding of our business and operations and perspective as our Chief Executive Officer and President.</w:t>
      </w:r>
    </w:p>
    <w:p>
      <w:pPr>
        <w:spacing w:after="0" w:line="11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b w:val="1"/>
          <w:bCs w:val="1"/>
          <w:i w:val="1"/>
          <w:iCs w:val="1"/>
          <w:color w:val="auto"/>
        </w:rPr>
        <w:t xml:space="preserve">Kevin Waters. </w:t>
      </w:r>
      <w:r>
        <w:rPr>
          <w:rFonts w:ascii="Arial" w:cs="Arial" w:eastAsia="Arial" w:hAnsi="Arial"/>
          <w:sz w:val="16"/>
          <w:szCs w:val="16"/>
          <w:color w:val="auto"/>
        </w:rPr>
        <w:t>Mr. Waters has served as our SVP, Chief Financial Officer since October 2018. He previously served as Chief Financial Officer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Accuray Incorporated, a radiation oncology company, from September 2015 to October 2018, and as its SVP, Finance from October 2013 to August 2015. Mr. Waters received a B.S. in Business Administration, with a double concentration in Accounting and Finance from Cal Poly San Luis Obispo.</w:t>
      </w:r>
    </w:p>
    <w:p>
      <w:pPr>
        <w:spacing w:after="0" w:line="95"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b w:val="1"/>
          <w:bCs w:val="1"/>
          <w:i w:val="1"/>
          <w:iCs w:val="1"/>
          <w:color w:val="auto"/>
        </w:rPr>
        <w:t xml:space="preserve">Alaleh Nouri. </w:t>
      </w:r>
      <w:r>
        <w:rPr>
          <w:rFonts w:ascii="Arial" w:cs="Arial" w:eastAsia="Arial" w:hAnsi="Arial"/>
          <w:sz w:val="17"/>
          <w:szCs w:val="17"/>
          <w:color w:val="auto"/>
        </w:rPr>
        <w:t>Ms. Nouri has served as our SVP, General Counsel &amp; Corporate Secretary since July 2018. She previously served as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General Counsel, Corporate Secretary and Chief Compliance Officer at Accuray Incorporated, a radiation oncology company, from February 2014 to July 2018. Ms. Nouri received a J.D. from U.C. Hastings College of Law and a Bachelor of Commerce in International Business and also completed the requirements for a Finance specialization from the University of British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jc w:val="both"/>
        <w:ind w:right="660" w:firstLine="324"/>
        <w:spacing w:after="0" w:line="286" w:lineRule="auto"/>
        <w:rPr>
          <w:sz w:val="20"/>
          <w:szCs w:val="20"/>
          <w:color w:val="auto"/>
        </w:rPr>
      </w:pPr>
      <w:r>
        <w:rPr>
          <w:rFonts w:ascii="Arial" w:cs="Arial" w:eastAsia="Arial" w:hAnsi="Arial"/>
          <w:sz w:val="17"/>
          <w:szCs w:val="17"/>
          <w:b w:val="1"/>
          <w:bCs w:val="1"/>
          <w:i w:val="1"/>
          <w:iCs w:val="1"/>
          <w:color w:val="auto"/>
        </w:rPr>
        <w:t xml:space="preserve">Hisham Shiblaq. </w:t>
      </w:r>
      <w:r>
        <w:rPr>
          <w:rFonts w:ascii="Arial" w:cs="Arial" w:eastAsia="Arial" w:hAnsi="Arial"/>
          <w:sz w:val="17"/>
          <w:szCs w:val="17"/>
          <w:color w:val="auto"/>
        </w:rPr>
        <w:t>Mr. Shiblaq has served as our SVP, Global Commercialization since March 2019. He previously served as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Operations at Invuity, Inc., a medical device company, from January 2017 to January 2019 and as Vice President of Sales at Analogic Corporation from June 2016 to January 2017. Mr. Shiblaq received a B.A. in Psychology from Ohio State University.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Frederic Moll, M.D. </w:t>
      </w:r>
      <w:r>
        <w:rPr>
          <w:rFonts w:ascii="Arial" w:cs="Arial" w:eastAsia="Arial" w:hAnsi="Arial"/>
          <w:sz w:val="17"/>
          <w:szCs w:val="17"/>
          <w:color w:val="auto"/>
        </w:rPr>
        <w:t>Dr. Moll has served as a member of our board of directors since August 2011 and has served as Chair since March 2021.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2019, Dr. Moll has served as Chief Development Officer for Johnson &amp; Johnson Medical Devices Companies. Dr. Moll was also a co-founder, and, from September 2012 to 2019, was the Chairman and Chief Executive Officer of Auris Health, Inc. Dr. Moll is also the Founding Partner of Sonder Capital Management, LLC, a healthcare venture capital investment firm. Dr. Moll previously served as member and as Chairman of the board of Restoration Robotics, Inc., from November 2002 until its merger with Venus Concept in November 2019. He has also served on the boards of Shockwave Medical, Inc., since March 2011, where he is a member of the nominating and corporate governance committee, INSIGHTEC Ltd., since June 2020, where he is a member of the audit committee, and Lux Health Tech Acquisition Corp., since June 2020, where he is a member of the audit committee, and he previously served on the board of directors at IntersectENT, Inc. from March 2010 to February 2021, where he was a member of the nominating and corporate governance committee. Dr. Moll received a B.A. in economics from the University of California at Berkeley, an M.S. in management from Stanford University and an M.D. from the University of Washington.</w:t>
      </w:r>
    </w:p>
    <w:p>
      <w:pPr>
        <w:spacing w:after="0" w:line="13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Dr. Moll’s deep experience in the healthcare sector and his medical background and experience provide him with the qualifications and skills to serve on our board of directors.</w:t>
      </w:r>
    </w:p>
    <w:p>
      <w:pPr>
        <w:spacing w:after="0" w:line="11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Antal Desai</w:t>
      </w:r>
      <w:r>
        <w:rPr>
          <w:rFonts w:ascii="Arial" w:cs="Arial" w:eastAsia="Arial" w:hAnsi="Arial"/>
          <w:sz w:val="18"/>
          <w:szCs w:val="18"/>
          <w:color w:val="auto"/>
        </w:rPr>
        <w:t>. Mr. Desai has served as a member of our board of directors since June 2015. Mr. Desai joined Cardinal Investment Company, Inc.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2004, the predecessor firm to CPMG, Inc., an investment firm that invests in publicly-traded and private companies globally, were he currently serves as a Partner. Mr. Desai is a director at several private companies. Mr. Desai received both a B.S. in Economics and an M.B.A. from the Wharton School at the University of Pennsylvania.</w:t>
      </w:r>
    </w:p>
    <w:p>
      <w:pPr>
        <w:spacing w:after="0" w:line="13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believe Mr. Desai is qualified to serve on our board of directors due to his experience as a director of several companies and his experience investing in publicly-traded companies in the healthcare industry.</w:t>
      </w:r>
    </w:p>
    <w:p>
      <w:pPr>
        <w:spacing w:after="0" w:line="116"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b w:val="1"/>
          <w:bCs w:val="1"/>
          <w:i w:val="1"/>
          <w:iCs w:val="1"/>
          <w:color w:val="auto"/>
        </w:rPr>
        <w:t>Amy Dodrill</w:t>
      </w:r>
      <w:r>
        <w:rPr>
          <w:rFonts w:ascii="Arial" w:cs="Arial" w:eastAsia="Arial" w:hAnsi="Arial"/>
          <w:sz w:val="18"/>
          <w:szCs w:val="18"/>
          <w:color w:val="auto"/>
        </w:rPr>
        <w:t>. Ms. Dodrill has served as a member of our board of directors since June 2021. Ms. Dodrill has worked at Hillrom Holdings, Inc.,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specializing in medical device innovation, since October 2012. During her time at Hillrom, Ms. Dodrill has held various positions including President of Global Surgical, Vice President and General Manager of the US Surgical Division and Vice President and General Manager of Trumpf Medical Surgical Solutions NA. Ms. Dodrill holds a B.S. from Johns Hopkins University.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Ms. Dodrill is qualified to serve on our board of directors because of her expertise in managing medical device companies.</w:t>
      </w:r>
    </w:p>
    <w:p>
      <w:pPr>
        <w:spacing w:after="0" w:line="17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b w:val="1"/>
          <w:bCs w:val="1"/>
          <w:i w:val="1"/>
          <w:iCs w:val="1"/>
          <w:color w:val="auto"/>
        </w:rPr>
        <w:t>Taylor Harris</w:t>
      </w:r>
      <w:r>
        <w:rPr>
          <w:rFonts w:ascii="Arial" w:cs="Arial" w:eastAsia="Arial" w:hAnsi="Arial"/>
          <w:sz w:val="17"/>
          <w:szCs w:val="17"/>
          <w:color w:val="auto"/>
        </w:rPr>
        <w:t>. Mr. Harris has served as a member of our board of directors since December 2020. Mr. Harris served as the Chief Financial Officer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MyoKardia, Inc., a clinical-stage biopharmaceutical company, from April 2018 until that company's acquisition by Bristol Myers Squibb in November 2020. Previously, Mr. Harris served as Senior Vice President and Chief Financial Officer of Zeltiq Aesthetics, Inc., a company that markets and licenses devices used for cryolipolysis procedures, from March 2016 until that company’s acquisition by Allergan plc. in April 2017. Mr. Harris has served as a member of the board of directors of HealthCor Catalio Acquisition Company, where he is also a member of the audit committee, since January 2021. Mr. Harris holds a B.A. in Physics and Economics from the University of North Carolina at Chapel Hill.</w:t>
      </w:r>
    </w:p>
    <w:p>
      <w:pPr>
        <w:spacing w:after="0" w:line="12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believe that Mr. Harris is qualified to serve on our board of directors because of his extensive finance, accounting and operations experience and experience in managing medical device companies.</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Thomas Krummel M.D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Krummel has served as a member of our board of directors since December 2010. Since October 1998, Dr. Krummel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a professor at Stanford University and has served as Venture Partner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320" w:top="1440" w:right="379" w:bottom="1440" w:gutter="0" w:footer="0" w:header="0"/>
        </w:sectPr>
      </w:pPr>
    </w:p>
    <w:bookmarkStart w:id="147" w:name="page148"/>
    <w:bookmarkEnd w:id="147"/>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Santé Ventures, an early stage medical technology investment firm, since March 2021. He has been a member of the board of directors of California Water Service Group since July 2010, where he serves as a member of the Nominating Corporate Governance committee and serves as Chair of the Compensation committee, in addition to a number of private companies. Dr. Krummel received a B.S. in Chemistry from University of Wisconsin at Parkside and an M.D. from the Medical College of Wisconsin.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Dr. Krummel is qualified to serve on our board of directors due to his expertise with medical, public health and science issues.</w:t>
      </w:r>
    </w:p>
    <w:p>
      <w:pPr>
        <w:spacing w:after="0" w:line="183"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b w:val="1"/>
          <w:bCs w:val="1"/>
          <w:i w:val="1"/>
          <w:iCs w:val="1"/>
          <w:color w:val="auto"/>
        </w:rPr>
        <w:t xml:space="preserve">Rodney Perkins, M.D. </w:t>
      </w:r>
      <w:r>
        <w:rPr>
          <w:rFonts w:ascii="Arial" w:cs="Arial" w:eastAsia="Arial" w:hAnsi="Arial"/>
          <w:sz w:val="18"/>
          <w:szCs w:val="18"/>
          <w:color w:val="auto"/>
        </w:rPr>
        <w:t>Dr. Perkins is one of our co-founders and will be resigning from our board of directors immediately upon effectiveness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of which this prospectus forms a part after having served as a member of our board of directors since April 2007. Dr. Perkins previously served as our Chairman of the Board from May 2007 to March 2021. Dr. Perkins is an internationally known surgeon who has participated actively in the development of multiple successful medical device companies. Dr. Perkins holds an M.D. from The Indiana University and completed his surgical residency at The Stanford University School of Medicine.</w:t>
      </w:r>
    </w:p>
    <w:p>
      <w:pPr>
        <w:spacing w:after="0" w:line="13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believe that Dr. Perkins is qualified to serve on our board of directors because of his extensive experience with medical technology companies and the historical knowledge and continuity he brings to our board of directors.</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Colby Wood</w:t>
      </w:r>
      <w:r>
        <w:rPr>
          <w:rFonts w:ascii="Arial" w:cs="Arial" w:eastAsia="Arial" w:hAnsi="Arial"/>
          <w:sz w:val="18"/>
          <w:szCs w:val="18"/>
          <w:color w:val="auto"/>
        </w:rPr>
        <w:t>. Mr. Wood has served as a member of our board of directors since February 2014. Since March 2018, Mr. Wood has been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at Sonder Capital Management, LLC, a healthcare venture capital investment firm. Prior to this, Mr. Wood was a Portfolio Manager and Equity Analyst at Oechsle International Advisors, Ltd., an international investment advisors, from December 2011 to December 2017. Mr. Wood currently serves on the board of directors for two private companies. Mr. Wood received his B.A. in English from University of Delaware and M.B.A. from F.W. Olin Graduate School of Business at Babson College.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Mr. Wood is qualified to serve on our board of directors because of his financial expertise and deep knowledge of the healthcare industry.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after This Offering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and affairs are managed under the direction of the board of directors. Our board of directors will consist of seven directors.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each of which will be in effect upon the closing of this offering, our board of directors will be divided into three classes with staggered three 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will be divided among three classes as follows:</w:t>
      </w:r>
    </w:p>
    <w:p>
      <w:pPr>
        <w:spacing w:after="0" w:line="133" w:lineRule="exact"/>
        <w:rPr>
          <w:sz w:val="20"/>
          <w:szCs w:val="20"/>
          <w:color w:val="auto"/>
        </w:rPr>
      </w:pPr>
    </w:p>
    <w:p>
      <w:pPr>
        <w:ind w:left="660" w:right="34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Class I directors will be Thomas Krummel and Colby Wood, and their terms will expire at the annual meeting of stockholders to be held in 2022;</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Class II directors will be Frederic Moll and Antal Desai, and their terms will expire at the annual meeting of stockholders to be held in 2023; and</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Class III directors will be Amy Dodrill, Reza Zadno and Taylor Harris, and their terms will expire at the annual meeting of stockholders to be held in 2024.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have applied to have our common stock listed on the Nasdaq Global Market. Under the rules of the Nasdaq Global Market, independent directors must comprise a majority of a listed company’s board of directors within a specified period of the completion of this offering. In addition, rules require that, subject to specified exceptions, each member of a listed company’s audit, compensation, and nominating and corporate governance committees be independent. Under these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0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 Rule 10A-3 as of the closing of this offering.</w:t>
      </w:r>
    </w:p>
    <w:p>
      <w:pPr>
        <w:spacing w:after="0" w:line="122"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connection with this offering, 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Frederic Moll, Antal Desai, Amy Dodrill, Taylor Harris, Thomas Krummel and Colby Wood are “independent directors” as defined under the applicable rules and regulations of the SEC and the listing requirements and rules of the Nasdaq Global Market, representing six of our seven directors.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any transactions involving them described in the section titled “Certain Relationships and Related Party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Upon consummation of this offering, our board of directors will have the following committees: the audit committee, the compensation committee and the nominating and corporate governance committee. From time to time, our board of directors may also establish any other committees that it deems necessary or desirable.</w:t>
      </w:r>
    </w:p>
    <w:p>
      <w:pPr>
        <w:spacing w:after="0" w:line="12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consummation of this offering, we expect to have an audit committee consisting of Mr. Harris, as chair and Ms. Dodrill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Wood. Rule 10A-3 of the Exchange Act requires us to have one independent audit committee member upon the listing of our common stock, a majority of independent directors on our audit committee within 90 days of the effective date of this registration statement and an audit committee composed entirely of independent directors within one year of the effective date of this registration statement. Ms. Dodrill and Mr. Harris qualify as an “audit committee financial expert” within the meaning of regulations adopted by the SEC. The audit committee appoints and reviews the qualifications and independence of our independent registered public accounting firm, prepares compensation committee reports to be included in proxy statements filed under SEC rules and reviews the scope of audit and non-audit assignments and related fees, the results of the annual audit, accounting principles used in financial reporting, internal auditing procedures, the adequacy of our internal control procedures, the quality and integrity of our financial statements and investigations into matters related to audit functions. The audit committee is also responsible for overseeing risk management on behalf of our board of directors. See “—Risk Oversight.”</w:t>
      </w:r>
    </w:p>
    <w:p>
      <w:pPr>
        <w:spacing w:after="0" w:line="123"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consummation of this offering, we expect to have a compensation committee consisting of Dr. Krummel, as chair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Mr. Desai and Ms. Dodrill. The principal responsibilities of the compensation committee are to review and set or make recommendations to our board of directors regarding executive and director compensation, review and approve or make recommendations to our board of directors regarding our incentive compensation and equity-based plans and arrangements, and appoint and oversee any compensation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Upon the consummation of this offering, we expect to have a nominating and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governance committee consisting of Dr. Moll, as chair and Mr. Desai and Mr. Wood. The nominating and corporate governance committee assists our board of directors in identifying individuals qualified to become board members, consistent with criteria approved by our board of directors, makes recommendations for nominees for committees, oversees the evaluation of the board of directors and management and develops, recommends to the board of directors and reviews our corporate governance principles.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7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board of directors has extensive involvement in the oversight of risk management related to us and our business and accomplishes this oversight primarily through the audit committee. To that end, our audit committee will meet quarterly with our Chief Financial Officer and our independent auditors where it will receive regular updates regarding our management’s assessment of risk exposures including liquidity, credit and operational risks and the process in place to monitor such risks and review results of operations, financial reporting and assessments of internal controls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Prior to the consummation of this offering, we intend to adopt a code of ethics applicable to all of our directors, officers (including our principal executive officer, principal financial officer and principal accounting officer) and employees. Our code of ethics will be available on our website at www.procept-biorobotics.com under Investor Relations. Our code of ethics will be a “code of ethics” as defined in Item 406(b) of Regulation S-K. In the event that we amend or waive certain provisions of our code of ethics applicable to our principal executive officer, principal financial officer or principal accounting officer that requires disclosure under applicable SEC rules, we intend to disclose the same on our website. The information contained on, or that can be accessed through, our website is not incorporated by reference into, and is not a part of, this prospectus or the registration statement of which this prospectus forms a part. We have included our website in this prospectus solely as an inactive textual reference. Investors should not rely on any such information in deciding whether to purchase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our compensation committee (or other committee performing equivalent functions) and any executive, member of the board of directors or member of the compensation committee (or other committee performing equivalent functions) and of any other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below. In 2020, our “named executive officers” and their positions were as follows:</w:t>
      </w:r>
    </w:p>
    <w:p>
      <w:pPr>
        <w:spacing w:after="0" w:line="157"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Reza Zadno, Ph.D., President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Kevin Waters, Senior Vice President, Chief Financial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Hisham Shiblaq, Senior Vice President, Global Commercialization;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Eric Reuter, Advisor.</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Following the departure of our prior chief executive officer in 2019, Mr. Reuter served as our principal executive officer from September 2019 until February 2020, when Dr. Zadno joined our company.</w:t>
      </w:r>
    </w:p>
    <w:p>
      <w:pPr>
        <w:spacing w:after="0" w:line="11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 ended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w:t>
            </w: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Bonus</w:t>
            </w: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 Awards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Incentive Plan</w:t>
            </w:r>
          </w:p>
        </w:tc>
        <w:tc>
          <w:tcPr>
            <w:tcW w:w="146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3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18"/>
                <w:szCs w:val="18"/>
                <w:b w:val="1"/>
                <w:bCs w:val="1"/>
                <w:color w:val="auto"/>
                <w:w w:val="81"/>
                <w:vertAlign w:val="superscript"/>
              </w:rPr>
              <w:t>(2)</w:t>
            </w: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Compensation ($)</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Compensation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84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Reza Zadno, Ph.D.</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435,417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2,902,634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217,384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3,555,435</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President and Chief Executive</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Officer</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Kevin Waters</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388,130</w:t>
            </w:r>
          </w:p>
        </w:tc>
        <w:tc>
          <w:tcPr>
            <w:tcW w:w="100" w:type="dxa"/>
            <w:vAlign w:val="bottom"/>
          </w:tcPr>
          <w:p>
            <w:pPr>
              <w:spacing w:after="0"/>
              <w:rPr>
                <w:sz w:val="19"/>
                <w:szCs w:val="19"/>
                <w:color w:val="auto"/>
              </w:rPr>
            </w:pPr>
          </w:p>
        </w:tc>
        <w:tc>
          <w:tcPr>
            <w:tcW w:w="980" w:type="dxa"/>
            <w:vAlign w:val="bottom"/>
          </w:tcPr>
          <w:p>
            <w:pPr>
              <w:jc w:val="center"/>
              <w:spacing w:after="0" w:line="229" w:lineRule="exact"/>
              <w:rPr>
                <w:sz w:val="20"/>
                <w:szCs w:val="20"/>
                <w:color w:val="auto"/>
              </w:rPr>
            </w:pPr>
            <w:r>
              <w:rPr>
                <w:rFonts w:ascii="Arial" w:cs="Arial" w:eastAsia="Arial" w:hAnsi="Arial"/>
                <w:sz w:val="18"/>
                <w:szCs w:val="18"/>
                <w:color w:val="auto"/>
                <w:w w:val="83"/>
              </w:rPr>
              <w:t>22,000</w:t>
            </w:r>
            <w:r>
              <w:rPr>
                <w:rFonts w:ascii="Arial" w:cs="Arial" w:eastAsia="Arial" w:hAnsi="Arial"/>
                <w:sz w:val="23"/>
                <w:szCs w:val="23"/>
                <w:color w:val="auto"/>
                <w:w w:val="83"/>
                <w:vertAlign w:val="superscript"/>
              </w:rPr>
              <w:t>(3)</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169,626</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155,252</w:t>
            </w:r>
          </w:p>
        </w:tc>
        <w:tc>
          <w:tcPr>
            <w:tcW w:w="10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735,008</w:t>
            </w:r>
          </w:p>
        </w:tc>
        <w:tc>
          <w:tcPr>
            <w:tcW w:w="0" w:type="dxa"/>
            <w:vAlign w:val="bottom"/>
          </w:tcPr>
          <w:p>
            <w:pPr>
              <w:spacing w:after="0"/>
              <w:rPr>
                <w:sz w:val="1"/>
                <w:szCs w:val="1"/>
                <w:color w:val="auto"/>
              </w:rPr>
            </w:pPr>
          </w:p>
        </w:tc>
      </w:tr>
      <w:tr>
        <w:trPr>
          <w:trHeight w:val="176"/>
        </w:trPr>
        <w:tc>
          <w:tcPr>
            <w:tcW w:w="2840" w:type="dxa"/>
            <w:vAlign w:val="bottom"/>
          </w:tcPr>
          <w:p>
            <w:pPr>
              <w:ind w:left="160"/>
              <w:spacing w:after="0" w:line="176" w:lineRule="exact"/>
              <w:rPr>
                <w:sz w:val="20"/>
                <w:szCs w:val="20"/>
                <w:color w:val="auto"/>
              </w:rPr>
            </w:pPr>
            <w:r>
              <w:rPr>
                <w:rFonts w:ascii="Arial" w:cs="Arial" w:eastAsia="Arial" w:hAnsi="Arial"/>
                <w:sz w:val="18"/>
                <w:szCs w:val="18"/>
                <w:color w:val="auto"/>
              </w:rPr>
              <w:t>Senior Vice President, Chief</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420"/>
              <w:spacing w:after="0"/>
              <w:rPr>
                <w:sz w:val="20"/>
                <w:szCs w:val="20"/>
                <w:color w:val="auto"/>
              </w:rPr>
            </w:pPr>
            <w:r>
              <w:rPr>
                <w:rFonts w:ascii="Arial" w:cs="Arial" w:eastAsia="Arial" w:hAnsi="Arial"/>
                <w:sz w:val="18"/>
                <w:szCs w:val="18"/>
                <w:color w:val="auto"/>
              </w:rPr>
              <w:t>Financial Officer</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Hisham Shiblaq</w:t>
            </w:r>
          </w:p>
        </w:tc>
        <w:tc>
          <w:tcPr>
            <w:tcW w:w="7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310,500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131,770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139,725</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581,995</w:t>
            </w: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Senior Vice President, Commercial</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line="229" w:lineRule="exact"/>
              <w:rPr>
                <w:sz w:val="20"/>
                <w:szCs w:val="20"/>
                <w:color w:val="auto"/>
              </w:rPr>
            </w:pPr>
            <w:r>
              <w:rPr>
                <w:rFonts w:ascii="Arial" w:cs="Arial" w:eastAsia="Arial" w:hAnsi="Arial"/>
                <w:sz w:val="18"/>
                <w:szCs w:val="18"/>
                <w:color w:val="auto"/>
              </w:rPr>
              <w:t>Eric Reuter</w:t>
            </w:r>
            <w:r>
              <w:rPr>
                <w:rFonts w:ascii="Arial" w:cs="Arial" w:eastAsia="Arial" w:hAnsi="Arial"/>
                <w:sz w:val="23"/>
                <w:szCs w:val="23"/>
                <w:color w:val="auto"/>
                <w:vertAlign w:val="superscript"/>
              </w:rPr>
              <w:t>(6)</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9"/>
                <w:szCs w:val="19"/>
                <w:color w:val="auto"/>
              </w:rPr>
            </w:pPr>
          </w:p>
        </w:tc>
        <w:tc>
          <w:tcPr>
            <w:tcW w:w="1060" w:type="dxa"/>
            <w:vAlign w:val="bottom"/>
          </w:tcPr>
          <w:p>
            <w:pPr>
              <w:jc w:val="center"/>
              <w:spacing w:after="0" w:line="229" w:lineRule="exact"/>
              <w:rPr>
                <w:sz w:val="20"/>
                <w:szCs w:val="20"/>
                <w:color w:val="auto"/>
              </w:rPr>
            </w:pPr>
            <w:r>
              <w:rPr>
                <w:rFonts w:ascii="Arial" w:cs="Arial" w:eastAsia="Arial" w:hAnsi="Arial"/>
                <w:sz w:val="18"/>
                <w:szCs w:val="18"/>
                <w:color w:val="auto"/>
                <w:w w:val="83"/>
              </w:rPr>
              <w:t>30,000</w:t>
            </w:r>
            <w:r>
              <w:rPr>
                <w:rFonts w:ascii="Arial" w:cs="Arial" w:eastAsia="Arial" w:hAnsi="Arial"/>
                <w:sz w:val="23"/>
                <w:szCs w:val="23"/>
                <w:color w:val="auto"/>
                <w:w w:val="83"/>
                <w:vertAlign w:val="superscript"/>
              </w:rPr>
              <w:t>(4)</w:t>
            </w: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line="229" w:lineRule="exact"/>
              <w:rPr>
                <w:sz w:val="20"/>
                <w:szCs w:val="20"/>
                <w:color w:val="auto"/>
              </w:rPr>
            </w:pPr>
            <w:r>
              <w:rPr>
                <w:rFonts w:ascii="Arial" w:cs="Arial" w:eastAsia="Arial" w:hAnsi="Arial"/>
                <w:sz w:val="18"/>
                <w:szCs w:val="18"/>
                <w:color w:val="auto"/>
                <w:w w:val="86"/>
              </w:rPr>
              <w:t>42,500</w:t>
            </w:r>
            <w:r>
              <w:rPr>
                <w:rFonts w:ascii="Arial" w:cs="Arial" w:eastAsia="Arial" w:hAnsi="Arial"/>
                <w:sz w:val="23"/>
                <w:szCs w:val="23"/>
                <w:color w:val="auto"/>
                <w:w w:val="86"/>
                <w:vertAlign w:val="superscript"/>
              </w:rPr>
              <w:t>(5)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72,500</w:t>
            </w:r>
          </w:p>
        </w:tc>
        <w:tc>
          <w:tcPr>
            <w:tcW w:w="0" w:type="dxa"/>
            <w:vAlign w:val="bottom"/>
          </w:tcPr>
          <w:p>
            <w:pPr>
              <w:spacing w:after="0"/>
              <w:rPr>
                <w:sz w:val="1"/>
                <w:szCs w:val="1"/>
                <w:color w:val="auto"/>
              </w:rPr>
            </w:pPr>
          </w:p>
        </w:tc>
      </w:tr>
      <w:tr>
        <w:trPr>
          <w:trHeight w:val="230"/>
        </w:trPr>
        <w:tc>
          <w:tcPr>
            <w:tcW w:w="2840" w:type="dxa"/>
            <w:vAlign w:val="bottom"/>
          </w:tcPr>
          <w:p>
            <w:pPr>
              <w:ind w:left="160"/>
              <w:spacing w:after="0"/>
              <w:rPr>
                <w:sz w:val="20"/>
                <w:szCs w:val="20"/>
                <w:color w:val="auto"/>
              </w:rPr>
            </w:pPr>
            <w:r>
              <w:rPr>
                <w:rFonts w:ascii="Arial" w:cs="Arial" w:eastAsia="Arial" w:hAnsi="Arial"/>
                <w:sz w:val="18"/>
                <w:szCs w:val="18"/>
                <w:color w:val="auto"/>
              </w:rPr>
              <w:t>Advisor</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Zadno’s employment commenced with us in February 2020; therefore, certain amounts for Dr. Zadno, such as base salary, reflect a partial year of service.</w:t>
      </w:r>
    </w:p>
    <w:p>
      <w:pPr>
        <w:spacing w:after="0" w:line="1" w:lineRule="exact"/>
        <w:rPr>
          <w:rFonts w:ascii="Arial" w:cs="Arial" w:eastAsia="Arial" w:hAnsi="Arial"/>
          <w:sz w:val="14"/>
          <w:szCs w:val="14"/>
          <w:color w:val="auto"/>
        </w:rPr>
      </w:pPr>
    </w:p>
    <w:p>
      <w:pPr>
        <w:jc w:val="both"/>
        <w:ind w:left="340" w:right="160" w:hanging="332"/>
        <w:spacing w:after="0" w:line="241"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the grant date fair value of stock options to purchase shares of our common stock during the year ended December 31,2020 computed in accordance with Financial Accounting Standards Board, or FASB, ASC 718. See Note 8 to our consolidated financial statements for the year ended December 31, 2020 included elsewhere in this prospectus for a description of the assumptions used in valuing our stock options.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Amount represents additional bonus payments to Mr. Waters in August 2020 and December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Amount represents consulting fees received by Mr. Reuter for his services as our principal executive officer in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Amount represents fees received by Mr. Reuter for services performed as a member of our board of directors.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Mr. Reuter resigned from our board of directors on July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Salaries</w:t>
      </w:r>
    </w:p>
    <w:p>
      <w:pPr>
        <w:spacing w:after="0" w:line="17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70" w:lineRule="exact"/>
        <w:rPr>
          <w:sz w:val="20"/>
          <w:szCs w:val="20"/>
          <w:color w:val="auto"/>
        </w:rPr>
      </w:pPr>
    </w:p>
    <w:p>
      <w:pPr>
        <w:ind w:right="400" w:firstLine="324"/>
        <w:spacing w:after="0" w:line="311" w:lineRule="auto"/>
        <w:rPr>
          <w:sz w:val="20"/>
          <w:szCs w:val="20"/>
          <w:color w:val="auto"/>
        </w:rPr>
      </w:pPr>
      <w:r>
        <w:rPr>
          <w:rFonts w:ascii="Arial" w:cs="Arial" w:eastAsia="Arial" w:hAnsi="Arial"/>
          <w:sz w:val="16"/>
          <w:szCs w:val="16"/>
          <w:color w:val="auto"/>
        </w:rPr>
        <w:t>The annual base salaries for Dr. Zadno and Messrs. Waters and Shiblaq for 2020 were $475,000, $388,130 and $310,500, respectively. Mr. Reuter received a consulting fee of $30,000 for consulting services as our principal executive officer in 2020. The actual base salaries earned by our named executive officers for services in 2020 are set forth above in the Summary Compensation Table in the column entitled “Salary.”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2021 annual base salaries for Dr. Zadno and Messrs. Waters and Shiblaq are $490,000, $388,130 and $350,000,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named executive officers are eligible to earn cash bonuses based on the achievement of corporate performance measures for the applicable year. For 2020, Dr. Zadno and Messrs. Waters, and Shiblaq were eligible to receive a target bonus of up to 50%, 40% and 45%, respectively, of their base salaries.</w:t>
      </w:r>
    </w:p>
    <w:p>
      <w:pPr>
        <w:spacing w:after="0" w:line="130"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For 2020, annual bonus payments were based in part on the achievement of pre-established objective performance goals, including operational goals, product development and strategy goals, production and innovation goals, and reimbursement, weighted 15%, 30%, 25% and 30%, respectively, of each executive’s bonus opportunity. In 2020, we achieved all of the goals. Therefore, our board of directors determined that the corporate performance goals were attained at a level of 100%. The annual cash bonuses actually earned by each named executive officer for 2020 performance are set forth above in the Summary Compensation Table above in the column entitled “Non-Equity Incentive Plan Compensation.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paid Mr. Waters additional $10,000 and $12,000 bonuses in August 2020 and December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historically have used stock options as the primary incentive for long-term compensation to our employees (including our named executive officers) because they are able to profit from stock options only if our stock price increases relative to the stock option’s exercise price, which generally is set at or above the fair market value of our common stock as of the applicable grant date. Generally, the stock options we grant vest in equal monthly installments over four years following a one-year cliff, subject to the employee’s continued service with us as of the vesting date. The equity awards granted to our named executive officers in 2020 are described below.</w:t>
      </w:r>
    </w:p>
    <w:p>
      <w:pPr>
        <w:spacing w:after="0" w:line="13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currently maintain the Amended and Restated 2008 Stock Plan, or the 2008 Plan, in order to help us attract and retain the best available personnel for positions of substantial responsibility, to provide additional incentive to employees and consultants and to promote the success of our company’s business. As noted above, we generally offer stock options to certain of our employees, including our named executive officers, and consultants as the long-term incentive component of our compensation program. For additional information about the 2008 Plan, please see the section titled “2008 Stock Plan” below. As mentioned below, in connection with the completion of this offering, no further awards will be granted under the 2008 Plan.</w:t>
      </w:r>
    </w:p>
    <w:p>
      <w:pPr>
        <w:spacing w:after="0" w:line="10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connection with this offering, our board of directors adopted, and our stockholders will approve, the 2021 Incentive Award Plan, or the 2021 Plan, in order to facilitate the grant of cash and equity incentives to directors, employees (including our named executive officers) and consultants of our company and our affiliates, and to enable us to obtain and retain services of these individuals, which we believe is essential to our long-term success. For additional information about the 2021 Plan, please see the section titled “2021 Equity Incentive Award Plan”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Stock Option Awards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stock options granted to our named executive officers in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400" w:type="dxa"/>
            <w:vAlign w:val="bottom"/>
          </w:tcPr>
          <w:p>
            <w:pPr>
              <w:jc w:val="right"/>
              <w:ind w:right="14"/>
              <w:spacing w:after="0"/>
              <w:rPr>
                <w:sz w:val="20"/>
                <w:szCs w:val="20"/>
                <w:color w:val="auto"/>
              </w:rPr>
            </w:pPr>
            <w:r>
              <w:rPr>
                <w:rFonts w:ascii="Arial" w:cs="Arial" w:eastAsia="Arial" w:hAnsi="Arial"/>
                <w:sz w:val="14"/>
                <w:szCs w:val="14"/>
                <w:b w:val="1"/>
                <w:bCs w:val="1"/>
                <w:color w:val="auto"/>
              </w:rPr>
              <w:t>Options Granted</w:t>
            </w:r>
          </w:p>
        </w:tc>
        <w:tc>
          <w:tcPr>
            <w:tcW w:w="160" w:type="dxa"/>
            <w:vAlign w:val="bottom"/>
          </w:tcPr>
          <w:p>
            <w:pPr>
              <w:spacing w:after="0"/>
              <w:rPr>
                <w:sz w:val="16"/>
                <w:szCs w:val="16"/>
                <w:color w:val="auto"/>
              </w:rPr>
            </w:pP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Reza Zadno, Ph.D.</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1,341,141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1"/>
              </w:rPr>
              <w:t>(1)</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Reza Zadno, Ph.D.</w:t>
            </w:r>
          </w:p>
        </w:tc>
        <w:tc>
          <w:tcPr>
            <w:tcW w:w="1400" w:type="dxa"/>
            <w:vAlign w:val="bottom"/>
          </w:tcPr>
          <w:p>
            <w:pPr>
              <w:jc w:val="right"/>
              <w:spacing w:after="0"/>
              <w:rPr>
                <w:sz w:val="20"/>
                <w:szCs w:val="20"/>
                <w:color w:val="auto"/>
              </w:rPr>
            </w:pPr>
            <w:r>
              <w:rPr>
                <w:rFonts w:ascii="Arial" w:cs="Arial" w:eastAsia="Arial" w:hAnsi="Arial"/>
                <w:sz w:val="18"/>
                <w:szCs w:val="18"/>
                <w:color w:val="auto"/>
              </w:rPr>
              <w:t>284,225</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(2)</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Waters</w:t>
            </w:r>
          </w:p>
        </w:tc>
        <w:tc>
          <w:tcPr>
            <w:tcW w:w="156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 xml:space="preserve">70,219 </w:t>
            </w:r>
            <w:r>
              <w:rPr>
                <w:rFonts w:ascii="Arial" w:cs="Arial" w:eastAsia="Arial" w:hAnsi="Arial"/>
                <w:sz w:val="23"/>
                <w:szCs w:val="23"/>
                <w:color w:val="auto"/>
                <w:vertAlign w:val="superscript"/>
              </w:rPr>
              <w:t>(2)</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Hisham Shiblaq</w:t>
            </w:r>
          </w:p>
        </w:tc>
        <w:tc>
          <w:tcPr>
            <w:tcW w:w="1400" w:type="dxa"/>
            <w:vAlign w:val="bottom"/>
          </w:tcPr>
          <w:p>
            <w:pPr>
              <w:jc w:val="right"/>
              <w:spacing w:after="0"/>
              <w:rPr>
                <w:sz w:val="20"/>
                <w:szCs w:val="20"/>
                <w:color w:val="auto"/>
              </w:rPr>
            </w:pPr>
            <w:r>
              <w:rPr>
                <w:rFonts w:ascii="Arial" w:cs="Arial" w:eastAsia="Arial" w:hAnsi="Arial"/>
                <w:sz w:val="18"/>
                <w:szCs w:val="18"/>
                <w:color w:val="auto"/>
              </w:rPr>
              <w:t>63,156</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(3)</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0" w:hanging="332"/>
        <w:spacing w:after="0" w:line="241"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This option was granted in February 2020 and vests and becomes exercisable as to 25% of the shares subject to the option on the first anniversary of Dr. Zadno’s start date with our company and as to the remaining shares in substantially equal monthly installments thereafter.</w:t>
      </w:r>
    </w:p>
    <w:p>
      <w:pPr>
        <w:ind w:left="340" w:right="320" w:hanging="332"/>
        <w:spacing w:after="0" w:line="187"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These options were granted in August 2020 and each vests and becomes exercisable as to 6/48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underlying the options on the six month anniversary of the August 1, 2020 vesting commencement date and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each month thereafter.</w:t>
      </w:r>
    </w:p>
    <w:p>
      <w:pPr>
        <w:spacing w:after="0" w:line="1" w:lineRule="exact"/>
        <w:rPr>
          <w:rFonts w:ascii="Arial" w:cs="Arial" w:eastAsia="Arial" w:hAnsi="Arial"/>
          <w:sz w:val="14"/>
          <w:szCs w:val="14"/>
          <w:color w:val="auto"/>
        </w:rPr>
      </w:pPr>
    </w:p>
    <w:p>
      <w:pPr>
        <w:jc w:val="both"/>
        <w:ind w:left="340" w:right="380" w:hanging="332"/>
        <w:spacing w:after="0" w:line="337" w:lineRule="auto"/>
        <w:tabs>
          <w:tab w:leader="none" w:pos="332"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This option was granted in December 2020 and vests and becomes exercisable (i) as to 31,579 of the shares underlying the option, monthly over four years and (ii) as to the remaining 31,578 shares, over four years, with 25% of such shares vesting on the first anniversary of the grant date and the remaining shares vesting in substantially equal installments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Retirement Plans</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currently maintain a 401(k) retirement savings plan, or the 401(k) plan, for our employees, including our named executive officers, who satisfy certain eligibility requirements. Our named executive officers are eligible to participate in the 401(k) plan on the same terms as other full-time employees. The Internal Revenue Code of 1986, as amended, or the Code, allows eligible employees to defer a portion of their compensation, within prescribed limits, on a pre-tax basis through contributions to the 401(k) plan. We believe that providing a vehicle for tax-deferred retirement savings through our 401(k) plan adds to the overall desirability of our compensation package and further incentivizes our employees, including our named executive officers, in accordance with our compensation policies. We do not provide for matching contributions under the 401(k) plan.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w:t>
      </w:r>
    </w:p>
    <w:p>
      <w:pPr>
        <w:spacing w:after="0" w:line="171"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7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believe the benefits described above are necessary and appropriate to provide a competitive compensation package to our named executive officers.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 Tax Gross-Ups</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benefits paid or provided by our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2020. Each equity award listed in the following table was granted under the 2008 Plan and, with respect to Dr. Zadno and Messrs. Waters and Shiblaq, will vest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full upon a termination of employment either without cause or for good reason, in either case, within 12 months following a change in control.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ind w:left="1260"/>
              <w:spacing w:after="0"/>
              <w:rPr>
                <w:sz w:val="20"/>
                <w:szCs w:val="20"/>
                <w:color w:val="auto"/>
              </w:rPr>
            </w:pPr>
            <w:r>
              <w:rPr>
                <w:rFonts w:ascii="Arial" w:cs="Arial" w:eastAsia="Arial" w:hAnsi="Arial"/>
                <w:sz w:val="14"/>
                <w:szCs w:val="14"/>
                <w:b w:val="1"/>
                <w:bCs w:val="1"/>
                <w:color w:val="auto"/>
              </w:rPr>
              <w:t>Option Awards</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Number of Securities</w:t>
            </w: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Number of Securities</w:t>
            </w: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18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1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 Exercise Price</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1"/>
                <w:szCs w:val="11"/>
                <w:color w:val="auto"/>
              </w:rPr>
            </w:pPr>
          </w:p>
        </w:tc>
        <w:tc>
          <w:tcPr>
            <w:tcW w:w="18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Grant Date</w:t>
            </w: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Options Exercisable</w:t>
            </w: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Options Unexercisable</w:t>
            </w:r>
          </w:p>
        </w:tc>
        <w:tc>
          <w:tcPr>
            <w:tcW w:w="1660" w:type="dxa"/>
            <w:vAlign w:val="bottom"/>
            <w:gridSpan w:val="2"/>
            <w:vMerge w:val="continue"/>
          </w:tcPr>
          <w:p>
            <w:pPr>
              <w:spacing w:after="0"/>
              <w:rPr>
                <w:sz w:val="11"/>
                <w:szCs w:val="11"/>
                <w:color w:val="auto"/>
              </w:rPr>
            </w:pPr>
          </w:p>
        </w:tc>
        <w:tc>
          <w:tcPr>
            <w:tcW w:w="1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Option Expiration Date</w:t>
            </w:r>
          </w:p>
        </w:tc>
        <w:tc>
          <w:tcPr>
            <w:tcW w:w="0" w:type="dxa"/>
            <w:vAlign w:val="bottom"/>
          </w:tcPr>
          <w:p>
            <w:pPr>
              <w:spacing w:after="0"/>
              <w:rPr>
                <w:sz w:val="1"/>
                <w:szCs w:val="1"/>
                <w:color w:val="auto"/>
              </w:rPr>
            </w:pPr>
          </w:p>
        </w:tc>
      </w:tr>
      <w:tr>
        <w:trPr>
          <w:trHeight w:val="188"/>
        </w:trPr>
        <w:tc>
          <w:tcPr>
            <w:tcW w:w="2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Reza Zadno, Ph.D.</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line="224" w:lineRule="exact"/>
              <w:rPr>
                <w:sz w:val="20"/>
                <w:szCs w:val="20"/>
                <w:color w:val="auto"/>
              </w:rPr>
            </w:pPr>
            <w:r>
              <w:rPr>
                <w:rFonts w:ascii="Arial" w:cs="Arial" w:eastAsia="Arial" w:hAnsi="Arial"/>
                <w:sz w:val="18"/>
                <w:szCs w:val="18"/>
                <w:color w:val="auto"/>
                <w:w w:val="86"/>
              </w:rPr>
              <w:t>2/20/2020</w:t>
            </w:r>
            <w:r>
              <w:rPr>
                <w:rFonts w:ascii="Arial" w:cs="Arial" w:eastAsia="Arial" w:hAnsi="Arial"/>
                <w:sz w:val="23"/>
                <w:szCs w:val="23"/>
                <w:color w:val="auto"/>
                <w:w w:val="86"/>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1,341,141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4.37</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2/19/2030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left="10"/>
              <w:spacing w:after="0" w:line="230" w:lineRule="exact"/>
              <w:rPr>
                <w:sz w:val="20"/>
                <w:szCs w:val="20"/>
                <w:color w:val="auto"/>
              </w:rPr>
            </w:pPr>
            <w:r>
              <w:rPr>
                <w:rFonts w:ascii="Arial" w:cs="Arial" w:eastAsia="Arial" w:hAnsi="Arial"/>
                <w:sz w:val="18"/>
                <w:szCs w:val="18"/>
                <w:color w:val="auto"/>
                <w:w w:val="86"/>
              </w:rPr>
              <w:t>8/10/2020</w:t>
            </w:r>
            <w:r>
              <w:rPr>
                <w:rFonts w:ascii="Arial" w:cs="Arial" w:eastAsia="Arial" w:hAnsi="Arial"/>
                <w:sz w:val="23"/>
                <w:szCs w:val="23"/>
                <w:color w:val="auto"/>
                <w:w w:val="86"/>
                <w:vertAlign w:val="superscript"/>
              </w:rPr>
              <w:t>(2)</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284,225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5.1775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8/9/2030</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8"/>
                <w:szCs w:val="18"/>
                <w:color w:val="auto"/>
              </w:rPr>
              <w:t>Kevin Waters</w:t>
            </w:r>
          </w:p>
        </w:tc>
        <w:tc>
          <w:tcPr>
            <w:tcW w:w="1880" w:type="dxa"/>
            <w:vAlign w:val="bottom"/>
            <w:gridSpan w:val="2"/>
          </w:tcPr>
          <w:p>
            <w:pPr>
              <w:jc w:val="center"/>
              <w:spacing w:after="0" w:line="223" w:lineRule="exact"/>
              <w:rPr>
                <w:sz w:val="20"/>
                <w:szCs w:val="20"/>
                <w:color w:val="auto"/>
              </w:rPr>
            </w:pPr>
            <w:r>
              <w:rPr>
                <w:rFonts w:ascii="Arial" w:cs="Arial" w:eastAsia="Arial" w:hAnsi="Arial"/>
                <w:sz w:val="18"/>
                <w:szCs w:val="18"/>
                <w:color w:val="auto"/>
                <w:w w:val="88"/>
              </w:rPr>
              <w:t>10/23/2018</w:t>
            </w:r>
            <w:r>
              <w:rPr>
                <w:rFonts w:ascii="Arial" w:cs="Arial" w:eastAsia="Arial" w:hAnsi="Arial"/>
                <w:sz w:val="23"/>
                <w:szCs w:val="23"/>
                <w:color w:val="auto"/>
                <w:w w:val="88"/>
                <w:vertAlign w:val="superscript"/>
              </w:rPr>
              <w:t>(1)</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141,022</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119,327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4.5125</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10/22/2028</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880" w:type="dxa"/>
            <w:vAlign w:val="bottom"/>
            <w:gridSpan w:val="2"/>
          </w:tcPr>
          <w:p>
            <w:pPr>
              <w:jc w:val="center"/>
              <w:spacing w:after="0" w:line="230" w:lineRule="exact"/>
              <w:rPr>
                <w:sz w:val="20"/>
                <w:szCs w:val="20"/>
                <w:color w:val="auto"/>
              </w:rPr>
            </w:pPr>
            <w:r>
              <w:rPr>
                <w:rFonts w:ascii="Arial" w:cs="Arial" w:eastAsia="Arial" w:hAnsi="Arial"/>
                <w:sz w:val="18"/>
                <w:szCs w:val="18"/>
                <w:color w:val="auto"/>
                <w:w w:val="88"/>
              </w:rPr>
              <w:t>12/12/2019</w:t>
            </w:r>
            <w:r>
              <w:rPr>
                <w:rFonts w:ascii="Arial" w:cs="Arial" w:eastAsia="Arial" w:hAnsi="Arial"/>
                <w:sz w:val="23"/>
                <w:szCs w:val="23"/>
                <w:color w:val="auto"/>
                <w:w w:val="88"/>
                <w:vertAlign w:val="superscript"/>
              </w:rPr>
              <w:t>(3)</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17,747</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53,243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4.56</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12/11/2029</w:t>
            </w:r>
          </w:p>
        </w:tc>
        <w:tc>
          <w:tcPr>
            <w:tcW w:w="0" w:type="dxa"/>
            <w:vAlign w:val="bottom"/>
          </w:tcPr>
          <w:p>
            <w:pPr>
              <w:spacing w:after="0"/>
              <w:rPr>
                <w:sz w:val="1"/>
                <w:szCs w:val="1"/>
                <w:color w:val="auto"/>
              </w:rPr>
            </w:pPr>
          </w:p>
        </w:tc>
      </w:tr>
      <w:tr>
        <w:trPr>
          <w:trHeight w:val="236"/>
        </w:trPr>
        <w:tc>
          <w:tcPr>
            <w:tcW w:w="2120" w:type="dxa"/>
            <w:vAlign w:val="bottom"/>
          </w:tcPr>
          <w:p>
            <w:pPr>
              <w:spacing w:after="0"/>
              <w:rPr>
                <w:sz w:val="20"/>
                <w:szCs w:val="20"/>
                <w:color w:val="auto"/>
              </w:rPr>
            </w:pPr>
          </w:p>
        </w:tc>
        <w:tc>
          <w:tcPr>
            <w:tcW w:w="1880" w:type="dxa"/>
            <w:vAlign w:val="bottom"/>
            <w:gridSpan w:val="2"/>
          </w:tcPr>
          <w:p>
            <w:pPr>
              <w:jc w:val="center"/>
              <w:ind w:left="10"/>
              <w:spacing w:after="0" w:line="235" w:lineRule="exact"/>
              <w:rPr>
                <w:sz w:val="20"/>
                <w:szCs w:val="20"/>
                <w:color w:val="auto"/>
              </w:rPr>
            </w:pPr>
            <w:r>
              <w:rPr>
                <w:rFonts w:ascii="Arial" w:cs="Arial" w:eastAsia="Arial" w:hAnsi="Arial"/>
                <w:sz w:val="18"/>
                <w:szCs w:val="18"/>
                <w:color w:val="auto"/>
                <w:w w:val="86"/>
              </w:rPr>
              <w:t>8/10/2020</w:t>
            </w:r>
            <w:r>
              <w:rPr>
                <w:rFonts w:ascii="Arial" w:cs="Arial" w:eastAsia="Arial" w:hAnsi="Arial"/>
                <w:sz w:val="23"/>
                <w:szCs w:val="23"/>
                <w:color w:val="auto"/>
                <w:w w:val="86"/>
                <w:vertAlign w:val="superscript"/>
              </w:rPr>
              <w:t>(2)</w:t>
            </w:r>
          </w:p>
        </w:tc>
        <w:tc>
          <w:tcPr>
            <w:tcW w:w="80" w:type="dxa"/>
            <w:vAlign w:val="bottom"/>
          </w:tcPr>
          <w:p>
            <w:pPr>
              <w:spacing w:after="0"/>
              <w:rPr>
                <w:sz w:val="20"/>
                <w:szCs w:val="20"/>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70,219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5.1775</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8/9/2030</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Hisham Shiblaq</w:t>
            </w:r>
          </w:p>
        </w:tc>
        <w:tc>
          <w:tcPr>
            <w:tcW w:w="1880" w:type="dxa"/>
            <w:vAlign w:val="bottom"/>
            <w:gridSpan w:val="2"/>
            <w:shd w:val="clear" w:color="auto" w:fill="CCEEFF"/>
          </w:tcPr>
          <w:p>
            <w:pPr>
              <w:jc w:val="center"/>
              <w:ind w:left="10"/>
              <w:spacing w:after="0" w:line="230" w:lineRule="exact"/>
              <w:rPr>
                <w:sz w:val="20"/>
                <w:szCs w:val="20"/>
                <w:color w:val="auto"/>
              </w:rPr>
            </w:pPr>
            <w:r>
              <w:rPr>
                <w:rFonts w:ascii="Arial" w:cs="Arial" w:eastAsia="Arial" w:hAnsi="Arial"/>
                <w:sz w:val="18"/>
                <w:szCs w:val="18"/>
                <w:color w:val="auto"/>
                <w:w w:val="87"/>
              </w:rPr>
              <w:t>4/5/2019</w:t>
            </w:r>
            <w:r>
              <w:rPr>
                <w:rFonts w:ascii="Arial" w:cs="Arial" w:eastAsia="Arial" w:hAnsi="Arial"/>
                <w:sz w:val="23"/>
                <w:szCs w:val="23"/>
                <w:color w:val="auto"/>
                <w:w w:val="87"/>
                <w:vertAlign w:val="superscript"/>
              </w:rPr>
              <w:t>(4)</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86,444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102,911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4/4/2029</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spacing w:after="0" w:line="230" w:lineRule="exact"/>
              <w:rPr>
                <w:sz w:val="20"/>
                <w:szCs w:val="20"/>
                <w:color w:val="auto"/>
              </w:rPr>
            </w:pPr>
            <w:r>
              <w:rPr>
                <w:rFonts w:ascii="Arial" w:cs="Arial" w:eastAsia="Arial" w:hAnsi="Arial"/>
                <w:sz w:val="18"/>
                <w:szCs w:val="18"/>
                <w:color w:val="auto"/>
                <w:w w:val="88"/>
              </w:rPr>
              <w:t>12/16/2020</w:t>
            </w:r>
            <w:r>
              <w:rPr>
                <w:rFonts w:ascii="Arial" w:cs="Arial" w:eastAsia="Arial" w:hAnsi="Arial"/>
                <w:sz w:val="23"/>
                <w:szCs w:val="23"/>
                <w:color w:val="auto"/>
                <w:w w:val="88"/>
                <w:vertAlign w:val="superscript"/>
              </w:rPr>
              <w:t>(5)</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63,156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5.1775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12/15/2030</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line="223" w:lineRule="exact"/>
              <w:rPr>
                <w:sz w:val="20"/>
                <w:szCs w:val="20"/>
                <w:color w:val="auto"/>
              </w:rPr>
            </w:pPr>
            <w:r>
              <w:rPr>
                <w:rFonts w:ascii="Arial" w:cs="Arial" w:eastAsia="Arial" w:hAnsi="Arial"/>
                <w:sz w:val="18"/>
                <w:szCs w:val="18"/>
                <w:color w:val="auto"/>
              </w:rPr>
              <w:t>Eric Reuter</w:t>
            </w:r>
            <w:r>
              <w:rPr>
                <w:rFonts w:ascii="Arial" w:cs="Arial" w:eastAsia="Arial" w:hAnsi="Arial"/>
                <w:sz w:val="23"/>
                <w:szCs w:val="23"/>
                <w:color w:val="auto"/>
                <w:vertAlign w:val="superscript"/>
              </w:rPr>
              <w:t>(6)</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9/18/2015</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26,749</w:t>
            </w:r>
          </w:p>
        </w:tc>
        <w:tc>
          <w:tcPr>
            <w:tcW w:w="10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1.33</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9/17/2025</w:t>
            </w:r>
          </w:p>
        </w:tc>
        <w:tc>
          <w:tcPr>
            <w:tcW w:w="0" w:type="dxa"/>
            <w:vAlign w:val="bottom"/>
          </w:tcPr>
          <w:p>
            <w:pPr>
              <w:spacing w:after="0"/>
              <w:rPr>
                <w:sz w:val="1"/>
                <w:szCs w:val="1"/>
                <w:color w:val="auto"/>
              </w:rPr>
            </w:pPr>
          </w:p>
        </w:tc>
      </w:tr>
      <w:tr>
        <w:trPr>
          <w:trHeight w:val="304"/>
        </w:trPr>
        <w:tc>
          <w:tcPr>
            <w:tcW w:w="2120" w:type="dxa"/>
            <w:vAlign w:val="bottom"/>
          </w:tcPr>
          <w:p>
            <w:pPr>
              <w:spacing w:after="0"/>
              <w:rPr>
                <w:sz w:val="24"/>
                <w:szCs w:val="24"/>
                <w:color w:val="auto"/>
              </w:rPr>
            </w:pP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4/26/2018</w:t>
            </w:r>
            <w:r>
              <w:rPr>
                <w:rFonts w:ascii="Arial" w:cs="Arial" w:eastAsia="Arial" w:hAnsi="Arial"/>
                <w:sz w:val="23"/>
                <w:szCs w:val="23"/>
                <w:color w:val="auto"/>
                <w:w w:val="86"/>
                <w:vertAlign w:val="superscript"/>
              </w:rPr>
              <w:t>(3)</w:t>
            </w:r>
          </w:p>
        </w:tc>
        <w:tc>
          <w:tcPr>
            <w:tcW w:w="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17,543</w:t>
            </w:r>
          </w:p>
        </w:tc>
        <w:tc>
          <w:tcPr>
            <w:tcW w:w="1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8,772</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4.5125</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4/25/2028</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4" w:lineRule="exact"/>
        <w:rPr>
          <w:sz w:val="20"/>
          <w:szCs w:val="20"/>
          <w:color w:val="auto"/>
        </w:rPr>
      </w:pPr>
    </w:p>
    <w:p>
      <w:pPr>
        <w:ind w:left="340" w:right="80" w:hanging="332"/>
        <w:spacing w:after="0" w:line="217"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These options vest and become exercisable as to 25% of the shares subject to the option on the first anniversary of the vesting commencement date and as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each month thereafter.</w:t>
      </w:r>
    </w:p>
    <w:p>
      <w:pPr>
        <w:ind w:left="340" w:right="380" w:hanging="332"/>
        <w:spacing w:after="0" w:line="187"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These options vest and becomes exercisable as to 6/48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on the six month anniversary of the vesting commencement date and as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each month thereafter.</w:t>
      </w:r>
    </w:p>
    <w:p>
      <w:pPr>
        <w:spacing w:after="0" w:line="1" w:lineRule="exact"/>
        <w:rPr>
          <w:rFonts w:ascii="Arial" w:cs="Arial" w:eastAsia="Arial" w:hAnsi="Arial"/>
          <w:sz w:val="14"/>
          <w:szCs w:val="14"/>
          <w:color w:val="auto"/>
        </w:rPr>
      </w:pPr>
    </w:p>
    <w:p>
      <w:pPr>
        <w:ind w:left="320" w:hanging="312"/>
        <w:spacing w:after="0" w:line="187" w:lineRule="auto"/>
        <w:tabs>
          <w:tab w:leader="none" w:pos="3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These options vest and become exercisable with respect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on each monthly anniversary of the vesting commencement date.</w:t>
      </w:r>
    </w:p>
    <w:p>
      <w:pPr>
        <w:ind w:left="340" w:right="380" w:hanging="332"/>
        <w:spacing w:after="0" w:line="187"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This option vests and becomes exercisable as to 10/46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on the ten-month anniversary of the vesting commencement date and as to 1/46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each month thereafter.</w:t>
      </w:r>
    </w:p>
    <w:p>
      <w:pPr>
        <w:spacing w:after="0" w:line="1" w:lineRule="exact"/>
        <w:rPr>
          <w:rFonts w:ascii="Arial" w:cs="Arial" w:eastAsia="Arial" w:hAnsi="Arial"/>
          <w:sz w:val="14"/>
          <w:szCs w:val="14"/>
          <w:color w:val="auto"/>
        </w:rPr>
      </w:pPr>
    </w:p>
    <w:p>
      <w:pPr>
        <w:ind w:left="340" w:right="80" w:hanging="332"/>
        <w:spacing w:after="0" w:line="202"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31,579 shares underlying this option vest and become exercisable as to 25% of such shares subject to the option on the first anniversary of the vesting commencement date and as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remainder of such shares each month thereafter. The remaining 31,578 shares subject to this option vest and become exercisable with respect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such shares on each monthly anniversary of the vesting commencement date.</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Reuter resigned from our board of directors on July 29,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 with Reza Zadno, Kevin Waters, and Hisham Shiblaq</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have entered into employment offer letters with Reza Zadno, Ph. D., Kevin Waters, and Hisham Shiblaq, which were entered into in January 2020, August 2018, and March 2019,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Pursuant to the offer letters, each of Dr. Zadno and Messrs. Waters, and Shiblaq is entitled to receive a base salary of $475,000, $375,000,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$300,000, respectively and is eligible to receive an annual discretionary bonus, expressed as a target percentage of their base salary (as determined by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in its sole discretion), subject to the executive’s continued employment through the bonus payment date. The 2021 annual base salaries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Dr. Zadno and Messrs. Waters and Shiblaq are $490,000, $388,130 and $350,000, respectively. Pursuant to the offer letters, the target bonuses for Dr.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Zadno and Messrs. Waters and Shiblaq are 50%, 35% and 45%, respectively. In addition, each is eligible to participate in the health, welfare, retirement,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vacation and other employee benefit plans, practices, policies and programs generally available to similarly situated employees.</w:t>
      </w:r>
    </w:p>
    <w:p>
      <w:pPr>
        <w:spacing w:after="0" w:line="15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Pursuant to the terms of the applicable executive’s employment agreement, we granted each executive an option to purchase shares of our common stock (1,341,142 shares for Dr. Zadno, 260,350 shares for Mr. Waters, and 189,356 shares for Mr. Shiblaq) in January 2020, August 2018, and March 2019. Further, the offer letters with Mr. Waters and Mr. Shiblaq provide for the opportunity to earn an option to purchase up to an additional 43,391 and 31,559 shares of our common stock by the end of years 2019 and 2020 and 2020 and 2021, respectively, each of which has been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Mr. Waters’s offer letter also provides for a severance protection, which was superseded by his Change of Control and Severance Agreement described below.</w:t>
      </w:r>
    </w:p>
    <w:p>
      <w:pPr>
        <w:spacing w:after="0" w:line="11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Each of Dr. Zadno and Messrs. Waters and Shiblaq entered into our standard employee confidential information and assignment agreement as a condition of employment.</w:t>
      </w:r>
    </w:p>
    <w:p>
      <w:pPr>
        <w:spacing w:after="0" w:line="11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i w:val="1"/>
          <w:iCs w:val="1"/>
          <w:color w:val="auto"/>
        </w:rPr>
        <w:t>Change of Control and Severance Agreement with Reza Zadno, Ph. D</w:t>
      </w:r>
      <w:r>
        <w:rPr>
          <w:rFonts w:ascii="Arial" w:cs="Arial" w:eastAsia="Arial" w:hAnsi="Arial"/>
          <w:sz w:val="18"/>
          <w:szCs w:val="18"/>
          <w:color w:val="auto"/>
        </w:rPr>
        <w:t>. We are party to a change of control and severance agreement with Dr. Zadno</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in February 2020.</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Pursuant to the change in control and severance agreement, if Dr. Zadno’s employment is terminated by us without “cause” or by the executive for “good reason” within 12 months following a “change of control” (each, as defined in the executive’s change of control and severance agreement), he will receive the following severance payments and benefits: (i) continued payments of base salary for 24 months; (ii) payment of 150% of his target annual cash bonus for the year in which his termination occurs; (iii) 100% accelerated vesting and exercisability of all outstanding unvested stock awards then held by him; and (iv) COBRA continuation payments for up to 18 months. If Dr. Zadno’s employment is terminated by us without “cause” or by the executive for “good reason” not within the change in control period described above, he will receive the following severance payments and benefits: (a) continued payment of base salary for 12 months; and (b) COBRA continuation payments for up to 12 months.</w:t>
      </w:r>
    </w:p>
    <w:p>
      <w:pPr>
        <w:spacing w:after="0" w:line="12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severance payments and benefits described above are subject to the executive’s timely execution and non-revocation of a release of claims in our favor.</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Change of Control and Severance Agreement with Kevin Waters and Hisham Shiblaq</w:t>
      </w:r>
      <w:r>
        <w:rPr>
          <w:rFonts w:ascii="Arial" w:cs="Arial" w:eastAsia="Arial" w:hAnsi="Arial"/>
          <w:sz w:val="16"/>
          <w:szCs w:val="16"/>
          <w:color w:val="auto"/>
        </w:rPr>
        <w:t>. We are party to change of control and severance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Kevin Waters and Hisham Shiblaq, each of which was originally entered into in October 2018 and March 2019, respectively, and amended in January 2020.</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These agreements provide for the same terms as Dr. Zadno’s agreement described above, except if Messrs. Waters’s or Shiblaq’s employment is terminated by us without “cause” or by the executive for “good reason” within 12 months following a “change of control,” the executive will receive the following severance payments and benefits: (i) continued payments of base salary for 18 months or 12 months, respectively; (ii) payment of 150% or 100% of the executive’s target annual cash bonus for the year in which his termination occurs, respectively; (iii) 100% accelerated vesting and exercisability of all outstanding unvested stock awards then held by the applicable executive; and (iv) COBRA continuation payments for up to 18 months or 12 months, respectively. If Messrs. Waters’s or Shiblaq’s employment is terminated by us without “cause” or by the executive for “good reason” not within the change in control period described above, he will receive continued payment of base salary for six months.</w:t>
      </w:r>
    </w:p>
    <w:p>
      <w:pPr>
        <w:spacing w:after="0" w:line="123"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i w:val="1"/>
          <w:iCs w:val="1"/>
          <w:color w:val="auto"/>
        </w:rPr>
        <w:t xml:space="preserve">Amended and Restated Change of Control and Severance Agreements. </w:t>
      </w:r>
      <w:r>
        <w:rPr>
          <w:rFonts w:ascii="Arial" w:cs="Arial" w:eastAsia="Arial" w:hAnsi="Arial"/>
          <w:sz w:val="17"/>
          <w:szCs w:val="17"/>
          <w:color w:val="auto"/>
        </w:rPr>
        <w:t>In connection with this offering, we have entered into amended and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change of control severance agreements with each of our named executive officers to clarify that each is eligible to receive the enhanced change in control severance described above if his qualifying termination occurs in the three month period preceding a change of control (in addition to on or within 12 months following a change of control). In addition, the agreements provide that Messrs. Waters and Shiblaq will be eligible for up to six months COBRA continuation payments upon a qualifying termination of employment outside of the change of control context.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Plan</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maintain the 2008 Plan. A total of 10,414,983 shares of our common stock are reserved for issuance under the 2008 Plan. The 2008 Plan will terminate on June 10, 2031, unless earlier terminated by our board of directors. Following the effectiveness of the 2021 Plan, the 2008 Plan will terminate, and we will not make any further awards under the 2008 Plan. However, any outstanding awards granted under the 2008 Plan will remain outstanding, subject to the terms of the 2008 Plan and applicable award agreements.</w:t>
      </w:r>
    </w:p>
    <w:p>
      <w:pPr>
        <w:spacing w:after="0" w:line="13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i w:val="1"/>
          <w:iCs w:val="1"/>
          <w:color w:val="auto"/>
        </w:rPr>
        <w:t>Eligibility and Administration</w:t>
      </w:r>
      <w:r>
        <w:rPr>
          <w:rFonts w:ascii="Arial" w:cs="Arial" w:eastAsia="Arial" w:hAnsi="Arial"/>
          <w:sz w:val="18"/>
          <w:szCs w:val="18"/>
          <w:color w:val="auto"/>
        </w:rPr>
        <w:t>. Employees and consultants employed or engaged by us or our affiliates are eligible to receive awards under the 2008</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2008 Plan is administered by our board of directors, which may delegate its duties and responsibilities as it deems appropriate. The board of directors has the authority to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55" w:name="page156"/>
    <w:bookmarkEnd w:id="155"/>
    <w:p>
      <w:pPr>
        <w:spacing w:after="0" w:line="14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who will be granted awards, what type of awards will be granted and in what amount, when and how awards will be granted, the provisions of each award, and the fair market value applicable to an award; to construe and interpret the 2008 Plan; to accelerate the vesting of any award or waive forfeiture restrictions of any award; to approve the form of agreements for use under the 2008 Plan; to modify grants of awards to non-U.S. participants as necessary to recognize differences in local law, tax policies or customs; and to make all other determinations and take all other actions it deems necessary or expedient to promote the best interests of our company and that are not in conflict with the terms of the 2008 Plan.</w:t>
      </w:r>
    </w:p>
    <w:p>
      <w:pPr>
        <w:spacing w:after="0" w:line="122"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2008 Plan provides for the grant of nonqualified stock options, incentive stock options, and restricted stock awards. Each award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2008 Plan is evidenced by a separate agreement between our company and the participant, which details all terms and conditions of the awards, including any applicable vesting and payment terms and post-termination exercise limitations. The following types of awards have been granted under the 2008 Plan:</w:t>
      </w:r>
    </w:p>
    <w:p>
      <w:pPr>
        <w:spacing w:after="0" w:line="91" w:lineRule="exact"/>
        <w:rPr>
          <w:sz w:val="20"/>
          <w:szCs w:val="20"/>
          <w:color w:val="auto"/>
        </w:rPr>
      </w:pPr>
    </w:p>
    <w:p>
      <w:pPr>
        <w:ind w:left="660" w:right="80" w:hanging="328"/>
        <w:spacing w:after="0" w:line="298" w:lineRule="auto"/>
        <w:tabs>
          <w:tab w:leader="none" w:pos="655"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Nonqualified Stock Options</w:t>
      </w:r>
      <w:r>
        <w:rPr>
          <w:rFonts w:ascii="Arial" w:cs="Arial" w:eastAsia="Arial" w:hAnsi="Arial"/>
          <w:sz w:val="16"/>
          <w:szCs w:val="16"/>
          <w:color w:val="auto"/>
        </w:rPr>
        <w:t>. Nonqualified stock options provide for the purchase of shares of our common stock in the future at an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price set on the grant date. The exercise price of a stock option is fixed by the board of directors and may not be less than 100% of the fair market value of the underlying share on the date of grant. The term of a stock option is determined by our board of directors, but may not exceed ten years. Vesting conditions determined by our board of directors may apply to stock options and may include the occurrence of certain events, the passage of a specified period of time, achievement by us of certain performance goals, and/or other fulfillment of certain conditions.</w:t>
      </w:r>
    </w:p>
    <w:p>
      <w:pPr>
        <w:spacing w:after="0" w:line="99" w:lineRule="exact"/>
        <w:rPr>
          <w:rFonts w:ascii="Arial" w:cs="Arial" w:eastAsia="Arial" w:hAnsi="Arial"/>
          <w:sz w:val="16"/>
          <w:szCs w:val="16"/>
          <w:color w:val="auto"/>
        </w:rPr>
      </w:pPr>
    </w:p>
    <w:p>
      <w:pPr>
        <w:ind w:left="660" w:right="60" w:hanging="328"/>
        <w:spacing w:after="0" w:line="292" w:lineRule="auto"/>
        <w:tabs>
          <w:tab w:leader="none" w:pos="655"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Incentive Stock Options</w:t>
      </w:r>
      <w:r>
        <w:rPr>
          <w:rFonts w:ascii="Arial" w:cs="Arial" w:eastAsia="Arial" w:hAnsi="Arial"/>
          <w:sz w:val="16"/>
          <w:szCs w:val="16"/>
          <w:color w:val="auto"/>
        </w:rPr>
        <w:t>. Incentive stock options are designed to comply with the provisions of the Code and are subject to specified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in the Code applicable to incentive stock options. Among such restrictions, incentive stock options must have an exercise price of not less than the fair market value of a share of common stock on the date of grant, may only be granted to employees, must expire within a specified period of time following the participant’s termination of employment, and must be exercised within ten years after the date of grant. In the case of an incentive stock option granted to an individual who owns (or is deemed to own) more than 10% of the total combined voting power of all classes of our capital stock on the date of grant, the exercise price must be at least 110% of the fair market value of a share of common stock on the date of grant and the incentive stock option must expire on the fifth anniversary of the date of its grant.</w:t>
      </w:r>
    </w:p>
    <w:p>
      <w:pPr>
        <w:spacing w:after="0" w:line="11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Certain Transactions</w:t>
      </w:r>
      <w:r>
        <w:rPr>
          <w:rFonts w:ascii="Arial" w:cs="Arial" w:eastAsia="Arial" w:hAnsi="Arial"/>
          <w:sz w:val="18"/>
          <w:szCs w:val="18"/>
          <w:color w:val="auto"/>
        </w:rPr>
        <w:t>. In the event of certain transactions and events affecting our common stock, such as stock dividends, stock splits, or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or other change in shares of our common stock, our board of directors shall make appropriate and proportionate adjustments to the number and type of shares subject to the 2008 Plan, the number and type of shares that may be issued pursuant to incentive stock options, and the number, type and price per share of stock subject to outstanding awards granted under the 2008 Plan. In the event of a dissolution or liquidation, all outstanding awards will terminate, unless otherwise determined by the board of directors. In the event of a corporate transaction, the board of directors may take one or more of the following actions: (i) arrange for the assumption or substitution of, or adjustment to, each outstanding award by the successor corporation; (ii) accelerate the vesting and exercisability of any award; and (iii) cancel any award to the extent not vested or exercised prior to the corporate transaction in exchange for cash consideration.</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Plan Amendment and Termination</w:t>
      </w:r>
      <w:r>
        <w:rPr>
          <w:rFonts w:ascii="Arial" w:cs="Arial" w:eastAsia="Arial" w:hAnsi="Arial"/>
          <w:sz w:val="18"/>
          <w:szCs w:val="18"/>
          <w:color w:val="auto"/>
        </w:rPr>
        <w:t>. Our board of directors may suspend or terminate the 2008 Plan or any portion thereof at any time and may amend it</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in such respects as our board of directors may deem necessary or advisable, provided that no such amendment shall be made without stockholder approval to the extent such approval is required by applicable law. Further, no such amendment, suspension or termination shall impair the rights of participants under outstanding awards without the consent of the affected participants. As described above, the 2008 Plan will terminate as of the effective date of the 2021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Award Plan</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connection with this offering, our board of directors adopted, subject to approval by our stockholders, the 2021 Plan, under which we may grant cash and equity incentive awards to eligible service providers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attract, motivate and retain the talent for which we compete. The material terms of the 2021 Plan are summarized below.</w:t>
      </w:r>
    </w:p>
    <w:p>
      <w:pPr>
        <w:spacing w:after="0" w:line="17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i w:val="1"/>
          <w:iCs w:val="1"/>
          <w:color w:val="auto"/>
        </w:rPr>
        <w:t xml:space="preserve">Eligibility and Administration. </w:t>
      </w:r>
      <w:r>
        <w:rPr>
          <w:rFonts w:ascii="Arial" w:cs="Arial" w:eastAsia="Arial" w:hAnsi="Arial"/>
          <w:sz w:val="17"/>
          <w:szCs w:val="17"/>
          <w:color w:val="auto"/>
        </w:rPr>
        <w:t>Our employees, consultants and directors, and employees, consultants and directors of our subsidiaries, will be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awards under the 2021 Plan. Following this offering, the 2021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Section 16 of the Securities Exchange Act of 1934, as amended, or the Exchange Act, and/or stock exchange rules, as applicable. The plan administrator will have the authority to make all determinations and interpretations under, prescribe all forms for use with, and adopt rules for the administration of, the 2021 Plan, subject to its express terms and conditions. The plan administrator will also set the terms and conditions of all awards under the 2021 Plan, including any vesting and vesting acceleration conditions.</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Limitation on Awards and Shares Available</w:t>
      </w:r>
      <w:r>
        <w:rPr>
          <w:rFonts w:ascii="Arial" w:cs="Arial" w:eastAsia="Arial" w:hAnsi="Arial"/>
          <w:sz w:val="18"/>
          <w:szCs w:val="18"/>
          <w:color w:val="auto"/>
        </w:rPr>
        <w:t>. An aggregate of 3,303,910 shares of our common stock initially will be available for issuance under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pursuant to the 2021 Plan, which shares may be authorized but unissued shares, treasury shares or shares purchased in the open market. Notwithstanding anything to the contrary in the 2021 Plan, no more than 21,052,631 shares of our common stock may be issued pursuant to the exercise of incentive stock options under the 2021 Plan.</w:t>
      </w:r>
    </w:p>
    <w:p>
      <w:pPr>
        <w:spacing w:after="0" w:line="13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number of shares available for issuance will be increased by (i) the number of shares represented by awards outstanding under our 2008 Plan that expire, lapse or are terminated, exchanged for or settled in cash, surrendered, repurchased, cancelled without having been fully exercised or forfeited following the effective date of the 2021 Plan, with the maximum number of shares to be added to the 2008 Plan equal to 6,659,984 shares, and (ii) an annual increase on the first day of each calendar year beginning January 1, 2022 and ending on and including January 1, 2031, equal to the lesser of (A) 5% of the aggregate number of shares of our common stock outstanding on the final day of the immediately preceding calendar year and (B) such smaller number of shares as is determined by our board of directors.</w:t>
      </w:r>
    </w:p>
    <w:p>
      <w:pPr>
        <w:spacing w:after="0" w:line="13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If an award under the 2021 Plan or the 2008 Plan expires, lapses or is terminated, exchanged for or settled for cash, surrendered, repurchased, cancelled without having been fully exercised or forfeited, any shares subject to such award may, to the extent of such forfeiture, expiration or cash settlement, be used again for new grants under the 2021 Plan or the 2008 Plan. Further, shares delivered to us to satisfy the applicable exercise or purchase price of an award under the 2021 Plan and/or to satisfy any applicable tax withholding obligations (including shares retained by us from the award under the 2021 Plan or the 2008 Plan being exercised or purchased and/or creating the tax obligation) will become or again be available for award grants under the 2021 Plan. The payment of dividend equivalents in cash in conjunction with any awards under the 2021 Plan will not reduce the shares available for grant under the 2021 Plan. However, the following shares may not be used again for grant under the 2021 Plan: (i) shares subject to stock appreciation rights, or SARs, that are not issued in connection with the stock settlement of the SAR on exercise, and (ii) shares purchased on the open market with the cash proceeds from the exercise of options.</w:t>
      </w:r>
    </w:p>
    <w:p>
      <w:pPr>
        <w:spacing w:after="0" w:line="12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Awards granted under the 2021 Plan upon the assumption of, or in substitution for, awards authorized or outstanding under a qualifying equity plan maintained by an entity with which we enter into a merger or similar corporate transaction will not reduce the shares available for grant under the 2021 Plan. The 2021 Plan provides that, commencing with the calendar year following the calendar year in which the effective date of the 2021 Plan occurs,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 not exceed the amount equal to $500,000 (increased to $750,000 in the year in which a non-employee director initially is appointed or elected to the Board).</w:t>
      </w:r>
    </w:p>
    <w:p>
      <w:pPr>
        <w:spacing w:after="0" w:line="11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i w:val="1"/>
          <w:iCs w:val="1"/>
          <w:color w:val="auto"/>
        </w:rPr>
        <w:t xml:space="preserve">Awards. </w:t>
      </w:r>
      <w:r>
        <w:rPr>
          <w:rFonts w:ascii="Arial" w:cs="Arial" w:eastAsia="Arial" w:hAnsi="Arial"/>
          <w:sz w:val="16"/>
          <w:szCs w:val="16"/>
          <w:color w:val="auto"/>
        </w:rPr>
        <w:t>The 2021 Plan provides for the grant of stock options, including incentive stock options, or ISOs, and nonqualified stock options, or NSOs,</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dividend equivalents, RSUs, stock appreciation rights, or SARs, and other stock or cash awards. Certain awards under the 2021 Plan may constitute or provide for a deferral of compensation, subject to Section 409A of the Code, which may impose additional requirements on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conditions of such awards. All awards under the 2021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91" w:lineRule="exact"/>
        <w:rPr>
          <w:sz w:val="20"/>
          <w:szCs w:val="20"/>
          <w:color w:val="auto"/>
        </w:rPr>
      </w:pPr>
    </w:p>
    <w:p>
      <w:pPr>
        <w:ind w:left="660" w:hanging="328"/>
        <w:spacing w:after="0" w:line="273" w:lineRule="auto"/>
        <w:tabs>
          <w:tab w:leader="none" w:pos="655"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Stock Options</w:t>
      </w:r>
      <w:r>
        <w:rPr>
          <w:rFonts w:ascii="Arial" w:cs="Arial" w:eastAsia="Arial" w:hAnsi="Arial"/>
          <w:sz w:val="17"/>
          <w:szCs w:val="17"/>
          <w:color w:val="auto"/>
        </w:rPr>
        <w:t>. Stock options provide for the purchase of shares of our common stock in the future at an exercise price set on the grant date. ISOs,</w:t>
      </w:r>
      <w:r>
        <w:rPr>
          <w:rFonts w:ascii="Arial" w:cs="Arial" w:eastAsia="Arial" w:hAnsi="Arial"/>
          <w:sz w:val="17"/>
          <w:szCs w:val="17"/>
          <w:b w:val="1"/>
          <w:bCs w:val="1"/>
          <w:color w:val="auto"/>
        </w:rPr>
        <w:t xml:space="preserve"> </w:t>
      </w:r>
      <w:r>
        <w:rPr>
          <w:rFonts w:ascii="Arial" w:cs="Arial" w:eastAsia="Arial" w:hAnsi="Arial"/>
          <w:sz w:val="17"/>
          <w:szCs w:val="17"/>
          <w:color w:val="auto"/>
        </w:rPr>
        <w:t>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117" w:lineRule="exact"/>
        <w:rPr>
          <w:rFonts w:ascii="Arial" w:cs="Arial" w:eastAsia="Arial" w:hAnsi="Arial"/>
          <w:sz w:val="17"/>
          <w:szCs w:val="17"/>
          <w:color w:val="auto"/>
        </w:rPr>
      </w:pPr>
    </w:p>
    <w:p>
      <w:pPr>
        <w:ind w:left="660" w:hanging="328"/>
        <w:spacing w:after="0" w:line="258"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SARs</w:t>
      </w:r>
      <w:r>
        <w:rPr>
          <w:rFonts w:ascii="Arial" w:cs="Arial" w:eastAsia="Arial" w:hAnsi="Arial"/>
          <w:sz w:val="18"/>
          <w:szCs w:val="18"/>
          <w:color w:val="auto"/>
        </w:rPr>
        <w:t>. SARs entitle their holder, upon exercise, to receive from us an amount equal to the appreciation of the shares subject to the award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29" w:lineRule="exact"/>
        <w:rPr>
          <w:rFonts w:ascii="Arial" w:cs="Arial" w:eastAsia="Arial" w:hAnsi="Arial"/>
          <w:sz w:val="18"/>
          <w:szCs w:val="18"/>
          <w:color w:val="auto"/>
        </w:rPr>
      </w:pPr>
    </w:p>
    <w:p>
      <w:pPr>
        <w:ind w:left="660" w:right="60" w:hanging="328"/>
        <w:spacing w:after="0" w:line="255"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Restricted Stock and RSUs</w:t>
      </w:r>
      <w:r>
        <w:rPr>
          <w:rFonts w:ascii="Arial" w:cs="Arial" w:eastAsia="Arial" w:hAnsi="Arial"/>
          <w:sz w:val="18"/>
          <w:szCs w:val="18"/>
          <w:color w:val="auto"/>
        </w:rPr>
        <w:t>. Restricted stock is an award of nontransferable shares of our common stock that remain forfeitable unless and until</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Settlement of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134" w:lineRule="exact"/>
        <w:rPr>
          <w:rFonts w:ascii="Arial" w:cs="Arial" w:eastAsia="Arial" w:hAnsi="Arial"/>
          <w:sz w:val="18"/>
          <w:szCs w:val="18"/>
          <w:color w:val="auto"/>
        </w:rPr>
      </w:pPr>
    </w:p>
    <w:p>
      <w:pPr>
        <w:ind w:left="660" w:right="80" w:hanging="328"/>
        <w:spacing w:after="0" w:line="258"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Other Stock or Cash-Based Awards</w:t>
      </w:r>
      <w:r>
        <w:rPr>
          <w:rFonts w:ascii="Arial" w:cs="Arial" w:eastAsia="Arial" w:hAnsi="Arial"/>
          <w:sz w:val="18"/>
          <w:szCs w:val="18"/>
          <w:color w:val="auto"/>
        </w:rPr>
        <w:t>. Other stock or cash-based awards of cash, fully vested shares of our common stock and other awards</w:t>
      </w:r>
      <w:r>
        <w:rPr>
          <w:rFonts w:ascii="Arial" w:cs="Arial" w:eastAsia="Arial" w:hAnsi="Arial"/>
          <w:sz w:val="18"/>
          <w:szCs w:val="18"/>
          <w:b w:val="1"/>
          <w:bCs w:val="1"/>
          <w:color w:val="auto"/>
        </w:rPr>
        <w:t xml:space="preserve"> </w:t>
      </w:r>
      <w:r>
        <w:rPr>
          <w:rFonts w:ascii="Arial" w:cs="Arial" w:eastAsia="Arial" w:hAnsi="Arial"/>
          <w:sz w:val="18"/>
          <w:szCs w:val="18"/>
          <w:color w:val="auto"/>
        </w:rPr>
        <w:t>valued wholly or partially by referring to, or otherwise based on, shares of our common stock may be granted under the 2021 Plan.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w:t>
      </w:r>
    </w:p>
    <w:p>
      <w:pPr>
        <w:spacing w:after="0" w:line="12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Dividend Equivalent</w:t>
      </w:r>
      <w:r>
        <w:rPr>
          <w:rFonts w:ascii="Arial" w:cs="Arial" w:eastAsia="Arial" w:hAnsi="Arial"/>
          <w:sz w:val="18"/>
          <w:szCs w:val="18"/>
          <w:color w:val="auto"/>
        </w:rPr>
        <w:t>s. Dividend equivalents represent the right to receive the equivalent value of dividends paid on shares of our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13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Performance awards include any of the foregoing awards that are granted subject to vesting and/or payment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attainment of specified performance goals or other criteria the plan administrator may determine, which may or may not be objectively determinable. Performance criteria upon which performance goals are established by the plan administrator may include but are not limited to: (i) net earnings (either before or after one or more of the following: (a) interest, (b) taxes, (c) depreciation, (d) amortization and (e) non-cash equity-based compensation expense);</w:t>
      </w:r>
    </w:p>
    <w:p>
      <w:pPr>
        <w:spacing w:after="0" w:line="1" w:lineRule="exact"/>
        <w:rPr>
          <w:sz w:val="20"/>
          <w:szCs w:val="20"/>
          <w:color w:val="auto"/>
        </w:rPr>
      </w:pPr>
    </w:p>
    <w:p>
      <w:pPr>
        <w:ind w:right="80" w:firstLine="8"/>
        <w:spacing w:after="0" w:line="253" w:lineRule="auto"/>
        <w:tabs>
          <w:tab w:leader="none" w:pos="2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gross or net sales or revenue; (iii) net income (either before or after taxes); (iv) adjusted net income; (v) operating earnings or profit; (vi) cash flow (including, but not limited to, operating cash flow and free cash flow); (vii) return on assets; (viii) return on capital; (ix) return on stockholders’ equity; (x) total stockholder return; (xi) return on sales; (xii) gross or net profit or operating margin; (xiii) costs; (xiv) funds from operations; (xv) expenses; (xvi) working capital; (xvii) earnings per share; (xviii) adjusted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per share; (xix) price per share of our common stock; (xx) regulatory achievements or compliance; (xxi) implementation or completion of critical projects;</w:t>
      </w:r>
    </w:p>
    <w:p>
      <w:pPr>
        <w:spacing w:after="0" w:line="46"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market share; (xxiii) economic value; (xxiv) debt levels or reduction; (xxv) sales-related goals; (xxvi) comparisons with other stock market indices;</w:t>
      </w:r>
    </w:p>
    <w:p>
      <w:pPr>
        <w:spacing w:after="0" w:line="32" w:lineRule="exact"/>
        <w:rPr>
          <w:rFonts w:ascii="Arial" w:cs="Arial" w:eastAsia="Arial" w:hAnsi="Arial"/>
          <w:sz w:val="16"/>
          <w:szCs w:val="16"/>
          <w:color w:val="auto"/>
        </w:rPr>
      </w:pPr>
    </w:p>
    <w:p>
      <w:pPr>
        <w:jc w:val="both"/>
        <w:ind w:right="260" w:firstLine="8"/>
        <w:spacing w:after="0" w:line="253" w:lineRule="auto"/>
        <w:tabs>
          <w:tab w:leader="none" w:pos="5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operating efficiency; (xxviii) employee satisfaction; (xxix) financing and other capital raising transactions; (xxx) recruiting and maintaining personnel; (xxxi) year-end cash; and (xxxii) human capital management goals or environmental, social and governance goals, any of which may be measured either in absolute terms for us or any operating unit of our company or as compared to any incremental increase or decrease or as compared to results of a peer group or to market performance indicators or indices.</w:t>
      </w:r>
    </w:p>
    <w:p>
      <w:pPr>
        <w:spacing w:after="0" w:line="13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Certain Transactions. </w:t>
      </w:r>
      <w:r>
        <w:rPr>
          <w:rFonts w:ascii="Arial" w:cs="Arial" w:eastAsia="Arial" w:hAnsi="Arial"/>
          <w:sz w:val="18"/>
          <w:szCs w:val="18"/>
          <w:color w:val="auto"/>
        </w:rPr>
        <w:t>The plan administrator has broad discretion to take action under the 2021 Plan, as well as make adjustments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2021 Plan and outstanding awards. In the event of a change in control of our company (as defined in the 2021 Plan), to the extent that the surviving entity declines to continue, convert, assume or replace outstanding awards, then all such awards will become fully vested and exercisable in connection with the transaction. Upon or in anticipation of a change of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4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 xml:space="preserve">Foreign Participants, Claw-Back Provisions, Transferability, and Participant Payments. </w:t>
      </w:r>
      <w:r>
        <w:rPr>
          <w:rFonts w:ascii="Arial" w:cs="Arial" w:eastAsia="Arial" w:hAnsi="Arial"/>
          <w:sz w:val="17"/>
          <w:szCs w:val="17"/>
          <w:color w:val="auto"/>
        </w:rPr>
        <w:t>The plan administrator may modify award terms, establish</w:t>
      </w:r>
      <w:r>
        <w:rPr>
          <w:rFonts w:ascii="Arial" w:cs="Arial" w:eastAsia="Arial" w:hAnsi="Arial"/>
          <w:sz w:val="17"/>
          <w:szCs w:val="17"/>
          <w:i w:val="1"/>
          <w:iCs w:val="1"/>
          <w:color w:val="auto"/>
        </w:rPr>
        <w:t xml:space="preserve"> </w:t>
      </w:r>
      <w:r>
        <w:rPr>
          <w:rFonts w:ascii="Arial" w:cs="Arial" w:eastAsia="Arial" w:hAnsi="Arial"/>
          <w:sz w:val="17"/>
          <w:szCs w:val="17"/>
          <w:color w:val="auto"/>
        </w:rPr>
        <w:t>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 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2021 Plan are generally non-transferable prior to vesting, and are exercisable only by the participant. With regard to tax withholding, exercise price and purchase price obligations arising in connection with awards under the 2021 Plan, the plan administrator may, in its discretion, accept cash or check, shares of our common stock that meet specified conditions, a “market sell order” or such other consideration as it deems suitable.</w:t>
      </w:r>
    </w:p>
    <w:p>
      <w:pPr>
        <w:spacing w:after="0" w:line="124"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i w:val="1"/>
          <w:iCs w:val="1"/>
          <w:color w:val="auto"/>
        </w:rPr>
        <w:t xml:space="preserve">Plan Amendment and Termination. </w:t>
      </w:r>
      <w:r>
        <w:rPr>
          <w:rFonts w:ascii="Arial" w:cs="Arial" w:eastAsia="Arial" w:hAnsi="Arial"/>
          <w:sz w:val="16"/>
          <w:szCs w:val="16"/>
          <w:color w:val="auto"/>
        </w:rPr>
        <w:t>Our board of directors may amend or terminate the 2021 Plan at any time; however, except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changes in our capital structure, stockholder approval will be required for any amendment that increases the number of shares available under the 2021 Plan. Stockholder approval is not required for any amendment that “reprices” any stock option or SAR, or cancels any stock option or SAR in exchange for cash or another award when the option or SAR price per share exceeds the fair market value of the underlying shares.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this offering, our board of directors adopted, subject to stockholder approval, the 2021 Employee Stock Purchase Plan, or ESPP.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material terms of the ESPP are summarized below.</w:t>
      </w:r>
    </w:p>
    <w:p>
      <w:pPr>
        <w:spacing w:after="0" w:line="15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Shares Available; Administration</w:t>
      </w:r>
      <w:r>
        <w:rPr>
          <w:rFonts w:ascii="Arial" w:cs="Arial" w:eastAsia="Arial" w:hAnsi="Arial"/>
          <w:sz w:val="18"/>
          <w:szCs w:val="18"/>
          <w:color w:val="auto"/>
        </w:rPr>
        <w:t>. An aggregate of 412,988 shares of our common stock initially will be reserved for issuance under our ESPP.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number of shares available for issuance under the ESPP will be annually increased on January 1 of each calendar year beginning in 2022 and ending in 2031, by an amount equal to the lesser of: (i) 1% of the aggregate number of shares of our common stock outstanding on the final day of the immediately preceding calendar year and (ii) such smaller number of shares as is determined by our board of directors. In no event will more than 10,526,315 shares of our common stock be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4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board of directors or a committee designated by our board of directors will have authority to interpret the terms of the ESPP and determine eligibility of participants. The compensation committee will be the administrator of the ESPP.</w:t>
      </w:r>
    </w:p>
    <w:p>
      <w:pPr>
        <w:spacing w:after="0" w:line="116"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The plan administrator may designate certain of our subsidiaries as participating “designated subsidiaries” in the ESPP and may change</w:t>
      </w:r>
      <w:r>
        <w:rPr>
          <w:rFonts w:ascii="Arial" w:cs="Arial" w:eastAsia="Arial" w:hAnsi="Arial"/>
          <w:sz w:val="17"/>
          <w:szCs w:val="17"/>
          <w:i w:val="1"/>
          <w:iCs w:val="1"/>
          <w:color w:val="auto"/>
        </w:rPr>
        <w:t xml:space="preserve"> </w:t>
      </w:r>
      <w:r>
        <w:rPr>
          <w:rFonts w:ascii="Arial" w:cs="Arial" w:eastAsia="Arial" w:hAnsi="Arial"/>
          <w:sz w:val="17"/>
          <w:szCs w:val="17"/>
          <w:color w:val="auto"/>
        </w:rPr>
        <w:t>these 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common or other class of stock.</w:t>
      </w:r>
    </w:p>
    <w:p>
      <w:pPr>
        <w:spacing w:after="0" w:line="12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ESPP.</w:t>
      </w:r>
    </w:p>
    <w:p>
      <w:pPr>
        <w:spacing w:after="0" w:line="13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to not participate, or are not eligible to participate at the start of an offering period but who become eligible thereafter, may enroll in any subsequent offering period.</w:t>
      </w:r>
    </w:p>
    <w:p>
      <w:pPr>
        <w:spacing w:after="0" w:line="133"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i w:val="1"/>
          <w:iCs w:val="1"/>
          <w:color w:val="auto"/>
        </w:rPr>
        <w:t>Participation in an Offering</w:t>
      </w:r>
      <w:r>
        <w:rPr>
          <w:rFonts w:ascii="Arial" w:cs="Arial" w:eastAsia="Arial" w:hAnsi="Arial"/>
          <w:sz w:val="17"/>
          <w:szCs w:val="17"/>
          <w:color w:val="auto"/>
        </w:rPr>
        <w:t>. We intend for the ESPP to qualify under Section 423 of the Code and stock will be offered under the ESPP during</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periods. The length of offering periods under the ESPP will be determined by the plan administrator and may be up to 27 months long. Employee payroll deductions will be used to purchase shares on each purchase date during an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w:t>
      </w:r>
    </w:p>
    <w:p>
      <w:pPr>
        <w:spacing w:after="0" w:line="12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ESPP will permit participants to purchase our common stock through payroll deductions of up to 15% of their eligible compensation, unless otherwise determined by the plan administrator, which will include a participant’s gross base compensation for services to us, including overtime payments, periodic bonuses, and sales commissions, and excluding one-time bonuses, expense reimbursements, fringe benefits and other special payments. The plan administrator will establish a maximum number of shares that may be purchased by a participant during any offering period or purchase period, which, in the absence of a contrary designation, will be shares for an offering period and/or a purchase period. In addition,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day of the offering period).</w:t>
      </w:r>
    </w:p>
    <w:p>
      <w:pPr>
        <w:spacing w:after="0" w:line="11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the first trading day of each offering period, each participant automatically will be granted an option to purchase shares of our common stock.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common stock on the first trading day of the offering period or on the applicable purchase date, which will be the final trading day of the applicable purchase period.</w:t>
      </w:r>
    </w:p>
    <w:p>
      <w:pPr>
        <w:spacing w:after="0" w:line="13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Participants may voluntarily end their participation in the ESPP at any time at least two weeks prior to the end of the applicable offering period (or such longer or shorter period specified by the plan administrator), and will be paid their accrued payroll deductions that have not yet been used to purchase shares of common stock. Participation ends automatically upon a participant’s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14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rights granted under the ESPP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ESPP.</w:t>
      </w:r>
    </w:p>
    <w:p>
      <w:pPr>
        <w:spacing w:after="0" w:line="116"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i w:val="1"/>
          <w:iCs w:val="1"/>
          <w:color w:val="auto"/>
        </w:rPr>
        <w:t>Certain Transactions</w:t>
      </w:r>
      <w:r>
        <w:rPr>
          <w:rFonts w:ascii="Arial" w:cs="Arial" w:eastAsia="Arial" w:hAnsi="Arial"/>
          <w:sz w:val="16"/>
          <w:szCs w:val="16"/>
          <w:color w:val="auto"/>
        </w:rPr>
        <w:t>. In the event of certain transactions or events affecting our common stock, such as any stock dividend or other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2021 Plan.</w:t>
      </w:r>
    </w:p>
    <w:p>
      <w:pPr>
        <w:spacing w:after="0" w:line="11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Plan Amendment; Termination</w:t>
      </w:r>
      <w:r>
        <w:rPr>
          <w:rFonts w:ascii="Arial" w:cs="Arial" w:eastAsia="Arial" w:hAnsi="Arial"/>
          <w:sz w:val="18"/>
          <w:szCs w:val="18"/>
          <w:color w:val="auto"/>
        </w:rPr>
        <w:t>. The plan administrator may amend, suspend or terminate the ESPP at any time. However, stockholder approval of any</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to the ESPP must be obtained for any amendment which increases the aggregate number or changes the type of shares that may be sold pursuant to rights under the ESPP, changes the ESPP in any manner that would be considered the adoption of a new plan within the meaning of Treasury regulation Section 1.423-2(c)(4), or changes the ESPP in any manner that would cause the ESPP to no longer be an employee stock purchase plan within the meaning of Section 423(b) of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Employee Director Compensation</w:t>
      </w:r>
    </w:p>
    <w:p>
      <w:pPr>
        <w:spacing w:after="0" w:line="17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following table summarizes compensation received by our non-employee directors during the year ended December 31, 2020. Dr. Zadno, our President and Chief Executive Officer, is also a member of our board of directors, but does not receive any additional compensation for his service as a director in addition to the compensation he receives as an employee. See the section titled “Executive Compensation” for more information. In addition to serving on our board of directors, Mr. Reuter served as our Advisor from September 2019 to February 2020 and received additional compensation for such service. See the section titled “Executive Compensation” for more information.</w:t>
      </w:r>
    </w:p>
    <w:p>
      <w:pPr>
        <w:spacing w:after="0" w:line="12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2020, each non-employee director received an annual cash retainer equal to $35,000. In addition, Dr. Perkins received an annual retainer of $12,500 for his services as Chairman of our board of directors, and Messrs. Reuter and Wood, Dr. Krummel received an annual retainer of $7,500 for their services as committee chairs (pro-rated for any partial year of service as a committee chair). We have reimbursed, and will continue to reimburse, any non-employee director for his or her reasonable out-of-pocket expenses incurred in attending board of director and committee meetings.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Fees Earned or Paid in</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3"/>
              </w:rPr>
              <w:t>Cash</w:t>
            </w: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(7)</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36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Rodney Perkins, M.D.</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Antal Desai</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Taylor Harris</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200,994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Thomas Krummel, M.D.</w:t>
            </w:r>
          </w:p>
        </w:tc>
        <w:tc>
          <w:tcPr>
            <w:tcW w:w="1560" w:type="dxa"/>
            <w:vAlign w:val="bottom"/>
          </w:tcPr>
          <w:p>
            <w:pPr>
              <w:jc w:val="right"/>
              <w:spacing w:after="0"/>
              <w:rPr>
                <w:sz w:val="20"/>
                <w:szCs w:val="20"/>
                <w:color w:val="auto"/>
              </w:rPr>
            </w:pPr>
            <w:r>
              <w:rPr>
                <w:rFonts w:ascii="Arial" w:cs="Arial" w:eastAsia="Arial" w:hAnsi="Arial"/>
                <w:sz w:val="18"/>
                <w:szCs w:val="18"/>
                <w:color w:val="auto"/>
              </w:rPr>
              <w:t>42,500</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Moll, M.D.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Eric Reuter </w:t>
            </w:r>
            <w:r>
              <w:rPr>
                <w:rFonts w:ascii="Arial" w:cs="Arial" w:eastAsia="Arial" w:hAnsi="Arial"/>
                <w:sz w:val="23"/>
                <w:szCs w:val="23"/>
                <w:color w:val="auto"/>
                <w:vertAlign w:val="superscript"/>
              </w:rPr>
              <w:t>(2)(3)</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Colby Wood</w:t>
            </w:r>
            <w:r>
              <w:rPr>
                <w:rFonts w:ascii="Arial" w:cs="Arial" w:eastAsia="Arial" w:hAnsi="Arial"/>
                <w:sz w:val="23"/>
                <w:szCs w:val="23"/>
                <w:color w:val="auto"/>
                <w:vertAlign w:val="superscript"/>
              </w:rPr>
              <w:t>(4)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42,194</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Noam Krantz</w:t>
            </w:r>
            <w:r>
              <w:rPr>
                <w:rFonts w:ascii="Arial" w:cs="Arial" w:eastAsia="Arial" w:hAnsi="Arial"/>
                <w:sz w:val="23"/>
                <w:szCs w:val="23"/>
                <w:color w:val="auto"/>
                <w:vertAlign w:val="superscript"/>
              </w:rPr>
              <w:t>(5)</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William Facteau</w:t>
            </w:r>
            <w:r>
              <w:rPr>
                <w:rFonts w:ascii="Arial" w:cs="Arial" w:eastAsia="Arial" w:hAnsi="Arial"/>
                <w:sz w:val="23"/>
                <w:szCs w:val="23"/>
                <w:color w:val="auto"/>
                <w:vertAlign w:val="superscript"/>
              </w:rPr>
              <w:t>(6)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Mr. Harris was elected to our board of directors in December 2020. We paid Mr. Harris a pro-rata fee for his December 2020 board service.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Compensation received by Mr. Reuter during the year ended December 31, 2020 is disclosed in the “Summary Compensation Table”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Mr. Reuter resigned from our board of directors on July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9"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Mr. Wood ceased service as chair of our Audit Committee in December 2020.</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Mr. Krantz resigned from our board of directors on June 25,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Mr. Facteau resigned from our board of directors on October 30, 2020.</w:t>
      </w:r>
    </w:p>
    <w:p>
      <w:pPr>
        <w:spacing w:after="0" w:line="1" w:lineRule="exact"/>
        <w:rPr>
          <w:rFonts w:ascii="Arial" w:cs="Arial" w:eastAsia="Arial" w:hAnsi="Arial"/>
          <w:sz w:val="14"/>
          <w:szCs w:val="14"/>
          <w:color w:val="auto"/>
        </w:rPr>
      </w:pPr>
    </w:p>
    <w:p>
      <w:pPr>
        <w:jc w:val="both"/>
        <w:ind w:left="340" w:right="160" w:hanging="332"/>
        <w:spacing w:after="0" w:line="248" w:lineRule="auto"/>
        <w:tabs>
          <w:tab w:leader="none" w:pos="33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Represents the grant date fair value of stock options to purchase shares of our common stock during the year ended December 31, 2020 computed in accordance with FASB ASC 718. See Note 8 to our consolidated financial statements for the year ended December 31, 2020 included elsewhere in this prospectus for a description of the assumptions used in valuing our stock options.</w:t>
      </w:r>
    </w:p>
    <w:p>
      <w:pPr>
        <w:spacing w:after="0" w:line="19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table below shows the aggregate numbers of option awards (whether exercisable or unexercisable) held as of December 31, 2020 by each non-employee director who served in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Options Outstanding at</w:t>
            </w:r>
          </w:p>
        </w:tc>
        <w:tc>
          <w:tcPr>
            <w:tcW w:w="0" w:type="dxa"/>
            <w:vAlign w:val="bottom"/>
          </w:tcPr>
          <w:p>
            <w:pPr>
              <w:spacing w:after="0"/>
              <w:rPr>
                <w:sz w:val="1"/>
                <w:szCs w:val="1"/>
                <w:color w:val="auto"/>
              </w:rPr>
            </w:pPr>
          </w:p>
        </w:tc>
      </w:tr>
      <w:tr>
        <w:trPr>
          <w:trHeight w:val="188"/>
        </w:trPr>
        <w:tc>
          <w:tcPr>
            <w:tcW w:w="968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Fiscal Year End</w:t>
            </w:r>
          </w:p>
        </w:tc>
        <w:tc>
          <w:tcPr>
            <w:tcW w:w="0" w:type="dxa"/>
            <w:vAlign w:val="bottom"/>
          </w:tcPr>
          <w:p>
            <w:pPr>
              <w:spacing w:after="0"/>
              <w:rPr>
                <w:sz w:val="1"/>
                <w:szCs w:val="1"/>
                <w:color w:val="auto"/>
              </w:rPr>
            </w:pPr>
          </w:p>
        </w:tc>
      </w:tr>
      <w:tr>
        <w:trPr>
          <w:trHeight w:val="224"/>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Rodney Perkins, M.D.</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145,082</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Antal Desai</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52,064</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Taylor Harris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95,473</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Thomas Krummel, M.D.</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36,792</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Moll, M.D.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105,695</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Eric Reuter</w:t>
            </w:r>
            <w:r>
              <w:rPr>
                <w:rFonts w:ascii="Arial" w:cs="Arial" w:eastAsia="Arial" w:hAnsi="Arial"/>
                <w:sz w:val="23"/>
                <w:szCs w:val="23"/>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Colby Wood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101,483</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Noam Krantz</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William Facteau</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55,482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number of option awards held as of December 31, 2020 by Mr. Reuter is disclosed in the section titled “Outstanding Equity Awards at Fiscal Year End.”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IPO Grants</w:t>
      </w:r>
    </w:p>
    <w:p>
      <w:pPr>
        <w:spacing w:after="0" w:line="17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In connection with this offering, our board of directors approved the grant of stock options pursuant to the 2021 Plan to certain of our non-employee directors. These stock option grants will become effective immediately following the determination of our initial public offering price per share of our common stock.</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Each of Messrs. Desai, Harris, Krummel and Wood will receive stock options with an aggregate value (determined using a Black-Scholes option value) as set forth in the table below. The number of shares of common stock subject to these stock options will be determined based on the initial public offering price per share of our common stock in this offering. The following table presents the number of stock options that each such director will receive in connection with this offering, in each case, based on the midpoint of the price range of our common stock set forth on the cover page of the prospectus ($23.00 per share), as well as the low and high points of the range.</w:t>
      </w:r>
    </w:p>
    <w:tbl>
      <w:tblPr>
        <w:tblLayout w:type="fixed"/>
        <w:tblInd w:w="0" w:type="dxa"/>
        <w:tblCellMar>
          <w:top w:w="0" w:type="dxa"/>
          <w:left w:w="0" w:type="dxa"/>
          <w:bottom w:w="0" w:type="dxa"/>
          <w:right w:w="0" w:type="dxa"/>
        </w:tblCellMar>
      </w:tblPr>
      <w:tr>
        <w:trPr>
          <w:trHeight w:val="148"/>
        </w:trPr>
        <w:tc>
          <w:tcPr>
            <w:tcW w:w="418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Non-Employee Director</w:t>
            </w:r>
          </w:p>
        </w:tc>
        <w:tc>
          <w:tcPr>
            <w:tcW w:w="232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Value of Options</w:t>
            </w:r>
          </w:p>
        </w:tc>
        <w:tc>
          <w:tcPr>
            <w:tcW w:w="1620" w:type="dxa"/>
            <w:vAlign w:val="bottom"/>
          </w:tcPr>
          <w:p>
            <w:pPr>
              <w:spacing w:after="0"/>
              <w:rPr>
                <w:sz w:val="12"/>
                <w:szCs w:val="12"/>
                <w:color w:val="auto"/>
              </w:rPr>
            </w:pPr>
          </w:p>
        </w:tc>
        <w:tc>
          <w:tcPr>
            <w:tcW w:w="1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Number of Shares</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Granted</w:t>
            </w:r>
          </w:p>
        </w:tc>
        <w:tc>
          <w:tcPr>
            <w:tcW w:w="1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tcPr>
          <w:p>
            <w:pPr>
              <w:jc w:val="right"/>
              <w:ind w:right="170"/>
              <w:spacing w:after="0" w:line="170" w:lineRule="exact"/>
              <w:rPr>
                <w:sz w:val="20"/>
                <w:szCs w:val="20"/>
                <w:color w:val="auto"/>
              </w:rPr>
            </w:pPr>
            <w:r>
              <w:rPr>
                <w:rFonts w:ascii="Arial" w:cs="Arial" w:eastAsia="Arial" w:hAnsi="Arial"/>
                <w:sz w:val="18"/>
                <w:szCs w:val="18"/>
                <w:color w:val="auto"/>
              </w:rPr>
              <w:t>Price Per Share</w:t>
            </w:r>
          </w:p>
        </w:tc>
        <w:tc>
          <w:tcPr>
            <w:tcW w:w="1680" w:type="dxa"/>
            <w:vAlign w:val="bottom"/>
          </w:tcPr>
          <w:p>
            <w:pPr>
              <w:jc w:val="right"/>
              <w:ind w:right="193"/>
              <w:spacing w:after="0" w:line="170" w:lineRule="exact"/>
              <w:rPr>
                <w:sz w:val="20"/>
                <w:szCs w:val="20"/>
                <w:color w:val="auto"/>
              </w:rPr>
            </w:pPr>
            <w:r>
              <w:rPr>
                <w:rFonts w:ascii="Arial" w:cs="Arial" w:eastAsia="Arial" w:hAnsi="Arial"/>
                <w:sz w:val="18"/>
                <w:szCs w:val="18"/>
                <w:color w:val="auto"/>
              </w:rPr>
              <w:t>Price Per Share</w:t>
            </w:r>
          </w:p>
        </w:tc>
        <w:tc>
          <w:tcPr>
            <w:tcW w:w="1440" w:type="dxa"/>
            <w:vAlign w:val="bottom"/>
          </w:tcPr>
          <w:p>
            <w:pPr>
              <w:jc w:val="right"/>
              <w:spacing w:after="0" w:line="170" w:lineRule="exact"/>
              <w:rPr>
                <w:sz w:val="20"/>
                <w:szCs w:val="20"/>
                <w:color w:val="auto"/>
              </w:rPr>
            </w:pPr>
            <w:r>
              <w:rPr>
                <w:rFonts w:ascii="Arial" w:cs="Arial" w:eastAsia="Arial" w:hAnsi="Arial"/>
                <w:sz w:val="18"/>
                <w:szCs w:val="18"/>
                <w:color w:val="auto"/>
              </w:rPr>
              <w:t>Price Per Share</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20" w:type="dxa"/>
            <w:vAlign w:val="bottom"/>
          </w:tcPr>
          <w:p>
            <w:pPr>
              <w:jc w:val="right"/>
              <w:ind w:right="590"/>
              <w:spacing w:after="0"/>
              <w:rPr>
                <w:sz w:val="20"/>
                <w:szCs w:val="20"/>
                <w:color w:val="auto"/>
              </w:rPr>
            </w:pPr>
            <w:r>
              <w:rPr>
                <w:rFonts w:ascii="Arial" w:cs="Arial" w:eastAsia="Arial" w:hAnsi="Arial"/>
                <w:sz w:val="18"/>
                <w:szCs w:val="18"/>
                <w:color w:val="auto"/>
              </w:rPr>
              <w:t>- $22.00</w:t>
            </w:r>
          </w:p>
        </w:tc>
        <w:tc>
          <w:tcPr>
            <w:tcW w:w="1680" w:type="dxa"/>
            <w:vAlign w:val="bottom"/>
          </w:tcPr>
          <w:p>
            <w:pPr>
              <w:jc w:val="right"/>
              <w:ind w:right="613"/>
              <w:spacing w:after="0"/>
              <w:rPr>
                <w:sz w:val="20"/>
                <w:szCs w:val="20"/>
                <w:color w:val="auto"/>
              </w:rPr>
            </w:pPr>
            <w:r>
              <w:rPr>
                <w:rFonts w:ascii="Arial" w:cs="Arial" w:eastAsia="Arial" w:hAnsi="Arial"/>
                <w:sz w:val="18"/>
                <w:szCs w:val="18"/>
                <w:color w:val="auto"/>
              </w:rPr>
              <w:t>- $23.00</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 $24.00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Antal Desai</w:t>
            </w:r>
          </w:p>
        </w:tc>
        <w:tc>
          <w:tcPr>
            <w:tcW w:w="23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$120,000</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12,346</w:t>
            </w:r>
          </w:p>
        </w:tc>
        <w:tc>
          <w:tcPr>
            <w:tcW w:w="16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11,810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0" w:type="dxa"/>
            <w:vAlign w:val="bottom"/>
          </w:tcPr>
          <w:p>
            <w:pPr>
              <w:spacing w:after="0"/>
              <w:rPr>
                <w:sz w:val="1"/>
                <w:szCs w:val="1"/>
                <w:color w:val="auto"/>
              </w:rPr>
            </w:pPr>
          </w:p>
        </w:tc>
      </w:tr>
      <w:tr>
        <w:trPr>
          <w:trHeight w:val="230"/>
        </w:trPr>
        <w:tc>
          <w:tcPr>
            <w:tcW w:w="4180" w:type="dxa"/>
            <w:vAlign w:val="bottom"/>
          </w:tcPr>
          <w:p>
            <w:pPr>
              <w:ind w:left="360"/>
              <w:spacing w:after="0"/>
              <w:rPr>
                <w:sz w:val="20"/>
                <w:szCs w:val="20"/>
                <w:color w:val="auto"/>
              </w:rPr>
            </w:pPr>
            <w:r>
              <w:rPr>
                <w:rFonts w:ascii="Arial" w:cs="Arial" w:eastAsia="Arial" w:hAnsi="Arial"/>
                <w:sz w:val="18"/>
                <w:szCs w:val="18"/>
                <w:color w:val="auto"/>
              </w:rPr>
              <w:t>Taylor Harris</w:t>
            </w:r>
          </w:p>
        </w:tc>
        <w:tc>
          <w:tcPr>
            <w:tcW w:w="2320" w:type="dxa"/>
            <w:vAlign w:val="bottom"/>
          </w:tcPr>
          <w:p>
            <w:pPr>
              <w:jc w:val="right"/>
              <w:ind w:right="176"/>
              <w:spacing w:after="0"/>
              <w:rPr>
                <w:sz w:val="20"/>
                <w:szCs w:val="20"/>
                <w:color w:val="auto"/>
              </w:rPr>
            </w:pPr>
            <w:r>
              <w:rPr>
                <w:rFonts w:ascii="Arial" w:cs="Arial" w:eastAsia="Arial" w:hAnsi="Arial"/>
                <w:sz w:val="18"/>
                <w:szCs w:val="18"/>
                <w:color w:val="auto"/>
              </w:rPr>
              <w:t>$120,000</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12,346</w:t>
            </w:r>
          </w:p>
        </w:tc>
        <w:tc>
          <w:tcPr>
            <w:tcW w:w="1680" w:type="dxa"/>
            <w:vAlign w:val="bottom"/>
          </w:tcPr>
          <w:p>
            <w:pPr>
              <w:jc w:val="right"/>
              <w:ind w:right="213"/>
              <w:spacing w:after="0"/>
              <w:rPr>
                <w:sz w:val="20"/>
                <w:szCs w:val="20"/>
                <w:color w:val="auto"/>
              </w:rPr>
            </w:pPr>
            <w:r>
              <w:rPr>
                <w:rFonts w:ascii="Arial" w:cs="Arial" w:eastAsia="Arial" w:hAnsi="Arial"/>
                <w:sz w:val="18"/>
                <w:szCs w:val="18"/>
                <w:color w:val="auto"/>
              </w:rPr>
              <w:t>11,810</w:t>
            </w:r>
          </w:p>
        </w:tc>
        <w:tc>
          <w:tcPr>
            <w:tcW w:w="1440" w:type="dxa"/>
            <w:vAlign w:val="bottom"/>
          </w:tcPr>
          <w:p>
            <w:pPr>
              <w:jc w:val="right"/>
              <w:spacing w:after="0"/>
              <w:rPr>
                <w:sz w:val="20"/>
                <w:szCs w:val="20"/>
                <w:color w:val="auto"/>
              </w:rPr>
            </w:pPr>
            <w:r>
              <w:rPr>
                <w:rFonts w:ascii="Arial" w:cs="Arial" w:eastAsia="Arial" w:hAnsi="Arial"/>
                <w:sz w:val="18"/>
                <w:szCs w:val="18"/>
                <w:color w:val="auto"/>
              </w:rPr>
              <w:t>11,317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Thomas Krummel, M.D.</w:t>
            </w:r>
          </w:p>
        </w:tc>
        <w:tc>
          <w:tcPr>
            <w:tcW w:w="23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$120,000</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12,346</w:t>
            </w:r>
          </w:p>
        </w:tc>
        <w:tc>
          <w:tcPr>
            <w:tcW w:w="16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11,810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0" w:type="dxa"/>
            <w:vAlign w:val="bottom"/>
          </w:tcPr>
          <w:p>
            <w:pPr>
              <w:spacing w:after="0"/>
              <w:rPr>
                <w:sz w:val="1"/>
                <w:szCs w:val="1"/>
                <w:color w:val="auto"/>
              </w:rPr>
            </w:pPr>
          </w:p>
        </w:tc>
      </w:tr>
      <w:tr>
        <w:trPr>
          <w:trHeight w:val="230"/>
        </w:trPr>
        <w:tc>
          <w:tcPr>
            <w:tcW w:w="4180" w:type="dxa"/>
            <w:vAlign w:val="bottom"/>
          </w:tcPr>
          <w:p>
            <w:pPr>
              <w:ind w:left="360"/>
              <w:spacing w:after="0"/>
              <w:rPr>
                <w:sz w:val="20"/>
                <w:szCs w:val="20"/>
                <w:color w:val="auto"/>
              </w:rPr>
            </w:pPr>
            <w:r>
              <w:rPr>
                <w:rFonts w:ascii="Arial" w:cs="Arial" w:eastAsia="Arial" w:hAnsi="Arial"/>
                <w:sz w:val="18"/>
                <w:szCs w:val="18"/>
                <w:color w:val="auto"/>
              </w:rPr>
              <w:t>Colby Wood</w:t>
            </w:r>
          </w:p>
        </w:tc>
        <w:tc>
          <w:tcPr>
            <w:tcW w:w="2320" w:type="dxa"/>
            <w:vAlign w:val="bottom"/>
          </w:tcPr>
          <w:p>
            <w:pPr>
              <w:jc w:val="right"/>
              <w:ind w:right="176"/>
              <w:spacing w:after="0"/>
              <w:rPr>
                <w:sz w:val="20"/>
                <w:szCs w:val="20"/>
                <w:color w:val="auto"/>
              </w:rPr>
            </w:pPr>
            <w:r>
              <w:rPr>
                <w:rFonts w:ascii="Arial" w:cs="Arial" w:eastAsia="Arial" w:hAnsi="Arial"/>
                <w:sz w:val="18"/>
                <w:szCs w:val="18"/>
                <w:color w:val="auto"/>
              </w:rPr>
              <w:t>$120,000</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12,346</w:t>
            </w:r>
          </w:p>
        </w:tc>
        <w:tc>
          <w:tcPr>
            <w:tcW w:w="1680" w:type="dxa"/>
            <w:vAlign w:val="bottom"/>
          </w:tcPr>
          <w:p>
            <w:pPr>
              <w:jc w:val="right"/>
              <w:ind w:right="213"/>
              <w:spacing w:after="0"/>
              <w:rPr>
                <w:sz w:val="20"/>
                <w:szCs w:val="20"/>
                <w:color w:val="auto"/>
              </w:rPr>
            </w:pPr>
            <w:r>
              <w:rPr>
                <w:rFonts w:ascii="Arial" w:cs="Arial" w:eastAsia="Arial" w:hAnsi="Arial"/>
                <w:sz w:val="18"/>
                <w:szCs w:val="18"/>
                <w:color w:val="auto"/>
              </w:rPr>
              <w:t>11,810</w:t>
            </w:r>
          </w:p>
        </w:tc>
        <w:tc>
          <w:tcPr>
            <w:tcW w:w="1440" w:type="dxa"/>
            <w:vAlign w:val="bottom"/>
          </w:tcPr>
          <w:p>
            <w:pPr>
              <w:jc w:val="right"/>
              <w:spacing w:after="0"/>
              <w:rPr>
                <w:sz w:val="20"/>
                <w:szCs w:val="20"/>
                <w:color w:val="auto"/>
              </w:rPr>
            </w:pPr>
            <w:r>
              <w:rPr>
                <w:rFonts w:ascii="Arial" w:cs="Arial" w:eastAsia="Arial" w:hAnsi="Arial"/>
                <w:sz w:val="18"/>
                <w:szCs w:val="18"/>
                <w:color w:val="auto"/>
              </w:rPr>
              <w:t>11,317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These stock options will have a per share exercise price equal to that initial public offering price, and will vest in full on the earlier of the one-year anniversary of the date on which this offering is consummated and the day prior to the date of the annual meeting of our stockholders in calendar year 2022, subject to continued service through the applicable vesting date. In addition, each grant will vest in full upon a change in control (as defined in the 2021 Plan) of the Company if the eligible director will not become a member of the board of the Company or the ultimate parent of the Company as of immediately following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Post-IPO Director Compensation Program</w:t>
      </w:r>
    </w:p>
    <w:p>
      <w:pPr>
        <w:spacing w:after="0" w:line="171"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In connection with this offering, our board of directors adopted and we expect our stockholders to approve a nonemployee director compensation program, or the Director Compensation Program, which will become effective in connection with the completion of this offering. The Director Compensation Program will provide for annual retainer fees and long-term equity awards for certain of our non-employee directors, referred to herein as eligible directors. The material terms of the Director Compensation Program, as they currently are contemplated, are summarized below.</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Director Compensation Program will consist of the following components: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Compensation</w:t>
      </w:r>
    </w:p>
    <w:p>
      <w:pPr>
        <w:spacing w:after="0" w:line="171"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Annual Retainer: $40,000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Lead Independent Director Retainer: $40,000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Annual Committee Chair Retainer: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Audit: $20,000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Compensation: $15,000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Nominating and Governance: $10,000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Annual Committee Member (Non-Chair) Retainer: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Audit: $10,000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Compensation: $7,500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Nominating and Governance: $5,000</w:t>
      </w:r>
    </w:p>
    <w:p>
      <w:pPr>
        <w:spacing w:after="0" w:line="171" w:lineRule="exact"/>
        <w:rPr>
          <w:sz w:val="20"/>
          <w:szCs w:val="20"/>
          <w:color w:val="auto"/>
        </w:rPr>
      </w:pPr>
    </w:p>
    <w:p>
      <w:pPr>
        <w:ind w:left="340" w:right="1320"/>
        <w:spacing w:after="0" w:line="438" w:lineRule="auto"/>
        <w:rPr>
          <w:sz w:val="20"/>
          <w:szCs w:val="20"/>
          <w:color w:val="auto"/>
        </w:rPr>
      </w:pPr>
      <w:r>
        <w:rPr>
          <w:rFonts w:ascii="Arial" w:cs="Arial" w:eastAsia="Arial" w:hAnsi="Arial"/>
          <w:sz w:val="18"/>
          <w:szCs w:val="18"/>
          <w:color w:val="auto"/>
        </w:rPr>
        <w:t>Annual cash retainers will be paid in quarterly installments in arrears and will be pro-rated for any partial calendar quarter of service. Equity Compensation</w:t>
      </w:r>
    </w:p>
    <w:p>
      <w:pPr>
        <w:spacing w:after="0" w:line="1" w:lineRule="exact"/>
        <w:rPr>
          <w:sz w:val="20"/>
          <w:szCs w:val="20"/>
          <w:color w:val="auto"/>
        </w:rPr>
      </w:pPr>
    </w:p>
    <w:p>
      <w:pPr>
        <w:ind w:right="20" w:firstLine="332"/>
        <w:spacing w:after="0" w:line="259" w:lineRule="auto"/>
        <w:tabs>
          <w:tab w:leader="none" w:pos="638"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Initial Grant</w:t>
      </w:r>
      <w:r>
        <w:rPr>
          <w:rFonts w:ascii="Arial" w:cs="Arial" w:eastAsia="Arial" w:hAnsi="Arial"/>
          <w:sz w:val="18"/>
          <w:szCs w:val="18"/>
          <w:color w:val="auto"/>
        </w:rPr>
        <w:t>: Each eligible director who is initially elected or appointed to serve on the Board after the effective date of this offering automatically</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granted, on the date on which such eligible director is appointed or elected to serve on the Board, a stock option with a grant-date fair value of approximately $200,000. These initial grants will vest in substantially equal installments on each of the first three anniversaries of the grant date, subject to the director’s continued service through the applicable vesting date.</w:t>
      </w:r>
    </w:p>
    <w:p>
      <w:pPr>
        <w:spacing w:after="0" w:line="132" w:lineRule="exact"/>
        <w:rPr>
          <w:rFonts w:ascii="Arial" w:cs="Arial" w:eastAsia="Arial" w:hAnsi="Arial"/>
          <w:sz w:val="18"/>
          <w:szCs w:val="18"/>
          <w:color w:val="auto"/>
        </w:rPr>
      </w:pPr>
    </w:p>
    <w:p>
      <w:pPr>
        <w:ind w:right="140" w:firstLine="332"/>
        <w:spacing w:after="0" w:line="301" w:lineRule="auto"/>
        <w:tabs>
          <w:tab w:leader="none" w:pos="648"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Annual Grant</w:t>
      </w:r>
      <w:r>
        <w:rPr>
          <w:rFonts w:ascii="Arial" w:cs="Arial" w:eastAsia="Arial" w:hAnsi="Arial"/>
          <w:sz w:val="16"/>
          <w:szCs w:val="16"/>
          <w:color w:val="auto"/>
        </w:rPr>
        <w:t>: An eligible director who is serving on our board of directors as of the date of the annual meeting of the Company’s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each calendar year (beginning with calendar year 2022) will be granted, on such annual meeting date, a stock option with a grant-date fair value of approximately $120,000. Each annual grant will vest in full on the earlier to occur of (A) the first anniversary of the applicable grant date and (B) the date of the next annual meeting following the grant date, subject to such eligible director’s continued service through the applicable vesting date.</w:t>
      </w:r>
    </w:p>
    <w:p>
      <w:pPr>
        <w:spacing w:after="0" w:line="10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 addition, each Initial Grant and Annual Grant will vest in full upon a change in control (as defined in the 2021 Plan) of the Company if the eligible director will not become a member of the board of the Company or the ultimate parent of the Company as of immediately following such change in control.</w:t>
      </w:r>
    </w:p>
    <w:p>
      <w:pPr>
        <w:spacing w:after="0" w:line="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Compensation under our Director Compensation Program will be subject to the annual limits on non-employee director compensation set forth in the 2021 Plan, as described in the section 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July 31, 2021, and as adjusted to reflect the sale of the shares of common stock offered by us in this offering for:</w:t>
      </w:r>
    </w:p>
    <w:p>
      <w:pPr>
        <w:spacing w:after="0" w:line="116"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Information with respect to beneficial ownership has been furnished to us by each director, executive officer or stockholder listed in the table below, as the case may be. The amounts and percentages of our common stock beneficially owned are reported on the basis of rules of the SEC governing the determination of beneficial ownership of securities. Under these rules, a person is deemed to be a “beneficial owner” of a security if that person has or shares “voting power,” which includes the power to vote or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after July 31, 2021. More than one person may be deemed to be a beneficial owner of the same securities.</w:t>
      </w:r>
    </w:p>
    <w:p>
      <w:pPr>
        <w:spacing w:after="0" w:line="11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Percentage of beneficial ownership prior to this offering is based on 35,757,396 shares of common stock outstanding as of July 31, 2021, after giving effect to the automatic conversion of 29,849,810 shares of our convertible preferred stock into shares of our common stock immediately prior to the closing of this offering. Percentage of beneficial ownership after this offering is based on 41,257,396 shares of common stock outstanding after giving effect to the sale by us of the shares of common stock offered hereby, the automatic conversion of 29,849,810 shares of our convertible preferred stock into shares of our common stock immediately prior to the closing of this offering. In computing the number of shares beneficially owned by an individual or entity and the percentage ownership of that person, shares of common stock subject to options, warrants or other rights held by such person that are currently exercisable or that will become exercisable or will otherwise vest within 60 days of July 31, 2021 are considered outstanding, although these shares are not considered outstanding for purposes of computing the percentage ownership of any other person.</w:t>
      </w:r>
    </w:p>
    <w:p>
      <w:pPr>
        <w:spacing w:after="0" w:line="111" w:lineRule="exact"/>
        <w:rPr>
          <w:sz w:val="20"/>
          <w:szCs w:val="20"/>
          <w:color w:val="auto"/>
        </w:rPr>
      </w:pPr>
    </w:p>
    <w:p>
      <w:pPr>
        <w:jc w:val="both"/>
        <w:ind w:right="320" w:firstLine="324"/>
        <w:spacing w:after="0" w:line="311" w:lineRule="auto"/>
        <w:rPr>
          <w:sz w:val="20"/>
          <w:szCs w:val="20"/>
          <w:color w:val="auto"/>
        </w:rPr>
      </w:pPr>
      <w:r>
        <w:rPr>
          <w:rFonts w:ascii="Arial" w:cs="Arial" w:eastAsia="Arial" w:hAnsi="Arial"/>
          <w:sz w:val="16"/>
          <w:szCs w:val="16"/>
          <w:color w:val="auto"/>
        </w:rPr>
        <w:t>Unless otherwise indicated below, to our knowledge, all persons listed below have sole voting and investment power with respect to their shares of common stock, except to the extent authority is shared by spouses under applicable law. The table below excludes any shares of our common stock that may be purchased in this offering pursuant to the reserved share program. See “Underwriting—Reserved Shares.” Unless otherwise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address for each person or entity listed below is c/o PROCEPT BioRobotics Corporation, 900 Island Drive, Redwood City, California 94065.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Percentage of Shares Beneficially Owned</w:t>
            </w:r>
          </w:p>
        </w:tc>
        <w:tc>
          <w:tcPr>
            <w:tcW w:w="0" w:type="dxa"/>
            <w:vAlign w:val="bottom"/>
          </w:tcPr>
          <w:p>
            <w:pPr>
              <w:spacing w:after="0"/>
              <w:rPr>
                <w:sz w:val="1"/>
                <w:szCs w:val="1"/>
                <w:color w:val="auto"/>
              </w:rPr>
            </w:pPr>
          </w:p>
        </w:tc>
      </w:tr>
      <w:tr>
        <w:trPr>
          <w:trHeight w:val="135"/>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Total Shares Beneficially</w:t>
            </w:r>
          </w:p>
        </w:tc>
        <w:tc>
          <w:tcPr>
            <w:tcW w:w="16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Before the Offering</w:t>
            </w:r>
          </w:p>
        </w:tc>
        <w:tc>
          <w:tcPr>
            <w:tcW w:w="156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rPr>
              <w:t>After the Offering</w:t>
            </w:r>
          </w:p>
        </w:tc>
        <w:tc>
          <w:tcPr>
            <w:tcW w:w="0" w:type="dxa"/>
            <w:vAlign w:val="bottom"/>
          </w:tcPr>
          <w:p>
            <w:pPr>
              <w:spacing w:after="0"/>
              <w:rPr>
                <w:sz w:val="1"/>
                <w:szCs w:val="1"/>
                <w:color w:val="auto"/>
              </w:rPr>
            </w:pPr>
          </w:p>
        </w:tc>
      </w:tr>
      <w:tr>
        <w:trPr>
          <w:trHeight w:val="188"/>
        </w:trPr>
        <w:tc>
          <w:tcPr>
            <w:tcW w:w="63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1560" w:type="dxa"/>
            <w:vAlign w:val="bottom"/>
          </w:tcPr>
          <w:p>
            <w:pPr>
              <w:jc w:val="right"/>
              <w:ind w:right="5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560" w:type="dxa"/>
            <w:vAlign w:val="bottom"/>
          </w:tcPr>
          <w:p>
            <w:pPr>
              <w:jc w:val="right"/>
              <w:ind w:right="5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Entity Associated with CPMG, Inc.</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10,782,665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63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Viking Global Opportunities Illiquid Investments Sub-Master LP</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4,507,893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Entities Associated with Fidelity</w:t>
            </w:r>
            <w:r>
              <w:rPr>
                <w:rFonts w:ascii="Arial" w:cs="Arial" w:eastAsia="Arial" w:hAnsi="Arial"/>
                <w:sz w:val="23"/>
                <w:szCs w:val="23"/>
                <w:color w:val="auto"/>
                <w:vertAlign w:val="superscript"/>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2,616,232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Reza Zadno, Ph.D.</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611,240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Kevin Waters</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Alaleh Nouri</w:t>
            </w:r>
            <w:r>
              <w:rPr>
                <w:rFonts w:ascii="Arial" w:cs="Arial" w:eastAsia="Arial" w:hAnsi="Arial"/>
                <w:sz w:val="23"/>
                <w:szCs w:val="23"/>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144,926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Hisham Shiblaq</w:t>
            </w:r>
            <w:r>
              <w:rPr>
                <w:rFonts w:ascii="Arial" w:cs="Arial" w:eastAsia="Arial" w:hAnsi="Arial"/>
                <w:sz w:val="23"/>
                <w:szCs w:val="23"/>
                <w:color w:val="auto"/>
                <w:vertAlign w:val="superscript"/>
              </w:rPr>
              <w:t>(7)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Frederic Moll, M.D.</w:t>
            </w:r>
            <w:r>
              <w:rPr>
                <w:rFonts w:ascii="Arial" w:cs="Arial" w:eastAsia="Arial" w:hAnsi="Arial"/>
                <w:sz w:val="23"/>
                <w:szCs w:val="23"/>
                <w:color w:val="auto"/>
                <w:vertAlign w:val="superscript"/>
              </w:rPr>
              <w:t>(8)</w:t>
            </w:r>
          </w:p>
        </w:tc>
        <w:tc>
          <w:tcPr>
            <w:tcW w:w="1560" w:type="dxa"/>
            <w:vAlign w:val="bottom"/>
          </w:tcPr>
          <w:p>
            <w:pPr>
              <w:jc w:val="right"/>
              <w:spacing w:after="0"/>
              <w:rPr>
                <w:sz w:val="20"/>
                <w:szCs w:val="20"/>
                <w:color w:val="auto"/>
              </w:rPr>
            </w:pPr>
            <w:r>
              <w:rPr>
                <w:rFonts w:ascii="Arial" w:cs="Arial" w:eastAsia="Arial" w:hAnsi="Arial"/>
                <w:sz w:val="18"/>
                <w:szCs w:val="18"/>
                <w:color w:val="auto"/>
              </w:rPr>
              <w:t>588,917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Antal Desai</w:t>
            </w:r>
            <w:r>
              <w:rPr>
                <w:rFonts w:ascii="Arial" w:cs="Arial" w:eastAsia="Arial" w:hAnsi="Arial"/>
                <w:sz w:val="23"/>
                <w:szCs w:val="23"/>
                <w:color w:val="auto"/>
                <w:vertAlign w:val="superscript"/>
              </w:rPr>
              <w:t>(1)(9)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10,869,498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Amy Dodrill</w:t>
            </w:r>
            <w:r>
              <w:rPr>
                <w:rFonts w:ascii="Arial" w:cs="Arial" w:eastAsia="Arial" w:hAnsi="Arial"/>
                <w:sz w:val="23"/>
                <w:szCs w:val="23"/>
                <w:color w:val="auto"/>
                <w:vertAlign w:val="superscript"/>
              </w:rPr>
              <w:t>(10)</w:t>
            </w:r>
          </w:p>
        </w:tc>
        <w:tc>
          <w:tcPr>
            <w:tcW w:w="1560" w:type="dxa"/>
            <w:vAlign w:val="bottom"/>
          </w:tcPr>
          <w:p>
            <w:pPr>
              <w:jc w:val="right"/>
              <w:spacing w:after="0"/>
              <w:rPr>
                <w:sz w:val="20"/>
                <w:szCs w:val="20"/>
                <w:color w:val="auto"/>
              </w:rPr>
            </w:pPr>
            <w:r>
              <w:rPr>
                <w:rFonts w:ascii="Arial" w:cs="Arial" w:eastAsia="Arial" w:hAnsi="Arial"/>
                <w:sz w:val="18"/>
                <w:szCs w:val="18"/>
                <w:color w:val="auto"/>
              </w:rPr>
              <w:t>47,368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Taylor Harris</w:t>
            </w:r>
            <w:r>
              <w:rPr>
                <w:rFonts w:ascii="Arial" w:cs="Arial" w:eastAsia="Arial" w:hAnsi="Arial"/>
                <w:sz w:val="23"/>
                <w:szCs w:val="23"/>
                <w:color w:val="auto"/>
                <w:vertAlign w:val="superscript"/>
              </w:rPr>
              <w:t>(11)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Thomas Krummel M.D.</w:t>
            </w:r>
            <w:r>
              <w:rPr>
                <w:rFonts w:ascii="Arial" w:cs="Arial" w:eastAsia="Arial" w:hAnsi="Arial"/>
                <w:sz w:val="23"/>
                <w:szCs w:val="23"/>
                <w:color w:val="auto"/>
                <w:vertAlign w:val="superscript"/>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108,874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Rodney Perkins M.D.</w:t>
            </w:r>
            <w:r>
              <w:rPr>
                <w:rFonts w:ascii="Arial" w:cs="Arial" w:eastAsia="Arial" w:hAnsi="Arial"/>
                <w:sz w:val="23"/>
                <w:szCs w:val="23"/>
                <w:color w:val="auto"/>
                <w:vertAlign w:val="superscript"/>
              </w:rPr>
              <w:t>(13)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1,039,153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Colby Wood</w:t>
            </w:r>
            <w:r>
              <w:rPr>
                <w:rFonts w:ascii="Arial" w:cs="Arial" w:eastAsia="Arial" w:hAnsi="Arial"/>
                <w:sz w:val="23"/>
                <w:szCs w:val="23"/>
                <w:color w:val="auto"/>
                <w:vertAlign w:val="superscript"/>
              </w:rPr>
              <w:t>(14)</w:t>
            </w:r>
          </w:p>
        </w:tc>
        <w:tc>
          <w:tcPr>
            <w:tcW w:w="1560" w:type="dxa"/>
            <w:vAlign w:val="bottom"/>
          </w:tcPr>
          <w:p>
            <w:pPr>
              <w:jc w:val="right"/>
              <w:spacing w:after="0"/>
              <w:rPr>
                <w:sz w:val="20"/>
                <w:szCs w:val="20"/>
                <w:color w:val="auto"/>
              </w:rPr>
            </w:pPr>
            <w:r>
              <w:rPr>
                <w:rFonts w:ascii="Arial" w:cs="Arial" w:eastAsia="Arial" w:hAnsi="Arial"/>
                <w:sz w:val="18"/>
                <w:szCs w:val="18"/>
                <w:color w:val="auto"/>
              </w:rPr>
              <w:t>169,251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3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All Executive Officers and Directors as a Group</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14,083,861</w:t>
            </w:r>
          </w:p>
        </w:tc>
        <w:tc>
          <w:tcPr>
            <w:tcW w:w="1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(13 individuals)</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 Represents beneficial ownership of less than 1% of our outstanding common stock.</w:t>
      </w:r>
    </w:p>
    <w:p>
      <w:pPr>
        <w:spacing w:after="0" w:line="1" w:lineRule="exact"/>
        <w:rPr>
          <w:sz w:val="20"/>
          <w:szCs w:val="20"/>
          <w:color w:val="auto"/>
        </w:rPr>
      </w:pPr>
    </w:p>
    <w:p>
      <w:pPr>
        <w:ind w:left="340" w:right="20" w:hanging="332"/>
        <w:spacing w:after="0" w:line="241" w:lineRule="auto"/>
        <w:tabs>
          <w:tab w:leader="none" w:pos="33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(i) 10,745,589 shares of common stock and (ii) 37,076 shares of common stock underlying warrants exercisable within 60 days July 31, 2021 held by White Tailed Ptarmigan, LP. CPMG, Inc. is the general partner of White Tailed Ptarmigan, LP and has voting and investment control over the shares beneficially owned by White Tailed Ptarmigan, LP. Antal Desai, a member of our board of directors and a Partner of CPMG, Inc., along with Kent McGaughy, Jr., the sole shareholder and managing director of CPMG, Inc., may be deemed to share voting and investment power with respect to the shares beneficially owned by White Tailed Ptarmigan, LP. Each of Mr. Desai and Mr McGaughy, Jr. disclaims beneficial ownership of the shares beneficially owned by White Tailed Ptarmigan, LP except to the extent of any pecuniary interest therein. The business address of the entities referenced in this footnote is 2000 McKinney Ave, Suite 2125, Dallas, Texas 75201.</w:t>
      </w:r>
    </w:p>
    <w:p>
      <w:pPr>
        <w:spacing w:after="0" w:line="2"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4,507,893 shares held by Viking Global Opportunities Illiquid Investments Sub-Master LP (the “Viking Opportunities Fund”). The Viking Opportunities Fund has the authority to dispose of and vote the 4,507,893 shares that will be directly owned by it, which power may be exercised by its general partner, Viking Global Opportunities Portfolio GP LLC (“Opportunities GP”), and by Viking Global Investors LP (“VGI”), which provides managerial services to Opportunities Fund. Andreas Halvorsen, David C. Ott and Rose Shabet, as Executive Committee members of Viking Global Partners LLC (the general partner of VGI) and Viking Global Opportunities GP LLC, the sole member of Opportunities GP, have shared authority to direct the voting and disposition of investments beneficially owned by VGI, Opportunities GP and the Viking Opportunities Fund. The address for each of the entities is c/o Viking Global Investors LP, 55 Railroad Avenue, Greenwich, CT 06830.</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Consists of (i) 108,462 shares of common stock held by Fidelity Mt. Vernon Street Trust: Fidelity Series Growth Company Fund, (ii) 518,247 shares of common stock held by Fidelity Mt.</w:t>
      </w:r>
    </w:p>
    <w:p>
      <w:pPr>
        <w:spacing w:after="0" w:line="12"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Vernon Street Trust: Fidelity Growth Company Fund, (iii) 571,768 shares of common stock held by Fidelity Growth Company Commingled Pool, with Fidelity management Trust</w:t>
      </w:r>
    </w:p>
    <w:p>
      <w:pPr>
        <w:spacing w:after="0" w:line="1"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Company, as Trustee, (iv) 109,638 shares of common stock held by Fidelity Mt. Vernon Street Trust: Fidelity Growth Company K6 Fund and (v) 1,308,117 shares of common stock held by</w:t>
      </w:r>
    </w:p>
    <w:p>
      <w:pPr>
        <w:spacing w:after="0" w:line="12" w:lineRule="exact"/>
        <w:rPr>
          <w:rFonts w:ascii="Arial" w:cs="Arial" w:eastAsia="Arial" w:hAnsi="Arial"/>
          <w:sz w:val="13"/>
          <w:szCs w:val="13"/>
          <w:color w:val="auto"/>
        </w:rPr>
      </w:pPr>
    </w:p>
    <w:p>
      <w:pPr>
        <w:ind w:left="340" w:right="40"/>
        <w:spacing w:after="0" w:line="266" w:lineRule="auto"/>
        <w:rPr>
          <w:rFonts w:ascii="Arial" w:cs="Arial" w:eastAsia="Arial" w:hAnsi="Arial"/>
          <w:sz w:val="13"/>
          <w:szCs w:val="13"/>
          <w:color w:val="auto"/>
        </w:rPr>
      </w:pPr>
      <w:r>
        <w:rPr>
          <w:rFonts w:ascii="Arial" w:cs="Arial" w:eastAsia="Arial" w:hAnsi="Arial"/>
          <w:sz w:val="13"/>
          <w:szCs w:val="13"/>
          <w:color w:val="auto"/>
        </w:rPr>
        <w:t>Fidelity Select Portfolios: Select Medical Technology and Devices Portfolio.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9" w:lineRule="exact"/>
        <w:rPr>
          <w:sz w:val="20"/>
          <w:szCs w:val="20"/>
          <w:color w:val="auto"/>
        </w:rPr>
      </w:pPr>
    </w:p>
    <w:p>
      <w:pPr>
        <w:ind w:left="332" w:right="100"/>
        <w:spacing w:after="0" w:line="245" w:lineRule="auto"/>
        <w:rPr>
          <w:sz w:val="20"/>
          <w:szCs w:val="20"/>
          <w:color w:val="auto"/>
        </w:rPr>
      </w:pPr>
      <w:r>
        <w:rPr>
          <w:rFonts w:ascii="Arial" w:cs="Arial" w:eastAsia="Arial" w:hAnsi="Arial"/>
          <w:sz w:val="14"/>
          <w:szCs w:val="14"/>
          <w:color w:val="auto"/>
        </w:rPr>
        <w:t>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business address of the entities referenced in this footnote is 140 Broadway, New York, NY 10005.</w:t>
      </w:r>
    </w:p>
    <w:p>
      <w:pPr>
        <w:spacing w:after="0" w:line="3" w:lineRule="exact"/>
        <w:rPr>
          <w:sz w:val="20"/>
          <w:szCs w:val="20"/>
          <w:color w:val="auto"/>
        </w:rPr>
      </w:pPr>
    </w:p>
    <w:p>
      <w:pPr>
        <w:ind w:left="312" w:hanging="312"/>
        <w:spacing w:after="0"/>
        <w:tabs>
          <w:tab w:leader="none" w:pos="31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56,026 shares of common stock and (ii) 555,214 shares of common stock underlying options exercisable within 60 days of July 31,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52,631 shares of common stock and (ii) 187,281 shares of common stock underlying options exercisable within 60 days of July 31,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43,064 shares of common stock and (ii) 101,862 shares of common stock underlying options exercisable within 60 days of July 31,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43,859 shares of common stock and (ii) 85,554 shares of common stock underlying options exercisable within 60 days of July 31,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481,797 shares of common stock and (ii) 107,120 shares of common stock underlying options exercisable within 60 days of July 31, 2021.</w:t>
      </w:r>
    </w:p>
    <w:p>
      <w:pPr>
        <w:spacing w:after="0" w:line="1" w:lineRule="exact"/>
        <w:rPr>
          <w:rFonts w:ascii="Arial" w:cs="Arial" w:eastAsia="Arial" w:hAnsi="Arial"/>
          <w:sz w:val="14"/>
          <w:szCs w:val="14"/>
          <w:color w:val="auto"/>
        </w:rPr>
      </w:pPr>
    </w:p>
    <w:p>
      <w:pPr>
        <w:ind w:left="332" w:right="140" w:hanging="332"/>
        <w:spacing w:after="0" w:line="241" w:lineRule="auto"/>
        <w:tabs>
          <w:tab w:leader="none" w:pos="32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52,642 shares of common stock held personally, (ii) 48,790 share of common stock held by the 2:22 DNA Trust and (iii) 22,477 shares of common stock underlying options exercisable within 60 days of July 31, 2021.</w:t>
      </w:r>
    </w:p>
    <w:p>
      <w:pPr>
        <w:ind w:left="312" w:hanging="312"/>
        <w:spacing w:after="0"/>
        <w:tabs>
          <w:tab w:leader="none" w:pos="31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47,368 shares of common stock underlying options exercisable within 60 days of July 31, 2021.</w:t>
      </w:r>
    </w:p>
    <w:p>
      <w:pPr>
        <w:spacing w:after="0" w:line="1" w:lineRule="exact"/>
        <w:rPr>
          <w:rFonts w:ascii="Arial" w:cs="Arial" w:eastAsia="Arial" w:hAnsi="Arial"/>
          <w:sz w:val="14"/>
          <w:szCs w:val="14"/>
          <w:color w:val="auto"/>
        </w:rPr>
      </w:pPr>
    </w:p>
    <w:p>
      <w:pPr>
        <w:ind w:left="332" w:right="160" w:hanging="332"/>
        <w:spacing w:after="0" w:line="241" w:lineRule="auto"/>
        <w:tabs>
          <w:tab w:leader="none" w:pos="323"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32,526 shares of common stock held by the Harris Trust Dated 3/10/2016 and (ii) 95,473 shares of common stock underlying options exercisable within 60 days of July 31, 2021.</w:t>
      </w:r>
    </w:p>
    <w:p>
      <w:pPr>
        <w:ind w:left="312" w:hanging="312"/>
        <w:spacing w:after="0"/>
        <w:tabs>
          <w:tab w:leader="none" w:pos="31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75,920 shares of common stock and (ii) 32,954 shares of common stock underlying options exercisable within 60 days of July 31,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09"/>
        </w:numPr>
        <w:rPr>
          <w:rFonts w:ascii="Arial" w:cs="Arial" w:eastAsia="Arial" w:hAnsi="Arial"/>
          <w:sz w:val="13"/>
          <w:szCs w:val="13"/>
          <w:color w:val="auto"/>
        </w:rPr>
      </w:pPr>
      <w:r>
        <w:rPr>
          <w:rFonts w:ascii="Arial" w:cs="Arial" w:eastAsia="Arial" w:hAnsi="Arial"/>
          <w:sz w:val="13"/>
          <w:szCs w:val="13"/>
          <w:color w:val="auto"/>
        </w:rPr>
        <w:t>Consists of (i) 3,775 shares of common stock held personally and (ii) 902,577 shares of common stock held by the Perkins Family Revocable Trust dated February 28, 1986 and (iii)</w:t>
      </w:r>
    </w:p>
    <w:p>
      <w:pPr>
        <w:spacing w:after="0" w:line="12" w:lineRule="exact"/>
        <w:rPr>
          <w:rFonts w:ascii="Arial" w:cs="Arial" w:eastAsia="Arial" w:hAnsi="Arial"/>
          <w:sz w:val="13"/>
          <w:szCs w:val="13"/>
          <w:color w:val="auto"/>
        </w:rPr>
      </w:pPr>
    </w:p>
    <w:p>
      <w:pPr>
        <w:ind w:left="332"/>
        <w:spacing w:after="0" w:line="241" w:lineRule="auto"/>
        <w:rPr>
          <w:rFonts w:ascii="Arial" w:cs="Arial" w:eastAsia="Arial" w:hAnsi="Arial"/>
          <w:sz w:val="13"/>
          <w:szCs w:val="13"/>
          <w:color w:val="auto"/>
        </w:rPr>
      </w:pPr>
      <w:r>
        <w:rPr>
          <w:rFonts w:ascii="Arial" w:cs="Arial" w:eastAsia="Arial" w:hAnsi="Arial"/>
          <w:sz w:val="14"/>
          <w:szCs w:val="14"/>
          <w:color w:val="auto"/>
        </w:rPr>
        <w:t>132,801 shares of common stock underlying options exercisable within 60 days of July 31, 2021. Dr. Perkins will be resigning from our board of directors immediately upon effectiveness of the registration statement of which this prospectus is a part.</w:t>
      </w:r>
    </w:p>
    <w:p>
      <w:pPr>
        <w:ind w:left="312" w:hanging="312"/>
        <w:spacing w:after="0"/>
        <w:tabs>
          <w:tab w:leader="none" w:pos="31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146,774 shares of common stock and (ii) 22,477 shares of common stock underlying options exercisable within 60 days of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12"/>
          </w:cols>
          <w:pgMar w:left="328" w:top="1440" w:right="359" w:bottom="1440" w:gutter="0" w:footer="0" w:header="0"/>
        </w:sectPr>
      </w:pPr>
    </w:p>
    <w:bookmarkStart w:id="166" w:name="page167"/>
    <w:bookmarkEnd w:id="16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following is a description of transactions to which we were a participant since January 1, 2018 in which the amount involved exceeded or will exceed the lesser of $120,000 or one percent of the average of our total assets at year-end for the last two completed fiscal years, and in which any of our executive officers, directors or holders of more than 5% of any class of our voting securities, or an affiliate or immediate family member thereof, had or will have a direct or indirect material interest.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G Financing</w:t>
      </w:r>
    </w:p>
    <w:p>
      <w:pPr>
        <w:spacing w:after="0" w:line="175"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In June 2021, we completed the sale of an aggregate of 4,447,530 shares of our Series G redeemable convertible preferred stock at a purchase price of $19.111625 per share for an aggregate purchase price of $85.0 million. Each share of our Series G redeemable convertible preferred stock will convert into shares of our common stock immediately prior to the closing of this offering in accordance with our certificate of incorporation.</w:t>
      </w:r>
    </w:p>
    <w:p>
      <w:pPr>
        <w:spacing w:after="0" w:line="1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summarizes the Series G redeemable convertible preferred stock purchased by holders of more than 5% of our capital stock, our board of directors and any entities affiliated with our executive officers or a member of our board of directors.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 of Series G</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Redeemable</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35"/>
        </w:trPr>
        <w:tc>
          <w:tcPr>
            <w:tcW w:w="8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18"/>
                <w:szCs w:val="18"/>
                <w:b w:val="1"/>
                <w:bCs w:val="1"/>
                <w:color w:val="auto"/>
                <w:vertAlign w:val="superscript"/>
              </w:rPr>
              <w:t>(1)</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Convertible</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50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Preferred Stock</w:t>
            </w: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1"/>
        </w:trPr>
        <w:tc>
          <w:tcPr>
            <w:tcW w:w="8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1"/>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Viking Global Opportunities Illiquid Investments Sub-Master LP</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Entity Associated with CPMG, Inc.</w:t>
            </w:r>
          </w:p>
        </w:tc>
        <w:tc>
          <w:tcPr>
            <w:tcW w:w="1320" w:type="dxa"/>
            <w:vAlign w:val="bottom"/>
          </w:tcPr>
          <w:p>
            <w:pPr>
              <w:jc w:val="right"/>
              <w:spacing w:after="0"/>
              <w:rPr>
                <w:sz w:val="20"/>
                <w:szCs w:val="20"/>
                <w:color w:val="auto"/>
              </w:rPr>
            </w:pPr>
            <w:r>
              <w:rPr>
                <w:rFonts w:ascii="Arial" w:cs="Arial" w:eastAsia="Arial" w:hAnsi="Arial"/>
                <w:sz w:val="18"/>
                <w:szCs w:val="18"/>
                <w:color w:val="auto"/>
              </w:rPr>
              <w:t>272,205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29"/>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Frederic Moll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8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Rodney Perkins M.D.</w:t>
            </w:r>
            <w:r>
              <w:rPr>
                <w:rFonts w:ascii="Arial" w:cs="Arial" w:eastAsia="Arial" w:hAnsi="Arial"/>
                <w:sz w:val="23"/>
                <w:szCs w:val="23"/>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113,103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29"/>
        </w:trPr>
        <w:tc>
          <w:tcPr>
            <w:tcW w:w="8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Associated with Fidelity</w:t>
            </w:r>
            <w:r>
              <w:rPr>
                <w:rFonts w:ascii="Arial" w:cs="Arial" w:eastAsia="Arial" w:hAnsi="Arial"/>
                <w:sz w:val="23"/>
                <w:szCs w:val="23"/>
                <w:color w:val="auto"/>
                <w:vertAlign w:val="superscript"/>
              </w:rPr>
              <w:t>(3)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8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Nikolai Aljuri, Ph.D.</w:t>
            </w:r>
            <w:r>
              <w:rPr>
                <w:rFonts w:ascii="Arial" w:cs="Arial" w:eastAsia="Arial" w:hAnsi="Arial"/>
                <w:sz w:val="23"/>
                <w:szCs w:val="23"/>
                <w:color w:val="auto"/>
                <w:vertAlign w:val="superscript"/>
              </w:rPr>
              <w:t>(4)</w:t>
            </w:r>
          </w:p>
        </w:tc>
        <w:tc>
          <w:tcPr>
            <w:tcW w:w="1320" w:type="dxa"/>
            <w:vAlign w:val="bottom"/>
          </w:tcPr>
          <w:p>
            <w:pPr>
              <w:jc w:val="right"/>
              <w:spacing w:after="0"/>
              <w:rPr>
                <w:sz w:val="20"/>
                <w:szCs w:val="20"/>
                <w:color w:val="auto"/>
              </w:rPr>
            </w:pPr>
            <w:r>
              <w:rPr>
                <w:rFonts w:ascii="Arial" w:cs="Arial" w:eastAsia="Arial" w:hAnsi="Arial"/>
                <w:sz w:val="18"/>
                <w:szCs w:val="18"/>
                <w:color w:val="auto"/>
              </w:rPr>
              <w:t>78,486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8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Taylor Harris</w:t>
            </w:r>
            <w:r>
              <w:rPr>
                <w:rFonts w:ascii="Arial" w:cs="Arial" w:eastAsia="Arial" w:hAnsi="Arial"/>
                <w:sz w:val="23"/>
                <w:szCs w:val="23"/>
                <w:color w:val="auto"/>
                <w:vertAlign w:val="superscript"/>
              </w:rPr>
              <w:t>(5)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Antal Desai</w:t>
            </w:r>
            <w:r>
              <w:rPr>
                <w:rFonts w:ascii="Arial" w:cs="Arial" w:eastAsia="Arial" w:hAnsi="Arial"/>
                <w:sz w:val="23"/>
                <w:szCs w:val="23"/>
                <w:color w:val="auto"/>
                <w:vertAlign w:val="superscript"/>
              </w:rPr>
              <w:t>(6)</w:t>
            </w:r>
          </w:p>
        </w:tc>
        <w:tc>
          <w:tcPr>
            <w:tcW w:w="1320" w:type="dxa"/>
            <w:vAlign w:val="bottom"/>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the section titled “Principal Stockholders.”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Shares of Series G redeemable convertible preferred stock are held by The Perkins Family Revocable Trust dated February 28, 1986.</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(i) 108,462 shares of Series G redeemable convertible preferred stock held by Fidelity Mt. Vernon Street Trust: Fidelity Series Growth Company Fund, (ii) 518,247 shares of</w:t>
      </w:r>
    </w:p>
    <w:p>
      <w:pPr>
        <w:spacing w:after="0" w:line="12"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Series G redeemable convertible preferred stock held by Fidelity Mt. Vernon Street Trust: Fidelity Growth Company Fund, (iii) 571,768 shares of Series G redeemable convertible preferred</w:t>
      </w:r>
    </w:p>
    <w:p>
      <w:pPr>
        <w:spacing w:after="0" w:line="12"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stock held by Fidelity Growth Company Commingled Pool, (iv) 109,638 shares of Series G redeemable convertible preferred stock held by Fidelity Mt. Vernon Street Trust: Fidelity Growth</w:t>
      </w:r>
    </w:p>
    <w:p>
      <w:pPr>
        <w:spacing w:after="0" w:line="12"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Company K6 Fund and (v) 1,308,117 shares of Series G redeemable convertible preferred stock held by Fidelity Select Portfolios: Select Medical Technology and Devices Portfolio.</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Shares held by the Aljuri Family Trust u/a/d 8-22-2012.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Shares held by The Harris Trust Dated 3/10/2016.</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Includes 1,249 shares of Series G redeemable convertible preferred stock held by The 2:22 DNA Trust.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Financing</w:t>
      </w:r>
    </w:p>
    <w:p>
      <w:pPr>
        <w:spacing w:after="0" w:line="175"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Between July 2020 and August 2020, we completed the sale of an aggregate of 5,226,969 shares of our Series F redeemable convertible preferred stock at a purchase price of $14.72785 per share for an aggregate purchase price of $77.0 million. Each share of our Series F redeemable convertible preferred stock will convert into shares of our common stock immediately prior to the closing of this offering in accordance with our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summarizes the Series F redeemable convertible preferred stock purchased by holders of more than 5% of our capital stock, our board of directors and any entities affiliated with our executive officers or a member of our board of directors.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5"/>
          </w:tcPr>
          <w:p>
            <w:pPr>
              <w:ind w:left="900"/>
              <w:spacing w:after="0"/>
              <w:rPr>
                <w:sz w:val="20"/>
                <w:szCs w:val="20"/>
                <w:color w:val="auto"/>
              </w:rPr>
            </w:pPr>
            <w:r>
              <w:rPr>
                <w:rFonts w:ascii="Arial" w:cs="Arial" w:eastAsia="Arial" w:hAnsi="Arial"/>
                <w:sz w:val="14"/>
                <w:szCs w:val="14"/>
                <w:b w:val="1"/>
                <w:bCs w:val="1"/>
                <w:color w:val="auto"/>
              </w:rPr>
              <w:t>Initial Closing</w:t>
            </w:r>
          </w:p>
        </w:tc>
        <w:tc>
          <w:tcPr>
            <w:tcW w:w="2800" w:type="dxa"/>
            <w:vAlign w:val="bottom"/>
            <w:gridSpan w:val="5"/>
          </w:tcPr>
          <w:p>
            <w:pPr>
              <w:ind w:left="880"/>
              <w:spacing w:after="0"/>
              <w:rPr>
                <w:sz w:val="20"/>
                <w:szCs w:val="20"/>
                <w:color w:val="auto"/>
              </w:rPr>
            </w:pPr>
            <w:r>
              <w:rPr>
                <w:rFonts w:ascii="Arial" w:cs="Arial" w:eastAsia="Arial" w:hAnsi="Arial"/>
                <w:sz w:val="14"/>
                <w:szCs w:val="14"/>
                <w:b w:val="1"/>
                <w:bCs w:val="1"/>
                <w:color w:val="auto"/>
              </w:rPr>
              <w:t>Second Closing</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Shares of Series F</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Shares of Series F</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Redeemable</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Aggregate Purchase</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Redeemable</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Aggregate Purchase</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Total Shares</w:t>
            </w: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35"/>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18"/>
                <w:szCs w:val="18"/>
                <w:b w:val="1"/>
                <w:bCs w:val="1"/>
                <w:color w:val="auto"/>
                <w:vertAlign w:val="superscript"/>
              </w:rPr>
              <w:t>(1)</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Convertible</w:t>
            </w:r>
          </w:p>
        </w:tc>
        <w:tc>
          <w:tcPr>
            <w:tcW w:w="1400" w:type="dxa"/>
            <w:vAlign w:val="bottom"/>
            <w:gridSpan w:val="3"/>
            <w:vMerge w:val="continue"/>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Convertible</w:t>
            </w:r>
          </w:p>
        </w:tc>
        <w:tc>
          <w:tcPr>
            <w:tcW w:w="140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2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16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Price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160" w:type="dxa"/>
            <w:vAlign w:val="bottom"/>
          </w:tcPr>
          <w:p>
            <w:pPr>
              <w:spacing w:after="0"/>
              <w:rPr>
                <w:sz w:val="16"/>
                <w:szCs w:val="16"/>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1"/>
        </w:trPr>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77"/>
        </w:trPr>
        <w:tc>
          <w:tcPr>
            <w:tcW w:w="292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Viking Global Opportunities Illiquid</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678,985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678,985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Sub-Master LP</w:t>
            </w: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Entity Associated with CPMG, Inc.</w:t>
            </w:r>
          </w:p>
        </w:tc>
        <w:tc>
          <w:tcPr>
            <w:tcW w:w="1300" w:type="dxa"/>
            <w:vAlign w:val="bottom"/>
          </w:tcPr>
          <w:p>
            <w:pPr>
              <w:jc w:val="right"/>
              <w:spacing w:after="0"/>
              <w:rPr>
                <w:sz w:val="20"/>
                <w:szCs w:val="20"/>
                <w:color w:val="auto"/>
              </w:rPr>
            </w:pPr>
            <w:r>
              <w:rPr>
                <w:rFonts w:ascii="Arial" w:cs="Arial" w:eastAsia="Arial" w:hAnsi="Arial"/>
                <w:sz w:val="18"/>
                <w:szCs w:val="18"/>
                <w:color w:val="auto"/>
              </w:rPr>
              <w:t>2,033,643</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29,951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27,159</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2,060,802</w:t>
            </w:r>
          </w:p>
        </w:tc>
        <w:tc>
          <w:tcPr>
            <w:tcW w:w="1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30,351</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Antal Desai</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Frederic Moll</w:t>
            </w:r>
          </w:p>
        </w:tc>
        <w:tc>
          <w:tcPr>
            <w:tcW w:w="1300" w:type="dxa"/>
            <w:vAlign w:val="bottom"/>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Reza Zadno</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the section titled “Principal Stockholders.”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Financing</w:t>
      </w:r>
    </w:p>
    <w:p>
      <w:pPr>
        <w:spacing w:after="0" w:line="17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February 2018, we completed the sale of an aggregate of 8,414,473 shares of our Series E redeemable convertible preferred stock at a purchase price of $13.7275 per share for an aggregate purchase price of $115.5 million. Each share of our Series E redeemable convertible preferred stock will convert into shares of our common stock immediately prior to the closing of this offering in accordance with our certificate of incorporation.</w:t>
      </w:r>
    </w:p>
    <w:p>
      <w:pPr>
        <w:spacing w:after="0" w:line="9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summarizes the Series E redeemable convertible preferred stock purchased by holders of more than 5% of our capital stock, our board of directors and any entities affiliated with our executive officers or a member of our board of directors.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120" w:type="dxa"/>
            <w:vAlign w:val="bottom"/>
            <w:gridSpan w:val="2"/>
          </w:tcPr>
          <w:p>
            <w:pPr>
              <w:jc w:val="center"/>
              <w:ind w:left="1296"/>
              <w:spacing w:after="0"/>
              <w:rPr>
                <w:sz w:val="20"/>
                <w:szCs w:val="20"/>
                <w:color w:val="auto"/>
              </w:rPr>
            </w:pPr>
            <w:r>
              <w:rPr>
                <w:rFonts w:ascii="Arial" w:cs="Arial" w:eastAsia="Arial" w:hAnsi="Arial"/>
                <w:sz w:val="14"/>
                <w:szCs w:val="14"/>
                <w:b w:val="1"/>
                <w:bCs w:val="1"/>
                <w:color w:val="auto"/>
                <w:w w:val="89"/>
              </w:rPr>
              <w:t>Shares of Series E</w:t>
            </w: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18"/>
                <w:szCs w:val="18"/>
                <w:b w:val="1"/>
                <w:bCs w:val="1"/>
                <w:color w:val="auto"/>
                <w:vertAlign w:val="superscript"/>
              </w:rPr>
              <w:t>(1)</w:t>
            </w:r>
          </w:p>
        </w:tc>
        <w:tc>
          <w:tcPr>
            <w:tcW w:w="3120" w:type="dxa"/>
            <w:vAlign w:val="bottom"/>
            <w:gridSpan w:val="2"/>
          </w:tcPr>
          <w:p>
            <w:pPr>
              <w:jc w:val="center"/>
              <w:ind w:left="1276"/>
              <w:spacing w:after="0" w:line="135" w:lineRule="exact"/>
              <w:rPr>
                <w:sz w:val="20"/>
                <w:szCs w:val="20"/>
                <w:color w:val="auto"/>
              </w:rPr>
            </w:pPr>
            <w:r>
              <w:rPr>
                <w:rFonts w:ascii="Arial" w:cs="Arial" w:eastAsia="Arial" w:hAnsi="Arial"/>
                <w:sz w:val="14"/>
                <w:szCs w:val="14"/>
                <w:b w:val="1"/>
                <w:bCs w:val="1"/>
                <w:color w:val="auto"/>
                <w:w w:val="93"/>
              </w:rPr>
              <w:t>Redeemable Convertible</w:t>
            </w:r>
          </w:p>
        </w:tc>
        <w:tc>
          <w:tcPr>
            <w:tcW w:w="140" w:type="dxa"/>
            <w:vAlign w:val="bottom"/>
          </w:tcPr>
          <w:p>
            <w:pPr>
              <w:spacing w:after="0"/>
              <w:rPr>
                <w:sz w:val="11"/>
                <w:szCs w:val="11"/>
                <w:color w:val="auto"/>
              </w:rPr>
            </w:pPr>
          </w:p>
        </w:tc>
        <w:tc>
          <w:tcPr>
            <w:tcW w:w="17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1"/>
              </w:rPr>
              <w:t>Aggregate Purchase Price</w:t>
            </w:r>
          </w:p>
        </w:tc>
        <w:tc>
          <w:tcPr>
            <w:tcW w:w="0" w:type="dxa"/>
            <w:vAlign w:val="bottom"/>
          </w:tcPr>
          <w:p>
            <w:pPr>
              <w:spacing w:after="0"/>
              <w:rPr>
                <w:sz w:val="1"/>
                <w:szCs w:val="1"/>
                <w:color w:val="auto"/>
              </w:rPr>
            </w:pPr>
          </w:p>
        </w:tc>
      </w:tr>
      <w:tr>
        <w:trPr>
          <w:trHeight w:val="189"/>
        </w:trPr>
        <w:tc>
          <w:tcPr>
            <w:tcW w:w="6200" w:type="dxa"/>
            <w:vAlign w:val="bottom"/>
            <w:vMerge w:val="continue"/>
          </w:tcPr>
          <w:p>
            <w:pPr>
              <w:spacing w:after="0"/>
              <w:rPr>
                <w:sz w:val="16"/>
                <w:szCs w:val="16"/>
                <w:color w:val="auto"/>
              </w:rPr>
            </w:pPr>
          </w:p>
        </w:tc>
        <w:tc>
          <w:tcPr>
            <w:tcW w:w="3120" w:type="dxa"/>
            <w:vAlign w:val="bottom"/>
            <w:gridSpan w:val="2"/>
          </w:tcPr>
          <w:p>
            <w:pPr>
              <w:jc w:val="center"/>
              <w:ind w:left="1296"/>
              <w:spacing w:after="0"/>
              <w:rPr>
                <w:sz w:val="20"/>
                <w:szCs w:val="20"/>
                <w:color w:val="auto"/>
              </w:rPr>
            </w:pPr>
            <w:r>
              <w:rPr>
                <w:rFonts w:ascii="Arial" w:cs="Arial" w:eastAsia="Arial" w:hAnsi="Arial"/>
                <w:sz w:val="14"/>
                <w:szCs w:val="14"/>
                <w:b w:val="1"/>
                <w:bCs w:val="1"/>
                <w:color w:val="auto"/>
                <w:w w:val="93"/>
              </w:rPr>
              <w:t>Preferred Stock</w:t>
            </w:r>
          </w:p>
        </w:tc>
        <w:tc>
          <w:tcPr>
            <w:tcW w:w="14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20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Viking Global Opportunities Illiquid Investments Sub-Master LP</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3,407,028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Entity Associated with CPMG, Inc.</w:t>
            </w:r>
          </w:p>
        </w:tc>
        <w:tc>
          <w:tcPr>
            <w:tcW w:w="3020" w:type="dxa"/>
            <w:vAlign w:val="bottom"/>
          </w:tcPr>
          <w:p>
            <w:pPr>
              <w:jc w:val="right"/>
              <w:spacing w:after="0"/>
              <w:rPr>
                <w:sz w:val="20"/>
                <w:szCs w:val="20"/>
                <w:color w:val="auto"/>
              </w:rPr>
            </w:pPr>
            <w:r>
              <w:rPr>
                <w:rFonts w:ascii="Arial" w:cs="Arial" w:eastAsia="Arial" w:hAnsi="Arial"/>
                <w:sz w:val="18"/>
                <w:szCs w:val="18"/>
                <w:color w:val="auto"/>
              </w:rPr>
              <w:t>3,001,858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line="243" w:lineRule="exact"/>
              <w:rPr>
                <w:sz w:val="20"/>
                <w:szCs w:val="20"/>
                <w:color w:val="auto"/>
              </w:rPr>
            </w:pPr>
            <w:r>
              <w:rPr>
                <w:rFonts w:ascii="Arial" w:cs="Arial" w:eastAsia="Arial" w:hAnsi="Arial"/>
                <w:sz w:val="18"/>
                <w:szCs w:val="18"/>
                <w:color w:val="auto"/>
              </w:rPr>
              <w:t>41,208</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Taylor Harris</w:t>
            </w:r>
            <w:r>
              <w:rPr>
                <w:rFonts w:ascii="Arial" w:cs="Arial" w:eastAsia="Arial" w:hAnsi="Arial"/>
                <w:sz w:val="9"/>
                <w:szCs w:val="9"/>
                <w:color w:val="auto"/>
              </w:rPr>
              <w:t>(2)</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line="230" w:lineRule="exact"/>
              <w:rPr>
                <w:sz w:val="20"/>
                <w:szCs w:val="20"/>
                <w:color w:val="auto"/>
              </w:rPr>
            </w:pPr>
            <w:r>
              <w:rPr>
                <w:rFonts w:ascii="Arial" w:cs="Arial" w:eastAsia="Arial" w:hAnsi="Arial"/>
                <w:sz w:val="26"/>
                <w:szCs w:val="26"/>
                <w:color w:val="auto"/>
                <w:vertAlign w:val="subscript"/>
              </w:rPr>
              <w:t>354</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Antal Desai</w:t>
            </w:r>
          </w:p>
        </w:tc>
        <w:tc>
          <w:tcPr>
            <w:tcW w:w="3020" w:type="dxa"/>
            <w:vAlign w:val="bottom"/>
          </w:tcPr>
          <w:p>
            <w:pPr>
              <w:jc w:val="right"/>
              <w:spacing w:after="0" w:line="230" w:lineRule="exact"/>
              <w:rPr>
                <w:sz w:val="20"/>
                <w:szCs w:val="20"/>
                <w:color w:val="auto"/>
              </w:rPr>
            </w:pPr>
            <w:r>
              <w:rPr>
                <w:rFonts w:ascii="Arial" w:cs="Arial" w:eastAsia="Arial" w:hAnsi="Arial"/>
                <w:sz w:val="18"/>
                <w:szCs w:val="18"/>
                <w:color w:val="auto"/>
              </w:rPr>
              <w:t>15,660</w:t>
            </w:r>
            <w:r>
              <w:rPr>
                <w:rFonts w:ascii="Arial" w:cs="Arial" w:eastAsia="Arial" w:hAnsi="Arial"/>
                <w:sz w:val="23"/>
                <w:szCs w:val="23"/>
                <w:color w:val="auto"/>
                <w:vertAlign w:val="superscript"/>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line="230" w:lineRule="exact"/>
              <w:rPr>
                <w:sz w:val="20"/>
                <w:szCs w:val="20"/>
                <w:color w:val="auto"/>
              </w:rPr>
            </w:pPr>
            <w:r>
              <w:rPr>
                <w:rFonts w:ascii="Arial" w:cs="Arial" w:eastAsia="Arial" w:hAnsi="Arial"/>
                <w:sz w:val="18"/>
                <w:szCs w:val="18"/>
                <w:color w:val="auto"/>
              </w:rPr>
              <w:t>203</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Frederic Moll</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103</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304"/>
        </w:trPr>
        <w:tc>
          <w:tcPr>
            <w:tcW w:w="6200" w:type="dxa"/>
            <w:vAlign w:val="bottom"/>
          </w:tcPr>
          <w:p>
            <w:pPr>
              <w:ind w:left="20"/>
              <w:spacing w:after="0"/>
              <w:rPr>
                <w:sz w:val="20"/>
                <w:szCs w:val="20"/>
                <w:color w:val="auto"/>
              </w:rPr>
            </w:pPr>
            <w:r>
              <w:rPr>
                <w:rFonts w:ascii="Arial" w:cs="Arial" w:eastAsia="Arial" w:hAnsi="Arial"/>
                <w:sz w:val="18"/>
                <w:szCs w:val="18"/>
                <w:color w:val="auto"/>
              </w:rPr>
              <w:t>Nikolai Aljuri, Ph.D.</w:t>
            </w:r>
            <w:r>
              <w:rPr>
                <w:rFonts w:ascii="Arial" w:cs="Arial" w:eastAsia="Arial" w:hAnsi="Arial"/>
                <w:sz w:val="23"/>
                <w:szCs w:val="23"/>
                <w:color w:val="auto"/>
                <w:vertAlign w:val="superscript"/>
              </w:rPr>
              <w:t>(7)</w:t>
            </w:r>
          </w:p>
        </w:tc>
        <w:tc>
          <w:tcPr>
            <w:tcW w:w="3020" w:type="dxa"/>
            <w:vAlign w:val="bottom"/>
          </w:tcPr>
          <w:p>
            <w:pPr>
              <w:jc w:val="right"/>
              <w:spacing w:after="0"/>
              <w:rPr>
                <w:sz w:val="20"/>
                <w:szCs w:val="20"/>
                <w:color w:val="auto"/>
              </w:rPr>
            </w:pPr>
            <w:r>
              <w:rPr>
                <w:rFonts w:ascii="Arial" w:cs="Arial" w:eastAsia="Arial" w:hAnsi="Arial"/>
                <w:sz w:val="18"/>
                <w:szCs w:val="18"/>
                <w:color w:val="auto"/>
              </w:rPr>
              <w:t>8,376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103</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the section titled “Principal Stockholders.”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Series E redeemable convertible preferred stock are held in the Harris Trust Dated 3/10/2016.</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Amount shown includes $5,089,632 related to the cancellation of debt.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Amounts shown relate to the cancellation of debt.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Includes 8,376 shares of Series E redeemable convertible preferred stock held by The 2:22 DNA Trust.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Amount shown includes $103,493 related to the cancellation of debt.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Series E redeemable convertible preferred stock are held in The Aljuri Family Trust u/a/d 8-22-2012.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15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are party to an amended and restated investor rights agreement with certain holders of our redeemable convertible preferred stock and common stock, entities affiliated with certain of our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well as certain of our executive officers and directors. The amended and restated investor rights agreement grants rights to certain holders, including certain registration rights with respect to the registrable securities held by them, and also imposes certain affirmative obligations on us, including with respect to the furnishing of financial statements and information to the holders. See the section titled “Description of Capital Stock—Registration Rights” for additional information.</w:t>
      </w:r>
    </w:p>
    <w:p>
      <w:pPr>
        <w:spacing w:after="0" w:line="13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a result of this offering, most of the covenants and restrictions set forth in the amended and restated investor rights agreement that apply to us will terminate and we will remain obligated to comply with reporting requirements under the Exchange Act. The provisions relating registration rights included in the amended and restated investor rights agreement will not terminate as a result of this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are party to the Series F voting agreement with certain holders of our redeemable convertible preferred stock and common stock, entities affiliated with certain of our executive officers and directors, as well as certain of our executive officers and directors. Pursuant to the Series F voting agreement, these holders have agreed to vote in a certain way on certain matters, including with respect to the election of directors.</w:t>
      </w:r>
    </w:p>
    <w:p>
      <w:pPr>
        <w:spacing w:after="0" w:line="111" w:lineRule="exact"/>
        <w:rPr>
          <w:sz w:val="20"/>
          <w:szCs w:val="20"/>
          <w:color w:val="auto"/>
        </w:rPr>
      </w:pPr>
    </w:p>
    <w:p>
      <w:pPr>
        <w:jc w:val="both"/>
        <w:ind w:right="280" w:firstLine="324"/>
        <w:spacing w:after="0" w:line="342" w:lineRule="auto"/>
        <w:rPr>
          <w:sz w:val="20"/>
          <w:szCs w:val="20"/>
          <w:color w:val="auto"/>
        </w:rPr>
      </w:pPr>
      <w:r>
        <w:rPr>
          <w:rFonts w:ascii="Arial" w:cs="Arial" w:eastAsia="Arial" w:hAnsi="Arial"/>
          <w:sz w:val="16"/>
          <w:szCs w:val="16"/>
          <w:color w:val="auto"/>
        </w:rPr>
        <w:t>The Series F voting agreement will terminate by its terms in connection with the completion of this offering and none of our stockholders will have any continuing voting rights, including special rights regarding the election or designation of members of our board of directors, following this offering.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Right of First Refusal and Co-Sale Agreement</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party to an amended and restated first refusal and co-sale agreement with certain holders of our redeemable convertible preferred stock and common stock, entities affiliated with certain of our executive officers and directors, as well as certain of our executive officers and directors, pursuant to which we have a right of first refusal and holders of our common stock that are party to the amended and restated first refusal and co-sale agreement have a right of first refusal and a co-sale right.</w:t>
      </w:r>
    </w:p>
    <w:p>
      <w:pPr>
        <w:spacing w:after="0" w:line="133" w:lineRule="exact"/>
        <w:rPr>
          <w:sz w:val="20"/>
          <w:szCs w:val="20"/>
          <w:color w:val="auto"/>
        </w:rPr>
      </w:pPr>
    </w:p>
    <w:p>
      <w:pPr>
        <w:ind w:right="1780" w:firstLine="324"/>
        <w:spacing w:after="0" w:line="438" w:lineRule="auto"/>
        <w:rPr>
          <w:sz w:val="20"/>
          <w:szCs w:val="20"/>
          <w:color w:val="auto"/>
        </w:rPr>
      </w:pPr>
      <w:r>
        <w:rPr>
          <w:rFonts w:ascii="Arial" w:cs="Arial" w:eastAsia="Arial" w:hAnsi="Arial"/>
          <w:sz w:val="18"/>
          <w:szCs w:val="18"/>
          <w:color w:val="auto"/>
        </w:rPr>
        <w:t xml:space="preserve">The amended and restated first refusal and co-sale agreement will terminate in connection with the completion of this offering. </w:t>
      </w:r>
      <w:r>
        <w:rPr>
          <w:rFonts w:ascii="Arial" w:cs="Arial" w:eastAsia="Arial" w:hAnsi="Arial"/>
          <w:sz w:val="18"/>
          <w:szCs w:val="18"/>
          <w:b w:val="1"/>
          <w:bCs w:val="1"/>
          <w:color w:val="auto"/>
        </w:rPr>
        <w:t>License Agreement with AquaBeam LLC</w:t>
      </w:r>
    </w:p>
    <w:p>
      <w:pPr>
        <w:spacing w:after="0" w:line="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September 2019, we entered into the AquaBeam License Agreement, with AquaBeam, which is affiliated with Rodney Perkins, one of our co-founders and a member of our board of directors who will resign from the board effective immediately upon effectiveness of the registration statement of which this prospectus is a part. Pursuant to the AquaBeam License Agreement, AquaBeam grants us a worldwide, exclusive (even as to AquaBeam), sublicensable, royalty-free license under the AquaBeam patents and to all other patent rights owned by AquaBeam, which are filed on or before the earlier of October 28, 2021 and the date on which we are acquired by a third party, that claim certain technology related to delivering energy to tissues by directing a liquid fluid stream, or together with AquaBeam Patents, Licensed Patents, in the field of urology, or Field. Pursuant to the AquaBeam License Agreement, and subject to the terms therein, we grant AquaBeam a worldwide, exclusive (even as to us), sublicensable, royalty-free license under certain of our patents rights, which are filed on or before the earlier of October 28, 2021 and the date on which AquaBeam is acquired by a third party, that claim certain technology related to delivering energy to tissues by directing a liquid fluid stream, or PROCEPT Patents, outside the Field. No upfront payments or milestone payments (except for patent prosecution and maintenance costs) have been made or are otherwise required under the AquaBeam License Agreement.</w:t>
      </w:r>
    </w:p>
    <w:p>
      <w:pPr>
        <w:spacing w:after="0" w:line="128"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If AquaBeam desires to grant a license under the Licensed Patents to any third party outside the Field on or before the earlier of October 28, 2021 or the date on which AquaBeam is acquired by a third party, we have the first right to negotiate such license grant pursuant to the terms of the AquaBeam License Agreement.</w:t>
      </w:r>
    </w:p>
    <w:p>
      <w:pPr>
        <w:spacing w:after="0" w:line="130"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AquaBeam has the first right to prosecute and maintain the Licensed Patents and we have the right to step-in if AquaBeam declines or fails to prosecute or maintain any of the Licensed Patents. We have the first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prosecute and maintain the PROCEPT Patents. We have the first right to enforce the Licensed Patents and the PROCEPT Patents if a third party infringes on any such patents in the Field, provided, if such third party infringes the Licensed Patents or the PROCEPT Patents both in and outside of the Field, or Cross-Field Infringement, and AquaBeam or any of its other licensees under the Licensed Patents or the PROCEPT Patents are developing or commercializing products that are covered by the infringed Licensed Patents or the PROCEPT Patents, then AquaBeam and we will discuss which party will control the enforcement action with respect to such Cross-Field Infringement.</w:t>
      </w:r>
    </w:p>
    <w:p>
      <w:pPr>
        <w:spacing w:after="0" w:line="134"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AquaBeam License Agreement will remain in full force and effect on a country-by-country basis until the last to expire of the Licensed Patents and the PROCEPT Patents in such country. The AquaBeam Agreement may be terminated by either party in the event of uncured material breach by the other party that remains uncured for 90 days (or 30 days for payment related breaches), or bankruptcy of the other party.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amended and restated bylaws, as will be in effect following this offering, provide that we will indemnify our directors and officers to the fullest extent permitted by the DGCL, subject to certain exceptions contained in our amended and restated bylaws. In addition, our amended and restated certificate of incorporation, as will be in effect following this offering, will provide that our directors will not be liable for monetary damages for breach of fiduciary duty.</w:t>
      </w:r>
    </w:p>
    <w:p>
      <w:pPr>
        <w:spacing w:after="0" w:line="13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Prior to the closing of this offering, we will enter into indemnification agreements with each of our executive officers and directors. The indemnification agreements will provide the indemnitees with contractual rights to indemnification, and expense advancement and reimbursement, to the fullest extent permitted under the DGCL, subject to certain exceptions contained in those agreements.</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for which indemnification is being sought, and we are not aware of any pending litigation that may result in claims for indemnification by any director or executive officer.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 Program</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At our request, an affiliate of BofA Securities, Inc., a participating underwriter, has reserved for sale, at the initial public offering price, up to 5.0% of the shares offered by this prospectus for sale to some of our directors, officers, employees, distributors, dealers, business associates and related persons. See “Underwriting—Reserved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Policy Regarding Related Party Transactions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board of directors recognizes the fact that transactions with related persons present a heightened risk of conflicts of interests or improper valuation (or the perception thereof). In connection with this offering, our board of directors intends to adopt a written policy on transactions with related persons that is in conformity with the requirements for issuers having publicly held common stock that is listed on the Nasdaq Global Market. Under such policy:</w:t>
      </w:r>
    </w:p>
    <w:p>
      <w:pPr>
        <w:spacing w:after="0" w:line="95" w:lineRule="exact"/>
        <w:rPr>
          <w:sz w:val="20"/>
          <w:szCs w:val="20"/>
          <w:color w:val="auto"/>
        </w:rPr>
      </w:pPr>
    </w:p>
    <w:p>
      <w:pPr>
        <w:ind w:left="660" w:right="14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related person transaction, and any material amendment or modification to a related person transaction, must be reviewed and approved or ratified by a committee of the board of directors composed solely of independent directors who are disinterested or by the disinterested members of the board of directors; and</w:t>
      </w:r>
    </w:p>
    <w:p>
      <w:pPr>
        <w:spacing w:after="0" w:line="129" w:lineRule="exact"/>
        <w:rPr>
          <w:rFonts w:ascii="Arial" w:cs="Arial" w:eastAsia="Arial" w:hAnsi="Arial"/>
          <w:sz w:val="18"/>
          <w:szCs w:val="18"/>
          <w:color w:val="auto"/>
        </w:rPr>
      </w:pPr>
    </w:p>
    <w:p>
      <w:pPr>
        <w:ind w:left="660" w:right="180" w:hanging="328"/>
        <w:spacing w:after="0" w:line="342" w:lineRule="auto"/>
        <w:tabs>
          <w:tab w:leader="none" w:pos="65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employment relationship or transaction involving an executive officer and any related compensation must be approved by the compensation committee of the board of directors or recommended by the compensation committee to the board of directors for its approval.</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review and approval or ratification of a related person transaction:</w:t>
      </w:r>
    </w:p>
    <w:p>
      <w:pPr>
        <w:spacing w:after="0" w:line="171" w:lineRule="exact"/>
        <w:rPr>
          <w:sz w:val="20"/>
          <w:szCs w:val="20"/>
          <w:color w:val="auto"/>
        </w:rPr>
      </w:pPr>
    </w:p>
    <w:p>
      <w:pPr>
        <w:ind w:left="660" w:right="32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management must disclose to the committee or disinterested directors, as applicable, the name of the related person and the basis on which the person is a related person, the material terms of the related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44"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transaction, including the approximate dollar value of the amount involved in the transaction and all the material facts as to the related person’s direct or indirect interest in, or relationship to, the related person transaction;</w:t>
      </w:r>
    </w:p>
    <w:p>
      <w:pPr>
        <w:spacing w:after="0" w:line="116" w:lineRule="exact"/>
        <w:rPr>
          <w:sz w:val="20"/>
          <w:szCs w:val="20"/>
          <w:color w:val="auto"/>
        </w:rPr>
      </w:pPr>
    </w:p>
    <w:p>
      <w:pPr>
        <w:ind w:left="660" w:right="20" w:hanging="328"/>
        <w:spacing w:after="0" w:line="342" w:lineRule="auto"/>
        <w:tabs>
          <w:tab w:leader="none" w:pos="65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management must advise the committee or disinterested directors, as applicable, as to whether the related person transaction complies with the terms of our agreements governing our material outstanding indebtedness that limit or restrict our ability to enter into a related person transaction;</w:t>
      </w:r>
    </w:p>
    <w:p>
      <w:pPr>
        <w:spacing w:after="0" w:line="69" w:lineRule="exact"/>
        <w:rPr>
          <w:rFonts w:ascii="Arial" w:cs="Arial" w:eastAsia="Arial" w:hAnsi="Arial"/>
          <w:sz w:val="16"/>
          <w:szCs w:val="16"/>
          <w:color w:val="auto"/>
        </w:rPr>
      </w:pPr>
    </w:p>
    <w:p>
      <w:pPr>
        <w:ind w:left="660" w:hanging="328"/>
        <w:spacing w:after="0" w:line="311" w:lineRule="auto"/>
        <w:tabs>
          <w:tab w:leader="none" w:pos="65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management must advise the committee or disinterested directors, as applicable, as to whether the related person transaction will be required to be disclosed in our applicable filings under the Securities Act or the Exchange Act, and related rules, and, to the extent required to be disclosed, management must ensure that the related person transaction is disclosed in accordance with such Acts and related rules; and</w:t>
      </w:r>
    </w:p>
    <w:p>
      <w:pPr>
        <w:spacing w:after="0" w:line="94" w:lineRule="exact"/>
        <w:rPr>
          <w:rFonts w:ascii="Arial" w:cs="Arial" w:eastAsia="Arial" w:hAnsi="Arial"/>
          <w:sz w:val="16"/>
          <w:szCs w:val="16"/>
          <w:color w:val="auto"/>
        </w:rPr>
      </w:pPr>
    </w:p>
    <w:p>
      <w:pPr>
        <w:ind w:left="660" w:right="64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management must advise the committee or disinterested directors, as applicable, as to whether the related person transaction constitutes a “personal loan” for purposes of Section 402 of the Sarbanes-Oxley Act.</w:t>
      </w:r>
    </w:p>
    <w:p>
      <w:pPr>
        <w:spacing w:after="0" w:line="11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the related person transaction policy will provide that the committee or disinterested directors, as applicable, in connection with any approval or ratification of a related person transaction involving a non-employee director or director nominee, should consider whether such transaction would compromise the director or director nominee’s status as an “independent,” or “outside” director, as applicable, under the rules and regulations of the SEC, the Nasdaq listing standards and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80"/>
          </w:cols>
          <w:pgMar w:left="320" w:top="1440" w:right="399" w:bottom="1440" w:gutter="0" w:footer="0" w:header="0"/>
        </w:sectPr>
      </w:pPr>
    </w:p>
    <w:bookmarkStart w:id="171" w:name="page172"/>
    <w:bookmarkEnd w:id="17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following descriptions of our capital stock and provisions of our amended and restated certificate of incorporation and our amended and restated bylaws are summaries and are qualified by reference to the amended and restated certificate of incorporation and the amended and restated bylaws, which are filed as exhibits to the registration statement of which this prospectus forms a part.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the closing of this offering, our authorized capital stock will consist of 310,000,000 shares, all with a par value of $0.00001 per share, of which:</w:t>
      </w:r>
    </w:p>
    <w:p>
      <w:pPr>
        <w:spacing w:after="0" w:line="194"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300,000,000 shares are designated as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immediately prior to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amended and restated investor rights agreement grants the parties thereto certain registration rights in respect of the “registrable securities” held by them, which securities include (i) the shares of our common stock issued upon the automatic conversion of shares of our redeemable convertible preferred stock and warrants (ii) the common stock held by the founders and affiliates of the founders, (iii) any common stock of the company (issued or issuable upon the conversion or exercise of any warrant, right or other security which is issued as) a dividend 0r other distribution with respect to, or in exchange for or in replacement of, such above described securities. Notwithstanding the foregoing, registrable securities does not include any securities (a) sold by a person to the public either pursuant to a registration statement or Rule 144 or (b) sold in a private transaction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transferor’s rights are not assigned. The registration of shares of our common stock pursuant to the exercise of these registration rights would enable the holders thereof to sell such shares without restriction under the Securities Act when the applicable registration statement is declared effective. Under the amended and restated investor rights agreement, we will pay expenses relating to such registrations and the holders will pay all underwriting discounts and commissions relating to the sale of their shares. The amended and restated investor rights agreement also includes customary indemnification and procedural terms.</w:t>
      </w:r>
    </w:p>
    <w:p>
      <w:pPr>
        <w:spacing w:after="0" w:line="13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Holders of our outstanding shares of common and preferred stock, which represents approximately 93.9% of our outstanding shares before the offering, are entitled to registration rights pursuant to the amended and restated investor rights agreement. These registration rights will expire on the third anniversary of this offering or, with respect to each stockholder following the completion of this offering, at such time as such stockholder holds one percent or less of our outstanding common stock and all of such stockholder’s registrable securities can be sold in any ninety day period without registration pursuant to Rule 144 of the Securities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amended and restated investor rights agreement provides that, at any time beginning on the 180th day after the closing of this offering, holders of not less than twenty five percent of the registrable securities then outstanding may, on not more than two occasions, request that we prepare, file and maintain a registration statement to register their registrable securities if the aggregate offering price to the public would exceed $7.5 million. Following such a request, we will as soon as practicable, but in any event no more than 100 days, use our best efforts to effect such registration. Once we are eligible to use a registration statement on Form S-3, the stockholders party to the amended and restated investor rights agreement may request that we prepare, file and maintain a registration statement on Form S-3 covering the sale of their registrable securities, but only if the anticipated offering price would exceed $3.0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event that we propose to register any of our securities under the Securities Act, either for our own account or for the account of other security holders, the stockholders party to the amended and restated investor rights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(i) a registration relating solely to the employee benefits plans, (ii) a registration relating to the offer and sale of debt securities or (iii) a registration relating to a corporate reorganization transaction related to the issuance or resale of securities in such a transaction, the stockholders party to the amended and restated investor rights agreement will be entitled to notice of the registration and will have the right to include their registrable securities in the registration subject to certain limitations.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voting power of our shares of common stock outstanding will be able to elect all of our directors. Our amended and restated certificate of incorporation and amended and restated bylaws, which will be in effect upon the closing of this offering, will provide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3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amended and restated certificate of incorporation will further provide that, immediately after this offering, the affirmative vote of holders of at least sixty-six and two-thirds percent (66-2/3%) of the voting power of all of the then outstanding shares of voting stock, voting 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sixty-six and two-thirds percent (66-2/3%) of the voting power of all of the then outstanding shares of voting stock, voting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single class, will be required to amend or repeal our bylaws, although our bylaws may be amended by a simple majority vote of our board of directors.</w:t>
      </w:r>
    </w:p>
    <w:p>
      <w:pPr>
        <w:spacing w:after="0" w:line="183"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Our amended and restated certificate of incorporation will further provide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1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Finally, our amended and restated certificate of incorporation will provide that, unless we consent in writing to the selection of an alternative forum, to the fullest extent permitted by law,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 General Corporation Law or our amended and restated certificate of incorporation or amended and restated bylaws; or as to which the Delaware General Corporation Law of the State of Delaware confers jurisdiction to the Court of Chancery of the State of Delaware, or (iv) any action asserting a claim against us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will also provide that the federal district courts of the United States of America will be the exclusive forum for the resolution of any complaint asserting a cause of action against us or any of our directors, officers, employees or agents and arising under the Securities Act. Under the Securities Act, federal and state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 The enforceability of similar choice of forum provisions in other companies’ certificates of incorporation has been challenged in legal proceedings, and it is possible that, in connection with any action, a future court could find the choice of forum provisions contained in our amended and restated certificate of incorporation to be inapplicable or unenforceable in such action. These provisions may also result in increased costs for investors seeking to bring a claim against us or any of our directors, officers or other employees.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foregoing provisions will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3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rights. However, these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7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 on or after such date, the business combination is approved by our board of directors and authorized at an annual or special meeting of the stockholders, and not by written consent, by the affirmative vote of at least 66-2/3% of the outstanding voting stock that is not owned by the interested stockholder.</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71"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16"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amended and restated certificate of incorporation and amended and restated bylaws, which will become effective immediately prior to the closing of this offering, will provide that we will indemnify each of our directors and executive officers to the fullest extent permitted by the DGCL. We have entered into indemnification agreements with each of our directors and executive officers that may, in some cases, be broader than the specific indemnification provisions contained under Delaware law. Further, pursuant to our indemnification agreements and directors’ and officers’ liability insurance, our directors and executive officers are indemnified and insured against the cost of defense, settlement or payment of a judgment under certain circumstances. In addition, as permitted by Delaware law, our amended and restated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1440" w:right="439" w:bottom="1440" w:gutter="0" w:footer="0" w:header="0"/>
        </w:sectPr>
      </w:pPr>
    </w:p>
    <w:bookmarkStart w:id="175" w:name="page176"/>
    <w:bookmarkEnd w:id="17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Royall Street, Canton, Massachusetts 02021.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common stock on the Nasdaq Global Market under the symbol “PRCT.”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00"/>
          </w:cols>
          <w:pgMar w:left="320" w:top="1440" w:right="579" w:bottom="1440" w:gutter="0" w:footer="0" w:header="0"/>
        </w:sectPr>
      </w:pPr>
    </w:p>
    <w:bookmarkStart w:id="176" w:name="page177"/>
    <w:bookmarkEnd w:id="17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sale of a substantial amount of our common stock in the public market after this offering could adversely affect the prevailing market price of our common stock. Furthermore, over % of our common stock outstanding prior to the consummation of this offering will be subject to the contractual and legal restrictions on resale described below. The sale of a substantial amount of common stock in the public market after these restrictions lapse, or the expectation that such a sale may occur, could adversely affect the prevailing market price of our common stock and our ability to raise equity capital in the future.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consummation of this offering, based on shares outstanding as of June 30, 2021, we expect to have outstanding an aggregate of</w:t>
      </w:r>
    </w:p>
    <w:p>
      <w:pPr>
        <w:spacing w:after="0" w:line="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41,213,537 shares of our common stock, assuming no exercise of outstanding options and assuming that the underwriters have not exercised their option to purchase additional shares. All of the shares of common stock sold in this offering will be freely transferable without restriction or further registration under the Securities Act by persons other than “affiliates,” as that term is defined in Rule 144 under the Securities Act. Generally, the balance of our outstanding shares of common stock are “restricted securities” within the meaning of Rule 144 under the Securities Act, and the sale of those shares will be subject to the limitations and restrictions that are described below. Shares of our common stock that are not restricted securities and are purchased by our affiliates will be “control securities” under Rule 144. Restricted securities may be sold in the public market only if registered under the Securities Act or if they qualify for an exemption from registration under Rule 144 or Rule 701 under the Securities Act. These rules are summarized below. Control securities may be sold in the public market subject to the restrictions set forth in Rule 144, other than the holding period requirement.</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Upon the expiration of the lock-up agreements described below, 180 days after the date of this prospectus, and subject to the provisions of Rule 144, an additional 35,641,832 shares will be available for sale in the public market. The sale of these restricted securities is subject, in the case of shares held by affiliates, to the volume restrictions contained in Rule 144.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connection with this offering, we and our executive officers and directors and substantially all of our existing security holders have agreed with the underwriters not to, among other things and subject to certain exceptions, sell or transfer any common stock or securities convertible into, exchangeable for, exercisable for, or repayable with common stock, for 180 days after the date of this prospectus without first obtaining the written consent of BofA Securities, Inc. and Goldman Sachs &amp; Co. LLC, subject to certain limited exceptions. 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In general, under Rule 144 as in effect on the date of this prospectus, beginning 90 days after the consummation of this offering, a person who is an affiliate, and who has beneficially owned our common stock for at least six months, is entitled to sell in any three-month period a number of shares that does not exceed the greater of:</w:t>
      </w:r>
    </w:p>
    <w:p>
      <w:pPr>
        <w:spacing w:after="0" w:line="130" w:lineRule="exact"/>
        <w:rPr>
          <w:sz w:val="20"/>
          <w:szCs w:val="20"/>
          <w:color w:val="auto"/>
        </w:rPr>
      </w:pPr>
    </w:p>
    <w:p>
      <w:pPr>
        <w:ind w:left="660" w:right="96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412,135 shares immediately after consummation of this offering; or</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filing of a notice on Form 144 with respect to that sale.</w:t>
      </w:r>
    </w:p>
    <w:p>
      <w:pPr>
        <w:spacing w:after="0" w:line="116"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13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Under Rule 144, a person who is not deemed to have been an affiliate of ours at any time during the 90 days preceding a sale, and who has beneficially owned the shares proposed to be sold for at least six months,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common stock, other than pursuant to Rule 144 or a registration statement, the purchaser’s holding period for the purpose of effecting a sale under Rule 144 commences on the date of transfer from the affiliate.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general, under Rule 701 as in effect on the date of this prospectus, any of our employees, directors, officers, consultants or advisors who purchased shares from us in reliance on Rule 701 in connection with a compensatory stock or option plan or other written agreement before the effective date of this offering, or who purchased shares from us after that date upon the exercise of options granted before that date, are eligible to resell such shares 90 days after the effective date of this offering in reliance upon Rule 144. If such person is not an affiliate, such sale may be made subject only to the manner of sale provisions of Rule 144. If such a person is an affiliate, such sale may be made under Rule 144 without compliance with the holding period requirement, but subject to the other Rule 144 restrictions described above. However, substantially all Rule 701 shares are subject to lock-up agreements as described above and will become eligible for sale in compliance with Rule 144 only upon the expiration of the restrictions set forth in those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intend to file a registration statement or statements on Form S-8 under the Securities Act covering shares of common stock reserved for issuance under our 2021 Plan and ESPP and pursuant to all outstanding option grants made prior to this offering under the 2008 Plan. These registration statements are expected to be filed as soon as practicable after the closing date of this offering. Shares issued upon the exercise of stock options after the effective date of the applicable Form S-8 registration statement will be eligible for resale in the public market without restriction, subject to Rule 144 limitations applicable to affiliates and the lock-up agreements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Following this offering, some of our stockholders will, under some circumstances, have the right to require us to register their shares for future sale. See the section titled “Certain Relationships and Related Party Transactions—Amended and Restated Investor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2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17"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1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91"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80"/>
          </w:cols>
          <w:pgMar w:left="320" w:top="1440" w:right="399" w:bottom="1440" w:gutter="0" w:footer="0" w:header="0"/>
        </w:sectPr>
      </w:pPr>
    </w:p>
    <w:bookmarkStart w:id="179" w:name="page180"/>
    <w:bookmarkEnd w:id="179"/>
    <w:p>
      <w:pPr>
        <w:spacing w:after="0" w:line="140"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30"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ind w:left="660" w:right="100" w:hanging="328"/>
        <w:spacing w:after="0" w:line="342"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described in the section 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3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3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3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116" w:lineRule="exact"/>
        <w:rPr>
          <w:sz w:val="20"/>
          <w:szCs w:val="20"/>
          <w:color w:val="auto"/>
        </w:rPr>
      </w:pPr>
    </w:p>
    <w:p>
      <w:pPr>
        <w:ind w:left="660" w:right="240" w:hanging="328"/>
        <w:spacing w:after="0" w:line="342" w:lineRule="auto"/>
        <w:tabs>
          <w:tab w:leader="none" w:pos="65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9" w:lineRule="exact"/>
        <w:rPr>
          <w:rFonts w:ascii="Arial" w:cs="Arial" w:eastAsia="Arial" w:hAnsi="Arial"/>
          <w:sz w:val="16"/>
          <w:szCs w:val="16"/>
          <w:color w:val="auto"/>
        </w:rPr>
      </w:pPr>
    </w:p>
    <w:p>
      <w:pPr>
        <w:ind w:left="660" w:right="160" w:hanging="32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3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23" w:lineRule="exact"/>
        <w:rPr>
          <w:sz w:val="20"/>
          <w:szCs w:val="20"/>
          <w:color w:val="auto"/>
        </w:rPr>
      </w:pPr>
    </w:p>
    <w:p>
      <w:pPr>
        <w:ind w:right="860" w:firstLine="324"/>
        <w:spacing w:after="0" w:line="438" w:lineRule="auto"/>
        <w:rPr>
          <w:sz w:val="20"/>
          <w:szCs w:val="20"/>
          <w:color w:val="auto"/>
        </w:rPr>
      </w:pPr>
      <w:r>
        <w:rPr>
          <w:rFonts w:ascii="Arial" w:cs="Arial" w:eastAsia="Arial" w:hAnsi="Arial"/>
          <w:sz w:val="18"/>
          <w:szCs w:val="18"/>
          <w:color w:val="auto"/>
        </w:rPr>
        <w:t xml:space="preserve">Non-U.S. Holders should consult their tax advisors regarding potentially applicable income tax treaties that may provide for different rules. </w:t>
      </w:r>
      <w:r>
        <w:rPr>
          <w:rFonts w:ascii="Arial" w:cs="Arial" w:eastAsia="Arial" w:hAnsi="Arial"/>
          <w:sz w:val="18"/>
          <w:szCs w:val="18"/>
          <w:b w:val="1"/>
          <w:bCs w:val="1"/>
          <w:color w:val="auto"/>
        </w:rPr>
        <w:t>Information Reporting and Backup Withholding</w:t>
      </w:r>
    </w:p>
    <w:p>
      <w:pPr>
        <w:spacing w:after="0" w:line="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4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3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60"/>
          </w:cols>
          <w:pgMar w:left="320" w:top="1440" w:right="419" w:bottom="1440" w:gutter="0" w:footer="0" w:header="0"/>
        </w:sectPr>
      </w:pPr>
    </w:p>
    <w:bookmarkStart w:id="182" w:name="page183"/>
    <w:bookmarkEnd w:id="18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BofA Securities, Inc. and Goldman Sachs &amp; Co.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40" w:lineRule="exact"/>
        <w:rPr>
          <w:sz w:val="20"/>
          <w:szCs w:val="20"/>
          <w:color w:val="auto"/>
        </w:rPr>
      </w:pPr>
    </w:p>
    <w:p>
      <w:pPr>
        <w:ind w:left="4460"/>
        <w:spacing w:after="0"/>
        <w:tabs>
          <w:tab w:leader="none" w:pos="988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966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5,500,000</w:t>
            </w:r>
          </w:p>
        </w:tc>
      </w:tr>
      <w:tr>
        <w:trPr>
          <w:trHeight w:val="20"/>
        </w:trPr>
        <w:tc>
          <w:tcPr>
            <w:tcW w:w="9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1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16"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w:t>
      </w:r>
    </w:p>
    <w:p>
      <w:pPr>
        <w:spacing w:after="0" w:line="46"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cover page of this prospectus and to dealers at that price less a concession not in excess of $ per share. After the initial offering, the public offering price, concession or any other term of the offering may be changed.</w:t>
      </w:r>
    </w:p>
    <w:p>
      <w:pPr>
        <w:spacing w:after="0" w:line="13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88"/>
        </w:trPr>
        <w:tc>
          <w:tcPr>
            <w:tcW w:w="636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 Share</w:t>
            </w:r>
          </w:p>
        </w:tc>
        <w:tc>
          <w:tcPr>
            <w:tcW w:w="1360" w:type="dxa"/>
            <w:vAlign w:val="bottom"/>
          </w:tcPr>
          <w:p>
            <w:pPr>
              <w:jc w:val="center"/>
              <w:ind w:left="95"/>
              <w:spacing w:after="0"/>
              <w:rPr>
                <w:sz w:val="20"/>
                <w:szCs w:val="20"/>
                <w:color w:val="auto"/>
              </w:rPr>
            </w:pPr>
            <w:r>
              <w:rPr>
                <w:rFonts w:ascii="Arial" w:cs="Arial" w:eastAsia="Arial" w:hAnsi="Arial"/>
                <w:sz w:val="14"/>
                <w:szCs w:val="14"/>
                <w:b w:val="1"/>
                <w:bCs w:val="1"/>
                <w:color w:val="auto"/>
                <w:w w:val="96"/>
              </w:rPr>
              <w:t>Without Option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With Option</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ind w:left="11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360" w:type="dxa"/>
            <w:vAlign w:val="bottom"/>
          </w:tcPr>
          <w:p>
            <w:pPr>
              <w:jc w:val="center"/>
              <w:ind w:left="115"/>
              <w:spacing w:after="0"/>
              <w:rPr>
                <w:sz w:val="20"/>
                <w:szCs w:val="20"/>
                <w:color w:val="auto"/>
              </w:rPr>
            </w:pPr>
            <w:r>
              <w:rPr>
                <w:rFonts w:ascii="Arial" w:cs="Arial" w:eastAsia="Arial" w:hAnsi="Arial"/>
                <w:sz w:val="18"/>
                <w:szCs w:val="18"/>
                <w:color w:val="auto"/>
                <w:w w:val="79"/>
              </w:rPr>
              <w:t>$</w:t>
            </w:r>
          </w:p>
        </w:tc>
        <w:tc>
          <w:tcPr>
            <w:tcW w:w="1860" w:type="dxa"/>
            <w:vAlign w:val="bottom"/>
            <w:gridSpan w:val="3"/>
          </w:tcPr>
          <w:p>
            <w:pPr>
              <w:jc w:val="center"/>
              <w:ind w:left="216"/>
              <w:spacing w:after="0"/>
              <w:rPr>
                <w:sz w:val="20"/>
                <w:szCs w:val="20"/>
                <w:color w:val="auto"/>
              </w:rPr>
            </w:pPr>
            <w:r>
              <w:rPr>
                <w:rFonts w:ascii="Arial" w:cs="Arial" w:eastAsia="Arial" w:hAnsi="Arial"/>
                <w:sz w:val="18"/>
                <w:szCs w:val="18"/>
                <w:color w:val="auto"/>
                <w:w w:val="79"/>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79"/>
              </w:rPr>
              <w:t>$</w:t>
            </w:r>
          </w:p>
        </w:tc>
        <w:tc>
          <w:tcPr>
            <w:tcW w:w="1860" w:type="dxa"/>
            <w:vAlign w:val="bottom"/>
            <w:gridSpan w:val="3"/>
            <w:shd w:val="clear" w:color="auto" w:fill="CCEEFF"/>
          </w:tcPr>
          <w:p>
            <w:pPr>
              <w:jc w:val="center"/>
              <w:ind w:left="216"/>
              <w:spacing w:after="0"/>
              <w:rPr>
                <w:sz w:val="20"/>
                <w:szCs w:val="20"/>
                <w:color w:val="auto"/>
              </w:rPr>
            </w:pPr>
            <w:r>
              <w:rPr>
                <w:rFonts w:ascii="Arial" w:cs="Arial" w:eastAsia="Arial" w:hAnsi="Arial"/>
                <w:sz w:val="18"/>
                <w:szCs w:val="18"/>
                <w:color w:val="auto"/>
                <w:w w:val="79"/>
              </w:rPr>
              <w:t>$</w:t>
            </w:r>
          </w:p>
        </w:tc>
      </w:tr>
    </w:tbl>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expenses of the offering, not including the underwriting discounts and commissions, payable by us are estimated to be approximately $4.0 million. We have also agreed to reimburse the underwriters for certain of their expenses incurred in connection with, among others, the review and clearance by the Financial Industry Regulatory Authority, Inc. in an amount of up to $40,000.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825,000 additional shares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17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At our request, an affiliate of BofA Securities, Inc., a participating underwriter, has reserved for sale, at the initial public offering price, up to 5.0% of the shares offered by this prospectus for sale to some of our directors, officers, employees, distributors, dealers, business associates and related persons. If these persons purchase reserved shares, this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our executive officers and directors and substantially all of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and Goldman Sachs &amp; Co. LLC. Specifically, we and these other persons have agreed, with certain limited exceptions, not to directly or indirectly:</w:t>
      </w:r>
    </w:p>
    <w:p>
      <w:pPr>
        <w:spacing w:after="0" w:line="133"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common stock, or</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the shares of our common stock on the Nasdaq Global Market under the symbol “PRCT.”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80"/>
          </w:cols>
          <w:pgMar w:left="320" w:top="1440" w:right="399" w:bottom="1440" w:gutter="0" w:footer="0" w:header="0"/>
        </w:sectPr>
      </w:pPr>
    </w:p>
    <w:bookmarkStart w:id="184" w:name="page185"/>
    <w:bookmarkEnd w:id="18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130"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above factors in relation to market values and various valuation measures of other companies engaged in activities similar to ours.</w:t>
      </w:r>
    </w:p>
    <w:p>
      <w:pPr>
        <w:spacing w:after="0" w:line="18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16" w:lineRule="exact"/>
        <w:rPr>
          <w:sz w:val="20"/>
          <w:szCs w:val="20"/>
          <w:color w:val="auto"/>
        </w:rPr>
      </w:pPr>
    </w:p>
    <w:p>
      <w:pPr>
        <w:ind w:right="560" w:firstLine="324"/>
        <w:spacing w:after="0" w:line="438" w:lineRule="auto"/>
        <w:rPr>
          <w:sz w:val="20"/>
          <w:szCs w:val="20"/>
          <w:color w:val="auto"/>
        </w:rPr>
      </w:pPr>
      <w:r>
        <w:rPr>
          <w:rFonts w:ascii="Arial" w:cs="Arial" w:eastAsia="Arial" w:hAnsi="Arial"/>
          <w:sz w:val="18"/>
          <w:szCs w:val="18"/>
          <w:color w:val="auto"/>
        </w:rPr>
        <w:t xml:space="preserve">The underwriters do not expect to sell more than 5% of the shares in the aggregate to accounts over which they exercise discretionary authority. </w:t>
      </w:r>
      <w:r>
        <w:rPr>
          <w:rFonts w:ascii="Arial" w:cs="Arial" w:eastAsia="Arial" w:hAnsi="Arial"/>
          <w:sz w:val="18"/>
          <w:szCs w:val="18"/>
          <w:b w:val="1"/>
          <w:bCs w:val="1"/>
          <w:color w:val="auto"/>
        </w:rPr>
        <w:t>Price Stabilization, Short Positions and Penalty Bids</w:t>
      </w:r>
    </w:p>
    <w:p>
      <w:pPr>
        <w:spacing w:after="0" w:line="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2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4" w:lineRule="exact"/>
        <w:rPr>
          <w:sz w:val="20"/>
          <w:szCs w:val="20"/>
          <w:color w:val="auto"/>
        </w:rPr>
      </w:pPr>
    </w:p>
    <w:p>
      <w:pPr>
        <w:ind w:right="520" w:firstLine="324"/>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30"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75"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03"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30"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180</w:t>
      </w:r>
    </w:p>
    <w:p>
      <w:pPr>
        <w:sectPr>
          <w:pgSz w:w="11900" w:h="16838" w:orient="portrait"/>
          <w:cols w:equalWidth="0" w:num="1">
            <w:col w:w="11180"/>
          </w:cols>
          <w:pgMar w:left="320" w:top="1440" w:right="399" w:bottom="1440" w:gutter="0" w:footer="0" w:header="0"/>
        </w:sectPr>
      </w:pPr>
    </w:p>
    <w:bookmarkStart w:id="186" w:name="page187"/>
    <w:bookmarkEnd w:id="186"/>
    <w:p>
      <w:pPr>
        <w:spacing w:after="0" w:line="144" w:lineRule="exact"/>
        <w:rPr>
          <w:sz w:val="20"/>
          <w:szCs w:val="20"/>
          <w:color w:val="auto"/>
        </w:rPr>
      </w:pPr>
    </w:p>
    <w:p>
      <w:pPr>
        <w:ind w:left="660" w:right="180" w:hanging="328"/>
        <w:spacing w:after="0" w:line="277" w:lineRule="auto"/>
        <w:tabs>
          <w:tab w:leader="none" w:pos="65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75"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7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3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320" w:top="1440" w:right="379" w:bottom="1440" w:gutter="0" w:footer="0" w:header="0"/>
        </w:sectPr>
      </w:pPr>
    </w:p>
    <w:bookmarkStart w:id="187" w:name="page188"/>
    <w:bookmarkEnd w:id="187"/>
    <w:p>
      <w:pPr>
        <w:spacing w:after="0" w:line="14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7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71" w:lineRule="exact"/>
        <w:rPr>
          <w:sz w:val="20"/>
          <w:szCs w:val="20"/>
          <w:color w:val="auto"/>
        </w:rPr>
      </w:pPr>
    </w:p>
    <w:p>
      <w:pPr>
        <w:ind w:left="660" w:right="40" w:hanging="328"/>
        <w:spacing w:after="0" w:line="27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320" w:top="1440" w:right="379" w:bottom="1440" w:gutter="0" w:footer="0" w:header="0"/>
        </w:sectPr>
      </w:pPr>
    </w:p>
    <w:bookmarkStart w:id="188" w:name="page189"/>
    <w:bookmarkEnd w:id="188"/>
    <w:p>
      <w:pPr>
        <w:spacing w:after="0" w:line="144" w:lineRule="exact"/>
        <w:rPr>
          <w:sz w:val="20"/>
          <w:szCs w:val="20"/>
          <w:color w:val="auto"/>
        </w:rPr>
      </w:pPr>
    </w:p>
    <w:p>
      <w:pPr>
        <w:ind w:left="660" w:right="100" w:hanging="328"/>
        <w:spacing w:after="0" w:line="277"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0" w:lineRule="exact"/>
        <w:rPr>
          <w:sz w:val="20"/>
          <w:szCs w:val="20"/>
          <w:color w:val="auto"/>
        </w:rPr>
      </w:pPr>
    </w:p>
    <w:p>
      <w:pPr>
        <w:ind w:left="660" w:right="120" w:hanging="328"/>
        <w:spacing w:after="0" w:line="27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17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connection with Section 309B of the SFA and the Capital Markets Products, or CMP, Regulations 2018, the shares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Latham &amp; Watkins LLP. The validity of the shares of common stock offered hereby will be passed upon for the underwriters by Cooley LLP.</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financial statements as of December 31, 2020 and December 31, 2019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and its exhibits.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 A copy of the registration statement and its exhibits may be obtained from the SEC upon the payment of fees prescribed by it. The SEC maintains a website at www.sec.gov that contains reports, proxy and information statements and other information regarding companies that file electronically with it.</w:t>
      </w:r>
    </w:p>
    <w:p>
      <w:pPr>
        <w:spacing w:after="0" w:line="13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We are not currently subject to the informational requirements of the Exchange Act. Upon completion of this offering, we will become subject to the information and periodic and current reporting requirements of the Exchange Act, and in accordance therewith, will file periodic and current reports, proxy statements and other information with the SEC. The registration statement, such periodic and current reports and other information can be obtained electronically by means of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80"/>
          </w:cols>
          <w:pgMar w:left="320" w:top="1440" w:right="399" w:bottom="1440" w:gutter="0" w:footer="0" w:header="0"/>
        </w:sectPr>
      </w:pPr>
    </w:p>
    <w:bookmarkStart w:id="190" w:name="page191"/>
    <w:bookmarkEnd w:id="190"/>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4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PROCEPT BioRobotics Corporation</w:t>
            </w:r>
          </w:p>
        </w:tc>
        <w:tc>
          <w:tcPr>
            <w:tcW w:w="980" w:type="dxa"/>
            <w:vAlign w:val="bottom"/>
          </w:tcPr>
          <w:p>
            <w:pPr>
              <w:spacing w:after="0"/>
              <w:rPr>
                <w:sz w:val="20"/>
                <w:szCs w:val="20"/>
                <w:color w:val="auto"/>
              </w:rPr>
            </w:pPr>
          </w:p>
        </w:tc>
      </w:tr>
      <w:tr>
        <w:trPr>
          <w:trHeight w:val="378"/>
        </w:trPr>
        <w:tc>
          <w:tcPr>
            <w:tcW w:w="10240" w:type="dxa"/>
            <w:vAlign w:val="bottom"/>
          </w:tcPr>
          <w:p>
            <w:pPr>
              <w:jc w:val="center"/>
              <w:ind w:left="870"/>
              <w:spacing w:after="0"/>
              <w:rPr>
                <w:sz w:val="20"/>
                <w:szCs w:val="20"/>
                <w:color w:val="auto"/>
              </w:rPr>
            </w:pPr>
            <w:r>
              <w:rPr>
                <w:rFonts w:ascii="Arial" w:cs="Arial" w:eastAsia="Arial" w:hAnsi="Arial"/>
                <w:sz w:val="18"/>
                <w:szCs w:val="18"/>
                <w:b w:val="1"/>
                <w:bCs w:val="1"/>
                <w:color w:val="auto"/>
              </w:rPr>
              <w:t>INDEX TO CONSOLIDATED FINANCIAL STATEMENTS</w:t>
            </w:r>
          </w:p>
        </w:tc>
        <w:tc>
          <w:tcPr>
            <w:tcW w:w="980" w:type="dxa"/>
            <w:vAlign w:val="bottom"/>
          </w:tcPr>
          <w:p>
            <w:pPr>
              <w:spacing w:after="0"/>
              <w:rPr>
                <w:sz w:val="24"/>
                <w:szCs w:val="24"/>
                <w:color w:val="auto"/>
              </w:rPr>
            </w:pPr>
          </w:p>
        </w:tc>
      </w:tr>
      <w:tr>
        <w:trPr>
          <w:trHeight w:val="378"/>
        </w:trPr>
        <w:tc>
          <w:tcPr>
            <w:tcW w:w="1024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Years Ended December 31, 2019 and 2020, and</w:t>
            </w:r>
          </w:p>
        </w:tc>
        <w:tc>
          <w:tcPr>
            <w:tcW w:w="980" w:type="dxa"/>
            <w:vAlign w:val="bottom"/>
          </w:tcPr>
          <w:p>
            <w:pPr>
              <w:spacing w:after="0"/>
              <w:rPr>
                <w:sz w:val="24"/>
                <w:szCs w:val="24"/>
                <w:color w:val="auto"/>
              </w:rPr>
            </w:pPr>
          </w:p>
        </w:tc>
      </w:tr>
      <w:tr>
        <w:trPr>
          <w:trHeight w:val="378"/>
        </w:trPr>
        <w:tc>
          <w:tcPr>
            <w:tcW w:w="1024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Six Months Ended June 30, 2020 and 2021 (unaudited)</w:t>
            </w:r>
          </w:p>
        </w:tc>
        <w:tc>
          <w:tcPr>
            <w:tcW w:w="980" w:type="dxa"/>
            <w:vAlign w:val="bottom"/>
          </w:tcPr>
          <w:p>
            <w:pPr>
              <w:spacing w:after="0"/>
              <w:rPr>
                <w:sz w:val="24"/>
                <w:szCs w:val="24"/>
                <w:color w:val="auto"/>
              </w:rPr>
            </w:pPr>
          </w:p>
        </w:tc>
      </w:tr>
      <w:tr>
        <w:trPr>
          <w:trHeight w:val="418"/>
        </w:trPr>
        <w:tc>
          <w:tcPr>
            <w:tcW w:w="102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22"/>
        </w:trPr>
        <w:tc>
          <w:tcPr>
            <w:tcW w:w="10240" w:type="dxa"/>
            <w:vAlign w:val="bottom"/>
          </w:tcPr>
          <w:p>
            <w:pPr>
              <w:spacing w:after="0"/>
              <w:rPr>
                <w:rFonts w:ascii="Arial" w:cs="Arial" w:eastAsia="Arial" w:hAnsi="Arial"/>
                <w:sz w:val="18"/>
                <w:szCs w:val="18"/>
                <w:color w:val="auto"/>
              </w:rPr>
            </w:pPr>
            <w:hyperlink w:anchor="page191">
              <w:r>
                <w:rPr>
                  <w:rFonts w:ascii="Arial" w:cs="Arial" w:eastAsia="Arial" w:hAnsi="Arial"/>
                  <w:sz w:val="18"/>
                  <w:szCs w:val="18"/>
                  <w:color w:val="auto"/>
                </w:rPr>
                <w:t>Report of Independent Registered Public Accounting Firm</w:t>
              </w:r>
            </w:hyperlink>
          </w:p>
        </w:tc>
        <w:tc>
          <w:tcPr>
            <w:tcW w:w="980" w:type="dxa"/>
            <w:vAlign w:val="bottom"/>
          </w:tcPr>
          <w:p>
            <w:pPr>
              <w:jc w:val="center"/>
              <w:spacing w:after="0"/>
              <w:rPr>
                <w:rFonts w:ascii="Arial" w:cs="Arial" w:eastAsia="Arial" w:hAnsi="Arial"/>
                <w:sz w:val="18"/>
                <w:szCs w:val="18"/>
                <w:color w:val="auto"/>
                <w:w w:val="96"/>
              </w:rPr>
            </w:pPr>
            <w:hyperlink w:anchor="page191">
              <w:r>
                <w:rPr>
                  <w:rFonts w:ascii="Arial" w:cs="Arial" w:eastAsia="Arial" w:hAnsi="Arial"/>
                  <w:sz w:val="18"/>
                  <w:szCs w:val="18"/>
                  <w:color w:val="auto"/>
                  <w:w w:val="96"/>
                </w:rPr>
                <w:t>F-2</w:t>
              </w:r>
            </w:hyperlink>
          </w:p>
        </w:tc>
      </w:tr>
      <w:tr>
        <w:trPr>
          <w:trHeight w:val="230"/>
        </w:trPr>
        <w:tc>
          <w:tcPr>
            <w:tcW w:w="102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980" w:type="dxa"/>
            <w:vAlign w:val="bottom"/>
          </w:tcPr>
          <w:p>
            <w:pPr>
              <w:spacing w:after="0"/>
              <w:rPr>
                <w:sz w:val="19"/>
                <w:szCs w:val="19"/>
                <w:color w:val="auto"/>
              </w:rPr>
            </w:pPr>
          </w:p>
        </w:tc>
      </w:tr>
      <w:tr>
        <w:trPr>
          <w:trHeight w:val="229"/>
        </w:trPr>
        <w:tc>
          <w:tcPr>
            <w:tcW w:w="10240" w:type="dxa"/>
            <w:vAlign w:val="bottom"/>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92">
              <w:r>
                <w:rPr>
                  <w:rFonts w:ascii="Arial" w:cs="Arial" w:eastAsia="Arial" w:hAnsi="Arial"/>
                  <w:sz w:val="18"/>
                  <w:szCs w:val="18"/>
                  <w:color w:val="auto"/>
                </w:rPr>
                <w:t>Balance Sheets</w:t>
              </w:r>
            </w:hyperlink>
          </w:p>
        </w:tc>
        <w:tc>
          <w:tcPr>
            <w:tcW w:w="980" w:type="dxa"/>
            <w:vAlign w:val="bottom"/>
          </w:tcPr>
          <w:p>
            <w:pPr>
              <w:jc w:val="center"/>
              <w:spacing w:after="0"/>
              <w:rPr>
                <w:rFonts w:ascii="Arial" w:cs="Arial" w:eastAsia="Arial" w:hAnsi="Arial"/>
                <w:sz w:val="18"/>
                <w:szCs w:val="18"/>
                <w:color w:val="auto"/>
                <w:w w:val="96"/>
              </w:rPr>
            </w:pPr>
            <w:hyperlink w:anchor="page192">
              <w:r>
                <w:rPr>
                  <w:rFonts w:ascii="Arial" w:cs="Arial" w:eastAsia="Arial" w:hAnsi="Arial"/>
                  <w:sz w:val="18"/>
                  <w:szCs w:val="18"/>
                  <w:color w:val="auto"/>
                  <w:w w:val="96"/>
                </w:rPr>
                <w:t>F-3</w:t>
              </w:r>
            </w:hyperlink>
          </w:p>
        </w:tc>
      </w:tr>
      <w:tr>
        <w:trPr>
          <w:trHeight w:val="230"/>
        </w:trPr>
        <w:tc>
          <w:tcPr>
            <w:tcW w:w="10240" w:type="dxa"/>
            <w:vAlign w:val="bottom"/>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93">
              <w:r>
                <w:rPr>
                  <w:rFonts w:ascii="Arial" w:cs="Arial" w:eastAsia="Arial" w:hAnsi="Arial"/>
                  <w:sz w:val="18"/>
                  <w:szCs w:val="18"/>
                  <w:color w:val="auto"/>
                </w:rPr>
                <w:t>Statements of Operations and Comprehensive Loss</w:t>
              </w:r>
            </w:hyperlink>
          </w:p>
        </w:tc>
        <w:tc>
          <w:tcPr>
            <w:tcW w:w="980" w:type="dxa"/>
            <w:vAlign w:val="bottom"/>
          </w:tcPr>
          <w:p>
            <w:pPr>
              <w:jc w:val="center"/>
              <w:spacing w:after="0"/>
              <w:rPr>
                <w:rFonts w:ascii="Arial" w:cs="Arial" w:eastAsia="Arial" w:hAnsi="Arial"/>
                <w:sz w:val="18"/>
                <w:szCs w:val="18"/>
                <w:color w:val="auto"/>
                <w:w w:val="96"/>
              </w:rPr>
            </w:pPr>
            <w:hyperlink w:anchor="page193">
              <w:r>
                <w:rPr>
                  <w:rFonts w:ascii="Arial" w:cs="Arial" w:eastAsia="Arial" w:hAnsi="Arial"/>
                  <w:sz w:val="18"/>
                  <w:szCs w:val="18"/>
                  <w:color w:val="auto"/>
                  <w:w w:val="96"/>
                </w:rPr>
                <w:t>F-4</w:t>
              </w:r>
            </w:hyperlink>
          </w:p>
        </w:tc>
      </w:tr>
      <w:tr>
        <w:trPr>
          <w:trHeight w:val="229"/>
        </w:trPr>
        <w:tc>
          <w:tcPr>
            <w:tcW w:w="10240" w:type="dxa"/>
            <w:vAlign w:val="bottom"/>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94">
              <w:r>
                <w:rPr>
                  <w:rFonts w:ascii="Arial" w:cs="Arial" w:eastAsia="Arial" w:hAnsi="Arial"/>
                  <w:sz w:val="18"/>
                  <w:szCs w:val="18"/>
                  <w:color w:val="auto"/>
                </w:rPr>
                <w:t>Statements of Redeemable Convertible Preferred Stock and Stockholders’ Deficit</w:t>
              </w:r>
            </w:hyperlink>
          </w:p>
        </w:tc>
        <w:tc>
          <w:tcPr>
            <w:tcW w:w="980" w:type="dxa"/>
            <w:vAlign w:val="bottom"/>
          </w:tcPr>
          <w:p>
            <w:pPr>
              <w:jc w:val="center"/>
              <w:spacing w:after="0"/>
              <w:rPr>
                <w:rFonts w:ascii="Arial" w:cs="Arial" w:eastAsia="Arial" w:hAnsi="Arial"/>
                <w:sz w:val="18"/>
                <w:szCs w:val="18"/>
                <w:color w:val="auto"/>
                <w:w w:val="96"/>
              </w:rPr>
            </w:pPr>
            <w:hyperlink w:anchor="page194">
              <w:r>
                <w:rPr>
                  <w:rFonts w:ascii="Arial" w:cs="Arial" w:eastAsia="Arial" w:hAnsi="Arial"/>
                  <w:sz w:val="18"/>
                  <w:szCs w:val="18"/>
                  <w:color w:val="auto"/>
                  <w:w w:val="96"/>
                </w:rPr>
                <w:t>F-5</w:t>
              </w:r>
            </w:hyperlink>
          </w:p>
        </w:tc>
      </w:tr>
      <w:tr>
        <w:trPr>
          <w:trHeight w:val="229"/>
        </w:trPr>
        <w:tc>
          <w:tcPr>
            <w:tcW w:w="10240" w:type="dxa"/>
            <w:vAlign w:val="bottom"/>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96">
              <w:r>
                <w:rPr>
                  <w:rFonts w:ascii="Arial" w:cs="Arial" w:eastAsia="Arial" w:hAnsi="Arial"/>
                  <w:sz w:val="18"/>
                  <w:szCs w:val="18"/>
                  <w:color w:val="auto"/>
                </w:rPr>
                <w:t>Statements of Cash Flows</w:t>
              </w:r>
            </w:hyperlink>
          </w:p>
        </w:tc>
        <w:tc>
          <w:tcPr>
            <w:tcW w:w="980" w:type="dxa"/>
            <w:vAlign w:val="bottom"/>
          </w:tcPr>
          <w:p>
            <w:pPr>
              <w:jc w:val="center"/>
              <w:spacing w:after="0"/>
              <w:rPr>
                <w:rFonts w:ascii="Arial" w:cs="Arial" w:eastAsia="Arial" w:hAnsi="Arial"/>
                <w:sz w:val="18"/>
                <w:szCs w:val="18"/>
                <w:color w:val="auto"/>
                <w:w w:val="96"/>
              </w:rPr>
            </w:pPr>
            <w:hyperlink w:anchor="page196">
              <w:r>
                <w:rPr>
                  <w:rFonts w:ascii="Arial" w:cs="Arial" w:eastAsia="Arial" w:hAnsi="Arial"/>
                  <w:sz w:val="18"/>
                  <w:szCs w:val="18"/>
                  <w:color w:val="auto"/>
                  <w:w w:val="96"/>
                </w:rPr>
                <w:t>F-7</w:t>
              </w:r>
            </w:hyperlink>
          </w:p>
        </w:tc>
      </w:tr>
      <w:tr>
        <w:trPr>
          <w:trHeight w:val="230"/>
        </w:trPr>
        <w:tc>
          <w:tcPr>
            <w:tcW w:w="10240" w:type="dxa"/>
            <w:vAlign w:val="bottom"/>
          </w:tcPr>
          <w:p>
            <w:pPr>
              <w:spacing w:after="0"/>
              <w:rPr>
                <w:rFonts w:ascii="Arial" w:cs="Arial" w:eastAsia="Arial" w:hAnsi="Arial"/>
                <w:sz w:val="18"/>
                <w:szCs w:val="18"/>
                <w:color w:val="auto"/>
              </w:rPr>
            </w:pPr>
            <w:hyperlink w:anchor="page198">
              <w:r>
                <w:rPr>
                  <w:rFonts w:ascii="Arial" w:cs="Arial" w:eastAsia="Arial" w:hAnsi="Arial"/>
                  <w:sz w:val="18"/>
                  <w:szCs w:val="18"/>
                  <w:color w:val="auto"/>
                </w:rPr>
                <w:t>Notes to Consolidated Financial Statements</w:t>
              </w:r>
            </w:hyperlink>
          </w:p>
        </w:tc>
        <w:tc>
          <w:tcPr>
            <w:tcW w:w="980" w:type="dxa"/>
            <w:vAlign w:val="bottom"/>
          </w:tcPr>
          <w:p>
            <w:pPr>
              <w:jc w:val="center"/>
              <w:spacing w:after="0"/>
              <w:rPr>
                <w:rFonts w:ascii="Arial" w:cs="Arial" w:eastAsia="Arial" w:hAnsi="Arial"/>
                <w:sz w:val="18"/>
                <w:szCs w:val="18"/>
                <w:color w:val="auto"/>
                <w:w w:val="96"/>
              </w:rPr>
            </w:pPr>
            <w:hyperlink w:anchor="page198">
              <w:r>
                <w:rPr>
                  <w:rFonts w:ascii="Arial" w:cs="Arial" w:eastAsia="Arial" w:hAnsi="Arial"/>
                  <w:sz w:val="18"/>
                  <w:szCs w:val="18"/>
                  <w:color w:val="auto"/>
                  <w:w w:val="96"/>
                </w:rPr>
                <w:t>F-9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191" w:name="page192"/>
    <w:bookmarkEnd w:id="191"/>
    <w:p>
      <w:pPr>
        <w:spacing w:after="0" w:line="140" w:lineRule="exact"/>
        <w:rPr>
          <w:sz w:val="20"/>
          <w:szCs w:val="20"/>
          <w:color w:val="auto"/>
        </w:rPr>
      </w:pPr>
    </w:p>
    <w:p>
      <w:pPr>
        <w:ind w:right="3320" w:firstLine="3364"/>
        <w:spacing w:after="0" w:line="511"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Stockholders of PROCEPT BioRobotics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PROCEPT BioRobotics Corporation and its subsidiaries (the “Company”) as of December 31, 2020 and 2019,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3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June 25, 2021, except for the effects of the par value change discussed in Note 2 to the consolidated financial statements, as to which the date is August 18, 2021, and except for the effects of the reverse stock split discussed in Note 2 to the consolidated financial statements, as to which the date is September 8, 2021</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192" w:name="page193"/>
    <w:bookmarkEnd w:id="19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PROCEPT BioRobotics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right="209"/>
              <w:spacing w:after="0"/>
              <w:rPr>
                <w:sz w:val="20"/>
                <w:szCs w:val="20"/>
                <w:color w:val="auto"/>
              </w:rPr>
            </w:pPr>
            <w:r>
              <w:rPr>
                <w:rFonts w:ascii="Arial" w:cs="Arial" w:eastAsia="Arial" w:hAnsi="Arial"/>
                <w:sz w:val="13"/>
                <w:szCs w:val="13"/>
                <w:b w:val="1"/>
                <w:bCs w:val="1"/>
                <w:color w:val="auto"/>
                <w:w w:val="84"/>
              </w:rPr>
              <w:t>June 30,</w:t>
            </w:r>
          </w:p>
        </w:tc>
        <w:tc>
          <w:tcPr>
            <w:tcW w:w="0" w:type="dxa"/>
            <w:vAlign w:val="bottom"/>
          </w:tcPr>
          <w:p>
            <w:pPr>
              <w:spacing w:after="0"/>
              <w:rPr>
                <w:sz w:val="1"/>
                <w:szCs w:val="1"/>
                <w:color w:val="auto"/>
              </w:rPr>
            </w:pPr>
          </w:p>
        </w:tc>
      </w:tr>
      <w:tr>
        <w:trPr>
          <w:trHeight w:val="170"/>
        </w:trPr>
        <w:tc>
          <w:tcPr>
            <w:tcW w:w="63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09"/>
              <w:spacing w:after="0"/>
              <w:rPr>
                <w:sz w:val="20"/>
                <w:szCs w:val="20"/>
                <w:color w:val="auto"/>
              </w:rPr>
            </w:pPr>
            <w:r>
              <w:rPr>
                <w:rFonts w:ascii="Arial" w:cs="Arial" w:eastAsia="Arial" w:hAnsi="Arial"/>
                <w:sz w:val="13"/>
                <w:szCs w:val="13"/>
                <w:b w:val="1"/>
                <w:bCs w:val="1"/>
                <w:color w:val="auto"/>
                <w:w w:val="82"/>
              </w:rPr>
              <w:t>2021</w:t>
            </w:r>
          </w:p>
        </w:tc>
        <w:tc>
          <w:tcPr>
            <w:tcW w:w="0" w:type="dxa"/>
            <w:vAlign w:val="bottom"/>
          </w:tcPr>
          <w:p>
            <w:pPr>
              <w:spacing w:after="0"/>
              <w:rPr>
                <w:sz w:val="1"/>
                <w:szCs w:val="1"/>
                <w:color w:val="auto"/>
              </w:rPr>
            </w:pPr>
          </w:p>
        </w:tc>
      </w:tr>
      <w:tr>
        <w:trPr>
          <w:trHeight w:val="169"/>
        </w:trPr>
        <w:tc>
          <w:tcPr>
            <w:tcW w:w="6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209"/>
              <w:spacing w:after="0"/>
              <w:rPr>
                <w:sz w:val="20"/>
                <w:szCs w:val="20"/>
                <w:color w:val="auto"/>
              </w:rPr>
            </w:pPr>
            <w:r>
              <w:rPr>
                <w:rFonts w:ascii="Arial" w:cs="Arial" w:eastAsia="Arial" w:hAnsi="Arial"/>
                <w:sz w:val="13"/>
                <w:szCs w:val="13"/>
                <w:b w:val="1"/>
                <w:bCs w:val="1"/>
                <w:color w:val="auto"/>
                <w:w w:val="90"/>
              </w:rPr>
              <w:t>(unaudited)</w:t>
            </w: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94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42,021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159,224</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5,140</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Inventory</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10,012</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186"/>
        </w:trPr>
        <w:tc>
          <w:tcPr>
            <w:tcW w:w="6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110,256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176,514</w:t>
            </w: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6,456</w:t>
            </w: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9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4,042</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 asset, net</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9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208"/>
        </w:trPr>
        <w:tc>
          <w:tcPr>
            <w:tcW w:w="63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94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190,577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36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940" w:type="dxa"/>
            <w:vAlign w:val="bottom"/>
          </w:tcPr>
          <w:p>
            <w:pPr>
              <w:jc w:val="right"/>
              <w:ind w:right="79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3,347</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compensation</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Note payable – current portion</w:t>
            </w:r>
          </w:p>
        </w:tc>
        <w:tc>
          <w:tcPr>
            <w:tcW w:w="9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 current portion</w:t>
            </w:r>
          </w:p>
        </w:tc>
        <w:tc>
          <w:tcPr>
            <w:tcW w:w="9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Convertible preferred stock warrant liability</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79"/>
        </w:trPr>
        <w:tc>
          <w:tcPr>
            <w:tcW w:w="636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6,790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13,754</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Note payable – non-current portion</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49,490</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Operating lease – non-current portion</w:t>
            </w:r>
          </w:p>
        </w:tc>
        <w:tc>
          <w:tcPr>
            <w:tcW w:w="9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3,088</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 facility derivative liability</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Deferred rent – non-current portion</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non-current liabilities</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9"/>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liabilities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32,764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65,011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68,319</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9)</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Redeemable convertible preferred stock issuable in series, $0.00001 par value;</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36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w w:val="98"/>
              </w:rPr>
              <w:t>Authorized shares: 21,746, 26,984 and 31,432, at December 31, 2019 and 2020, and June 30, 2021</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(unaudited), respectively</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ind w:left="240"/>
              <w:spacing w:after="0" w:line="135" w:lineRule="exact"/>
              <w:rPr>
                <w:sz w:val="20"/>
                <w:szCs w:val="20"/>
                <w:color w:val="auto"/>
              </w:rPr>
            </w:pPr>
            <w:r>
              <w:rPr>
                <w:rFonts w:ascii="Arial" w:cs="Arial" w:eastAsia="Arial" w:hAnsi="Arial"/>
                <w:sz w:val="14"/>
                <w:szCs w:val="14"/>
                <w:color w:val="auto"/>
                <w:w w:val="92"/>
              </w:rPr>
              <w:t>Issued and outstanding shares: 20,998, 25,402 and 29,850 at December 31, 2019 and 2020, and June 30,</w:t>
            </w: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400"/>
              <w:spacing w:after="0"/>
              <w:rPr>
                <w:sz w:val="20"/>
                <w:szCs w:val="20"/>
                <w:color w:val="auto"/>
              </w:rPr>
            </w:pPr>
            <w:r>
              <w:rPr>
                <w:rFonts w:ascii="Arial" w:cs="Arial" w:eastAsia="Arial" w:hAnsi="Arial"/>
                <w:sz w:val="14"/>
                <w:szCs w:val="14"/>
                <w:color w:val="auto"/>
              </w:rPr>
              <w:t>2021 (unaudited), respectively</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36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w w:val="96"/>
              </w:rPr>
              <w:t>Aggregate liquidation preference: $174,994, $245,768 and $330,768 at December 31, 2019 and 2020,</w:t>
            </w:r>
          </w:p>
        </w:tc>
        <w:tc>
          <w:tcPr>
            <w:tcW w:w="9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173,068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243,854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328,564</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 June 30, 2021 (unaudited), respectively</w:t>
            </w:r>
          </w:p>
        </w:tc>
        <w:tc>
          <w:tcPr>
            <w:tcW w:w="9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Stockholders’ deficit:</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 $0.00001 par value;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ind w:left="460"/>
              <w:spacing w:after="0" w:line="135" w:lineRule="exact"/>
              <w:rPr>
                <w:sz w:val="20"/>
                <w:szCs w:val="20"/>
                <w:color w:val="auto"/>
              </w:rPr>
            </w:pPr>
            <w:r>
              <w:rPr>
                <w:rFonts w:ascii="Arial" w:cs="Arial" w:eastAsia="Arial" w:hAnsi="Arial"/>
                <w:sz w:val="14"/>
                <w:szCs w:val="14"/>
                <w:color w:val="auto"/>
                <w:w w:val="99"/>
              </w:rPr>
              <w:t>Authorized shares: 32,105, 40,000 and 47,240 at December 31, 2019 and 2020, June 30, 2021</w:t>
            </w: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620"/>
              <w:spacing w:after="0"/>
              <w:rPr>
                <w:sz w:val="20"/>
                <w:szCs w:val="20"/>
                <w:color w:val="auto"/>
              </w:rPr>
            </w:pPr>
            <w:r>
              <w:rPr>
                <w:rFonts w:ascii="Arial" w:cs="Arial" w:eastAsia="Arial" w:hAnsi="Arial"/>
                <w:sz w:val="14"/>
                <w:szCs w:val="14"/>
                <w:color w:val="auto"/>
              </w:rPr>
              <w:t>(unaudited), respectively</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360" w:type="dxa"/>
            <w:vAlign w:val="bottom"/>
            <w:shd w:val="clear" w:color="auto" w:fill="CCEEFF"/>
          </w:tcPr>
          <w:p>
            <w:pPr>
              <w:ind w:left="460"/>
              <w:spacing w:after="0" w:line="139" w:lineRule="exact"/>
              <w:rPr>
                <w:sz w:val="20"/>
                <w:szCs w:val="20"/>
                <w:color w:val="auto"/>
              </w:rPr>
            </w:pPr>
            <w:r>
              <w:rPr>
                <w:rFonts w:ascii="Arial" w:cs="Arial" w:eastAsia="Arial" w:hAnsi="Arial"/>
                <w:sz w:val="14"/>
                <w:szCs w:val="14"/>
                <w:color w:val="auto"/>
                <w:w w:val="91"/>
              </w:rPr>
              <w:t>Issued and outstanding shares: 2,290, 4,713 and 5,792 at December 31, 2019 and 2020, June 30, 2021</w:t>
            </w:r>
          </w:p>
        </w:tc>
        <w:tc>
          <w:tcPr>
            <w:tcW w:w="9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(unaudited), respectively</w:t>
            </w:r>
          </w:p>
        </w:tc>
        <w:tc>
          <w:tcPr>
            <w:tcW w:w="94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4,808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22,803</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deficit</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(148,649)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(201,668)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(229,070)</w:t>
            </w:r>
          </w:p>
        </w:tc>
        <w:tc>
          <w:tcPr>
            <w:tcW w:w="0" w:type="dxa"/>
            <w:vAlign w:val="bottom"/>
          </w:tcPr>
          <w:p>
            <w:pPr>
              <w:spacing w:after="0"/>
              <w:rPr>
                <w:sz w:val="1"/>
                <w:szCs w:val="1"/>
                <w:color w:val="auto"/>
              </w:rPr>
            </w:pPr>
          </w:p>
        </w:tc>
      </w:tr>
      <w:tr>
        <w:trPr>
          <w:trHeight w:val="183"/>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deficit</w:t>
            </w: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(143,837)</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(182,894)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(206,306)</w:t>
            </w:r>
          </w:p>
        </w:tc>
        <w:tc>
          <w:tcPr>
            <w:tcW w:w="0" w:type="dxa"/>
            <w:vAlign w:val="bottom"/>
          </w:tcPr>
          <w:p>
            <w:pPr>
              <w:spacing w:after="0"/>
              <w:rPr>
                <w:sz w:val="1"/>
                <w:szCs w:val="1"/>
                <w:color w:val="auto"/>
              </w:rPr>
            </w:pPr>
          </w:p>
        </w:tc>
      </w:tr>
      <w:tr>
        <w:trPr>
          <w:trHeight w:val="186"/>
        </w:trPr>
        <w:tc>
          <w:tcPr>
            <w:tcW w:w="6360" w:type="dxa"/>
            <w:vAlign w:val="bottom"/>
          </w:tcPr>
          <w:p>
            <w:pPr>
              <w:ind w:left="20"/>
              <w:spacing w:after="0"/>
              <w:rPr>
                <w:sz w:val="20"/>
                <w:szCs w:val="20"/>
                <w:color w:val="auto"/>
              </w:rPr>
            </w:pPr>
            <w:r>
              <w:rPr>
                <w:rFonts w:ascii="Arial" w:cs="Arial" w:eastAsia="Arial" w:hAnsi="Arial"/>
                <w:sz w:val="14"/>
                <w:szCs w:val="14"/>
                <w:color w:val="auto"/>
              </w:rPr>
              <w:t>Total liabilities, convertible redeemable preferred stock and stockholders’ deficit</w:t>
            </w:r>
          </w:p>
        </w:tc>
        <w:tc>
          <w:tcPr>
            <w:tcW w:w="940" w:type="dxa"/>
            <w:vAlign w:val="bottom"/>
            <w:tcBorders>
              <w:bottom w:val="single" w:sz="8" w:color="auto"/>
            </w:tcBorders>
          </w:tcPr>
          <w:p>
            <w:pPr>
              <w:jc w:val="right"/>
              <w:ind w:right="790"/>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61,995</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125,971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190,577</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PROCEPT BioRobotics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15,668</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31,646</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income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used to</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compute net loss per share attributable to</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shareholders, basic and diluted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gain on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(27,427)</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PROCEPT BioRobotics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22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Redeemable</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2220" w:type="dxa"/>
            <w:vAlign w:val="bottom"/>
            <w:tcBorders>
              <w:right w:val="single" w:sz="8" w:color="auto"/>
            </w:tcBorders>
            <w:gridSpan w:val="5"/>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Convertible</w:t>
            </w: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222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21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1860" w:type="dxa"/>
            <w:vAlign w:val="bottom"/>
            <w:gridSpan w:val="3"/>
            <w:vMerge w:val="restart"/>
          </w:tcPr>
          <w:p>
            <w:pPr>
              <w:jc w:val="right"/>
              <w:ind w:right="239"/>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2120" w:type="dxa"/>
            <w:vAlign w:val="bottom"/>
            <w:tcBorders>
              <w:bottom w:val="single" w:sz="8" w:color="auto"/>
            </w:tcBorders>
            <w:gridSpan w:val="4"/>
            <w:vMerge w:val="continue"/>
          </w:tcPr>
          <w:p>
            <w:pPr>
              <w:spacing w:after="0"/>
              <w:rPr>
                <w:sz w:val="9"/>
                <w:szCs w:val="9"/>
                <w:color w:val="auto"/>
              </w:rPr>
            </w:pPr>
          </w:p>
        </w:tc>
        <w:tc>
          <w:tcPr>
            <w:tcW w:w="1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24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1120" w:type="dxa"/>
            <w:vAlign w:val="bottom"/>
            <w:gridSpan w:val="2"/>
          </w:tcPr>
          <w:p>
            <w:pPr>
              <w:ind w:left="120"/>
              <w:spacing w:after="0" w:line="107" w:lineRule="exact"/>
              <w:rPr>
                <w:sz w:val="20"/>
                <w:szCs w:val="20"/>
                <w:color w:val="auto"/>
              </w:rPr>
            </w:pPr>
            <w:r>
              <w:rPr>
                <w:rFonts w:ascii="Arial" w:cs="Arial" w:eastAsia="Arial" w:hAnsi="Arial"/>
                <w:sz w:val="12"/>
                <w:szCs w:val="12"/>
                <w:b w:val="1"/>
                <w:bCs w:val="1"/>
                <w:color w:val="auto"/>
              </w:rPr>
              <w:t>Accumulated</w:t>
            </w:r>
          </w:p>
        </w:tc>
        <w:tc>
          <w:tcPr>
            <w:tcW w:w="10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Deficit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24"/>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Balance at December 31,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171,275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(106,674)</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(103,918)</w:t>
            </w:r>
          </w:p>
        </w:tc>
        <w:tc>
          <w:tcPr>
            <w:tcW w:w="0" w:type="dxa"/>
            <w:vAlign w:val="bottom"/>
          </w:tcPr>
          <w:p>
            <w:pPr>
              <w:spacing w:after="0"/>
              <w:rPr>
                <w:sz w:val="1"/>
                <w:szCs w:val="1"/>
                <w:color w:val="auto"/>
              </w:rPr>
            </w:pPr>
          </w:p>
        </w:tc>
      </w:tr>
      <w:tr>
        <w:trPr>
          <w:trHeight w:val="176"/>
        </w:trPr>
        <w:tc>
          <w:tcPr>
            <w:tcW w:w="2380" w:type="dxa"/>
            <w:vAlign w:val="bottom"/>
          </w:tcPr>
          <w:p>
            <w:pPr>
              <w:ind w:left="240"/>
              <w:spacing w:after="0" w:line="176" w:lineRule="exact"/>
              <w:rPr>
                <w:sz w:val="20"/>
                <w:szCs w:val="20"/>
                <w:color w:val="auto"/>
              </w:rPr>
            </w:pPr>
            <w:r>
              <w:rPr>
                <w:rFonts w:ascii="Arial" w:cs="Arial" w:eastAsia="Arial" w:hAnsi="Arial"/>
                <w:sz w:val="18"/>
                <w:szCs w:val="18"/>
                <w:color w:val="auto"/>
              </w:rPr>
              <w:t>Issuance upon exercise of</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5"/>
                <w:szCs w:val="15"/>
                <w:color w:val="auto"/>
              </w:rPr>
            </w:pPr>
          </w:p>
        </w:tc>
        <w:tc>
          <w:tcPr>
            <w:tcW w:w="480" w:type="dxa"/>
            <w:vAlign w:val="bottom"/>
            <w:gridSpan w:val="3"/>
            <w:vMerge w:val="restart"/>
          </w:tcPr>
          <w:p>
            <w:pPr>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tcPr>
          <w:p>
            <w:pPr>
              <w:ind w:left="400"/>
              <w:spacing w:after="0"/>
              <w:rPr>
                <w:sz w:val="20"/>
                <w:szCs w:val="20"/>
                <w:color w:val="auto"/>
              </w:rPr>
            </w:pPr>
            <w:r>
              <w:rPr>
                <w:rFonts w:ascii="Arial" w:cs="Arial" w:eastAsia="Arial" w:hAnsi="Arial"/>
                <w:sz w:val="18"/>
                <w:szCs w:val="18"/>
                <w:color w:val="auto"/>
              </w:rPr>
              <w:t>warrants</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Issuance upon exercise of</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1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40"/>
              <w:spacing w:after="0" w:line="176" w:lineRule="exact"/>
              <w:rPr>
                <w:sz w:val="20"/>
                <w:szCs w:val="20"/>
                <w:color w:val="auto"/>
              </w:rPr>
            </w:pPr>
            <w:r>
              <w:rPr>
                <w:rFonts w:ascii="Arial" w:cs="Arial" w:eastAsia="Arial" w:hAnsi="Arial"/>
                <w:sz w:val="18"/>
                <w:szCs w:val="18"/>
                <w:color w:val="auto"/>
                <w:w w:val="97"/>
              </w:rPr>
              <w:t>Stock-based compensation</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5"/>
                <w:szCs w:val="15"/>
                <w:color w:val="auto"/>
              </w:rPr>
            </w:pPr>
          </w:p>
        </w:tc>
        <w:tc>
          <w:tcPr>
            <w:tcW w:w="480" w:type="dxa"/>
            <w:vAlign w:val="bottom"/>
            <w:gridSpan w:val="3"/>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9"/>
        </w:trPr>
        <w:tc>
          <w:tcPr>
            <w:tcW w:w="2380" w:type="dxa"/>
            <w:vAlign w:val="bottom"/>
          </w:tcPr>
          <w:p>
            <w:pPr>
              <w:ind w:left="400"/>
              <w:spacing w:after="0"/>
              <w:rPr>
                <w:sz w:val="20"/>
                <w:szCs w:val="20"/>
                <w:color w:val="auto"/>
              </w:rPr>
            </w:pPr>
            <w:r>
              <w:rPr>
                <w:rFonts w:ascii="Arial" w:cs="Arial" w:eastAsia="Arial" w:hAnsi="Arial"/>
                <w:sz w:val="18"/>
                <w:szCs w:val="18"/>
                <w:color w:val="auto"/>
              </w:rPr>
              <w:t>expense</w:t>
            </w: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Unrealized loss on cash</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equivalents</w:t>
            </w:r>
          </w:p>
        </w:tc>
        <w:tc>
          <w:tcPr>
            <w:tcW w:w="11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(41,975)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(41,975)</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Balance at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173,068</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(148,649)</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(143,837)</w:t>
            </w:r>
          </w:p>
        </w:tc>
        <w:tc>
          <w:tcPr>
            <w:tcW w:w="0" w:type="dxa"/>
            <w:vAlign w:val="bottom"/>
          </w:tcPr>
          <w:p>
            <w:pPr>
              <w:spacing w:after="0"/>
              <w:rPr>
                <w:sz w:val="1"/>
                <w:szCs w:val="1"/>
                <w:color w:val="auto"/>
              </w:rPr>
            </w:pPr>
          </w:p>
        </w:tc>
      </w:tr>
      <w:tr>
        <w:trPr>
          <w:trHeight w:val="175"/>
        </w:trPr>
        <w:tc>
          <w:tcPr>
            <w:tcW w:w="2380" w:type="dxa"/>
            <w:vAlign w:val="bottom"/>
          </w:tcPr>
          <w:p>
            <w:pPr>
              <w:ind w:left="240"/>
              <w:spacing w:after="0" w:line="176" w:lineRule="exact"/>
              <w:rPr>
                <w:sz w:val="20"/>
                <w:szCs w:val="20"/>
                <w:color w:val="auto"/>
              </w:rPr>
            </w:pPr>
            <w:r>
              <w:rPr>
                <w:rFonts w:ascii="Arial" w:cs="Arial" w:eastAsia="Arial" w:hAnsi="Arial"/>
                <w:sz w:val="18"/>
                <w:szCs w:val="18"/>
                <w:color w:val="auto"/>
              </w:rPr>
              <w:t>Conversion of redeemable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400"/>
              <w:spacing w:after="0" w:line="176" w:lineRule="exact"/>
              <w:rPr>
                <w:sz w:val="20"/>
                <w:szCs w:val="20"/>
                <w:color w:val="auto"/>
              </w:rPr>
            </w:pPr>
            <w:r>
              <w:rPr>
                <w:rFonts w:ascii="Arial" w:cs="Arial" w:eastAsia="Arial" w:hAnsi="Arial"/>
                <w:sz w:val="18"/>
                <w:szCs w:val="18"/>
                <w:color w:val="auto"/>
                <w:w w:val="92"/>
              </w:rPr>
              <w:t>convertible preferred stock</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(9,520)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gridSpan w:val="3"/>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29"/>
        </w:trPr>
        <w:tc>
          <w:tcPr>
            <w:tcW w:w="2380" w:type="dxa"/>
            <w:vAlign w:val="bottom"/>
          </w:tcPr>
          <w:p>
            <w:pPr>
              <w:ind w:left="400"/>
              <w:spacing w:after="0"/>
              <w:rPr>
                <w:sz w:val="20"/>
                <w:szCs w:val="20"/>
                <w:color w:val="auto"/>
              </w:rPr>
            </w:pPr>
            <w:r>
              <w:rPr>
                <w:rFonts w:ascii="Arial" w:cs="Arial" w:eastAsia="Arial" w:hAnsi="Arial"/>
                <w:sz w:val="18"/>
                <w:szCs w:val="18"/>
                <w:color w:val="auto"/>
              </w:rPr>
              <w:t>to common stock</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Issuance upon exercise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40"/>
              <w:spacing w:after="0" w:line="176" w:lineRule="exact"/>
              <w:rPr>
                <w:sz w:val="20"/>
                <w:szCs w:val="20"/>
                <w:color w:val="auto"/>
              </w:rPr>
            </w:pPr>
            <w:r>
              <w:rPr>
                <w:rFonts w:ascii="Arial" w:cs="Arial" w:eastAsia="Arial" w:hAnsi="Arial"/>
                <w:sz w:val="18"/>
                <w:szCs w:val="18"/>
                <w:color w:val="auto"/>
              </w:rPr>
              <w:t>Issuance of redeemable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400"/>
              <w:spacing w:after="0" w:line="176" w:lineRule="exact"/>
              <w:rPr>
                <w:sz w:val="20"/>
                <w:szCs w:val="20"/>
                <w:color w:val="auto"/>
              </w:rPr>
            </w:pPr>
            <w:r>
              <w:rPr>
                <w:rFonts w:ascii="Arial" w:cs="Arial" w:eastAsia="Arial" w:hAnsi="Arial"/>
                <w:sz w:val="18"/>
                <w:szCs w:val="18"/>
                <w:color w:val="auto"/>
              </w:rPr>
              <w:t>convertible preferred</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5,227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76,488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5"/>
                <w:szCs w:val="15"/>
                <w:color w:val="auto"/>
              </w:rPr>
            </w:pPr>
          </w:p>
        </w:tc>
        <w:tc>
          <w:tcPr>
            <w:tcW w:w="480" w:type="dxa"/>
            <w:vAlign w:val="bottom"/>
            <w:gridSpan w:val="3"/>
            <w:vMerge w:val="restart"/>
          </w:tcPr>
          <w:p>
            <w:pPr>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tcPr>
          <w:p>
            <w:pPr>
              <w:ind w:left="400"/>
              <w:spacing w:after="0"/>
              <w:rPr>
                <w:sz w:val="20"/>
                <w:szCs w:val="20"/>
                <w:color w:val="auto"/>
              </w:rPr>
            </w:pPr>
            <w:r>
              <w:rPr>
                <w:rFonts w:ascii="Arial" w:cs="Arial" w:eastAsia="Arial" w:hAnsi="Arial"/>
                <w:sz w:val="18"/>
                <w:szCs w:val="18"/>
                <w:color w:val="auto"/>
                <w:w w:val="89"/>
              </w:rPr>
              <w:t>stock, net of issuance costs</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Issuance upon exercise of</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1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40"/>
              <w:spacing w:after="0" w:line="176" w:lineRule="exact"/>
              <w:rPr>
                <w:sz w:val="20"/>
                <w:szCs w:val="20"/>
                <w:color w:val="auto"/>
              </w:rPr>
            </w:pPr>
            <w:r>
              <w:rPr>
                <w:rFonts w:ascii="Arial" w:cs="Arial" w:eastAsia="Arial" w:hAnsi="Arial"/>
                <w:sz w:val="18"/>
                <w:szCs w:val="18"/>
                <w:color w:val="auto"/>
                <w:w w:val="97"/>
              </w:rPr>
              <w:t>Stock-based compensation</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5"/>
                <w:szCs w:val="15"/>
                <w:color w:val="auto"/>
              </w:rPr>
            </w:pPr>
          </w:p>
        </w:tc>
        <w:tc>
          <w:tcPr>
            <w:tcW w:w="480" w:type="dxa"/>
            <w:vAlign w:val="bottom"/>
            <w:gridSpan w:val="3"/>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2380" w:type="dxa"/>
            <w:vAlign w:val="bottom"/>
          </w:tcPr>
          <w:p>
            <w:pPr>
              <w:ind w:left="400"/>
              <w:spacing w:after="0"/>
              <w:rPr>
                <w:sz w:val="20"/>
                <w:szCs w:val="20"/>
                <w:color w:val="auto"/>
              </w:rPr>
            </w:pPr>
            <w:r>
              <w:rPr>
                <w:rFonts w:ascii="Arial" w:cs="Arial" w:eastAsia="Arial" w:hAnsi="Arial"/>
                <w:sz w:val="18"/>
                <w:szCs w:val="18"/>
                <w:color w:val="auto"/>
              </w:rPr>
              <w:t>expense</w:t>
            </w: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Unrealized loss on cash</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equivalents</w:t>
            </w:r>
          </w:p>
        </w:tc>
        <w:tc>
          <w:tcPr>
            <w:tcW w:w="11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(53,019)</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(53,019)</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Balance at 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243,854</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(201,668)</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(182,894)</w:t>
            </w:r>
          </w:p>
        </w:tc>
        <w:tc>
          <w:tcPr>
            <w:tcW w:w="0" w:type="dxa"/>
            <w:vAlign w:val="bottom"/>
          </w:tcPr>
          <w:p>
            <w:pPr>
              <w:spacing w:after="0"/>
              <w:rPr>
                <w:sz w:val="1"/>
                <w:szCs w:val="1"/>
                <w:color w:val="auto"/>
              </w:rPr>
            </w:pPr>
          </w:p>
        </w:tc>
      </w:tr>
      <w:tr>
        <w:trPr>
          <w:trHeight w:val="175"/>
        </w:trPr>
        <w:tc>
          <w:tcPr>
            <w:tcW w:w="2380" w:type="dxa"/>
            <w:vAlign w:val="bottom"/>
          </w:tcPr>
          <w:p>
            <w:pPr>
              <w:ind w:left="240"/>
              <w:spacing w:after="0" w:line="176" w:lineRule="exact"/>
              <w:rPr>
                <w:sz w:val="20"/>
                <w:szCs w:val="20"/>
                <w:color w:val="auto"/>
              </w:rPr>
            </w:pPr>
            <w:r>
              <w:rPr>
                <w:rFonts w:ascii="Arial" w:cs="Arial" w:eastAsia="Arial" w:hAnsi="Arial"/>
                <w:sz w:val="18"/>
                <w:szCs w:val="18"/>
                <w:color w:val="auto"/>
              </w:rPr>
              <w:t>Issuance of redeemable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400"/>
              <w:spacing w:after="0" w:line="176" w:lineRule="exact"/>
              <w:rPr>
                <w:sz w:val="20"/>
                <w:szCs w:val="20"/>
                <w:color w:val="auto"/>
              </w:rPr>
            </w:pPr>
            <w:r>
              <w:rPr>
                <w:rFonts w:ascii="Arial" w:cs="Arial" w:eastAsia="Arial" w:hAnsi="Arial"/>
                <w:sz w:val="18"/>
                <w:szCs w:val="18"/>
                <w:color w:val="auto"/>
              </w:rPr>
              <w:t>convertible preferred</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84,710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5"/>
                <w:szCs w:val="15"/>
                <w:color w:val="auto"/>
              </w:rPr>
            </w:pPr>
          </w:p>
        </w:tc>
        <w:tc>
          <w:tcPr>
            <w:tcW w:w="480" w:type="dxa"/>
            <w:vAlign w:val="bottom"/>
            <w:gridSpan w:val="3"/>
            <w:vMerge w:val="restart"/>
          </w:tcPr>
          <w:p>
            <w:pPr>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tcPr>
          <w:p>
            <w:pPr>
              <w:ind w:left="400"/>
              <w:spacing w:after="0"/>
              <w:rPr>
                <w:sz w:val="20"/>
                <w:szCs w:val="20"/>
                <w:color w:val="auto"/>
              </w:rPr>
            </w:pPr>
            <w:r>
              <w:rPr>
                <w:rFonts w:ascii="Arial" w:cs="Arial" w:eastAsia="Arial" w:hAnsi="Arial"/>
                <w:sz w:val="18"/>
                <w:szCs w:val="18"/>
                <w:color w:val="auto"/>
                <w:w w:val="89"/>
              </w:rPr>
              <w:t>stock, net of issuance costs</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Issuance upon exercise of</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1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ind w:left="240"/>
              <w:spacing w:after="0"/>
              <w:rPr>
                <w:sz w:val="20"/>
                <w:szCs w:val="20"/>
                <w:color w:val="auto"/>
              </w:rPr>
            </w:pPr>
            <w:r>
              <w:rPr>
                <w:rFonts w:ascii="Arial" w:cs="Arial" w:eastAsia="Arial" w:hAnsi="Arial"/>
                <w:sz w:val="18"/>
                <w:szCs w:val="18"/>
                <w:color w:val="auto"/>
                <w:w w:val="99"/>
              </w:rPr>
              <w:t>Stock-based compensation</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9"/>
        </w:trPr>
        <w:tc>
          <w:tcPr>
            <w:tcW w:w="2420" w:type="dxa"/>
            <w:vAlign w:val="bottom"/>
          </w:tcPr>
          <w:p>
            <w:pPr>
              <w:ind w:left="400"/>
              <w:spacing w:after="0"/>
              <w:rPr>
                <w:sz w:val="20"/>
                <w:szCs w:val="20"/>
                <w:color w:val="auto"/>
              </w:rPr>
            </w:pPr>
            <w:r>
              <w:rPr>
                <w:rFonts w:ascii="Arial" w:cs="Arial" w:eastAsia="Arial" w:hAnsi="Arial"/>
                <w:sz w:val="18"/>
                <w:szCs w:val="18"/>
                <w:color w:val="auto"/>
              </w:rPr>
              <w:t>expense</w:t>
            </w:r>
          </w:p>
        </w:tc>
        <w:tc>
          <w:tcPr>
            <w:tcW w:w="11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Unrealized loss on cash</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equivalents</w:t>
            </w:r>
          </w:p>
        </w:tc>
        <w:tc>
          <w:tcPr>
            <w:tcW w:w="11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(27,402)</w:t>
            </w: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 June 30, 2021</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29,850</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328,564</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22,803</w:t>
            </w:r>
          </w:p>
        </w:tc>
        <w:tc>
          <w:tcPr>
            <w:tcW w:w="8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(229,070)</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(206,306)</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(unaudited)</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right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173,068</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(143,837)</w:t>
            </w:r>
          </w:p>
        </w:tc>
        <w:tc>
          <w:tcPr>
            <w:tcW w:w="0" w:type="dxa"/>
            <w:vAlign w:val="bottom"/>
          </w:tcPr>
          <w:p>
            <w:pPr>
              <w:spacing w:after="0"/>
              <w:rPr>
                <w:sz w:val="1"/>
                <w:szCs w:val="1"/>
                <w:color w:val="auto"/>
              </w:rPr>
            </w:pPr>
          </w:p>
        </w:tc>
      </w:tr>
      <w:tr>
        <w:trPr>
          <w:trHeight w:val="175"/>
        </w:trPr>
        <w:tc>
          <w:tcPr>
            <w:tcW w:w="2420" w:type="dxa"/>
            <w:vAlign w:val="bottom"/>
          </w:tcPr>
          <w:p>
            <w:pPr>
              <w:ind w:left="240"/>
              <w:spacing w:after="0" w:line="176" w:lineRule="exact"/>
              <w:rPr>
                <w:sz w:val="20"/>
                <w:szCs w:val="20"/>
                <w:color w:val="auto"/>
              </w:rPr>
            </w:pPr>
            <w:r>
              <w:rPr>
                <w:rFonts w:ascii="Arial" w:cs="Arial" w:eastAsia="Arial" w:hAnsi="Arial"/>
                <w:sz w:val="18"/>
                <w:szCs w:val="18"/>
                <w:color w:val="auto"/>
              </w:rPr>
              <w:t>Issuance upon exercise of</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ind w:left="400"/>
              <w:spacing w:after="0"/>
              <w:rPr>
                <w:sz w:val="20"/>
                <w:szCs w:val="20"/>
                <w:color w:val="auto"/>
              </w:rPr>
            </w:pPr>
            <w:r>
              <w:rPr>
                <w:rFonts w:ascii="Arial" w:cs="Arial" w:eastAsia="Arial" w:hAnsi="Arial"/>
                <w:sz w:val="18"/>
                <w:szCs w:val="18"/>
                <w:color w:val="auto"/>
              </w:rPr>
              <w:t>warrants</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Issuance upon exercise of</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1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40"/>
              <w:spacing w:after="0" w:line="176" w:lineRule="exact"/>
              <w:rPr>
                <w:sz w:val="20"/>
                <w:szCs w:val="20"/>
                <w:color w:val="auto"/>
              </w:rPr>
            </w:pPr>
            <w:r>
              <w:rPr>
                <w:rFonts w:ascii="Arial" w:cs="Arial" w:eastAsia="Arial" w:hAnsi="Arial"/>
                <w:sz w:val="18"/>
                <w:szCs w:val="18"/>
                <w:color w:val="auto"/>
                <w:w w:val="99"/>
              </w:rPr>
              <w:t>Stock-based compensation</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30"/>
        </w:trPr>
        <w:tc>
          <w:tcPr>
            <w:tcW w:w="2420" w:type="dxa"/>
            <w:vAlign w:val="bottom"/>
          </w:tcPr>
          <w:p>
            <w:pPr>
              <w:ind w:left="400"/>
              <w:spacing w:after="0"/>
              <w:rPr>
                <w:sz w:val="20"/>
                <w:szCs w:val="20"/>
                <w:color w:val="auto"/>
              </w:rPr>
            </w:pPr>
            <w:r>
              <w:rPr>
                <w:rFonts w:ascii="Arial" w:cs="Arial" w:eastAsia="Arial" w:hAnsi="Arial"/>
                <w:sz w:val="18"/>
                <w:szCs w:val="18"/>
                <w:color w:val="auto"/>
              </w:rPr>
              <w:t>expense</w:t>
            </w:r>
          </w:p>
        </w:tc>
        <w:tc>
          <w:tcPr>
            <w:tcW w:w="11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Unrealized loss on cash</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equivalents</w:t>
            </w:r>
          </w:p>
        </w:tc>
        <w:tc>
          <w:tcPr>
            <w:tcW w:w="11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(25,732)</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 June 30, 2020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21,118</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173,677</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8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(174,381)</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(166,541)</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(unaudited)</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PROCEPT BioRobotics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center"/>
              <w:ind w:right="299"/>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6"/>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center"/>
              <w:ind w:left="640"/>
              <w:spacing w:after="0"/>
              <w:rPr>
                <w:sz w:val="20"/>
                <w:szCs w:val="20"/>
                <w:color w:val="auto"/>
              </w:rPr>
            </w:pPr>
            <w:r>
              <w:rPr>
                <w:rFonts w:ascii="Arial" w:cs="Arial" w:eastAsia="Arial" w:hAnsi="Arial"/>
                <w:sz w:val="14"/>
                <w:szCs w:val="14"/>
                <w:b w:val="1"/>
                <w:bCs w:val="1"/>
                <w:color w:val="auto"/>
                <w:w w:val="94"/>
              </w:rPr>
              <w:t>(unaudited)</w:t>
            </w:r>
          </w:p>
        </w:tc>
        <w:tc>
          <w:tcPr>
            <w:tcW w:w="1100" w:type="dxa"/>
            <w:vAlign w:val="bottom"/>
          </w:tcPr>
          <w:p>
            <w:pPr>
              <w:spacing w:after="0"/>
              <w:rPr>
                <w:sz w:val="16"/>
                <w:szCs w:val="16"/>
                <w:color w:val="auto"/>
              </w:rPr>
            </w:pPr>
          </w:p>
        </w:tc>
      </w:tr>
      <w:tr>
        <w:trPr>
          <w:trHeight w:val="26"/>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4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85"/>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(41,975)</w:t>
            </w:r>
          </w:p>
        </w:tc>
        <w:tc>
          <w:tcPr>
            <w:tcW w:w="10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(53,019)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(25,732)</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(27,402)</w:t>
            </w:r>
          </w:p>
        </w:tc>
      </w:tr>
      <w:tr>
        <w:trPr>
          <w:trHeight w:val="25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Adjustments to reconcile net loss to cash used in operating activities: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47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1,765</w:t>
            </w:r>
          </w:p>
        </w:tc>
      </w:tr>
      <w:tr>
        <w:trPr>
          <w:trHeight w:val="253"/>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r>
      <w:tr>
        <w:trPr>
          <w:trHeight w:val="206"/>
        </w:trPr>
        <w:tc>
          <w:tcPr>
            <w:tcW w:w="4700" w:type="dxa"/>
            <w:vAlign w:val="bottom"/>
          </w:tcPr>
          <w:p>
            <w:pPr>
              <w:ind w:left="240"/>
              <w:spacing w:after="0"/>
              <w:rPr>
                <w:sz w:val="20"/>
                <w:szCs w:val="20"/>
                <w:color w:val="auto"/>
              </w:rPr>
            </w:pPr>
            <w:r>
              <w:rPr>
                <w:rFonts w:ascii="Arial" w:cs="Arial" w:eastAsia="Arial" w:hAnsi="Arial"/>
                <w:sz w:val="16"/>
                <w:szCs w:val="16"/>
                <w:color w:val="auto"/>
              </w:rPr>
              <w:t>Change in fair value of redeemable convertible preferred stock</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700" w:type="dxa"/>
            <w:vAlign w:val="bottom"/>
          </w:tcPr>
          <w:p>
            <w:pPr>
              <w:ind w:left="400"/>
              <w:spacing w:after="0"/>
              <w:rPr>
                <w:sz w:val="20"/>
                <w:szCs w:val="20"/>
                <w:color w:val="auto"/>
              </w:rPr>
            </w:pPr>
            <w:r>
              <w:rPr>
                <w:rFonts w:ascii="Arial" w:cs="Arial" w:eastAsia="Arial" w:hAnsi="Arial"/>
                <w:sz w:val="16"/>
                <w:szCs w:val="16"/>
                <w:color w:val="auto"/>
              </w:rPr>
              <w:t>warrants and derivative liability</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3"/>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lease expense</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33"/>
        </w:trPr>
        <w:tc>
          <w:tcPr>
            <w:tcW w:w="4700" w:type="dxa"/>
            <w:vAlign w:val="bottom"/>
          </w:tcPr>
          <w:p>
            <w:pPr>
              <w:ind w:left="240"/>
              <w:spacing w:after="0"/>
              <w:rPr>
                <w:sz w:val="20"/>
                <w:szCs w:val="20"/>
                <w:color w:val="auto"/>
              </w:rPr>
            </w:pPr>
            <w:r>
              <w:rPr>
                <w:rFonts w:ascii="Arial" w:cs="Arial" w:eastAsia="Arial" w:hAnsi="Arial"/>
                <w:sz w:val="16"/>
                <w:szCs w:val="16"/>
                <w:color w:val="auto"/>
              </w:rPr>
              <w:t>Inventory write-down</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53"/>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net investment discount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700" w:type="dxa"/>
            <w:vAlign w:val="bottom"/>
          </w:tcPr>
          <w:p>
            <w:pPr>
              <w:ind w:left="240"/>
              <w:spacing w:after="0"/>
              <w:rPr>
                <w:sz w:val="20"/>
                <w:szCs w:val="20"/>
                <w:color w:val="auto"/>
              </w:rPr>
            </w:pPr>
            <w:r>
              <w:rPr>
                <w:rFonts w:ascii="Arial" w:cs="Arial" w:eastAsia="Arial" w:hAnsi="Arial"/>
                <w:sz w:val="16"/>
                <w:szCs w:val="16"/>
                <w:color w:val="auto"/>
              </w:rPr>
              <w:t>Other non-cash expense</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47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(3,591)</w:t>
            </w:r>
          </w:p>
        </w:tc>
      </w:tr>
      <w:tr>
        <w:trPr>
          <w:trHeight w:val="253"/>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w:t>
            </w:r>
          </w:p>
        </w:tc>
      </w:tr>
      <w:tr>
        <w:trPr>
          <w:trHeight w:val="233"/>
        </w:trPr>
        <w:tc>
          <w:tcPr>
            <w:tcW w:w="470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(1,412)</w:t>
            </w:r>
          </w:p>
        </w:tc>
      </w:tr>
      <w:tr>
        <w:trPr>
          <w:trHeight w:val="253"/>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w:t>
            </w:r>
          </w:p>
        </w:tc>
      </w:tr>
      <w:tr>
        <w:trPr>
          <w:trHeight w:val="233"/>
        </w:trPr>
        <w:tc>
          <w:tcPr>
            <w:tcW w:w="4700" w:type="dxa"/>
            <w:vAlign w:val="bottom"/>
          </w:tcPr>
          <w:p>
            <w:pPr>
              <w:ind w:left="360"/>
              <w:spacing w:after="0"/>
              <w:rPr>
                <w:sz w:val="20"/>
                <w:szCs w:val="20"/>
                <w:color w:val="auto"/>
              </w:rPr>
            </w:pPr>
            <w:r>
              <w:rPr>
                <w:rFonts w:ascii="Arial" w:cs="Arial" w:eastAsia="Arial" w:hAnsi="Arial"/>
                <w:sz w:val="16"/>
                <w:szCs w:val="16"/>
                <w:color w:val="auto"/>
              </w:rPr>
              <w:t>Accrued compensation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253"/>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 expense</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33"/>
        </w:trPr>
        <w:tc>
          <w:tcPr>
            <w:tcW w:w="47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253"/>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rent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w:t>
            </w: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(43,818)</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(48,343)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(28,107)</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3"/>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of short-term investments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700" w:type="dxa"/>
            <w:vAlign w:val="bottom"/>
          </w:tcPr>
          <w:p>
            <w:pPr>
              <w:ind w:left="360"/>
              <w:spacing w:after="0"/>
              <w:rPr>
                <w:sz w:val="20"/>
                <w:szCs w:val="20"/>
                <w:color w:val="auto"/>
              </w:rPr>
            </w:pPr>
            <w:r>
              <w:rPr>
                <w:rFonts w:ascii="Arial" w:cs="Arial" w:eastAsia="Arial" w:hAnsi="Arial"/>
                <w:sz w:val="16"/>
                <w:szCs w:val="16"/>
                <w:color w:val="auto"/>
              </w:rPr>
              <w:t>Maturities of short-term investments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26,934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36"/>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43,153</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6"/>
        </w:trPr>
        <w:tc>
          <w:tcPr>
            <w:tcW w:w="4700" w:type="dxa"/>
            <w:vAlign w:val="bottom"/>
          </w:tcPr>
          <w:p>
            <w:pPr>
              <w:ind w:left="240"/>
              <w:spacing w:after="0"/>
              <w:rPr>
                <w:sz w:val="20"/>
                <w:szCs w:val="20"/>
                <w:color w:val="auto"/>
              </w:rPr>
            </w:pPr>
            <w:r>
              <w:rPr>
                <w:rFonts w:ascii="Arial" w:cs="Arial" w:eastAsia="Arial" w:hAnsi="Arial"/>
                <w:sz w:val="16"/>
                <w:szCs w:val="16"/>
                <w:color w:val="auto"/>
                <w:w w:val="91"/>
              </w:rPr>
              <w:t>Proceeds from issuance of common stock from the exercise of stock</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700" w:type="dxa"/>
            <w:vAlign w:val="bottom"/>
          </w:tcPr>
          <w:p>
            <w:pPr>
              <w:ind w:left="400"/>
              <w:spacing w:after="0"/>
              <w:rPr>
                <w:sz w:val="20"/>
                <w:szCs w:val="20"/>
                <w:color w:val="auto"/>
              </w:rPr>
            </w:pPr>
            <w:r>
              <w:rPr>
                <w:rFonts w:ascii="Arial" w:cs="Arial" w:eastAsia="Arial" w:hAnsi="Arial"/>
                <w:sz w:val="16"/>
                <w:szCs w:val="16"/>
                <w:color w:val="auto"/>
              </w:rPr>
              <w:t>options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2,640</w:t>
            </w:r>
          </w:p>
        </w:tc>
      </w:tr>
      <w:tr>
        <w:trPr>
          <w:trHeight w:val="253"/>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note payable, net of issuance costs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700" w:type="dxa"/>
            <w:vAlign w:val="bottom"/>
          </w:tcPr>
          <w:p>
            <w:pPr>
              <w:ind w:left="240"/>
              <w:spacing w:after="0"/>
              <w:rPr>
                <w:sz w:val="20"/>
                <w:szCs w:val="20"/>
                <w:color w:val="auto"/>
              </w:rPr>
            </w:pPr>
            <w:r>
              <w:rPr>
                <w:rFonts w:ascii="Arial" w:cs="Arial" w:eastAsia="Arial" w:hAnsi="Arial"/>
                <w:sz w:val="16"/>
                <w:szCs w:val="16"/>
                <w:color w:val="auto"/>
                <w:w w:val="98"/>
              </w:rPr>
              <w:t>Proceeds from the exercise of redeemable convertible preferred</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700" w:type="dxa"/>
            <w:vAlign w:val="bottom"/>
          </w:tcPr>
          <w:p>
            <w:pPr>
              <w:ind w:left="400"/>
              <w:spacing w:after="0"/>
              <w:rPr>
                <w:sz w:val="20"/>
                <w:szCs w:val="20"/>
                <w:color w:val="auto"/>
              </w:rPr>
            </w:pPr>
            <w:r>
              <w:rPr>
                <w:rFonts w:ascii="Arial" w:cs="Arial" w:eastAsia="Arial" w:hAnsi="Arial"/>
                <w:sz w:val="16"/>
                <w:szCs w:val="16"/>
                <w:color w:val="auto"/>
              </w:rPr>
              <w:t>stock warrants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Series F redeemable convertible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4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preferred stock, net of issuance costs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700" w:type="dxa"/>
            <w:vAlign w:val="bottom"/>
          </w:tcPr>
          <w:p>
            <w:pPr>
              <w:ind w:left="240"/>
              <w:spacing w:after="0"/>
              <w:rPr>
                <w:sz w:val="20"/>
                <w:szCs w:val="20"/>
                <w:color w:val="auto"/>
              </w:rPr>
            </w:pPr>
            <w:r>
              <w:rPr>
                <w:rFonts w:ascii="Arial" w:cs="Arial" w:eastAsia="Arial" w:hAnsi="Arial"/>
                <w:sz w:val="16"/>
                <w:szCs w:val="16"/>
                <w:color w:val="auto"/>
              </w:rPr>
              <w:t>Proceeds from issuance of Series G redeemable convertible</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4700" w:type="dxa"/>
            <w:vAlign w:val="bottom"/>
          </w:tcPr>
          <w:p>
            <w:pPr>
              <w:ind w:left="400"/>
              <w:spacing w:after="0"/>
              <w:rPr>
                <w:sz w:val="20"/>
                <w:szCs w:val="20"/>
                <w:color w:val="auto"/>
              </w:rPr>
            </w:pPr>
            <w:r>
              <w:rPr>
                <w:rFonts w:ascii="Arial" w:cs="Arial" w:eastAsia="Arial" w:hAnsi="Arial"/>
                <w:sz w:val="16"/>
                <w:szCs w:val="16"/>
                <w:color w:val="auto"/>
              </w:rPr>
              <w:t>preferred stock, net of issuance costs</w:t>
            </w:r>
          </w:p>
        </w:tc>
        <w:tc>
          <w:tcPr>
            <w:tcW w:w="9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84,710</w:t>
            </w:r>
          </w:p>
        </w:tc>
      </w:tr>
      <w:tr>
        <w:trPr>
          <w:trHeight w:val="236"/>
        </w:trPr>
        <w:tc>
          <w:tcPr>
            <w:tcW w:w="47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26,527</w:t>
            </w:r>
          </w:p>
        </w:tc>
        <w:tc>
          <w:tcPr>
            <w:tcW w:w="1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106,771</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27,296</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87,350</w:t>
            </w:r>
          </w:p>
        </w:tc>
      </w:tr>
      <w:tr>
        <w:trPr>
          <w:trHeight w:val="233"/>
        </w:trPr>
        <w:tc>
          <w:tcPr>
            <w:tcW w:w="470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25,862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58,195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59,094</w:t>
            </w:r>
          </w:p>
        </w:tc>
      </w:tr>
      <w:tr>
        <w:trPr>
          <w:trHeight w:val="25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6"/>
        </w:trPr>
        <w:tc>
          <w:tcPr>
            <w:tcW w:w="4700" w:type="dxa"/>
            <w:vAlign w:val="bottom"/>
          </w:tcPr>
          <w:p>
            <w:pPr>
              <w:ind w:left="240"/>
              <w:spacing w:after="0"/>
              <w:rPr>
                <w:sz w:val="20"/>
                <w:szCs w:val="20"/>
                <w:color w:val="auto"/>
              </w:rPr>
            </w:pPr>
            <w:r>
              <w:rPr>
                <w:rFonts w:ascii="Arial" w:cs="Arial" w:eastAsia="Arial" w:hAnsi="Arial"/>
                <w:sz w:val="16"/>
                <w:szCs w:val="16"/>
                <w:color w:val="auto"/>
              </w:rPr>
              <w:t>Beginning of the period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16,850</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42,712</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100,907</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240"/>
          </w:cols>
          <w:pgMar w:left="320" w:top="1440" w:right="339" w:bottom="1440" w:gutter="0" w:footer="0" w:header="0"/>
          <w:type w:val="continuous"/>
        </w:sectPr>
      </w:pPr>
    </w:p>
    <w:bookmarkStart w:id="197" w:name="page198"/>
    <w:bookmarkEnd w:id="197"/>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End of the period</w:t>
            </w: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100,907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45,854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w w:val="92"/>
              </w:rPr>
              <w:t>Reconciliation of cash, cash equivalents and restricted cash to balance</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color w:val="auto"/>
              </w:rPr>
              <w:t>sheets: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42,021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100,130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159,224</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Restricted cash</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68"/>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w w:val="97"/>
              </w:rPr>
              <w:t>Cash, cash equivalents and restricted cash in balance sheets</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100,907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45,854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 paid</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Embedded loan facility derivative liability in loan facility</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color w:val="auto"/>
              </w:rPr>
              <w:t>Transfer of evaluation units from inventory to property and</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700" w:type="dxa"/>
            <w:vAlign w:val="bottom"/>
            <w:vMerge w:val="continue"/>
          </w:tcPr>
          <w:p>
            <w:pPr>
              <w:spacing w:after="0"/>
              <w:rPr>
                <w:sz w:val="13"/>
                <w:szCs w:val="13"/>
                <w:color w:val="auto"/>
              </w:rPr>
            </w:pPr>
          </w:p>
        </w:tc>
        <w:tc>
          <w:tcPr>
            <w:tcW w:w="580" w:type="dxa"/>
            <w:vAlign w:val="bottom"/>
            <w:vMerge w:val="restart"/>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2,560</w:t>
            </w:r>
          </w:p>
        </w:tc>
        <w:tc>
          <w:tcPr>
            <w:tcW w:w="100" w:type="dxa"/>
            <w:vAlign w:val="bottom"/>
          </w:tcPr>
          <w:p>
            <w:pPr>
              <w:spacing w:after="0"/>
              <w:rPr>
                <w:sz w:val="13"/>
                <w:szCs w:val="13"/>
                <w:color w:val="auto"/>
              </w:rPr>
            </w:pP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13"/>
                <w:szCs w:val="13"/>
                <w:color w:val="auto"/>
              </w:rPr>
            </w:pPr>
          </w:p>
        </w:tc>
        <w:tc>
          <w:tcPr>
            <w:tcW w:w="560" w:type="dxa"/>
            <w:vAlign w:val="bottom"/>
            <w:vMerge w:val="restart"/>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3"/>
                <w:szCs w:val="13"/>
                <w:color w:val="auto"/>
              </w:rPr>
            </w:pP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04"/>
        </w:trPr>
        <w:tc>
          <w:tcPr>
            <w:tcW w:w="4700" w:type="dxa"/>
            <w:vAlign w:val="bottom"/>
          </w:tcPr>
          <w:p>
            <w:pPr>
              <w:ind w:left="400"/>
              <w:spacing w:after="0"/>
              <w:rPr>
                <w:sz w:val="20"/>
                <w:szCs w:val="20"/>
                <w:color w:val="auto"/>
              </w:rPr>
            </w:pPr>
            <w:r>
              <w:rPr>
                <w:rFonts w:ascii="Arial" w:cs="Arial" w:eastAsia="Arial" w:hAnsi="Arial"/>
                <w:sz w:val="16"/>
                <w:szCs w:val="16"/>
                <w:color w:val="auto"/>
              </w:rPr>
              <w:t>equipment, net</w:t>
            </w:r>
          </w:p>
        </w:tc>
        <w:tc>
          <w:tcPr>
            <w:tcW w:w="5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00" w:type="dxa"/>
            <w:vAlign w:val="bottom"/>
            <w:shd w:val="clear" w:color="auto" w:fill="CCEEFF"/>
          </w:tcPr>
          <w:p>
            <w:pPr>
              <w:ind w:left="240"/>
              <w:spacing w:after="0" w:line="173" w:lineRule="exact"/>
              <w:rPr>
                <w:sz w:val="20"/>
                <w:szCs w:val="20"/>
                <w:color w:val="auto"/>
              </w:rPr>
            </w:pPr>
            <w:r>
              <w:rPr>
                <w:rFonts w:ascii="Arial" w:cs="Arial" w:eastAsia="Arial" w:hAnsi="Arial"/>
                <w:sz w:val="16"/>
                <w:szCs w:val="16"/>
                <w:color w:val="auto"/>
                <w:w w:val="93"/>
              </w:rPr>
              <w:t>Property and equipment included in accounts payable and accrued</w:t>
            </w:r>
          </w:p>
        </w:tc>
        <w:tc>
          <w:tcPr>
            <w:tcW w:w="58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expenses</w:t>
            </w: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color w:val="auto"/>
              </w:rPr>
              <w:t>Deferred offering costs included in accounts payable and other</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700" w:type="dxa"/>
            <w:vAlign w:val="bottom"/>
            <w:vMerge w:val="continue"/>
          </w:tcPr>
          <w:p>
            <w:pPr>
              <w:spacing w:after="0"/>
              <w:rPr>
                <w:sz w:val="13"/>
                <w:szCs w:val="13"/>
                <w:color w:val="auto"/>
              </w:rPr>
            </w:pPr>
          </w:p>
        </w:tc>
        <w:tc>
          <w:tcPr>
            <w:tcW w:w="580" w:type="dxa"/>
            <w:vAlign w:val="bottom"/>
            <w:vMerge w:val="restart"/>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99"/>
        </w:trPr>
        <w:tc>
          <w:tcPr>
            <w:tcW w:w="4700" w:type="dxa"/>
            <w:vAlign w:val="bottom"/>
          </w:tcPr>
          <w:p>
            <w:pPr>
              <w:ind w:left="400"/>
              <w:spacing w:after="0"/>
              <w:rPr>
                <w:sz w:val="20"/>
                <w:szCs w:val="20"/>
                <w:color w:val="auto"/>
              </w:rPr>
            </w:pPr>
            <w:r>
              <w:rPr>
                <w:rFonts w:ascii="Arial" w:cs="Arial" w:eastAsia="Arial" w:hAnsi="Arial"/>
                <w:sz w:val="16"/>
                <w:szCs w:val="16"/>
                <w:color w:val="auto"/>
              </w:rPr>
              <w:t>current liabilities</w:t>
            </w:r>
          </w:p>
        </w:tc>
        <w:tc>
          <w:tcPr>
            <w:tcW w:w="58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PROCEPT BioRobotics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PROCEPT BioRobotics Corporation (the “Company”) was incorporated in the state of California in 2007 and its headquarters are located in Redwood City, California. In April 2021, the Company re-incorporated in the state of Delaware. The Company received U.S. Food and Drug Administration clearance in December 2017 to market its AquaBeam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Robotic System, an automated surgical robot providing tissue removal for the treatment of benign prostatic hyperplasia, a prostate gland enlargement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As of December 31, 2020 and June 30, 2021 (unaudited), the Company had cash and cash equivalents of $100.1 million and $159.2 million, respectively, and an accumulated deficit of $201.7 million and $229.1 million, respectively. The Company has financed its operations with a combination of debt and equity financing arrangements. The Company expects its cash and cash equivalents, revenue and available debt financing arrangements, will be sufficient to fund its operations through at least the next twelve months from the issuance date of the consolidated financial statements. The Company has not achieved positive cashflow from operations to date and expects to continue incurring losses as it focuses on growing its business.</w:t>
      </w:r>
    </w:p>
    <w:p>
      <w:pPr>
        <w:spacing w:after="0" w:line="10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COVID-19 pandemic and the resulting economic downturn are affecting business conditions in the industry in which the Company operates. In response to the pandemic, many state and local governments in the United States issued orders that temporarily precluded elective procedures in order to conserve scarce health system resources. The Company has taken necessary precautions to safeguard its employees, patients, customers, and other stakeholders from the COVID-19 pandemic, while maintaining business continuity to support its patients, customers and employees. The timing, extent and continuation of any increase in procedures, and any corresponding increase in sales of the Company’s products, and whether there could be a future decrease in the current level of procedures as a result of the COVID-19 pandemic or otherwise, remain uncertain and are subject to a variety of factors.</w:t>
      </w:r>
    </w:p>
    <w:p>
      <w:pPr>
        <w:spacing w:after="0" w:line="1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71"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(“U.S. GAAP”) and pursuant to the rules and regulations of the United States Securities and Exchange Commission (“SEC”). These consolidated financial statements include the accounts of the Company and its consolidated subsidiaries. All intercompany balances and transactions have been eliminated upon consolidation.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and disclosures reported in the consolidated financial statements. Management uses significant judgment when making estimates related to its common stock valuation and related stock-based compensation, right-of-use lease asset, lease liability, the valuations of the redeemable convertible preferred stock warrant liability and loan facility derivative liability, as well as certain accrued liabilities. Management bases its estimates on historical experience and on various other assumptions that are believed to be reasonable under the circumstances, the results of which form the basis for making judgments about the carrying values of assets and liabilities. Actual results could differ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September 7, 2021, the Board of Directors and stockholders approved, and the Company filed, an amended and restated certificate of incorporation effecting a 1-for-4.75 reverse stock split of common stock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redeemable convertible preferred stock. The par value of the common and redeemable convertible preferred stock was not adjusted as a result of the reverse stock split. All authorized, issued and outstanding common stock, redeemable convertible preferred stock, warrants for preferred stock, stock options and per share amounts contained in the financial statements have been retroactively adjusted to reflect this reverse stock split for all periods presented.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accompanying balance sheet as of June 30, 2021, the statements of operations and comprehensive loss and cash flows for the six months ended June 30, 2020 and 2021, and the statements of redeemable convertible preferred stock and stockholders’ deficit as of June 30, 2020 and 2021, are unaudited. The financial data and other information disclosed in these notes to the financial statements related to June 30, 2021, and the six months ended June 30, 2020 and 2021, are also unaudited. The unaudited interim financial statements have been prepared on the same basis as the annual financial statements and, in the opinion of management, reflect all adjustments, which include only normal recurring adjustments, necessary to a fair statement of the Company’s financial position as of June 30, 2021, and the results of its operations and cash flows for the six months ended June 30, 2020 and 2021. The results for the six months ended June 30, 2021, are not necessarily indicative of results to be expected for the year ending December 31, 2021, or for any other interim period or for any future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 Value Change</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June 10, 2021, the Board of Directors and stockholders approved, and the Company filed, an amended and restated certificate of incorporation effecting a change in par value from $0.001 to $0.00001 per share of common stock and all redeemable convertible preferred stock. All issued and outstanding common stock and redeemable convertible preferred stock contained in the financial statements have been retroactively corrected to reflect this immaterial change in par value for all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considers all highly liquid securities, readily convertible to cash, that mature within 90 days or less from the original date of purchase to be cash equivalents, which include money market funds.</w:t>
      </w:r>
    </w:p>
    <w:p>
      <w:pPr>
        <w:spacing w:after="0" w:line="116"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Cash equivalents are considered available-for-sale marketable securities and are recorded at fair value, based on quoted market prices. Unrealized gains and losses are recorded in other comprehensive income (loss) and included as a separate component of stockholders’ deficit.</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cash is related to the Company’s letter of credit for the lease of its corporate headquarters.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measures certain financial assets and liabilities at fair value on a recurring basis, including cash and cash equivalents, accounts receivable, accounts payable and accrued liabilities, which approximate fair value due to their relatively short maturities as well as the redeemable convertible preferred stock warrant liability and loan facility derivative liability.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1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(unadjusted) for identical assets or liabilities in active markets.</w:t>
      </w:r>
    </w:p>
    <w:p>
      <w:pPr>
        <w:spacing w:after="0" w:line="171" w:lineRule="exact"/>
        <w:rPr>
          <w:sz w:val="20"/>
          <w:szCs w:val="20"/>
          <w:color w:val="auto"/>
        </w:rPr>
      </w:pPr>
    </w:p>
    <w:p>
      <w:pPr>
        <w:jc w:val="both"/>
        <w:ind w:left="1300" w:hanging="971"/>
        <w:spacing w:after="0" w:line="263" w:lineRule="auto"/>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Other inputs that are based upon quoted prices for similar instruments in active markets, quoted prices for identical or similar instruments in markets that are not active and model-based valuation techniques for which all significant inputs are observable in the market or can be derived from observable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320" w:top="1440" w:right="359" w:bottom="1440" w:gutter="0" w:footer="0" w:header="0"/>
        </w:sectPr>
      </w:pPr>
    </w:p>
    <w:bookmarkStart w:id="200" w:name="page201"/>
    <w:bookmarkEnd w:id="200"/>
    <w:p>
      <w:pPr>
        <w:spacing w:after="0" w:line="144" w:lineRule="exact"/>
        <w:rPr>
          <w:sz w:val="20"/>
          <w:szCs w:val="20"/>
          <w:color w:val="auto"/>
        </w:rPr>
      </w:pPr>
    </w:p>
    <w:p>
      <w:pPr>
        <w:ind w:left="1300" w:right="900" w:hanging="971"/>
        <w:spacing w:after="0" w:line="277" w:lineRule="auto"/>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activities, which would require the Company to develop its own assumptions.</w:t>
      </w:r>
    </w:p>
    <w:p>
      <w:pPr>
        <w:spacing w:after="0" w:line="11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cash and cash equivalents and other liabilities measured at fair value on a recurring basis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ind w:left="2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6"/>
          </w:tcPr>
          <w:p>
            <w:pPr>
              <w:ind w:left="400"/>
              <w:spacing w:after="0"/>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40" w:type="dxa"/>
            <w:vAlign w:val="bottom"/>
          </w:tcPr>
          <w:p>
            <w:pPr>
              <w:spacing w:after="0"/>
              <w:rPr>
                <w:sz w:val="14"/>
                <w:szCs w:val="14"/>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3</w:t>
            </w:r>
          </w:p>
        </w:tc>
        <w:tc>
          <w:tcPr>
            <w:tcW w:w="140" w:type="dxa"/>
            <w:vAlign w:val="bottom"/>
          </w:tcPr>
          <w:p>
            <w:pPr>
              <w:spacing w:after="0"/>
              <w:rPr>
                <w:sz w:val="14"/>
                <w:szCs w:val="14"/>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3</w:t>
            </w:r>
          </w:p>
        </w:tc>
        <w:tc>
          <w:tcPr>
            <w:tcW w:w="140" w:type="dxa"/>
            <w:vAlign w:val="bottom"/>
          </w:tcPr>
          <w:p>
            <w:pPr>
              <w:spacing w:after="0"/>
              <w:rPr>
                <w:sz w:val="14"/>
                <w:szCs w:val="14"/>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5"/>
          </w:tcPr>
          <w:p>
            <w:pPr>
              <w:ind w:left="20"/>
              <w:spacing w:after="0"/>
              <w:rPr>
                <w:sz w:val="20"/>
                <w:szCs w:val="20"/>
                <w:color w:val="auto"/>
              </w:rPr>
            </w:pPr>
            <w:r>
              <w:rPr>
                <w:rFonts w:ascii="Arial" w:cs="Arial" w:eastAsia="Arial" w:hAnsi="Arial"/>
                <w:sz w:val="13"/>
                <w:szCs w:val="13"/>
                <w:color w:val="auto"/>
              </w:rPr>
              <w:t>(unaudited)</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40"/>
              <w:spacing w:after="0"/>
              <w:rPr>
                <w:sz w:val="20"/>
                <w:szCs w:val="20"/>
                <w:color w:val="auto"/>
              </w:rPr>
            </w:pPr>
            <w:r>
              <w:rPr>
                <w:rFonts w:ascii="Arial" w:cs="Arial" w:eastAsia="Arial" w:hAnsi="Arial"/>
                <w:sz w:val="13"/>
                <w:szCs w:val="13"/>
                <w:color w:val="auto"/>
              </w:rPr>
              <w:t>Cash</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8,499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8,499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1,502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1,502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8,557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8,557</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equivalents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33,522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33,522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98,628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98,628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150,667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150,667</w:t>
            </w:r>
          </w:p>
        </w:tc>
        <w:tc>
          <w:tcPr>
            <w:tcW w:w="0" w:type="dxa"/>
            <w:vAlign w:val="bottom"/>
          </w:tcPr>
          <w:p>
            <w:pPr>
              <w:spacing w:after="0"/>
              <w:rPr>
                <w:sz w:val="1"/>
                <w:szCs w:val="1"/>
                <w:color w:val="auto"/>
              </w:rPr>
            </w:pPr>
          </w:p>
        </w:tc>
      </w:tr>
      <w:tr>
        <w:trPr>
          <w:trHeight w:val="118"/>
        </w:trPr>
        <w:tc>
          <w:tcPr>
            <w:tcW w:w="1900" w:type="dxa"/>
            <w:vAlign w:val="bottom"/>
          </w:tcPr>
          <w:p>
            <w:pPr>
              <w:ind w:left="240"/>
              <w:spacing w:after="0" w:line="118" w:lineRule="exact"/>
              <w:rPr>
                <w:sz w:val="20"/>
                <w:szCs w:val="20"/>
                <w:color w:val="auto"/>
              </w:rPr>
            </w:pPr>
            <w:r>
              <w:rPr>
                <w:rFonts w:ascii="Arial" w:cs="Arial" w:eastAsia="Arial" w:hAnsi="Arial"/>
                <w:sz w:val="13"/>
                <w:szCs w:val="13"/>
                <w:color w:val="auto"/>
              </w:rPr>
              <w:t>Total cash and cash</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42,021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42,021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100,130</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100,130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159,224</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2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159,224</w:t>
            </w:r>
          </w:p>
        </w:tc>
        <w:tc>
          <w:tcPr>
            <w:tcW w:w="0" w:type="dxa"/>
            <w:vAlign w:val="bottom"/>
          </w:tcPr>
          <w:p>
            <w:pPr>
              <w:spacing w:after="0"/>
              <w:rPr>
                <w:sz w:val="1"/>
                <w:szCs w:val="1"/>
                <w:color w:val="auto"/>
              </w:rPr>
            </w:pPr>
          </w:p>
        </w:tc>
      </w:tr>
      <w:tr>
        <w:trPr>
          <w:trHeight w:val="159"/>
        </w:trPr>
        <w:tc>
          <w:tcPr>
            <w:tcW w:w="1900" w:type="dxa"/>
            <w:vAlign w:val="bottom"/>
          </w:tcPr>
          <w:p>
            <w:pPr>
              <w:ind w:left="400"/>
              <w:spacing w:after="0"/>
              <w:rPr>
                <w:sz w:val="20"/>
                <w:szCs w:val="20"/>
                <w:color w:val="auto"/>
              </w:rPr>
            </w:pPr>
            <w:r>
              <w:rPr>
                <w:rFonts w:ascii="Arial" w:cs="Arial" w:eastAsia="Arial" w:hAnsi="Arial"/>
                <w:sz w:val="13"/>
                <w:szCs w:val="13"/>
                <w:color w:val="auto"/>
              </w:rPr>
              <w:t>equivalents</w:t>
            </w: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Arial" w:cs="Arial" w:eastAsia="Arial" w:hAnsi="Arial"/>
                <w:sz w:val="13"/>
                <w:szCs w:val="13"/>
                <w:color w:val="auto"/>
              </w:rPr>
              <w:t>Preferred stock warrant liability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870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870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20"/>
        </w:trPr>
        <w:tc>
          <w:tcPr>
            <w:tcW w:w="19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Loan facility derivative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1,787</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equivalents consist primarily of money market funds.</w:t>
      </w:r>
    </w:p>
    <w:p>
      <w:pPr>
        <w:spacing w:after="0" w:line="17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There were no transfers in and out of Level 3 during the years ended December 31, 2019 and 2020, and the six months ended June 30, 2021 (unaudited).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Redeemable Convertible Preferred Stock Warrants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following table sets forth a summary of the changes in the estimated fair value of the Company’s redeemable convertible preferred stock warrants, which represents financial instruments with valuations classified as Level 3. When a determination is made to classify a financial instrument within Level 3, the determination is based upon the significance of the unobservable inputs to the overall fair value measurement. However, Level 3 financial instruments typically include, in addition to the unobservable inputs, observable inputs (that is, components that are actively quoted and can be validated to external sources). Accordingly, the gain or loss in the table below includes changes in fair value due in part to observable factors that are part of the Level 3 methodology recognized in the statement of operations as a component of interest and other income or expense as appropriate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7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870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(508)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End of the period</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177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fair value of the redeemable convertible preferred stock warrant liability was determined using the Black-Scholes option pricing model using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4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right"/>
              <w:ind w:right="1178"/>
              <w:spacing w:after="0"/>
              <w:rPr>
                <w:sz w:val="20"/>
                <w:szCs w:val="20"/>
                <w:color w:val="auto"/>
              </w:rPr>
            </w:pPr>
            <w:r>
              <w:rPr>
                <w:rFonts w:ascii="Arial" w:cs="Arial" w:eastAsia="Arial" w:hAnsi="Arial"/>
                <w:sz w:val="14"/>
                <w:szCs w:val="14"/>
                <w:b w:val="1"/>
                <w:bCs w:val="1"/>
                <w:color w:val="auto"/>
              </w:rPr>
              <w:t>2020</w:t>
            </w:r>
          </w:p>
        </w:tc>
        <w:tc>
          <w:tcPr>
            <w:tcW w:w="11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183"/>
        </w:trPr>
        <w:tc>
          <w:tcPr>
            <w:tcW w:w="44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top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(unaudited)</w:t>
            </w:r>
          </w:p>
        </w:tc>
        <w:tc>
          <w:tcPr>
            <w:tcW w:w="1140" w:type="dxa"/>
            <w:vAlign w:val="bottom"/>
            <w:tcBorders>
              <w:top w:val="single" w:sz="8" w:color="auto"/>
            </w:tcBorders>
          </w:tcPr>
          <w:p>
            <w:pPr>
              <w:spacing w:after="0"/>
              <w:rPr>
                <w:sz w:val="15"/>
                <w:szCs w:val="15"/>
                <w:color w:val="auto"/>
              </w:rPr>
            </w:pPr>
          </w:p>
        </w:tc>
      </w:tr>
      <w:tr>
        <w:trPr>
          <w:trHeight w:val="231"/>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rPr>
              <w:t>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9"/>
                <w:szCs w:val="19"/>
                <w:color w:val="auto"/>
              </w:rPr>
            </w:pPr>
          </w:p>
        </w:tc>
        <w:tc>
          <w:tcPr>
            <w:tcW w:w="2220" w:type="dxa"/>
            <w:vAlign w:val="bottom"/>
          </w:tcPr>
          <w:p>
            <w:pPr>
              <w:jc w:val="right"/>
              <w:ind w:right="518"/>
              <w:spacing w:after="0"/>
              <w:rPr>
                <w:sz w:val="20"/>
                <w:szCs w:val="20"/>
                <w:color w:val="auto"/>
              </w:rPr>
            </w:pPr>
            <w:r>
              <w:rPr>
                <w:rFonts w:ascii="Arial" w:cs="Arial" w:eastAsia="Arial" w:hAnsi="Arial"/>
                <w:sz w:val="18"/>
                <w:szCs w:val="18"/>
                <w:color w:val="auto"/>
              </w:rPr>
              <w:t>61 %</w:t>
            </w:r>
          </w:p>
        </w:tc>
        <w:tc>
          <w:tcPr>
            <w:tcW w:w="114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rPr>
              <w:t>0.1 %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Expected dividend rate</w:t>
            </w:r>
          </w:p>
        </w:tc>
        <w:tc>
          <w:tcPr>
            <w:tcW w:w="1720" w:type="dxa"/>
            <w:vAlign w:val="bottom"/>
            <w:gridSpan w:val="3"/>
          </w:tcPr>
          <w:p>
            <w:pPr>
              <w:jc w:val="right"/>
              <w:ind w:right="118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220" w:type="dxa"/>
            <w:vAlign w:val="bottom"/>
          </w:tcPr>
          <w:p>
            <w:pPr>
              <w:jc w:val="right"/>
              <w:ind w:right="518"/>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facility derivative liability</w:t>
      </w:r>
    </w:p>
    <w:p>
      <w:pPr>
        <w:spacing w:after="0" w:line="17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In connection with the Company’s loan facility, the Company is obligated to pay a fee upon the earlier occurrence of a defined liquidity event, including but not limited to, a merger or sale of our assets or voting stock, or achieving a $200 million trailing twelve months revenue target, in each case, by September 2029</w:t>
      </w:r>
      <w:r>
        <w:rPr>
          <w:rFonts w:ascii="Arial" w:cs="Arial" w:eastAsia="Arial" w:hAnsi="Arial"/>
          <w:sz w:val="17"/>
          <w:szCs w:val="17"/>
          <w:b w:val="1"/>
          <w:bCs w:val="1"/>
          <w:color w:val="auto"/>
        </w:rPr>
        <w:t>.</w:t>
      </w:r>
      <w:r>
        <w:rPr>
          <w:rFonts w:ascii="Arial" w:cs="Arial" w:eastAsia="Arial" w:hAnsi="Arial"/>
          <w:sz w:val="17"/>
          <w:szCs w:val="17"/>
          <w:color w:val="auto"/>
        </w:rPr>
        <w:t xml:space="preserve"> The fee is calculated at the time of the liquidity event occurrence to be $1 million if only the first installment has been drawn, $2 million if the first two installments have been drawn, $2.4 million if the first three installments have been drawn, or $3 million if all four installments have been drawn, in each case, upon the occurrence of the liquidity event. The Company has determined this fee is a freestanding derivative instrument. The $1.4 million fair value of this loan facility derivative was recorded as a debt discount and liability on the date of issuance in connection with obtaining additional financing as applicable and will be revalued every reporting period until the earlier occurrence of a defined liquidity event or achieving a revenue target by September 2029 or termination of such fee arrangement.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a summary of the changes in the estimated fair value of the Company’s loan facility derivative liability, classified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7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182"/>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Issued</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End of the period</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r>
      <w:tr>
        <w:trPr>
          <w:trHeight w:val="21"/>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40" w:firstLine="324"/>
        <w:spacing w:after="0" w:line="438" w:lineRule="auto"/>
        <w:rPr>
          <w:sz w:val="20"/>
          <w:szCs w:val="20"/>
          <w:color w:val="auto"/>
        </w:rPr>
      </w:pPr>
      <w:r>
        <w:rPr>
          <w:rFonts w:ascii="Arial" w:cs="Arial" w:eastAsia="Arial" w:hAnsi="Arial"/>
          <w:sz w:val="18"/>
          <w:szCs w:val="18"/>
          <w:color w:val="auto"/>
        </w:rPr>
        <w:t xml:space="preserve">The fair value of the loan facility derivative liability was determined using a discounted cashflow calculation discounted at 10%. </w:t>
      </w:r>
      <w:r>
        <w:rPr>
          <w:rFonts w:ascii="Arial" w:cs="Arial" w:eastAsia="Arial" w:hAnsi="Arial"/>
          <w:sz w:val="18"/>
          <w:szCs w:val="18"/>
          <w:b w:val="1"/>
          <w:bCs w:val="1"/>
          <w:i w:val="1"/>
          <w:iCs w:val="1"/>
          <w:color w:val="auto"/>
        </w:rPr>
        <w:t>Concentration of Credit Risk</w:t>
      </w:r>
    </w:p>
    <w:p>
      <w:pPr>
        <w:spacing w:after="0" w:line="1"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equivalents and, to a lesser extent, accounts receivable. The Company believes that credit risk in its accounts receivable is mitigated by its credit evaluation process, relatively short collection terms and diversity of its customer base. The Company generally does not require collateral and losses on accounts receivable have historically been within management’s expectations.</w:t>
      </w:r>
    </w:p>
    <w:p>
      <w:pPr>
        <w:spacing w:after="0" w:line="133"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Company’s investment policy limits investments to certain types of debt securities issued by the U.S. government, its agencies, and institutions with investment-grade credit ratings, as well as corporate debt or commercial paper issued by the highest quality financial and non-financial companies, and places restrictions on maturities and concentration by type and issuer. The Company is exposed to credit risk in the event of a default by the financial institutions holding its cash and cash equivalents and issuers of investments to the extent recorded on the balance sheets. The Company has limited its credit risk associated with cash and cash equivalents by placing its investments with banks it believes are highly creditworthy and with highly rated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71"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The Company provides for uncollectible accounts receivable by recording an allowance for doubtful accounts for balances deemed uncollectible.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bad debts against amounts due to reduce the carrying amount of accounts receivable to the amount it reasonably believes will be collected. The Company has not experienced any significant collection issues.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Inventories are valued at the lower of cost, computed on a first-in, first-out basis, or net realizable value. The allocation of production overhead to inventory costs is based on normal production capacity. Abnormal amounts of idle facility expense, freight, handling costs, and consumption are expensed as incurred, and not included in overhead. The Company maintains provisions for excess and obsolete inventory based on management’s estimates of forecasted demand and, where applicable, product expiration.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and Intangible Assets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Property and equipment and Intangible Assets are stated at cost, less accumulated depreciation and amortization. Depreciation and amortization for property and equipment are determined using the straight-line method over the estimated useful lives of the respective assets, generally three to five years. The Company reclassifies inventory used at customer sites for evaluation purposes to property and equipment due to a limited history of sales of evaluation units. Amortization of intangible assets are determined using the straight-line method over the estimated useful lives, generally through the patent expiration date. Leasehold improvements are amortized on a straight-line basis over the shorter of their estimated useful lives or the term of the lease. Maintenance and repairs are charged to operations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Long-lived assets consist primarily of property and equipment and intangible assets,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The Company determines fair value using the income approach based on the present value of expected future cash flows or other appropriate measures of estimated fair value. The Company’s cash flow assumptions consider historical and forecasted revenue and operating costs and other relevant factors. Since inception, the Company has not recorded impairment charges on its long-lived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capitalizes, within other assets, certain legal, accounting and other third-party fees that are directly related to the Company’s in-process equity financings, including its planned initial public offering,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There were no deferred offering costs as of December 31, 2020 and $0.9 million as of June 30, 2021 (unaudited).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Cost of Sales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records deferred revenue when revenue will be recognized subsequent to invoicing. Service agreements are generally invoiced annually at the beginning of each coverage period and recorded as deferred revenue and recognized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320" w:top="1440" w:right="379" w:bottom="1440" w:gutter="0" w:footer="0" w:header="0"/>
        </w:sectPr>
      </w:pPr>
    </w:p>
    <w:bookmarkStart w:id="203" w:name="page204"/>
    <w:bookmarkEnd w:id="203"/>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ratably over the coverage period. Deferred revenue that will be recognized during the 12 months following the balance sheet date is recorded as the current portion of deferred revenue, and the remaining portion, if any, would be recorded as non-current.</w:t>
      </w:r>
    </w:p>
    <w:p>
      <w:pPr>
        <w:spacing w:after="0" w:line="11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Deferred cost of sales consists of cost for inventory items that have been shipped, but not all revenue recognition criteria has been met. Deferred cost of sales is included with prepaid expenses and other current assets in the consolidated balance sheets. Costs of sales under service agreements are recognized as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records redeemable convertible preferred stock at fair value on the date of issuance, net of issuance costs. The redeemable convertible preferred stock is recorded outside of permanent equity because it contains liquidation features that are not solely within the Company’s control. The Company determined that the carrying values of the redeemable convertible preferred stock should not be adjusted to the liquidation preferences because it is uncertain whether or when an event would occur that would obligate the Company to pay the liquidation preferences to holders of shares of redeemable convertible preferred stock. Subsequent adjustments to the carrying values of the redeemable convertible preferred stock to the liquidation preferences will be made only when it is probable that the redeemable convertible preferred stock will become redeemable.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Company has issued freestanding warrants to purchase shares of redeemable convertible preferred stock to investors in connection with sales of certain of its redeemable convertible preferred stock. The Company classified these warrants as a derivative liability because they create a conditional obligation for the Company to repurchase its own shares for cash or other assets. The fair value of the warrants are recorded on the consolidated balance sheets at the issuance of the warrants and remeasured to fair value at each financial reporting date. The changes in the fair value of the warrants are recorded in the statement of operations as a component of interest and other income or expense as appropriate. The Company will continue to adjust the carrying value of the redeemable convertible preferred stock warrant liability for changes in the fair value of the warrants until the earlier of: the exercise of the warrants, at which time the liability will be reclassified to temporary equity or the expiration of the warrant, at which time the entire amount would be reversed and reflected in the consolidated statements of operations and comprehensive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Facility Derivative Liability</w:t>
      </w:r>
    </w:p>
    <w:p>
      <w:pPr>
        <w:spacing w:after="0" w:line="17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Company has determined that its obligation to pay success fees to a lender upon a successful liquidation event or achieving a revenue target represents freestanding financial instruments. The instruments are classified as a non-current liability in the consolidated balance sheets and is subject to remeasurement at each financial reporting date. Any change in fair value is recognized through other income (expense) in the consolidated statements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For agreements with a term of more than twelve months, the Company determines if an agreement contains a lease at inception. Operating lease liabilities represent an obligation to make lease payments arising from the lease agreement. Operating lease liabilities are recognized at the lease commencement date based on the present value of lease payments over the remaining lease term. In determining the present value of lease payments, the Company estimates its incremental borrowing rate as the rate of interest that the Company would have to pay to borrow on a collateralized basis over a similar term, of an amount equal to the lease payments in a similar economic environment. Operating lease liabilities are included in the Company’s consolidated balance sheet. Right-of-use assets represent our right to use an underlying asset for the lease term and are classified as non-current assets. Lease expense is recognized on a straight-line basis over the expected lease term in the Company’s consolidated statements of operations and comprehensive loss.</w:t>
      </w:r>
    </w:p>
    <w:p>
      <w:pPr>
        <w:spacing w:after="0" w:line="1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Through December 31, 2019, the Company recorded the difference between rent paid and the straight-line rent as a deferred rent liability and leasehold improvements funded by landlord incentives or allowances are recorded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leasehold improvement assets and a corresponding deferred rent liability. Upon adoption of Accounting Standards Codification (“ASC 842”) on January 1, 2020, the unamortized deferred rent liability has been reclassified to reduce the right-of-use asset.</w:t>
      </w:r>
    </w:p>
    <w:p>
      <w:pPr>
        <w:spacing w:after="0" w:line="11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Company has not elected to separate lease and non-lease components for any leases within its existing classes of assets and, as a result, records a right-of-use asset and lease liability based on the present value of the future minimum lease payments over the term at commencement date. Variable lease payments are expensed as incurred. The Company has also elected to not apply the recognition requirement to any leases within its existing classes of assets with a term of 12 months or less and does not include an option to purchase the underlying asset that the Company is reasonably certain to exercise.</w:t>
      </w:r>
    </w:p>
    <w:p>
      <w:pPr>
        <w:spacing w:after="0" w:line="10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has lessor arrangements with customers for a fixed monthly fee with no non-lease components, typically for 3-12 months. These arrangements are accounted for as an operating lease in accordance with ASC 842. These arrangements and related revenue are immaterial to the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Warranty costs are accrued based on the Company’s best estimates when management determines that it is probable a charge or liability has been incurred and the amount of loss can be reasonably estimated, including any recalls. The Company initiated voluntary recalls for a limited number of handpieces due to certain issues related to supply chain and manufacturing processes, of which the expense recognized is not material. While the Company believes that historical experience provides a reliable basis for estimating such warranty cost, unforeseen quality issues or component failure rates could result in future costs in excess of such estimates.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6" w:lineRule="exact"/>
        <w:rPr>
          <w:sz w:val="20"/>
          <w:szCs w:val="20"/>
          <w:color w:val="auto"/>
        </w:rPr>
      </w:pPr>
    </w:p>
    <w:p>
      <w:pPr>
        <w:ind w:right="180" w:firstLine="324"/>
        <w:spacing w:after="0" w:line="236" w:lineRule="auto"/>
        <w:rPr>
          <w:sz w:val="20"/>
          <w:szCs w:val="20"/>
          <w:color w:val="auto"/>
        </w:rPr>
      </w:pPr>
      <w:r>
        <w:rPr>
          <w:rFonts w:ascii="Arial" w:cs="Arial" w:eastAsia="Arial" w:hAnsi="Arial"/>
          <w:sz w:val="18"/>
          <w:szCs w:val="18"/>
          <w:color w:val="auto"/>
        </w:rPr>
        <w:t>Revenue is derived primarily from the sales of the AquaBeam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Robotic Systems, and handpieces that are for one-time use during each surgery using the AquaBeam Robotic System. The AquaBeam Robotic System contains both software and non-software components that are delivered together as a single product and generally contain a one-year warranty.</w:t>
      </w:r>
    </w:p>
    <w:p>
      <w:pPr>
        <w:spacing w:after="0" w:line="14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To determine revenue recognition for arrangements that the Company determines are within the scope of ASC Topic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(“ASC 606”), the Company performs the following five steps: (i) identify the contract with a customer; (ii) identify the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based on the contract.</w:t>
      </w:r>
    </w:p>
    <w:p>
      <w:pPr>
        <w:spacing w:after="0" w:line="11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contracts are typically in the form of an agreement and a purchase order from the customer. The Company’s AquaBeam Robotic System sales generally contain multiple products and services and can include a combination of the following performance obligations: robotic system, handpieces and consumables, and service.</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 determines the transaction price it expects to be entitled to in exchange for transferring the promised product to the customer, which is based on the invoiced price for the products. All prices are at fixed amounts per the sales agreement with the customer and there are generally no discounts, rebates or other price concessions or a right of return, once the agreement is signed.</w:t>
      </w:r>
    </w:p>
    <w:p>
      <w:pPr>
        <w:spacing w:after="0" w:line="130"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1440" w:right="359" w:bottom="1440" w:gutter="0" w:footer="0" w:header="0"/>
        </w:sectPr>
      </w:pPr>
    </w:p>
    <w:bookmarkStart w:id="205" w:name="page206"/>
    <w:bookmarkEnd w:id="205"/>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features and functionality of the products and services, geographies, and type of customer. The Company regularly reviews standalone selling prices and updates these estimates as necessary.</w:t>
      </w:r>
    </w:p>
    <w:p>
      <w:pPr>
        <w:spacing w:after="0" w:line="11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recognizes revenue as the performance obligations are satisfied by transferring control of the product or service to a customer. The Company generally recognizes revenue for the performance obligations at the following points in time:</w:t>
      </w:r>
    </w:p>
    <w:p>
      <w:pPr>
        <w:spacing w:after="0" w:line="1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AquaBeam Robotic Systems </w:t>
      </w:r>
      <w:r>
        <w:rPr>
          <w:rFonts w:ascii="Arial" w:cs="Arial" w:eastAsia="Arial" w:hAnsi="Arial"/>
          <w:sz w:val="17"/>
          <w:szCs w:val="17"/>
          <w:color w:val="auto"/>
        </w:rPr>
        <w:t>- For systems (including system components and system accessories) sold directly to end customers, revenue is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Company transfers control to the customer, which is generally at the time of delivery. Systems rented for a fixed monthly fee during an evaluation period, typically 3-12 months, are recognized as revenue straight-line during the lease term, in accordance with ASC 842, and are not material. For systems sold following an evaluation period, revenue is recognized generally once sales terms are mutually agreed (as the system is already installed at the customer site). For systems sold through distributors, revenue is recognized generally at the time of delivery. The Company’s system arrangements generally do not provide a right of return. The systems are generally covered by a one-year warranty.</w:t>
      </w:r>
    </w:p>
    <w:p>
      <w:pPr>
        <w:spacing w:after="0" w:line="12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 xml:space="preserve">Hand pieces and other consumables </w:t>
      </w:r>
      <w:r>
        <w:rPr>
          <w:rFonts w:ascii="Arial" w:cs="Arial" w:eastAsia="Arial" w:hAnsi="Arial"/>
          <w:sz w:val="18"/>
          <w:szCs w:val="18"/>
          <w:color w:val="auto"/>
        </w:rPr>
        <w:t>- Revenue from sales of handpieces and other consumables is recognized when control is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which generally occurs at the time of shipment but also occurs at the time of delivery.</w:t>
      </w:r>
    </w:p>
    <w:p>
      <w:pPr>
        <w:spacing w:after="0" w:line="11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 xml:space="preserve">Service </w:t>
      </w:r>
      <w:r>
        <w:rPr>
          <w:rFonts w:ascii="Arial" w:cs="Arial" w:eastAsia="Arial" w:hAnsi="Arial"/>
          <w:sz w:val="18"/>
          <w:szCs w:val="18"/>
          <w:color w:val="auto"/>
        </w:rPr>
        <w:t>- Service revenue, inclusive of the amounts associated with the AquaBeam Robotic System warranties, is recognized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period, as the customer benefits from the services throughout the service period.</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has determined that certain promises in the multiple-element arrangements, such as installation, training and certain ancillary products, are immaterial, and/or do not represent separate performance obligations for which transaction price is allocated.</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Revenue is recognized when the item is delivered, which is when control is transferred to the customer. Systems rented for a fixed monthly fee during an evaluation period, typically 3-12 months, are recognized as revenue straight line during the lease term, in accordance with ASC 842, and are not material. For systems sold following an evaluation or lease period, revenue is recognized once the sales terms are mutually agreed (as the system is already installed at the customer site). The timing of revenue recognition may differ from the timing of invoicing to customers. The Company records deferred revenue when revenue is recognized subsequent to invoicing, such as service contracts, which are recognized ratably as revenue over the performance period, which is not material.</w:t>
      </w:r>
    </w:p>
    <w:p>
      <w:pPr>
        <w:spacing w:after="0" w:line="13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Company’s typical payment terms are between approximately 30 to 90 days. The Company expenses shipping and handling costs as incurred and includes them in the cost of sales. In those cases where shipping and handling costs are billed to customers, the Company classifies the amounts billed as a component of revenue. Taxes collected from customers and remitted to governmental authorities are excluded from revenue. The Company expenses any incremental costs of obtaining a contract, including but not limited to, sales commissions, as and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incurred as the expected amortization period of the incremental costs would have been less than one year and are reported in selling, general and administrative expense in the statements of operations and comprehensive loss.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revenue disaggregated by type and geography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7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System sales and rentals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9,330</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Hand pieces and other consumables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Service</w:t>
            </w: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3"/>
        </w:trPr>
        <w:tc>
          <w:tcPr>
            <w:tcW w:w="47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U.S. revenue</w:t>
            </w: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Outside of U.S.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System sales and rentals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Hand pieces and other consumables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outside of U.S. revenue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w:t>
            </w:r>
          </w:p>
        </w:tc>
      </w:tr>
      <w:tr>
        <w:trPr>
          <w:trHeight w:val="248"/>
        </w:trPr>
        <w:tc>
          <w:tcPr>
            <w:tcW w:w="4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revenue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revenue by significant geographical locations outside the United States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5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ind w:left="680"/>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183"/>
        </w:trPr>
        <w:tc>
          <w:tcPr>
            <w:tcW w:w="45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top w:val="single" w:sz="8" w:color="auto"/>
            </w:tcBorders>
          </w:tcPr>
          <w:p>
            <w:pPr>
              <w:ind w:left="128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Borders>
              <w:top w:val="single" w:sz="8" w:color="auto"/>
            </w:tcBorders>
          </w:tcPr>
          <w:p>
            <w:pPr>
              <w:spacing w:after="0"/>
              <w:rPr>
                <w:sz w:val="15"/>
                <w:szCs w:val="15"/>
                <w:color w:val="auto"/>
              </w:rPr>
            </w:pPr>
          </w:p>
        </w:tc>
      </w:tr>
      <w:tr>
        <w:trPr>
          <w:trHeight w:val="231"/>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Germany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20"/>
                <w:szCs w:val="20"/>
                <w:color w:val="auto"/>
              </w:rPr>
            </w:pPr>
          </w:p>
        </w:tc>
        <w:tc>
          <w:tcPr>
            <w:tcW w:w="21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24 %</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Italy</w:t>
            </w:r>
          </w:p>
        </w:tc>
        <w:tc>
          <w:tcPr>
            <w:tcW w:w="540" w:type="dxa"/>
            <w:vAlign w:val="bottom"/>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180" w:type="dxa"/>
            <w:vAlign w:val="bottom"/>
          </w:tcPr>
          <w:p>
            <w:pPr>
              <w:ind w:left="1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Austria</w:t>
            </w: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18 %</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c>
          <w:tcPr>
            <w:tcW w:w="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180" w:type="dxa"/>
            <w:vAlign w:val="bottom"/>
          </w:tcPr>
          <w:p>
            <w:pPr>
              <w:ind w:left="1260"/>
              <w:spacing w:after="0"/>
              <w:rPr>
                <w:sz w:val="20"/>
                <w:szCs w:val="20"/>
                <w:color w:val="auto"/>
              </w:rPr>
            </w:pPr>
            <w:r>
              <w:rPr>
                <w:rFonts w:ascii="Arial" w:cs="Arial" w:eastAsia="Arial" w:hAnsi="Arial"/>
                <w:sz w:val="18"/>
                <w:szCs w:val="18"/>
                <w:color w:val="auto"/>
              </w:rPr>
              <w:t>14 %</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Less than 10% of total net revenues for the period indicated.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71"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Cost of sales consists primarily of manufacturing overhead costs, material costs and direct labor, including stock-based compensation. A significant portion of the Company’s cost of sales currently consists of manufacturing overhead costs. These overhead costs include the cost of quality assurance, material procurement, inventory control, facilities, warranty and field service, equipment and operations supervision and management. Cost of sales also includes depreciation expense for production equipment and purchased intangibles and certain direct costs such as shipping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costs consist primarily of engineering, product development, and regulatory affairs, consulting services, materials, depreciation and other costs associated with products and technologies being developed. These expenses include employee and non-employee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compensation, including stock-based compensation, supplies, materials, quality assurance expenses, consulting, related travel expenses and facilities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The Company maintains a payment equity incentive plan to provide long-term incentives for employees, consultants and members of the board of directors. The plan allows for the issuance of non-statutory and incentive stock options to employees and non-statutory stock options to consultants and non-employee directors.</w:t>
      </w:r>
    </w:p>
    <w:p>
      <w:pPr>
        <w:spacing w:after="0" w:line="130"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Company is required to determine the fair value of equity incentive awards and recognize compensation expense for all equity incentive awards made to employees and directors, including employee stock options. Stock-based compensation expense is recognized over the requisite service period in the statements of operations and comprehensive loss. The Company uses the straight-line method for expense attribution.</w:t>
      </w:r>
    </w:p>
    <w:p>
      <w:pPr>
        <w:spacing w:after="0" w:line="111"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The valuation model used for calculating the fair value of awards for stock-based compensation expense is the Black-Scholes option-pricing model (the “Black-Scholes model”). The Black-Scholes model requires the Company to make assumptions and judgments about the variables used in the calculation, including the fair value of the Company’s common stock, the expected term (weighted-average period of time that the options granted are expected to be outstanding), the expected volatility of common stock, an assumed risk-free interest rate and an expected dividend rate.</w:t>
      </w:r>
    </w:p>
    <w:p>
      <w:pPr>
        <w:spacing w:after="0" w:line="10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fair value of the Company’s common stock underlying the stock options has historically been determined by the Company’s board of directors (“Board”). Because there has been no public market for our common stock, the Board has determined the fair value of the Company’s common stock at the time of grant of the option by considering a number of objective and subjective factors, including valuations of comparable companies, sales of the Company’s redeemable convertible preferred stock, operating and financial performance and the general and industry-specific economic outlook. The Company uses the “simplified method” to determine the expected term of the stock option. Expected volatility is based on an average of the historical volatilities of the common stock of publicly-traded companies with characteristics similar to those of the Company. The risk-free rate is based on the U.S. Treasury yield curve in effect at the time of grant for periods corresponding with the expected term of the option. The Company has elected to account for forfeitures when they occur.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The Company’s intent has been to grant all options with an exercise price not less than the fair value of its common stock underlying those options on the date of grant. The Company has determined the estimated fair value of its common stock at each valuation date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(the “Practice Aid”). The Company’s board of directors, with the assistance of management, developed these valuations using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and taking into account numerous factors, including:</w:t>
      </w:r>
    </w:p>
    <w:p>
      <w:pPr>
        <w:spacing w:after="0" w:line="134"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valuations of its common stock with the assistance of independent third-party valuation specialists;</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stage of development and business strategy, including the status of research and development efforts, of its products and product candidates, and the material risks related to its business and industry;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results of operations and financial position, including its levels of available capital resources;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medical device sectors, as well as recently completed mergers and acquisitions of peer companies;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prices of its redeemable convertible preferred stock sold to investors in arm’s length transactions and the rights, preferences, and privileges of its redeemable convertible preferred stock relative to those of its common stock;</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its common stock, such as an initial public offering or a sale of the Company given prevailing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80"/>
          </w:cols>
          <w:pgMar w:left="320" w:top="1440" w:right="399" w:bottom="1440" w:gutter="0" w:footer="0" w:header="0"/>
        </w:sectPr>
      </w:pPr>
    </w:p>
    <w:bookmarkStart w:id="208" w:name="page209"/>
    <w:bookmarkEnd w:id="208"/>
    <w:p>
      <w:pPr>
        <w:spacing w:after="0" w:line="144" w:lineRule="exact"/>
        <w:rPr>
          <w:sz w:val="20"/>
          <w:szCs w:val="20"/>
          <w:color w:val="auto"/>
        </w:rPr>
      </w:pPr>
    </w:p>
    <w:p>
      <w:pPr>
        <w:ind w:left="660" w:right="10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inability of our stockholders to freely trade our common stock in the public markets, resulting in a discount to reflect the lack of marketability of our common stock based on the weighted-average expected time to liquidity.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trends and developments in its industry;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medical device industry sectors.</w:t>
      </w:r>
    </w:p>
    <w:p>
      <w:pPr>
        <w:spacing w:after="0" w:line="171"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Company’s board of directors determined the fair value of its common stock by first determining the enterprise value of the Company’s business using the market approach, income approach or from the value implied by the latest round of equity financing, and then allocating the value among the various classes of its equity securities to derive a per share value of its common stock. The Practice Aid identifies various available methods for allocating enterprise value across classes and series of capital stock to determine the estimated fair value of common stock at each valuation date.</w:t>
      </w:r>
    </w:p>
    <w:p>
      <w:pPr>
        <w:spacing w:after="0" w:line="10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For all option grant dates through December 31, 2020 and June 30, 2021, the Board allocated the enterprise value based on the option pricing method (“OPM”). OPM treats the rights of the holders of preferred and common stock as equivalent to call options on any value of the enterprise above certain break points of value based upon the liquidation preferences of the holders of preferred stock, as well as their rights to participation and conversion. Thus, the estimated value of the common stock can be determined by estimating the value of its portion of each of these call option rights. When valuing options granted round the time of an equity financing that is considered arms-length, OPM derives the Company’s equity value of a company from the price of the securities issued by the Company in the equity financing. Following the closing of this offering, the fair value of the Company’s common stock will be determined based on the closing price of its common stock on The Nasdaq Global Market.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expenses the costs of advertising, including promotional expenses, as incurred. Advertising expenses were not 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Company has a defined contribution retirement savings plan under Section 401(k) of the Internal Revenue Code. This plan allows eligible employees to defer a portion of their annual compensation on a pre-tax basis. The Company is authorized to make matching contributions but has not made such contributions for the years ended December 31, 2019 and 2020, and the six months ended June 30, 2021 (unaudited).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accounts for income taxes under the liability method. Under this method, deferred tax assets and liabilities are determined based on the differences between the financial reporting and tax bases of assets and liabilities and are measured using the enacted tax rates that will be in effect when the differences are expected to reverse. Valuation allowances against deferred tax assets are established when necessary to reduce deferred tax assets to the amounts expected to be realized. Currently, the Company has recorded a full valuation allowance against its deferred tax assets and there is no provision for income taxes, as the Company has incurred operating losses to-date. The Company’s policy is to record interest and penalties expense related to uncertain tax positions as a component of income tax expense in the statement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outstanding during the period. Diluted net loss per share is computed by dividing the net loss by the weighted-average number of shares of common stock and common stock equivalent shares from dilutive stock options and common stock warrants outstanding during the period. Because the Company has reported a net loss for all periods presented, diluted net loss per share is the same as basic net loss per share for those periods as all potentially dilutive securities were antidilutive in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320" w:top="1440" w:right="359" w:bottom="1440" w:gutter="0" w:footer="0" w:header="0"/>
        </w:sectPr>
      </w:pPr>
    </w:p>
    <w:bookmarkStart w:id="209" w:name="page210"/>
    <w:bookmarkEnd w:id="209"/>
    <w:p>
      <w:pPr>
        <w:spacing w:after="0" w:line="14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Company allocates no loss to participating securities because they have no contractual obligation to share in the losses of the Company. The shares of the Company’s redeemable convertible preferred stock participate in any dividends declared by the Company and are therefore considered to be participating securities.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 per share was determined as follows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286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7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(27,402)</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stock outstanding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gridSpan w:val="3"/>
          </w:tcPr>
          <w:p>
            <w:pPr>
              <w:jc w:val="center"/>
              <w:ind w:left="1017"/>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3"/>
          </w:tcPr>
          <w:p>
            <w:pPr>
              <w:jc w:val="center"/>
              <w:ind w:left="997"/>
              <w:spacing w:after="0"/>
              <w:rPr>
                <w:sz w:val="20"/>
                <w:szCs w:val="20"/>
                <w:color w:val="auto"/>
              </w:rPr>
            </w:pPr>
            <w:r>
              <w:rPr>
                <w:rFonts w:ascii="Arial" w:cs="Arial" w:eastAsia="Arial" w:hAnsi="Arial"/>
                <w:sz w:val="14"/>
                <w:szCs w:val="14"/>
                <w:b w:val="1"/>
                <w:bCs w:val="1"/>
                <w:color w:val="auto"/>
                <w:w w:val="94"/>
              </w:rPr>
              <w:t>(unaudited)</w:t>
            </w:r>
          </w:p>
        </w:tc>
        <w:tc>
          <w:tcPr>
            <w:tcW w:w="1100" w:type="dxa"/>
            <w:vAlign w:val="bottom"/>
          </w:tcPr>
          <w:p>
            <w:pPr>
              <w:spacing w:after="0"/>
              <w:rPr>
                <w:sz w:val="15"/>
                <w:szCs w:val="15"/>
                <w:color w:val="auto"/>
              </w:rPr>
            </w:pPr>
          </w:p>
        </w:tc>
      </w:tr>
      <w:tr>
        <w:trPr>
          <w:trHeight w:val="231"/>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20,998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29,850</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6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options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r>
      <w:tr>
        <w:trPr>
          <w:trHeight w:val="243"/>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27,503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Comprehensive loss consists of net loss and changes in unrealized gains and losses on cash equivalents and available-for-sale marketable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is presented in the accompanying balance sheets, when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Geographical and Customer Concentration</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 operates as a single operating segment. The Company’s chief operating decision maker, its Chief Executive Officer, reviews financial information on an aggregate basis for the purposes of allocating resources and evaluating financial performance. The Company’s assets are primarily based in the United States.</w:t>
      </w:r>
    </w:p>
    <w:p>
      <w:pPr>
        <w:spacing w:after="0" w:line="13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One customer accounted for 19% of revenue during the year ended December 31, 2019. No customers accounted for more than 10% of revenue during the year ended December 31, 2020. Two customers accounted for 13% and 12% of revenue during the six months ended June 30, 2020 (unaudited). No customers accounted for more than 10% of revenue during the six months ended June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revenue by significant geographical locations outside the United States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5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ind w:left="680"/>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183"/>
        </w:trPr>
        <w:tc>
          <w:tcPr>
            <w:tcW w:w="45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top w:val="single" w:sz="8" w:color="auto"/>
            </w:tcBorders>
          </w:tcPr>
          <w:p>
            <w:pPr>
              <w:ind w:left="128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Borders>
              <w:top w:val="single" w:sz="8" w:color="auto"/>
            </w:tcBorders>
          </w:tcPr>
          <w:p>
            <w:pPr>
              <w:spacing w:after="0"/>
              <w:rPr>
                <w:sz w:val="15"/>
                <w:szCs w:val="15"/>
                <w:color w:val="auto"/>
              </w:rPr>
            </w:pPr>
          </w:p>
        </w:tc>
      </w:tr>
      <w:tr>
        <w:trPr>
          <w:trHeight w:val="231"/>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Germany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20"/>
                <w:szCs w:val="20"/>
                <w:color w:val="auto"/>
              </w:rPr>
            </w:pPr>
          </w:p>
        </w:tc>
        <w:tc>
          <w:tcPr>
            <w:tcW w:w="21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24 %</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Italy</w:t>
            </w:r>
          </w:p>
        </w:tc>
        <w:tc>
          <w:tcPr>
            <w:tcW w:w="540" w:type="dxa"/>
            <w:vAlign w:val="bottom"/>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180" w:type="dxa"/>
            <w:vAlign w:val="bottom"/>
          </w:tcPr>
          <w:p>
            <w:pPr>
              <w:ind w:left="13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Austria</w:t>
            </w: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18 %</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c>
          <w:tcPr>
            <w:tcW w:w="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180" w:type="dxa"/>
            <w:vAlign w:val="bottom"/>
          </w:tcPr>
          <w:p>
            <w:pPr>
              <w:ind w:left="1260"/>
              <w:spacing w:after="0"/>
              <w:rPr>
                <w:sz w:val="20"/>
                <w:szCs w:val="20"/>
                <w:color w:val="auto"/>
              </w:rPr>
            </w:pPr>
            <w:r>
              <w:rPr>
                <w:rFonts w:ascii="Arial" w:cs="Arial" w:eastAsia="Arial" w:hAnsi="Arial"/>
                <w:sz w:val="18"/>
                <w:szCs w:val="18"/>
                <w:color w:val="auto"/>
              </w:rPr>
              <w:t>14 %</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Less than 10% of total net revenues for the period indicated.</w:t>
      </w:r>
    </w:p>
    <w:p>
      <w:pPr>
        <w:spacing w:after="0" w:line="171" w:lineRule="exact"/>
        <w:rPr>
          <w:sz w:val="20"/>
          <w:szCs w:val="20"/>
          <w:color w:val="auto"/>
        </w:rPr>
      </w:pPr>
    </w:p>
    <w:p>
      <w:pPr>
        <w:jc w:val="both"/>
        <w:ind w:right="240" w:firstLine="324"/>
        <w:spacing w:after="0" w:line="342" w:lineRule="auto"/>
        <w:rPr>
          <w:sz w:val="20"/>
          <w:szCs w:val="20"/>
          <w:color w:val="auto"/>
        </w:rPr>
      </w:pPr>
      <w:r>
        <w:rPr>
          <w:rFonts w:ascii="Arial" w:cs="Arial" w:eastAsia="Arial" w:hAnsi="Arial"/>
          <w:sz w:val="16"/>
          <w:szCs w:val="16"/>
          <w:color w:val="auto"/>
        </w:rPr>
        <w:t>Three customers each accounted for 20%, 18%, and 11% of accounts receivable at December 31, 2019. Two customers each accounted for 22% and 13% of accounts receivable at December 31, 2020. One customer accounted for 11% of accounts receivable at June 30, 2021 (unaudited).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is an emerging growth company, as defined in the JOBS Act. Under the JOBS Act, emerging growth companies can delay adopting new or revised accounting standards issued subsequent to the enactment of the JOBS Act until such time as those standards apply to private companies. The Company has elected to avail itself of this exemption and, therefore, for new or revised accounting standards applicable to public companies, the Company will be subject to an extended transition period until those standards would otherwise apply to private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(Topic 820): Disclosure Framework—Changes to the Disclosure Requirements for Fair Value Measurement </w:t>
      </w:r>
      <w:r>
        <w:rPr>
          <w:rFonts w:ascii="Arial" w:cs="Arial" w:eastAsia="Arial" w:hAnsi="Arial"/>
          <w:sz w:val="18"/>
          <w:szCs w:val="18"/>
          <w:color w:val="auto"/>
        </w:rPr>
        <w:t>(“ASU 2018-13”).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on changes in unrealized gains and losses recognized in other comprehensive income categorized within Level 3, the range and weighted average of significant unobservable inputs used to develop Level 3 fair value measurements, and the narrative description of measurement uncertainty should be applied prospectively in the initial fiscal year of adoption. All other amendments should be applied retrospectively to all periods presented upon their effective date. The Company adopted ASU 2018-13 as of January 1, 2020, which did not have a material impact on its consolidated financial statements.</w:t>
      </w:r>
    </w:p>
    <w:p>
      <w:pPr>
        <w:spacing w:after="0" w:line="141"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In July 2018, the FASB issued ASU No. 2018-11, Leases (Topic 842): Targeted Improvements (“ASU 2018-11”). ASU 2018-11 provided an alternative implementation method in addition to the current modified retrospective transition method for ASU No. 2016-2, Leases: Amendments to the FASB Accounting Standards Codification (“ASU 2016-2”), issued in February 2016. Under ASU 2018-11, an entity may elect to initially apply the new lease standard at the adoption date and recognize a cumulative-effect adjustment to the opening balance of retained earnings in the period of adoption. Under ASU 2016-2, a lessee is required to recognize assets and liabilities for leases with lease terms of more than twelve months. ASU 2016-2 is effective for fiscal years beginning after December 15, 2018, including interim periods within those fiscal years. The Company adopted ASC Topic 842, Leases, on January 1, 2020 using the modified retrospective transition method. In addition, the Company elected certain practical expedients permitted under the transition guidance, which allowed it to carryforward its historical long-term lease classification, its assessment on whether a contract is or contains a lease and the treatment of its initial direct costs for any leases that existed prior to the adoption of Topic 842. In determining the lease term at commencement date, any renewal or termination options are considered if they are reasonably assured of exercise. The Company has elected to exclude from its consolidated balance sheet any leases having a term of 12 months or less. The Company recorded a right-of-use leased asset of approximately $6.0 million and a corresponding lease liability of $7.4 million in its adoption of Topic 842. In addition, as of the adoption date, the Company derecognized a deferred rent obligation of $1.4 million. There was no cumulative effect adjustment upon the adoption of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4"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which requires an entity to utilize a new impairment model known as the current 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Financial Instruments—Credit Losses (Topic 326), Derivatives and Hedging (Topic 815) and Leases (Topic 842): Effective Dates, which defers the effective date of ASU 2016-13 to fiscal years beginning after December 15, 2022 for all entities except SEC reporting companies that are not smaller reporting companies. ASU 2016-13 will be effective for the Company beginning January 1, 2023. The Company is currently evaluating the impact of the adoption of ASU 2016-13 on its consolidated financial statements.</w:t>
      </w:r>
    </w:p>
    <w:p>
      <w:pPr>
        <w:spacing w:after="0" w:line="131"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In December 2019, the FASB issued ASU No. 2019-12, Income Taxes (Topic 740), which simplifies the accounting for income taxes, primarily by eliminating certain exceptions to ASC 740. This standard is effective for fiscal periods beginning after December 15, 2021. The Company is currently evaluating this standard and the impact it may have on its consolidated financial statements.</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Composition of Certain Consolidated Financial Statement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23"/>
        </w:trPr>
        <w:tc>
          <w:tcPr>
            <w:tcW w:w="636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Prepaid Expenses and Other Current Assets (in thousands):</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3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3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Software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6360" w:type="dxa"/>
            <w:vAlign w:val="bottom"/>
          </w:tcPr>
          <w:p>
            <w:pPr>
              <w:ind w:left="180"/>
              <w:spacing w:after="0"/>
              <w:rPr>
                <w:sz w:val="20"/>
                <w:szCs w:val="20"/>
                <w:color w:val="auto"/>
              </w:rPr>
            </w:pPr>
            <w:r>
              <w:rPr>
                <w:rFonts w:ascii="Arial" w:cs="Arial" w:eastAsia="Arial" w:hAnsi="Arial"/>
                <w:sz w:val="18"/>
                <w:szCs w:val="18"/>
                <w:color w:val="auto"/>
              </w:rPr>
              <w:t>Total prepaid expenses and other current assets</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(unaudited), other non-current assets consisted of deferred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Rental equipment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Evaluation units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(2,242)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 (in thousands):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3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09"/>
        </w:trPr>
        <w:tc>
          <w:tcPr>
            <w:tcW w:w="63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purchases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Interest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Sales tax</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Clinical trial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offering costs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current liabilities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December 31, 2019 and 2020, and June 30, 2021 (unaudited), other non-current liabilities consisted of an asset retirement obligation for the facility lease.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190"/>
        </w:trPr>
        <w:tc>
          <w:tcPr>
            <w:tcW w:w="47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25"/>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Decrease in fair value of preferred stock warrants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fair value of loan facility derivative liability</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and other income (expense), net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Intangible Assets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March 2019, the Company entered into a license agreement with HydroCision, Inc. This agreement grants the Company an exclusive, perpetual, irrevocable, worldwide, fully paid-up license to develop, manufacture and commercialize products in the field of urology using the patented technology and know-how controlled by HydroCision as of the effective date and as well as new patented technology developed by HydroCision that cover certain activities and improvements that relate to the use of fluid jet technology in connection with the licensed products during the period commencing on the effective date and ending on the earlier of the date that the Company ceases to use HydroCision’s existing contract manufacturers and the third anniversary of the effective date. Also included is the right to utilize HydroCision’s contract manufacturers, if desired. The consideration paid was a one-time upfront payment of $2.5 million, as well as allowing HydroCision (a reciprocal license) to use any new patented technology and know-how developed by the Company relating to the HydroCision patented technology and know-how in the field of urology for HydroCision use outside the field of urology. HydroCision will pay for any patent maintenance fees on HydroCision’s licensed patents. As of December 31, 2020 and June 30, 2021 (unaudited), accumulated amortization was $0.5 million and $0.6 million, respectively, and the net carrying amount is expected to be amortized at a rate of $0.3 million per year until fully amortized.</w:t>
      </w:r>
    </w:p>
    <w:p>
      <w:pPr>
        <w:spacing w:after="0" w:line="12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Amortization expense for intangible assets for the years ended December 31, 2019 and 2020, was $0.2 million and $0.3 million, respectively, and $0.1 million during each of the six months ended June 30, 2020 and 2021 (unaudited).</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Loan Facility</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September 2019, the Company entered into a loan facility for up to $75 million available in four installments. The Company borrowed $25 million in September 2019. An additional $25 million was borrowed in March 2020. The third installment of $10 million was originally available for draw through March 31, 2021 contingent upon achieving $20 million in trailing six months revenue. In January 2021, the third installment was amended to be available for draw through June 30, 2021 contingent upon achieving $6.4 million trailing six months revenue. The remaining $15 million was originally available for draw through June 30, 2021 and is contingent upon achieving $25 million in trailing six months revenue. In January 2021, this installment was amended to be available for draw through June 30, 2022. The facility bears an interest rate of 9.37%, which is 7.17% plus the greater of 2.2% or 30-day LIBOR. The initial term of the facility is 60 months with interest-only payments each month for 24 months followed by 36 months amortization of principal and interest. In January 2021, the interest-only period was amended to 36 months followed by 24 months amortization (principal and interest) beginning October 1, 2022 since the amended trailing six months target revenue of $6.4 million was achieved, and accordingly, the current portion of the amount due was reclassified to non-current. Upon drawing the final $15 million tranche, interest-only period is extended 12 months followed by 24 months amortization of principal and interest. If $50 million is raised in an IPO, interest-only payments are extended an additional 12 months followed by 24 months amortization of principal and interest. Substantially all assets of the Company are pledged as collateral. Commencing with the earlier of June 30, 2021 and the month following the funding of either the third or final installment, the Company is required to achieve revenues for the previous six months ended equal to the greater of (1) 70% of the forecast for the commensurate period, (2) $15 million if neither third or final installments have been drawn, (3) $20 million if the third but not final installment has been drawn and (4) $25 million if both the third and final installments have been drawn.</w:t>
      </w:r>
    </w:p>
    <w:p>
      <w:pPr>
        <w:spacing w:after="0" w:line="11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loan facility includes certain fees payable to the lender recorded as a loan discount that are accrued and amortized to interest expense during the loan term. A 6% final payment fee of each funded tranche is payable at the earlier of prepayment or loan maturity and a 0.25% facility fee paid at each funded tranche. A prepayment fee was originally payable if the loan is paid before maturity in the amount of 3% of loans outstanding if paid in full during first 12 months, 2% if loan is paid in full during second 12 months, or 1% if loan is paid in full thereafter before maturity. In January 2021, the prepayment fee was removed as part of the amendments. In addition, the Company should pay the lender’s loan initiation fees and a fee upon the earlier occurrence of a defined liquidity event, including but not limited to, a merger or sale of the Company’s assets or voting stock, or achieving a $200 million trailing twelve months revenue target, in each case, by September 2029</w:t>
      </w:r>
      <w:r>
        <w:rPr>
          <w:rFonts w:ascii="Arial" w:cs="Arial" w:eastAsia="Arial" w:hAnsi="Arial"/>
          <w:sz w:val="18"/>
          <w:szCs w:val="18"/>
          <w:b w:val="1"/>
          <w:bCs w:val="1"/>
          <w:color w:val="auto"/>
        </w:rPr>
        <w:t>.</w:t>
      </w:r>
      <w:r>
        <w:rPr>
          <w:rFonts w:ascii="Arial" w:cs="Arial" w:eastAsia="Arial" w:hAnsi="Arial"/>
          <w:sz w:val="18"/>
          <w:szCs w:val="18"/>
          <w:color w:val="auto"/>
        </w:rPr>
        <w:t xml:space="preserve"> The success fees are calculated at the time of the liquidity event occurrence to be $1 million if only the first installment has been drawn, $2 million if the first two installments have been drawn, $2.4 million if the first three installments have been drawn, or $3 million if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four installments have been drawn, in each case, upon the occurrence of the defined liquidity event. The Company determined that this obligation to pay success fees represents freestanding financial instruments.</w:t>
      </w:r>
    </w:p>
    <w:p>
      <w:pPr>
        <w:spacing w:after="0" w:line="11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amendments in January 2021 were accounted for as a debt modification under ASC 470-50-40 as the changes in the debt terms are not considered substantial, and thus no gain or loss was recorded and a new effective interest rate was established based on the carrying value of the loan and the revised cash flows.</w:t>
      </w:r>
    </w:p>
    <w:p>
      <w:pPr>
        <w:spacing w:after="0" w:line="126"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 Warrant Liability</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Warrants to purchase shares of redeemable convertible preferred stock outstanding and exercisable are as follows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Dates</w:t>
            </w:r>
          </w:p>
        </w:tc>
        <w:tc>
          <w:tcPr>
            <w:tcW w:w="100" w:type="dxa"/>
            <w:vAlign w:val="bottom"/>
            <w:vMerge w:val="restart"/>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6"/>
              </w:rPr>
              <w:t>Shares Outstanding at</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June 30,</w:t>
            </w:r>
          </w:p>
        </w:tc>
        <w:tc>
          <w:tcPr>
            <w:tcW w:w="300" w:type="dxa"/>
            <w:vAlign w:val="bottom"/>
            <w:gridSpan w:val="2"/>
            <w:vMerge w:val="restart"/>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ind w:left="400"/>
              <w:spacing w:after="0"/>
              <w:rPr>
                <w:sz w:val="20"/>
                <w:szCs w:val="20"/>
                <w:color w:val="auto"/>
              </w:rPr>
            </w:pPr>
            <w:r>
              <w:rPr>
                <w:rFonts w:ascii="Arial" w:cs="Arial" w:eastAsia="Arial" w:hAnsi="Arial"/>
                <w:sz w:val="13"/>
                <w:szCs w:val="13"/>
                <w:b w:val="1"/>
                <w:bCs w:val="1"/>
                <w:color w:val="auto"/>
                <w:w w:val="93"/>
              </w:rPr>
              <w:t>Fair Value at</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center"/>
              <w:ind w:right="90"/>
              <w:spacing w:after="0"/>
              <w:rPr>
                <w:sz w:val="20"/>
                <w:szCs w:val="20"/>
                <w:color w:val="auto"/>
              </w:rPr>
            </w:pPr>
            <w:r>
              <w:rPr>
                <w:rFonts w:ascii="Arial" w:cs="Arial" w:eastAsia="Arial" w:hAnsi="Arial"/>
                <w:sz w:val="13"/>
                <w:szCs w:val="13"/>
                <w:b w:val="1"/>
                <w:bCs w:val="1"/>
                <w:color w:val="auto"/>
                <w:w w:val="84"/>
              </w:rPr>
              <w:t>June 30,</w:t>
            </w:r>
          </w:p>
        </w:tc>
        <w:tc>
          <w:tcPr>
            <w:tcW w:w="0" w:type="dxa"/>
            <w:vAlign w:val="bottom"/>
          </w:tcPr>
          <w:p>
            <w:pPr>
              <w:spacing w:after="0"/>
              <w:rPr>
                <w:sz w:val="1"/>
                <w:szCs w:val="1"/>
                <w:color w:val="auto"/>
              </w:rPr>
            </w:pPr>
          </w:p>
        </w:tc>
      </w:tr>
      <w:tr>
        <w:trPr>
          <w:trHeight w:val="169"/>
        </w:trPr>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Exercise</w:t>
            </w:r>
          </w:p>
        </w:tc>
        <w:tc>
          <w:tcPr>
            <w:tcW w:w="136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3"/>
                <w:szCs w:val="13"/>
                <w:b w:val="1"/>
                <w:bCs w:val="1"/>
                <w:color w:val="auto"/>
                <w:w w:val="87"/>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Initial</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w w:val="87"/>
              </w:rPr>
              <w:t>December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0" w:type="dxa"/>
            <w:vAlign w:val="bottom"/>
          </w:tcPr>
          <w:p>
            <w:pPr>
              <w:jc w:val="center"/>
              <w:ind w:left="65"/>
              <w:spacing w:after="0"/>
              <w:rPr>
                <w:sz w:val="20"/>
                <w:szCs w:val="20"/>
                <w:color w:val="auto"/>
              </w:rPr>
            </w:pPr>
            <w:r>
              <w:rPr>
                <w:rFonts w:ascii="Arial" w:cs="Arial" w:eastAsia="Arial" w:hAnsi="Arial"/>
                <w:sz w:val="13"/>
                <w:szCs w:val="13"/>
                <w:b w:val="1"/>
                <w:bCs w:val="1"/>
                <w:color w:val="auto"/>
                <w:w w:val="86"/>
              </w:rPr>
              <w:t>Issuance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Expiration</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1"/>
              </w:rPr>
              <w:t>Series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940" w:type="dxa"/>
            <w:vAlign w:val="bottom"/>
          </w:tcPr>
          <w:p>
            <w:pPr>
              <w:jc w:val="right"/>
              <w:ind w:right="26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264"/>
              <w:spacing w:after="0"/>
              <w:rPr>
                <w:sz w:val="20"/>
                <w:szCs w:val="20"/>
                <w:color w:val="auto"/>
              </w:rPr>
            </w:pPr>
            <w:r>
              <w:rPr>
                <w:rFonts w:ascii="Arial" w:cs="Arial" w:eastAsia="Arial" w:hAnsi="Arial"/>
                <w:sz w:val="13"/>
                <w:szCs w:val="13"/>
                <w:b w:val="1"/>
                <w:bCs w:val="1"/>
                <w:color w:val="auto"/>
                <w:w w:val="82"/>
              </w:rPr>
              <w:t>2020</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264"/>
              <w:spacing w:after="0"/>
              <w:rPr>
                <w:sz w:val="20"/>
                <w:szCs w:val="20"/>
                <w:color w:val="auto"/>
              </w:rPr>
            </w:pPr>
            <w:r>
              <w:rPr>
                <w:rFonts w:ascii="Arial" w:cs="Arial" w:eastAsia="Arial" w:hAnsi="Arial"/>
                <w:sz w:val="13"/>
                <w:szCs w:val="13"/>
                <w:b w:val="1"/>
                <w:bCs w:val="1"/>
                <w:color w:val="auto"/>
                <w:w w:val="82"/>
              </w:rPr>
              <w:t>2020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90"/>
              <w:spacing w:after="0"/>
              <w:rPr>
                <w:sz w:val="20"/>
                <w:szCs w:val="20"/>
                <w:color w:val="auto"/>
              </w:rPr>
            </w:pPr>
            <w:r>
              <w:rPr>
                <w:rFonts w:ascii="Arial" w:cs="Arial" w:eastAsia="Arial" w:hAnsi="Arial"/>
                <w:sz w:val="13"/>
                <w:szCs w:val="13"/>
                <w:b w:val="1"/>
                <w:bCs w:val="1"/>
                <w:color w:val="auto"/>
                <w:w w:val="82"/>
              </w:rPr>
              <w:t>2021</w:t>
            </w:r>
          </w:p>
        </w:tc>
        <w:tc>
          <w:tcPr>
            <w:tcW w:w="0" w:type="dxa"/>
            <w:vAlign w:val="bottom"/>
          </w:tcPr>
          <w:p>
            <w:pPr>
              <w:spacing w:after="0"/>
              <w:rPr>
                <w:sz w:val="1"/>
                <w:szCs w:val="1"/>
                <w:color w:val="auto"/>
              </w:rPr>
            </w:pPr>
          </w:p>
        </w:tc>
      </w:tr>
      <w:tr>
        <w:trPr>
          <w:trHeight w:val="139"/>
        </w:trPr>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(unaudited)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70"/>
              <w:spacing w:after="0"/>
              <w:rPr>
                <w:sz w:val="20"/>
                <w:szCs w:val="20"/>
                <w:color w:val="auto"/>
              </w:rPr>
            </w:pPr>
            <w:r>
              <w:rPr>
                <w:rFonts w:ascii="Arial" w:cs="Arial" w:eastAsia="Arial" w:hAnsi="Arial"/>
                <w:sz w:val="11"/>
                <w:szCs w:val="11"/>
                <w:b w:val="1"/>
                <w:bCs w:val="1"/>
                <w:color w:val="auto"/>
                <w:w w:val="90"/>
              </w:rPr>
              <w:t>(unaudited)</w:t>
            </w:r>
          </w:p>
        </w:tc>
        <w:tc>
          <w:tcPr>
            <w:tcW w:w="0" w:type="dxa"/>
            <w:vAlign w:val="bottom"/>
          </w:tcPr>
          <w:p>
            <w:pPr>
              <w:spacing w:after="0"/>
              <w:rPr>
                <w:sz w:val="1"/>
                <w:szCs w:val="1"/>
                <w:color w:val="auto"/>
              </w:rPr>
            </w:pPr>
          </w:p>
        </w:tc>
      </w:tr>
      <w:tr>
        <w:trPr>
          <w:trHeight w:val="22"/>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jc w:val="center"/>
              <w:ind w:left="65"/>
              <w:spacing w:after="0"/>
              <w:rPr>
                <w:sz w:val="20"/>
                <w:szCs w:val="20"/>
                <w:color w:val="auto"/>
              </w:rPr>
            </w:pPr>
            <w:r>
              <w:rPr>
                <w:rFonts w:ascii="Arial" w:cs="Arial" w:eastAsia="Arial" w:hAnsi="Arial"/>
                <w:sz w:val="16"/>
                <w:szCs w:val="16"/>
                <w:color w:val="auto"/>
                <w:w w:val="92"/>
              </w:rPr>
              <w:t>Jul 2015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Jul 2020</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5.08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0" w:type="dxa"/>
            <w:vAlign w:val="bottom"/>
            <w:tcBorders>
              <w:bottom w:val="single" w:sz="8" w:color="CCEEFF"/>
            </w:tcBorders>
          </w:tcPr>
          <w:p>
            <w:pPr>
              <w:jc w:val="center"/>
              <w:ind w:left="65"/>
              <w:spacing w:after="0"/>
              <w:rPr>
                <w:sz w:val="20"/>
                <w:szCs w:val="20"/>
                <w:color w:val="auto"/>
              </w:rPr>
            </w:pPr>
            <w:r>
              <w:rPr>
                <w:rFonts w:ascii="Arial" w:cs="Arial" w:eastAsia="Arial" w:hAnsi="Arial"/>
                <w:sz w:val="16"/>
                <w:szCs w:val="16"/>
                <w:color w:val="auto"/>
                <w:w w:val="91"/>
              </w:rPr>
              <w:t>Jun 2017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Jun 2022</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8"/>
              <w:spacing w:after="0"/>
              <w:rPr>
                <w:sz w:val="20"/>
                <w:szCs w:val="20"/>
                <w:color w:val="auto"/>
              </w:rPr>
            </w:pPr>
            <w:r>
              <w:rPr>
                <w:rFonts w:ascii="Arial" w:cs="Arial" w:eastAsia="Arial" w:hAnsi="Arial"/>
                <w:sz w:val="16"/>
                <w:szCs w:val="16"/>
                <w:color w:val="auto"/>
              </w:rPr>
              <w:t>13.73</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4"/>
        </w:trPr>
        <w:tc>
          <w:tcPr>
            <w:tcW w:w="7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October 2011 and April 2012, in connection with the issuance of convertible notes, the Company issued 266,797 redeemable convertible preferred stock warrants that were exercisable into Series B or the next round of redeemable convertible preferred stock. During the year ended December 31, 2019, warrants for 59,856 shares were exercised and none were outstanding at December 31, 2019.</w:t>
      </w:r>
    </w:p>
    <w:p>
      <w:pPr>
        <w:spacing w:after="0" w:line="130"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July 2015, in connection with the issuance of convertible notes, the Company issued 869,842 redeemable convertible preferred stock warrants that were exercisable into Series D redeemable convertible preferred stock immediately, with $5.08 exercise price and expiration in five years. During the years ended December 31, 2019 and 2020, warrants for 196,657 and 651,334 shares were exercised, respectively. During the six months ended June 30, 2020 (unaudited), warrants for 119,905 shares were exercised. During the six months ended June 30, 2021 (unaudited), no warrants were exercised.</w:t>
      </w:r>
    </w:p>
    <w:p>
      <w:pPr>
        <w:spacing w:after="0" w:line="103"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In June 2017, in connection with the issuance of convertible notes, the Company issued 108,145 redeemable convertible preferred stock warrants that were exercisable into Series E or the next round of redeemable convertible preferred stock. During the years ended December 31, 2019 and 2020, warrants for 36,423 and zero shares were exercised, respectively. During the six months ended June 30, 2020 and 2021 (unaudited), no warrants were exercised.</w:t>
      </w:r>
    </w:p>
    <w:p>
      <w:pPr>
        <w:spacing w:after="0" w:line="91" w:lineRule="exact"/>
        <w:rPr>
          <w:sz w:val="20"/>
          <w:szCs w:val="20"/>
          <w:color w:val="auto"/>
        </w:rPr>
      </w:pPr>
    </w:p>
    <w:p>
      <w:pPr>
        <w:ind w:left="320" w:hanging="312"/>
        <w:spacing w:after="0"/>
        <w:tabs>
          <w:tab w:leader="none" w:pos="3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the Company’s redeemable convertible preferred stock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7"/>
              </w:rPr>
              <w:t>December 31, 2019</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7"/>
              </w:rPr>
              <w:t>December 31, 2020</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5"/>
              </w:rPr>
              <w:t>June 30, 2021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(unaudited)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112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89"/>
              </w:rPr>
              <w:t>Carrying</w:t>
            </w:r>
          </w:p>
        </w:tc>
        <w:tc>
          <w:tcPr>
            <w:tcW w:w="102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1120" w:type="dxa"/>
            <w:vAlign w:val="bottom"/>
            <w:gridSpan w:val="2"/>
          </w:tcPr>
          <w:p>
            <w:pPr>
              <w:ind w:left="320"/>
              <w:spacing w:after="0" w:line="133"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93"/>
              </w:rPr>
              <w:t>Carrying</w:t>
            </w:r>
          </w:p>
        </w:tc>
        <w:tc>
          <w:tcPr>
            <w:tcW w:w="110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900" w:type="dxa"/>
            <w:vAlign w:val="bottom"/>
          </w:tcPr>
          <w:p>
            <w:pPr>
              <w:jc w:val="center"/>
              <w:ind w:right="54"/>
              <w:spacing w:after="0" w:line="133" w:lineRule="exact"/>
              <w:rPr>
                <w:sz w:val="20"/>
                <w:szCs w:val="20"/>
                <w:color w:val="auto"/>
              </w:rPr>
            </w:pPr>
            <w:r>
              <w:rPr>
                <w:rFonts w:ascii="Arial" w:cs="Arial" w:eastAsia="Arial" w:hAnsi="Arial"/>
                <w:sz w:val="13"/>
                <w:szCs w:val="13"/>
                <w:b w:val="1"/>
                <w:bCs w:val="1"/>
                <w:color w:val="auto"/>
                <w:w w:val="93"/>
              </w:rPr>
              <w:t>Carrying</w:t>
            </w:r>
          </w:p>
        </w:tc>
        <w:tc>
          <w:tcPr>
            <w:tcW w:w="0" w:type="dxa"/>
            <w:vAlign w:val="bottom"/>
          </w:tcPr>
          <w:p>
            <w:pPr>
              <w:spacing w:after="0"/>
              <w:rPr>
                <w:sz w:val="1"/>
                <w:szCs w:val="1"/>
                <w:color w:val="auto"/>
              </w:rPr>
            </w:pPr>
          </w:p>
        </w:tc>
      </w:tr>
      <w:tr>
        <w:trPr>
          <w:trHeight w:val="121"/>
        </w:trPr>
        <w:tc>
          <w:tcPr>
            <w:tcW w:w="1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Series</w:t>
            </w:r>
          </w:p>
        </w:tc>
        <w:tc>
          <w:tcPr>
            <w:tcW w:w="10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Issued and</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Value</w:t>
            </w:r>
          </w:p>
        </w:tc>
        <w:tc>
          <w:tcPr>
            <w:tcW w:w="10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Issued and</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Value</w:t>
            </w:r>
          </w:p>
        </w:tc>
        <w:tc>
          <w:tcPr>
            <w:tcW w:w="1100" w:type="dxa"/>
            <w:vAlign w:val="bottom"/>
            <w:gridSpan w:val="2"/>
            <w:vMerge w:val="continue"/>
          </w:tcPr>
          <w:p>
            <w:pPr>
              <w:spacing w:after="0"/>
              <w:rPr>
                <w:sz w:val="10"/>
                <w:szCs w:val="10"/>
                <w:color w:val="auto"/>
              </w:rPr>
            </w:pPr>
          </w:p>
        </w:tc>
        <w:tc>
          <w:tcPr>
            <w:tcW w:w="11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2"/>
              </w:rPr>
              <w:t>Issued and</w:t>
            </w:r>
          </w:p>
        </w:tc>
        <w:tc>
          <w:tcPr>
            <w:tcW w:w="120" w:type="dxa"/>
            <w:vAlign w:val="bottom"/>
          </w:tcPr>
          <w:p>
            <w:pPr>
              <w:spacing w:after="0"/>
              <w:rPr>
                <w:sz w:val="10"/>
                <w:szCs w:val="10"/>
                <w:color w:val="auto"/>
              </w:rPr>
            </w:pPr>
          </w:p>
        </w:tc>
        <w:tc>
          <w:tcPr>
            <w:tcW w:w="900" w:type="dxa"/>
            <w:vAlign w:val="bottom"/>
          </w:tcPr>
          <w:p>
            <w:pPr>
              <w:jc w:val="center"/>
              <w:ind w:right="54"/>
              <w:spacing w:after="0" w:line="122" w:lineRule="exact"/>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70"/>
        </w:trPr>
        <w:tc>
          <w:tcPr>
            <w:tcW w:w="136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Authorized</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Outstanding</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4"/>
              </w:rPr>
              <w:t>(in thousands)</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Authorized</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Outstanding</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4"/>
              </w:rPr>
              <w:t>(in thousands)</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Authorized</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Outstanding</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4"/>
              </w:rPr>
              <w:t>(in thousands)</w:t>
            </w:r>
          </w:p>
        </w:tc>
        <w:tc>
          <w:tcPr>
            <w:tcW w:w="0" w:type="dxa"/>
            <w:vAlign w:val="bottom"/>
          </w:tcPr>
          <w:p>
            <w:pPr>
              <w:spacing w:after="0"/>
              <w:rPr>
                <w:sz w:val="1"/>
                <w:szCs w:val="1"/>
                <w:color w:val="auto"/>
              </w:rPr>
            </w:pPr>
          </w:p>
        </w:tc>
      </w:tr>
      <w:tr>
        <w:trPr>
          <w:trHeight w:val="188"/>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1,243,223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1,243,223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1,243,223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1,104,728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1,243,223</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1,104,713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2,781</w:t>
            </w:r>
          </w:p>
        </w:tc>
        <w:tc>
          <w:tcPr>
            <w:tcW w:w="0" w:type="dxa"/>
            <w:vAlign w:val="bottom"/>
          </w:tcPr>
          <w:p>
            <w:pPr>
              <w:spacing w:after="0"/>
              <w:rPr>
                <w:sz w:val="1"/>
                <w:szCs w:val="1"/>
                <w:color w:val="auto"/>
              </w:rPr>
            </w:pPr>
          </w:p>
        </w:tc>
      </w:tr>
      <w:tr>
        <w:trPr>
          <w:trHeight w:val="182"/>
        </w:trPr>
        <w:tc>
          <w:tcPr>
            <w:tcW w:w="1360" w:type="dxa"/>
            <w:vAlign w:val="bottom"/>
          </w:tcPr>
          <w:p>
            <w:pPr>
              <w:ind w:left="20"/>
              <w:spacing w:after="0"/>
              <w:rPr>
                <w:sz w:val="20"/>
                <w:szCs w:val="20"/>
                <w:color w:val="auto"/>
              </w:rPr>
            </w:pPr>
            <w:r>
              <w:rPr>
                <w:rFonts w:ascii="Arial" w:cs="Arial" w:eastAsia="Arial" w:hAnsi="Arial"/>
                <w:sz w:val="13"/>
                <w:szCs w:val="13"/>
                <w:color w:val="auto"/>
              </w:rPr>
              <w:t>B</w:t>
            </w: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1,844,894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1,841,805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6,369</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1,841,805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1,543,804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5,404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1,841,805</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1,543,777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5,404</w:t>
            </w: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1,564,851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1,564,851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1,564,851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1,564,851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1,564,851</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1,564,828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7,073</w:t>
            </w:r>
          </w:p>
        </w:tc>
        <w:tc>
          <w:tcPr>
            <w:tcW w:w="0" w:type="dxa"/>
            <w:vAlign w:val="bottom"/>
          </w:tcPr>
          <w:p>
            <w:pPr>
              <w:spacing w:after="0"/>
              <w:rPr>
                <w:sz w:val="1"/>
                <w:szCs w:val="1"/>
                <w:color w:val="auto"/>
              </w:rPr>
            </w:pPr>
          </w:p>
        </w:tc>
      </w:tr>
      <w:tr>
        <w:trPr>
          <w:trHeight w:val="182"/>
        </w:trPr>
        <w:tc>
          <w:tcPr>
            <w:tcW w:w="1360" w:type="dxa"/>
            <w:vAlign w:val="bottom"/>
          </w:tcPr>
          <w:p>
            <w:pPr>
              <w:ind w:left="20"/>
              <w:spacing w:after="0"/>
              <w:rPr>
                <w:sz w:val="20"/>
                <w:szCs w:val="20"/>
                <w:color w:val="auto"/>
              </w:rPr>
            </w:pPr>
            <w:r>
              <w:rPr>
                <w:rFonts w:ascii="Arial" w:cs="Arial" w:eastAsia="Arial" w:hAnsi="Arial"/>
                <w:sz w:val="13"/>
                <w:szCs w:val="13"/>
                <w:color w:val="auto"/>
              </w:rPr>
              <w:t>D</w:t>
            </w: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8,267,145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7,593,960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36,607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8,245,295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7,547,542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36,879</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8,245,295</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7,547,520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36,879</w:t>
            </w: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8,825,653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8,753,931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119,889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8,825,653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8,414,496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115,229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8,825,653</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8,414,473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115,229</w:t>
            </w:r>
          </w:p>
        </w:tc>
        <w:tc>
          <w:tcPr>
            <w:tcW w:w="0" w:type="dxa"/>
            <w:vAlign w:val="bottom"/>
          </w:tcPr>
          <w:p>
            <w:pPr>
              <w:spacing w:after="0"/>
              <w:rPr>
                <w:sz w:val="1"/>
                <w:szCs w:val="1"/>
                <w:color w:val="auto"/>
              </w:rPr>
            </w:pPr>
          </w:p>
        </w:tc>
      </w:tr>
      <w:tr>
        <w:trPr>
          <w:trHeight w:val="182"/>
        </w:trPr>
        <w:tc>
          <w:tcPr>
            <w:tcW w:w="1360" w:type="dxa"/>
            <w:vAlign w:val="bottom"/>
          </w:tcPr>
          <w:p>
            <w:pPr>
              <w:ind w:left="20"/>
              <w:spacing w:after="0"/>
              <w:rPr>
                <w:sz w:val="20"/>
                <w:szCs w:val="20"/>
                <w:color w:val="auto"/>
              </w:rPr>
            </w:pPr>
            <w:r>
              <w:rPr>
                <w:rFonts w:ascii="Arial" w:cs="Arial" w:eastAsia="Arial" w:hAnsi="Arial"/>
                <w:sz w:val="13"/>
                <w:szCs w:val="13"/>
                <w:color w:val="auto"/>
              </w:rPr>
              <w:t>F</w:t>
            </w: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5,263,157</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5,226,981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76,488</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5,263,157</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5,226,969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76,488</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4,447,557</w:t>
            </w: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4,447,530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84,710</w:t>
            </w:r>
          </w:p>
        </w:tc>
        <w:tc>
          <w:tcPr>
            <w:tcW w:w="0" w:type="dxa"/>
            <w:vAlign w:val="bottom"/>
          </w:tcPr>
          <w:p>
            <w:pPr>
              <w:spacing w:after="0"/>
              <w:rPr>
                <w:sz w:val="1"/>
                <w:szCs w:val="1"/>
                <w:color w:val="auto"/>
              </w:rPr>
            </w:pPr>
          </w:p>
        </w:tc>
      </w:tr>
      <w:tr>
        <w:trPr>
          <w:trHeight w:val="189"/>
        </w:trPr>
        <w:tc>
          <w:tcPr>
            <w:tcW w:w="1360" w:type="dxa"/>
            <w:vAlign w:val="bottom"/>
          </w:tcPr>
          <w:p>
            <w:pPr>
              <w:ind w:left="180"/>
              <w:spacing w:after="0"/>
              <w:rPr>
                <w:sz w:val="20"/>
                <w:szCs w:val="20"/>
                <w:color w:val="auto"/>
              </w:rPr>
            </w:pPr>
            <w:r>
              <w:rPr>
                <w:rFonts w:ascii="Arial" w:cs="Arial" w:eastAsia="Arial" w:hAnsi="Arial"/>
                <w:sz w:val="13"/>
                <w:szCs w:val="13"/>
                <w:color w:val="auto"/>
              </w:rPr>
              <w:t>Total</w:t>
            </w: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21,745,766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20,997,770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173,068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26,983,984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25,402,402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243,854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31,431,541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29,849,810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328,564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July 2020, an aggregate of 1.5 million shares of redeemable convertible preferred stock was converted to common stock as requested by the holder.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corresponding carrying value was reclassified from redeemable convertible preferred stock to common stock and additional paid in capital.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Convertible Preferred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July and August 2020, the Company issued 5,226,969 shares of Series F redeemable convertible preferred stock for gross proceeds of $77.0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Issuance costs totaled $0.5 million and were recorded an offset to gross proceeds.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G Redeemable Convertible Preferred Stock</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June 2021, the Company issued 4,447,530 shares of Series G redeemable convertible preferred stock for gross proceeds of $85.0 million. Issuance costs totaled $0.3 million and were recorded as an offset to gross proceeds.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redeemable convertible preferred stock terms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Series</w:t>
            </w:r>
          </w:p>
        </w:tc>
        <w:tc>
          <w:tcPr>
            <w:tcW w:w="406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Liquidation</w:t>
            </w:r>
          </w:p>
        </w:tc>
        <w:tc>
          <w:tcPr>
            <w:tcW w:w="280" w:type="dxa"/>
            <w:vAlign w:val="bottom"/>
          </w:tcPr>
          <w:p>
            <w:pPr>
              <w:spacing w:after="0"/>
              <w:rPr>
                <w:sz w:val="14"/>
                <w:szCs w:val="14"/>
                <w:color w:val="auto"/>
              </w:rPr>
            </w:pPr>
          </w:p>
        </w:tc>
        <w:tc>
          <w:tcPr>
            <w:tcW w:w="1280" w:type="dxa"/>
            <w:vAlign w:val="bottom"/>
          </w:tcPr>
          <w:p>
            <w:pPr>
              <w:jc w:val="center"/>
              <w:ind w:right="215"/>
              <w:spacing w:after="0"/>
              <w:rPr>
                <w:sz w:val="20"/>
                <w:szCs w:val="20"/>
                <w:color w:val="auto"/>
              </w:rPr>
            </w:pPr>
            <w:r>
              <w:rPr>
                <w:rFonts w:ascii="Arial" w:cs="Arial" w:eastAsia="Arial" w:hAnsi="Arial"/>
                <w:sz w:val="14"/>
                <w:szCs w:val="14"/>
                <w:b w:val="1"/>
                <w:bCs w:val="1"/>
                <w:color w:val="auto"/>
              </w:rPr>
              <w:t>8%</w:t>
            </w:r>
          </w:p>
        </w:tc>
      </w:tr>
      <w:tr>
        <w:trPr>
          <w:trHeight w:val="135"/>
        </w:trPr>
        <w:tc>
          <w:tcPr>
            <w:tcW w:w="42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1"/>
              </w:rPr>
              <w:t>Preference</w:t>
            </w:r>
          </w:p>
        </w:tc>
        <w:tc>
          <w:tcPr>
            <w:tcW w:w="280" w:type="dxa"/>
            <w:vAlign w:val="bottom"/>
          </w:tcPr>
          <w:p>
            <w:pPr>
              <w:spacing w:after="0"/>
              <w:rPr>
                <w:sz w:val="11"/>
                <w:szCs w:val="11"/>
                <w:color w:val="auto"/>
              </w:rPr>
            </w:pPr>
          </w:p>
        </w:tc>
        <w:tc>
          <w:tcPr>
            <w:tcW w:w="128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4"/>
              </w:rPr>
              <w:t>Dividend</w:t>
            </w:r>
          </w:p>
        </w:tc>
      </w:tr>
      <w:tr>
        <w:trPr>
          <w:trHeight w:val="188"/>
        </w:trPr>
        <w:tc>
          <w:tcPr>
            <w:tcW w:w="42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 Share</w:t>
            </w:r>
          </w:p>
        </w:tc>
        <w:tc>
          <w:tcPr>
            <w:tcW w:w="280" w:type="dxa"/>
            <w:vAlign w:val="bottom"/>
          </w:tcPr>
          <w:p>
            <w:pPr>
              <w:spacing w:after="0"/>
              <w:rPr>
                <w:sz w:val="16"/>
                <w:szCs w:val="16"/>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auto"/>
                <w:w w:val="91"/>
              </w:rPr>
              <w:t>Per Share</w:t>
            </w:r>
          </w:p>
        </w:tc>
      </w:tr>
      <w:tr>
        <w:trPr>
          <w:trHeight w:val="224"/>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4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0.2014</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B</w:t>
            </w:r>
          </w:p>
        </w:tc>
        <w:tc>
          <w:tcPr>
            <w:tcW w:w="40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0.2590</w:t>
            </w: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40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0.3648</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D</w:t>
            </w:r>
          </w:p>
        </w:tc>
        <w:tc>
          <w:tcPr>
            <w:tcW w:w="40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5.0825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0.4066</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40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F</w:t>
            </w:r>
          </w:p>
        </w:tc>
        <w:tc>
          <w:tcPr>
            <w:tcW w:w="40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14.7279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1.1782</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40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r>
    </w:tbl>
    <w:p>
      <w:pPr>
        <w:spacing w:after="0" w:line="24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recorded its redeemable convertible preferred stock at fair value on the dates of issuance, net of issuance costs. A redemption event will only occur upon the liquidation or winding up of the Company, a greater than 50% change in control, or sale of substantially all of the assets of the Company. As the redemption event is outside the control of the Company, all shares of redeemable convertible preferred stock have been presented outside of permanent equity. Further, the Company has determined the carrying values of the redeemable convertible preferred stock should not be adjusted to the redemption value of such shares, since it is uncertain whether or when a redemption event will occur. Subsequent adjustments to increase the carrying values of the redeemable convertible preferred stock to the redemption values will be made when it becomes probable that such redemption will occur. As of December 31, 2019 and 2020, and June 30, 2021 (unaudited), it was not probable that such redemption would occur.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The holders of the Series D, E, F and G redeemable convertible preferred stock, in preference to the holders of Series A, B and C redeemable convertible preferred stock and common stock, are entitled to receive noncumulative dividends at the rate of 8% per share of the original issuance price, when and as declared by the board of directors. After the payment of any dividends to holders of Series D, E, F and G redeemable convertible preferred stock, and in preference to the holders of common stock, the holders of Series A, B, and C redeemable convertible preferred stock shall be entitled to receive noncumulative dividends at the rate of 8% per share of the original issuance price, when and as declared by the board of directors. No dividends were declared and payable for the years ended December 31, 2019 and 2020, and six months ended June 30, 2021 (unaudited).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71"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In the event of any liquidation, dissolution, or winding-up of the Company, including a merger, acquisition, or sale of assets, as defined in the articles of incorporation, each holder of Series G redeemable convertible preferred stock is entitled to receive a liquidation preference amount, plus any dividends declared but unpaid before any payments to holders of Series A, B, C, D, E or F redeemable convertible preferred stock and common stock.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assets of the Company are insufficient to make payment in full to all Series G redeemable convertible preferred stockholders, then the assets or consideration will be distributed ratably among such holders in proportion to the full liquidation preference amounts to which the holders would otherwise be entitled to.</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After the full payment of the liquidation preference to the holders of Series G redeemable convertible preferred stock, each holder of Series F redeemable convertible preferred stock shall be entitled to be paid a liquidation preference amount, plus any dividends declared but unpaid before any payments to holders of Series A, B, C, D or E redeemable convertible preferred stock and common stock. If the assets of the Company are insufficient to make payment in full to all Series F redeemable convertible preferred stockholders, then the assets or consideration will be distributed ratably among such holders in proportion to the full liquidation preference amounts to which the holders would otherwise be entitled to.</w:t>
      </w:r>
    </w:p>
    <w:p>
      <w:pPr>
        <w:spacing w:after="0" w:line="12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After the full payment of the liquidation preference to the holders of Series F redeemable convertible preferred stock, each holder of Series E redeemable convertible preferred stock shall be entitled to be paid a liquidation preference amount, plus any dividends declared but unpaid before any payments to holders of Series A, B, C or D redeemable convertible preferred stock and common stock. If the assets of the Company are insufficient to make payment in full to all Series E redeemable convertible preferred stockholders, then the assets or consideration will be distributed ratably among such holders in proportion to the full liquidation preference amounts to which the holders would otherwise be entitled to.</w:t>
      </w:r>
    </w:p>
    <w:p>
      <w:pPr>
        <w:spacing w:after="0" w:line="122"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After the full payment of the liquidation preference to the holders of Series E redeemable convertible preferred stock, each holder of Series D redeemable convertible preferred stock shall be entitled to be paid a liquidation preference amount, plus any dividends declared but unpaid before any payments to holders of Series A, B or C redeemable convertible preferred stock and common stock. If the assets of the Company are insufficient to make payment in full to all Series D redeemable convertible preferred stockholders, then the assets or consideration will be distributed ratably among such holders in proportion to the full liquidation preference amounts to which the holders would otherwise be entitled to.</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After the full payment of the liquidation preference to the holders of Series D redeemable convertible preferred stock, each holder of Series A, B and C redeemable convertible preferred stock shall be entitled to be paid a liquidation preference amount, plus any dividends declared but unpaid before any payments to holders of common stock. If the assets of the Company are insufficient to make payment in full to all holders of Series A, B or C redeemable convertible preferred stock, then the assets or consideration will be distributed ratably among such holders in proportion to the full liquidation preference amounts to which the holders would otherwise be entitled to.</w:t>
      </w:r>
    </w:p>
    <w:p>
      <w:pPr>
        <w:spacing w:after="0" w:line="13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After the payment of the full liquidation preference to holders of redeemable convertible preferred stock, the remaining assets of the Company legally available for distribution shall be distributed ratably to the holders of the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Each holder has the right to one vote for each share of common stock into which such redeemable convertible preferred stock could be converted. So long as any shares of redeemable convertible preferred stock are outstanding, the Company shall not, without first obtaining the approval of more than 50% of the holders of redeemable convertible preferred stock then outstanding, be voting together as a separate class to (a) amend certificate of incorporation in any way that would materially and adversely alter or change the rights, preferences, or privileges of the series preferred stock or (b) increase the total number of authorized shares of any Series Preferred stock. Additionally, the vote of at least a majority of the holders of Series D, E, F and G redeemable convertible preferred stock is needed to materially and adversely affect the rights of such holders of each series, including increasing or decreasing the number of authorized shares of Series D, E, F and G redeemable convertible preferred stock, as applicable.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redeemable convertible preferred shares are not mandatorily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1440" w:right="359" w:bottom="1440" w:gutter="0" w:footer="0" w:header="0"/>
        </w:sectPr>
      </w:pPr>
    </w:p>
    <w:bookmarkStart w:id="217" w:name="page218"/>
    <w:bookmarkEnd w:id="21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Each share of redeemable convertible preferred stock is convertible at the option of the holder into shares of common stock (subject to adjustment for certain events, including dilutive issuances, stock splits, and reclassifications) at a conversion price originally equal to the original issue price. The redeemable convertible preferred stock will also be converted automatically into shares of common stock (i) at any time upon the affirmative election of the holders of at least a majority of the outstanding shares of the redeemable convertible preferred stock or (ii) immediately upon the closing of an initial public offering under the Securities Act of 1933, as amended, with a common stock price of at least $21.99 per share (as adjusted per the Company’s articles of incorporation) and at least $50.0 million in gross cash proceeds to the Company.</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Plan</w:t>
      </w:r>
    </w:p>
    <w:p>
      <w:pPr>
        <w:spacing w:after="0" w:line="17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In 2008, the Company adopted the 2008 Stock Plan (the “Plan”), which allows for the granting of stock options and stock purchase rights to the employees, members of the board of directors, and consultants of the Company. Options granted under the Plan may be either incentive stock options (“ISOs”) or nonqualified stock options (“NSOs”). ISOs may be granted only to the Company’s employees, including officers and directors who are also employees. NSOs may be granted to employees and consultants.</w:t>
      </w:r>
    </w:p>
    <w:p>
      <w:pPr>
        <w:spacing w:after="0" w:line="13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Options under the Plan may be granted for periods of up to 10 years and at prices no less than 100% of the estimated fair value of the shares on the date of grant as determined by the board of directors, provided, however, that the exercise price of an ISO and NSO granted to a 10% shareholder shall not be less than 110% of the estimated fair value of the shares on the date of grant.</w:t>
      </w:r>
    </w:p>
    <w:p>
      <w:pPr>
        <w:spacing w:after="0" w:line="13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Granted options for newly hired employees usually vest over four years monthly with a one-year cliff vesting, and follow-on options vest monthly over four years with no cliff vesting. Options granted to consultants have various vesting schedules depending on the underlying consulting arrangement and anticipated period of service. Options granted under the Plan will expire starting August 2021. As of December 31, 2020 and June 30, 2021 (unaudited), there were 1.5 million and 1.1 million shares available for grant under the Plan,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and related information are as follows (options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7"/>
        </w:trPr>
        <w:tc>
          <w:tcPr>
            <w:tcW w:w="292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bottom w:val="single" w:sz="8" w:color="auto"/>
            </w:tcBorders>
            <w:gridSpan w:val="3"/>
          </w:tcPr>
          <w:p>
            <w:pPr>
              <w:jc w:val="center"/>
              <w:ind w:left="817"/>
              <w:spacing w:after="0"/>
              <w:rPr>
                <w:sz w:val="20"/>
                <w:szCs w:val="20"/>
                <w:color w:val="auto"/>
              </w:rPr>
            </w:pPr>
            <w:r>
              <w:rPr>
                <w:rFonts w:ascii="Arial" w:cs="Arial" w:eastAsia="Arial" w:hAnsi="Arial"/>
                <w:sz w:val="14"/>
                <w:szCs w:val="14"/>
                <w:b w:val="1"/>
                <w:bCs w:val="1"/>
                <w:color w:val="auto"/>
                <w:w w:val="89"/>
              </w:rPr>
              <w:t>2021</w:t>
            </w:r>
          </w:p>
        </w:tc>
        <w:tc>
          <w:tcPr>
            <w:tcW w:w="900" w:type="dxa"/>
            <w:vAlign w:val="bottom"/>
            <w:tcBorders>
              <w:bottom w:val="single" w:sz="8" w:color="auto"/>
            </w:tcBorders>
          </w:tcPr>
          <w:p>
            <w:pPr>
              <w:spacing w:after="0"/>
              <w:rPr>
                <w:sz w:val="16"/>
                <w:szCs w:val="16"/>
                <w:color w:val="auto"/>
              </w:rPr>
            </w:pPr>
          </w:p>
        </w:tc>
      </w:tr>
      <w:tr>
        <w:trPr>
          <w:trHeight w:val="175"/>
        </w:trPr>
        <w:tc>
          <w:tcPr>
            <w:tcW w:w="2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3"/>
          </w:tcPr>
          <w:p>
            <w:pPr>
              <w:jc w:val="center"/>
              <w:ind w:left="817"/>
              <w:spacing w:after="0"/>
              <w:rPr>
                <w:sz w:val="20"/>
                <w:szCs w:val="20"/>
                <w:color w:val="auto"/>
              </w:rPr>
            </w:pPr>
            <w:r>
              <w:rPr>
                <w:rFonts w:ascii="Arial" w:cs="Arial" w:eastAsia="Arial" w:hAnsi="Arial"/>
                <w:sz w:val="14"/>
                <w:szCs w:val="14"/>
                <w:b w:val="1"/>
                <w:bCs w:val="1"/>
                <w:color w:val="auto"/>
                <w:w w:val="94"/>
              </w:rPr>
              <w:t>(unaudited)</w:t>
            </w:r>
          </w:p>
        </w:tc>
        <w:tc>
          <w:tcPr>
            <w:tcW w:w="900" w:type="dxa"/>
            <w:vAlign w:val="bottom"/>
          </w:tcPr>
          <w:p>
            <w:pPr>
              <w:spacing w:after="0"/>
              <w:rPr>
                <w:sz w:val="15"/>
                <w:szCs w:val="15"/>
                <w:color w:val="auto"/>
              </w:rPr>
            </w:pPr>
          </w:p>
        </w:tc>
      </w:tr>
      <w:tr>
        <w:trPr>
          <w:trHeight w:val="192"/>
        </w:trPr>
        <w:tc>
          <w:tcPr>
            <w:tcW w:w="2920" w:type="dxa"/>
            <w:vAlign w:val="bottom"/>
          </w:tcPr>
          <w:p>
            <w:pPr>
              <w:spacing w:after="0"/>
              <w:rPr>
                <w:sz w:val="16"/>
                <w:szCs w:val="16"/>
                <w:color w:val="auto"/>
              </w:rPr>
            </w:pPr>
          </w:p>
        </w:tc>
        <w:tc>
          <w:tcPr>
            <w:tcW w:w="1320" w:type="dxa"/>
            <w:vAlign w:val="bottom"/>
          </w:tcPr>
          <w:p>
            <w:pPr>
              <w:jc w:val="right"/>
              <w:ind w:right="334"/>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Price</w:t>
            </w:r>
          </w:p>
        </w:tc>
        <w:tc>
          <w:tcPr>
            <w:tcW w:w="1300" w:type="dxa"/>
            <w:vAlign w:val="bottom"/>
          </w:tcPr>
          <w:p>
            <w:pPr>
              <w:jc w:val="right"/>
              <w:ind w:right="31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Price</w:t>
            </w:r>
          </w:p>
        </w:tc>
        <w:tc>
          <w:tcPr>
            <w:tcW w:w="1320" w:type="dxa"/>
            <w:vAlign w:val="bottom"/>
          </w:tcPr>
          <w:p>
            <w:pPr>
              <w:jc w:val="right"/>
              <w:ind w:right="337"/>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b w:val="1"/>
                <w:bCs w:val="1"/>
                <w:color w:val="auto"/>
              </w:rPr>
              <w:t>Price</w:t>
            </w: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beginning of period</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29"/>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2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4.09</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4.51</w:t>
            </w: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204"/>
        </w:trPr>
        <w:tc>
          <w:tcPr>
            <w:tcW w:w="292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5,748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3.37</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3.94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4.66</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As of December 31, 2019 and 2020, and June 30, 2021 (unaudited), the aggregate pre-tax intrinsic value of options outstanding and exercisable was $6.0 million, $6.9 million and $9.5 million, respectively, and options outstanding were $6.4 million, $9.9 million and $17.3 million, respectively. The aggregate pre-tax intrinsic value of options exercised was $0.7 million and $2.0 million during the years ended December 31, 2019 and 2020, respectively, and $1.7 million and $3.4 million during the six months ended June 30, 2020 and 2021 (unaudited), respectively. The aggregate pre-tax intrinsic value was calculated as the difference between the exercise prices of the underlying options and the estimated fair value of the common stock on the date of exercise. The total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options vested was $1.9 million and $1.6 million during the years ended December 31, 2019 and 2020, respectively, and $0.8 million and $1.7 million during the six months ended June 30, 2020 and 2021 (unaudited), respectively.</w:t>
      </w:r>
    </w:p>
    <w:p>
      <w:pPr>
        <w:spacing w:after="0" w:line="11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Company estimates the fair value of stock-based compensation on the date of grant using the Black-Scholes option-pricing model. The Black-Scholes model determines the fair value of stock-based payment awards based on the fair market value of the Company’s common stock on the date of grant and is affected by assumptions regarding a number of highly complex and subjective variables. These variables include, but are not limited to, the fair market value of the Company’s common stock, volatility over the expected term of the awards and actual and projected employee stock option exercise behaviors. The Company has opted to use the “simplified method” for estimating the expected term of options, whereby the expected term equals the arithmetic average of the vesting term and the original contractual term of the option. Due to the Company’s limited operating history and a lack of company specific historical and implied volatility data, the Company has based its estimate of expected volatility on the historical volatility of a group of similar companies that are publicly traded. When selecting these public companies on which it has based its expected stock price volatility, the Company generally selected companies with comparable characteristics to it, including enterprise value, stages of clinical development,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share-based payments. The Company will continue to analyze the historical stock price volatility and expected term assumptions as more historical data for the Company’s common stock becomes available. The risk-free rate assumption is based on the U.S. Treasury instruments with maturities similar to the expected term of the Company’s stock options. The expected dividend assumption is based on the Company’s history of not paying dividends and its expectation that it will not declare dividends for the foreseeable future.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recognized, before taxes,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7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23"/>
        </w:trPr>
        <w:tc>
          <w:tcPr>
            <w:tcW w:w="4700" w:type="dxa"/>
            <w:vAlign w:val="bottom"/>
          </w:tcPr>
          <w:p>
            <w:pPr>
              <w:ind w:left="180"/>
              <w:spacing w:after="0"/>
              <w:rPr>
                <w:sz w:val="20"/>
                <w:szCs w:val="20"/>
                <w:color w:val="auto"/>
              </w:rPr>
            </w:pPr>
            <w:r>
              <w:rPr>
                <w:rFonts w:ascii="Arial" w:cs="Arial" w:eastAsia="Arial" w:hAnsi="Arial"/>
                <w:sz w:val="18"/>
                <w:szCs w:val="18"/>
                <w:color w:val="auto"/>
              </w:rPr>
              <w:t>Total stock-based compensation</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The amount of unearned stock-based compensation relate to unvested employee stock-based payment awards as of December 31, 2020 and June 30, 2021 (unaudited) is $6.5 million and $8.9 million, respectively. The weighted-average period over which the unearned stock-based compensation is expected to be recognized as of December 31, 2020 and June 30, 2021 (unaudited) is 2.9 years and 3.0 years, respectively.</w:t>
      </w:r>
    </w:p>
    <w:p>
      <w:pPr>
        <w:spacing w:after="0" w:line="11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fair value of the options granted to employees or directors was estimated as of the grant date using the Black-Scholes model assuming the weighted-average assumptions listed in the following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center"/>
              <w:ind w:right="293"/>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7"/>
        </w:trPr>
        <w:tc>
          <w:tcPr>
            <w:tcW w:w="4420" w:type="dxa"/>
            <w:vAlign w:val="bottom"/>
          </w:tcPr>
          <w:p>
            <w:pPr>
              <w:spacing w:after="0"/>
              <w:rPr>
                <w:sz w:val="16"/>
                <w:szCs w:val="16"/>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183"/>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2"/>
          </w:tcPr>
          <w:p>
            <w:pPr>
              <w:jc w:val="center"/>
              <w:ind w:left="677"/>
              <w:spacing w:after="0"/>
              <w:rPr>
                <w:sz w:val="20"/>
                <w:szCs w:val="20"/>
                <w:color w:val="auto"/>
              </w:rPr>
            </w:pPr>
            <w:r>
              <w:rPr>
                <w:rFonts w:ascii="Arial" w:cs="Arial" w:eastAsia="Arial" w:hAnsi="Arial"/>
                <w:sz w:val="14"/>
                <w:szCs w:val="14"/>
                <w:b w:val="1"/>
                <w:bCs w:val="1"/>
                <w:color w:val="auto"/>
                <w:w w:val="94"/>
              </w:rPr>
              <w:t>(unaudited)</w:t>
            </w:r>
          </w:p>
        </w:tc>
        <w:tc>
          <w:tcPr>
            <w:tcW w:w="1140" w:type="dxa"/>
            <w:vAlign w:val="bottom"/>
          </w:tcPr>
          <w:p>
            <w:pPr>
              <w:spacing w:after="0"/>
              <w:rPr>
                <w:sz w:val="15"/>
                <w:szCs w:val="15"/>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6.0</w:t>
            </w:r>
          </w:p>
        </w:tc>
        <w:tc>
          <w:tcPr>
            <w:tcW w:w="5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37 %</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Expected dividend rate</w:t>
            </w:r>
          </w:p>
        </w:tc>
        <w:tc>
          <w:tcPr>
            <w:tcW w:w="1040" w:type="dxa"/>
            <w:vAlign w:val="bottom"/>
          </w:tcPr>
          <w:p>
            <w:pPr>
              <w:spacing w:after="0"/>
              <w:rPr>
                <w:sz w:val="19"/>
                <w:szCs w:val="19"/>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020" w:type="dxa"/>
            <w:vAlign w:val="bottom"/>
          </w:tcPr>
          <w:p>
            <w:pPr>
              <w:spacing w:after="0"/>
              <w:rPr>
                <w:sz w:val="19"/>
                <w:szCs w:val="19"/>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1.66</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In May 2015, the Company issued warrants to purchase 12,308 shares of the Company’s common stock in exchange for recruiting services. These warrants are exercisable immediately and expire on April 30, 2025. These common stock warrants of $15,000 were recorded as general and administrative expense and additional paid-in capital, as this warrant met the equity classification requirements. In November 2020, these warrants were fully exercised.</w:t>
      </w:r>
    </w:p>
    <w:p>
      <w:pPr>
        <w:spacing w:after="0" w:line="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2020 and June 30, 2021 (unaudited), the Company does not have any material indemnification claims that were probable or reasonably possible and consequently has not recorded related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July 2013, the Company entered into a three-year lease agreement for its current facility located in Redwood City, California. In 2018, the Company expanded the lease space and extended the lease agreement through October 2023. The lease agreement provides for an escalation of rent payments each year and the Company records rent expense on a straight-line basis over the term of the lease. Rent is payable monthly. As of December 31, 2020 and June 30, 2021 (unaudited), the remaining future minimum lease payments under this lease is $6.7 million and $5.7 million, respectively.</w:t>
      </w:r>
    </w:p>
    <w:p>
      <w:pPr>
        <w:spacing w:after="0" w:line="103"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In connection with the Company’s adoption of ASC Topic 842, Leases, on January 1, 2020, the Company recorded a right-of-use leased asset of $6.0 million and a corresponding lease liability of $7.4 million and derecognized a deferred rent obligation of $1.4 million. The Company used its internal borrowing rate of 10% as its discount rate and the remaining operating lease term was 3.8 years. The results for the year ended December 31, 2020 are presented under Topic 842. The results for the years ended December 31, 2019, and other prior period amounts, were not adjusted and continue to be reported in accordance with our historical accounting under prior lease guidance, ASC Topic 840: Leases (“Topic 840”).</w:t>
      </w:r>
    </w:p>
    <w:p>
      <w:pPr>
        <w:spacing w:after="0" w:line="12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Rent expense recognized under the lease, including additional rent charges for utilities, parking, maintenance, and real estate taxes, was $2.3 million and $2.9 million for the years ended December 31, 2019 and 2020, respectively, and $1.0 million for each of the six months ended June 30, 2020 and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320" w:top="1440" w:right="359" w:bottom="1440" w:gutter="0" w:footer="0" w:header="0"/>
        </w:sectPr>
      </w:pPr>
    </w:p>
    <w:bookmarkStart w:id="220" w:name="page221"/>
    <w:bookmarkEnd w:id="220"/>
    <w:p>
      <w:pPr>
        <w:spacing w:after="0" w:line="144"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As of December 31, 2020 and June 30, 2021 (unaudited), the Company has future commitments of $56.7 million and $55.7 million from debt repayments and office space under a non-cancelable operating lease expiring October 2023,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annual operating lease and debt repayments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Minimum Lease</w:t>
            </w:r>
          </w:p>
        </w:tc>
        <w:tc>
          <w:tcPr>
            <w:tcW w:w="16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Debt Repayments</w:t>
            </w:r>
          </w:p>
        </w:tc>
        <w:tc>
          <w:tcPr>
            <w:tcW w:w="360" w:type="dxa"/>
            <w:vAlign w:val="bottom"/>
          </w:tcPr>
          <w:p>
            <w:pPr>
              <w:spacing w:after="0"/>
              <w:rPr>
                <w:sz w:val="14"/>
                <w:szCs w:val="14"/>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10,212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minimum payments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33,907</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Less: amount representing interest/unamortized debt discount</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Present value of future payments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32,131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Non-current portion</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32,131</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Minimum Lease</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Debt Repayments</w:t>
            </w:r>
          </w:p>
        </w:tc>
        <w:tc>
          <w:tcPr>
            <w:tcW w:w="360" w:type="dxa"/>
            <w:vAlign w:val="bottom"/>
          </w:tcPr>
          <w:p>
            <w:pPr>
              <w:spacing w:after="0"/>
              <w:rPr>
                <w:sz w:val="24"/>
                <w:szCs w:val="24"/>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interest/unamortized debt discount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payments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2021 (unaudited)</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Minimum Lease</w:t>
            </w:r>
          </w:p>
        </w:tc>
        <w:tc>
          <w:tcPr>
            <w:tcW w:w="160" w:type="dxa"/>
            <w:vAlign w:val="bottom"/>
          </w:tcPr>
          <w:p>
            <w:pPr>
              <w:spacing w:after="0"/>
              <w:rPr>
                <w:sz w:val="18"/>
                <w:szCs w:val="18"/>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Debt Repayments</w:t>
            </w:r>
          </w:p>
        </w:tc>
        <w:tc>
          <w:tcPr>
            <w:tcW w:w="360" w:type="dxa"/>
            <w:vAlign w:val="bottom"/>
          </w:tcPr>
          <w:p>
            <w:pPr>
              <w:spacing w:after="0"/>
              <w:rPr>
                <w:sz w:val="18"/>
                <w:szCs w:val="18"/>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55,739</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interest/unamortized debt discount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payments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As of December 31, 2019 and 2020, June 30, 2021 (unaudited), the Company’s security deposit is in the form of, and recorded as, restricted cash. In January 2021, in connection with the Company’s amended loan agreement with modified terms, the interest-only period was modified from 24 months beginning October 1, 2021 to 36 months beginning October 1, 2022, and accordingly, the current portion of the amount due was reclassified to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record an income tax provision for both periods.</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Reconciliation between the tax provision computed at the federal statutory income tax rate and the Company's actual effective income tax rate are as follows:</w:t>
      </w:r>
    </w:p>
    <w:p>
      <w:pPr>
        <w:spacing w:after="0" w:line="14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tax rate</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21 %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2"/>
              </w:rPr>
              <w:t>21 %</w:t>
            </w:r>
          </w:p>
        </w:tc>
      </w:tr>
      <w:tr>
        <w:trPr>
          <w:trHeight w:val="230"/>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R&amp;D tax credit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1</w:t>
            </w:r>
          </w:p>
        </w:tc>
      </w:tr>
      <w:tr>
        <w:trPr>
          <w:trHeight w:val="229"/>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and other permanent differences</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w:t>
            </w:r>
          </w:p>
        </w:tc>
      </w:tr>
      <w:tr>
        <w:trPr>
          <w:trHeight w:val="243"/>
        </w:trPr>
        <w:tc>
          <w:tcPr>
            <w:tcW w:w="8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 %</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7"/>
              </w:rPr>
              <w:t>— %</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Company’s income taxes are accounted for in accordance with authoritative guidance, which requires the use of the asset and liability method. Under this method, deferred income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net deferred tax assets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33,410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42,331</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R&amp;D tax credit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3,830</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Capitalized R&amp;D expenses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3,109</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1,461</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reserves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53,179</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(52,005)</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23"/>
        </w:trPr>
        <w:tc>
          <w:tcPr>
            <w:tcW w:w="8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The valuation allowance increased by $13.9 million during the year ended December 31, 2020.</w:t>
      </w:r>
    </w:p>
    <w:p>
      <w:pPr>
        <w:spacing w:after="0" w:line="130"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As of December 31, 2019 and 2020, the Company has U.S. federal net operating loss (“NOL”) carryforwards of approximately $134.7 million and $170.8 million, respectively, expiring beginning 2029. As of December 31, 2019 and 2020, the Company has U.S. state and local NOL carryforwards of approximately $77.8 million and $100.7 million respectively, expiring beginning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As of December 31, 2019 and 2020, the Company has federal research and development credit carryforwards of approximately $2.2 million and $3.1 million, respectively, available to reduce future taxable income, if any. As of December 31, 2019 and 2020, the Company has California research and development credit carryforwards of approximately $1.7 million and $2.5 million, respectively, available to reduce future taxable income, if any.</w:t>
      </w:r>
    </w:p>
    <w:p>
      <w:pPr>
        <w:spacing w:after="0" w:line="9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federal research and development credit carryforwards expire beginning 2029 and California research and development credit carryforwards are indefinite.</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Internal Revenue Code section 382 places a limitation (the “Section 382 Limitation”) on the amount of taxable income that can be offset by net operating carryforwards after a change in control of a loss corporation. Generally, after a change in control, a loss corporation cannot deduct operating loss carryovers in excess of the Section 382 limitation. The Company has not performed an analysis to determine if a limitation applies and whether the limitation would cause the net operating losses to expire unutilized.</w:t>
      </w:r>
    </w:p>
    <w:p>
      <w:pPr>
        <w:spacing w:after="0" w:line="133"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 files federal, state, and foreign income tax returns. The tax periods 2008 through 2020 remain open in most jurisdictions. In addition, any tax losses that were generated in prior years and carried forward may also be subject to examination by respective authorities. The Company is not currently under examination by federal, state or foreign income tax authorities.</w:t>
      </w:r>
    </w:p>
    <w:p>
      <w:pPr>
        <w:spacing w:after="0" w:line="13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March 2020, the Coronavirus Aid, Relief, and Economic Security Act ("CARES Act") was passed into law. The CARES Act includes several significant business tax provisions including modification to the taxable income limitation for utilization of NOLs incurred in 2018, 2019 and 2020 and the ability to carry back NOLs from those years for a period of up to five years, an increase to the limitation on deductibility of certain business interest expense, bonus depreciation for purchases of qualified improvement property and special deductions on certain corporate charitable contributions. The Company has analyzed the provision of the CARES Act and determined it did not have an impact on its consolidated financial statements due to the full valuation reserve.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change in the unrecognized tax benefit during the year is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Additions for tax positions related to:</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year</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Prior years</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As of December 31, 2020, the Company had a total of $1.4 million of gross unrecognized tax benefits, none of which would affect the effective tax rate upon realization. The Company currently has a full valuation allowance against its U.S. net deferred tax assets which would impact the timing of the effective tax rate benefit should any of these uncertain tax positions be favorably settled in the future.</w:t>
      </w:r>
    </w:p>
    <w:p>
      <w:pPr>
        <w:spacing w:after="0" w:line="13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does not expect the unrecognized tax benefits to change significantly over the next twelve months. The Company will recognize interest and penalties accrued on any unrecognized tax benefits as a component of income tax expense. As of December 31, 2020, the Company has not accrued interest or penalties related to uncertain tax positions.</w:t>
      </w:r>
    </w:p>
    <w:p>
      <w:pPr>
        <w:spacing w:after="0" w:line="126" w:lineRule="exact"/>
        <w:rPr>
          <w:sz w:val="20"/>
          <w:szCs w:val="20"/>
          <w:color w:val="auto"/>
        </w:rPr>
      </w:pPr>
    </w:p>
    <w:p>
      <w:pPr>
        <w:ind w:left="400" w:hanging="392"/>
        <w:spacing w:after="0"/>
        <w:tabs>
          <w:tab w:leader="none" w:pos="4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connection with the preparation of the financial statements, the Company evaluated events subsequent to the balance sheet date as of December 31, 2020 through June 25, 2021, the date the financial statements were available for issuance. The Company has also evaluated subsequent events through August 18, 2021 for the effects of the par value change and September 8, 2021 for the effects of the 1-for-4.75 reverse stock split discussed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January 2021, the Company amended its loan agreement with modified terms that include decreasing the revenue target for the $10.0 million third loan tranche from $20.0 million trailing 6 months revenue to $6.4 million. Since the Company met this revenue target, the interest-only period was modified from 24 months beginning October 1, 2021 to 36 months beginning October 1, 2022, and accordingly, the current portion of the amount due was reclassified to non-current. In addition, the prepayment fee was eliminated.</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amendments in January 2021 were accounted for as a debt modification under ASC 470-50-40 as the changes in the debt terms are not considered substantial, and thus no gain or loss was recorded and a new effective interest rate was established based on the carrying value of the loan and the revised cash flows.</w:t>
      </w:r>
    </w:p>
    <w:p>
      <w:pPr>
        <w:spacing w:after="0" w:line="130"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In June 2021, the Company issued 4,447,530 shares of its Series G redeemable convertible preferred stock for gross proceeds of $85.0 million. Issuance costs totaled $0.3 million and were recorded as an offset to gross proceeds. The liquidation preference per share is $19.1116 and all other preferences are pari-passu with the Company’s Series D, E and F redeemable convertible preferred stock.</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event of any liquidation, dissolution, or winding-up of the Company, including a merger, acquisition, or sale of assets, as defined in the articles of incorporation, each holder of Series G redeemable convertible preferred stock is entitled to receive a liquidation preference amount, plus any dividends declared but unpaid before any payments to holders of Series A, B, C, D, E or F redeemable convertible preferred stock and common stock. If the assets of the Company are insufficient to make payment in full to all Series F redeemable convertible preferred stockholders, then the assets or consideration will be distributed ratably among such holders in proportion to the full liquidation preference amounts to which the holders would otherwise be entitled to.</w:t>
      </w:r>
    </w:p>
    <w:p>
      <w:pPr>
        <w:spacing w:after="0" w:line="10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Subsequent to December 31, 2020, the Company granted options for 1,219,764 shares of common stock, subject to service-based vesting conditions, with a weighted-average price of $6.58 per share to employees.</w:t>
      </w:r>
    </w:p>
    <w:p>
      <w:pPr>
        <w:spacing w:after="0" w:line="1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 (unaudited)</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the interim consolidated financial statements as of June 30, 2021, and for the six months then ended, the Company has evaluated events through August 18, 2021, which is the date the financial statements were available to be issued.</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Subsequent to June 30, 2021, the Company granted options for 195,782 shares of common stock, subject to service-based vesting conditions, with a weighted-average price of $8.71 per share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60"/>
          </w:cols>
          <w:pgMar w:left="320" w:top="1440" w:right="419" w:bottom="1440" w:gutter="0" w:footer="0" w:header="0"/>
        </w:sectPr>
      </w:pPr>
    </w:p>
    <w:bookmarkStart w:id="224" w:name="page225"/>
    <w:bookmarkEnd w:id="224"/>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firstLine="648"/>
        <w:spacing w:after="0" w:line="263" w:lineRule="auto"/>
        <w:rPr>
          <w:sz w:val="20"/>
          <w:szCs w:val="20"/>
          <w:color w:val="auto"/>
        </w:rPr>
      </w:pPr>
      <w:r>
        <w:rPr>
          <w:rFonts w:ascii="Arial" w:cs="Arial" w:eastAsia="Arial" w:hAnsi="Arial"/>
          <w:sz w:val="18"/>
          <w:szCs w:val="18"/>
          <w:color w:val="auto"/>
        </w:rPr>
        <w:t>Through and including , 2021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375" w:lineRule="exact"/>
        <w:rPr>
          <w:sz w:val="20"/>
          <w:szCs w:val="20"/>
          <w:color w:val="auto"/>
        </w:rPr>
      </w:pPr>
    </w:p>
    <w:p>
      <w:pPr>
        <w:ind w:left="588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83820</wp:posOffset>
            </wp:positionV>
            <wp:extent cx="2391410" cy="814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141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526415</wp:posOffset>
            </wp:positionV>
            <wp:extent cx="2040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  R  O  S  P  E  C  T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171450</wp:posOffset>
            </wp:positionV>
            <wp:extent cx="2040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BofA Securities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Goldman Sachs &amp; Co. LLC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Cowen</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Guggenheim Securities</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SVB Leerink</w:t>
      </w:r>
    </w:p>
    <w:p>
      <w:pPr>
        <w:spacing w:after="0" w:line="23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5" w:name="page226"/>
    <w:bookmarkEnd w:id="225"/>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following table sets forth all the costs and expenses, other than underwriting discounts, payable in connection with the sale of the shares of common stock being registered hereby. Except as otherwise noted, the Registrant will pay all of the costs and expenses set forth in the following table. All amounts shown below are estimates, except the SEC registration fee, the FINRA filing fee and the Nasdaq Global Market listing fee: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Amount Paid or to Be</w:t>
            </w:r>
          </w:p>
        </w:tc>
      </w:tr>
      <w:tr>
        <w:trPr>
          <w:trHeight w:val="188"/>
        </w:trPr>
        <w:tc>
          <w:tcPr>
            <w:tcW w:w="96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Paid</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23,270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Global Market listing fee</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1,100,000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 expenses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205,168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Registrant is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Registrant’s amended and restated certificate of incorporation and amended and restated bylaws will authorize the indemnification of its officers and directors, consistent with Section 145 of the DGCL.</w:t>
      </w:r>
    </w:p>
    <w:p>
      <w:pPr>
        <w:spacing w:after="0" w:line="11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1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16"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years preceding the filing of this registration statement, we have issued the following securities which were not registered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of 1933, as amended:</w:t>
      </w:r>
    </w:p>
    <w:p>
      <w:pPr>
        <w:spacing w:after="0" w:line="157" w:lineRule="exact"/>
        <w:rPr>
          <w:sz w:val="20"/>
          <w:szCs w:val="20"/>
          <w:color w:val="auto"/>
        </w:rPr>
      </w:pPr>
    </w:p>
    <w:p>
      <w:pPr>
        <w:jc w:val="both"/>
        <w:ind w:right="100" w:firstLine="332"/>
        <w:spacing w:after="0" w:line="311" w:lineRule="auto"/>
        <w:tabs>
          <w:tab w:leader="none" w:pos="64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July 2020 and August 2020, we completed the sale of an aggregate of 5,226,969 shares of our Series F redeemable convertible preferred stock to certain investors at a purchase price of $14.7279 per share, for an aggregate purchase price of approximately $77.0 million. All of our shares of Series F redeemable convertible preferred stock will convert into shares of our common stock immediately prior to the closing of our initial public offering.</w:t>
      </w:r>
    </w:p>
    <w:p>
      <w:pPr>
        <w:spacing w:after="0" w:line="94" w:lineRule="exact"/>
        <w:rPr>
          <w:rFonts w:ascii="Arial" w:cs="Arial" w:eastAsia="Arial" w:hAnsi="Arial"/>
          <w:sz w:val="16"/>
          <w:szCs w:val="16"/>
          <w:color w:val="auto"/>
        </w:rPr>
      </w:pPr>
    </w:p>
    <w:p>
      <w:pPr>
        <w:ind w:right="640" w:firstLine="332"/>
        <w:spacing w:after="0" w:line="311" w:lineRule="auto"/>
        <w:tabs>
          <w:tab w:leader="none" w:pos="64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June 2021, we completed the sale of an aggregate of 4,447,530 shares of our Series G redeemable convertible preferred stock to certain investors at a purchase price of $19.1116 per share, for an aggregate purchase price of approximately $85.0 million. All of our shares of Series G redeemable convertible preferred stock will convert into shares of our common stock immediately prior to the closing of our initial public offering.</w:t>
      </w:r>
    </w:p>
    <w:p>
      <w:pPr>
        <w:spacing w:after="0" w:line="94" w:lineRule="exact"/>
        <w:rPr>
          <w:rFonts w:ascii="Arial" w:cs="Arial" w:eastAsia="Arial" w:hAnsi="Arial"/>
          <w:sz w:val="16"/>
          <w:szCs w:val="16"/>
          <w:color w:val="auto"/>
        </w:rPr>
      </w:pPr>
    </w:p>
    <w:p>
      <w:pPr>
        <w:ind w:right="160" w:firstLine="332"/>
        <w:spacing w:after="0" w:line="311" w:lineRule="auto"/>
        <w:tabs>
          <w:tab w:leader="none" w:pos="64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Since January 1, 2018, we have granted stock options to employees, directors and consultants, covering an aggregate of 7,950,935 million shares of our common stock under our 2008 Stock Plan, at exercise prices ranging from $4.37 to $12.35 per share, and have issued 2,613,697 million shares of common stock upon exercise of stock options under our 2008 Stock Plan with an aggregate exercise price of $6.1 million.</w:t>
      </w:r>
    </w:p>
    <w:p>
      <w:pPr>
        <w:spacing w:after="0" w:line="9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issuances of the securities in the transactions described above were deemed to be exempt from registration under the Securities Act in reliance upon Section 4(a)(2) of the Securities Act or Rules 506 and 701 promulgated thereunder. The securities were issued directly by the registrant and did not involve a public offering or general solicitation. The recipients of such securities represented their intentions to acquire the securities for investment purposes only and not with a view to, or for sale in connection with, any distribution thereof.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820" w:type="dxa"/>
            <w:vAlign w:val="bottom"/>
            <w:gridSpan w:val="5"/>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188"/>
        </w:trPr>
        <w:tc>
          <w:tcPr>
            <w:tcW w:w="1320" w:type="dxa"/>
            <w:vAlign w:val="bottom"/>
            <w:tcBorders>
              <w:top w:val="single" w:sz="8" w:color="auto"/>
            </w:tcBorders>
          </w:tcPr>
          <w:p>
            <w:pPr>
              <w:jc w:val="right"/>
              <w:ind w:right="454"/>
              <w:spacing w:after="0" w:line="189"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6"/>
                <w:szCs w:val="16"/>
                <w:color w:val="auto"/>
              </w:rPr>
            </w:pPr>
          </w:p>
        </w:tc>
        <w:tc>
          <w:tcPr>
            <w:tcW w:w="2500" w:type="dxa"/>
            <w:vAlign w:val="bottom"/>
            <w:tcBorders>
              <w:top w:val="single" w:sz="8" w:color="auto"/>
              <w:bottom w:val="single" w:sz="8" w:color="0000FF"/>
            </w:tcBorders>
          </w:tcPr>
          <w:p>
            <w:pPr>
              <w:ind w:left="20"/>
              <w:spacing w:after="0" w:line="189" w:lineRule="exact"/>
              <w:rPr>
                <w:rFonts w:ascii="Arial" w:cs="Arial" w:eastAsia="Arial" w:hAnsi="Arial"/>
                <w:sz w:val="18"/>
                <w:szCs w:val="18"/>
                <w:color w:val="0000FF"/>
                <w:w w:val="92"/>
              </w:rPr>
            </w:pPr>
            <w:hyperlink w:anchor="page231">
              <w:r>
                <w:rPr>
                  <w:rFonts w:ascii="Arial" w:cs="Arial" w:eastAsia="Arial" w:hAnsi="Arial"/>
                  <w:sz w:val="18"/>
                  <w:szCs w:val="18"/>
                  <w:color w:val="0000FF"/>
                  <w:w w:val="92"/>
                </w:rPr>
                <w:t>Form of Underwriting Agreement.</w:t>
              </w:r>
            </w:hyperlink>
          </w:p>
        </w:tc>
        <w:tc>
          <w:tcPr>
            <w:tcW w:w="7320" w:type="dxa"/>
            <w:vAlign w:val="bottom"/>
            <w:tcBorders>
              <w:top w:val="single" w:sz="8" w:color="auto"/>
            </w:tcBorders>
            <w:gridSpan w:val="4"/>
          </w:tcPr>
          <w:p>
            <w:pPr>
              <w:spacing w:after="0"/>
              <w:rPr>
                <w:sz w:val="16"/>
                <w:szCs w:val="16"/>
                <w:color w:val="auto"/>
              </w:rPr>
            </w:pPr>
          </w:p>
        </w:tc>
      </w:tr>
      <w:tr>
        <w:trPr>
          <w:trHeight w:val="304"/>
        </w:trPr>
        <w:tc>
          <w:tcPr>
            <w:tcW w:w="1320" w:type="dxa"/>
            <w:vAlign w:val="bottom"/>
          </w:tcPr>
          <w:p>
            <w:pPr>
              <w:jc w:val="right"/>
              <w:ind w:right="45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640" w:type="dxa"/>
            <w:vAlign w:val="bottom"/>
            <w:tcBorders>
              <w:bottom w:val="single" w:sz="8" w:color="0000FF"/>
            </w:tcBorders>
            <w:gridSpan w:val="4"/>
          </w:tcPr>
          <w:p>
            <w:pPr>
              <w:ind w:left="20"/>
              <w:spacing w:after="0"/>
              <w:rPr>
                <w:rFonts w:ascii="Arial" w:cs="Arial" w:eastAsia="Arial" w:hAnsi="Arial"/>
                <w:sz w:val="18"/>
                <w:szCs w:val="18"/>
                <w:color w:val="0000FF"/>
                <w:w w:val="91"/>
              </w:rPr>
            </w:pPr>
            <w:hyperlink w:anchor="page277">
              <w:r>
                <w:rPr>
                  <w:rFonts w:ascii="Arial" w:cs="Arial" w:eastAsia="Arial" w:hAnsi="Arial"/>
                  <w:sz w:val="18"/>
                  <w:szCs w:val="18"/>
                  <w:color w:val="0000FF"/>
                  <w:w w:val="91"/>
                </w:rPr>
                <w:t>Form of Amended and Restated Certificate of Incorporation of the Registrant, to be effective upon the consummation of this offering.</w:t>
              </w:r>
            </w:hyperlink>
          </w:p>
        </w:tc>
        <w:tc>
          <w:tcPr>
            <w:tcW w:w="180" w:type="dxa"/>
            <w:vAlign w:val="bottom"/>
          </w:tcPr>
          <w:p>
            <w:pPr>
              <w:spacing w:after="0"/>
              <w:rPr>
                <w:sz w:val="24"/>
                <w:szCs w:val="24"/>
                <w:color w:val="auto"/>
              </w:rPr>
            </w:pPr>
          </w:p>
        </w:tc>
      </w:tr>
      <w:tr>
        <w:trPr>
          <w:trHeight w:val="304"/>
        </w:trPr>
        <w:tc>
          <w:tcPr>
            <w:tcW w:w="1320" w:type="dxa"/>
            <w:vAlign w:val="bottom"/>
          </w:tcPr>
          <w:p>
            <w:pPr>
              <w:jc w:val="right"/>
              <w:ind w:right="45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8200" w:type="dxa"/>
            <w:vAlign w:val="bottom"/>
            <w:tcBorders>
              <w:bottom w:val="single" w:sz="8" w:color="0000FF"/>
            </w:tcBorders>
            <w:gridSpan w:val="3"/>
          </w:tcPr>
          <w:p>
            <w:pPr>
              <w:ind w:left="20"/>
              <w:spacing w:after="0"/>
              <w:rPr>
                <w:rFonts w:ascii="Arial" w:cs="Arial" w:eastAsia="Arial" w:hAnsi="Arial"/>
                <w:sz w:val="18"/>
                <w:szCs w:val="18"/>
                <w:color w:val="0000FF"/>
                <w:w w:val="90"/>
              </w:rPr>
            </w:pPr>
            <w:hyperlink w:anchor="page284">
              <w:r>
                <w:rPr>
                  <w:rFonts w:ascii="Arial" w:cs="Arial" w:eastAsia="Arial" w:hAnsi="Arial"/>
                  <w:sz w:val="18"/>
                  <w:szCs w:val="18"/>
                  <w:color w:val="0000FF"/>
                  <w:w w:val="90"/>
                </w:rPr>
                <w:t>Form of Amended and Restated Bylaws of the Registrant, to be effective upon the consummation of this offering.</w:t>
              </w:r>
            </w:hyperlink>
          </w:p>
        </w:tc>
        <w:tc>
          <w:tcPr>
            <w:tcW w:w="1620" w:type="dxa"/>
            <w:vAlign w:val="bottom"/>
            <w:gridSpan w:val="2"/>
          </w:tcPr>
          <w:p>
            <w:pPr>
              <w:spacing w:after="0"/>
              <w:rPr>
                <w:sz w:val="24"/>
                <w:szCs w:val="24"/>
                <w:color w:val="auto"/>
              </w:rPr>
            </w:pPr>
          </w:p>
        </w:tc>
      </w:tr>
      <w:tr>
        <w:trPr>
          <w:trHeight w:val="304"/>
        </w:trPr>
        <w:tc>
          <w:tcPr>
            <w:tcW w:w="1320" w:type="dxa"/>
            <w:vAlign w:val="bottom"/>
          </w:tcPr>
          <w:p>
            <w:pPr>
              <w:jc w:val="right"/>
              <w:ind w:right="45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600" w:type="dxa"/>
            <w:vAlign w:val="bottom"/>
            <w:tcBorders>
              <w:bottom w:val="single" w:sz="8" w:color="0000FF"/>
            </w:tcBorders>
            <w:gridSpan w:val="2"/>
          </w:tcPr>
          <w:p>
            <w:pPr>
              <w:ind w:left="20"/>
              <w:spacing w:after="0"/>
              <w:rPr>
                <w:rFonts w:ascii="Arial" w:cs="Arial" w:eastAsia="Arial" w:hAnsi="Arial"/>
                <w:sz w:val="18"/>
                <w:szCs w:val="18"/>
                <w:color w:val="0000FF"/>
                <w:w w:val="93"/>
              </w:rPr>
            </w:pPr>
            <w:hyperlink w:anchor="page311">
              <w:r>
                <w:rPr>
                  <w:rFonts w:ascii="Arial" w:cs="Arial" w:eastAsia="Arial" w:hAnsi="Arial"/>
                  <w:sz w:val="18"/>
                  <w:szCs w:val="18"/>
                  <w:color w:val="0000FF"/>
                  <w:w w:val="93"/>
                </w:rPr>
                <w:t>Opinion of Latham &amp; Watkins LLP.</w:t>
              </w:r>
            </w:hyperlink>
          </w:p>
        </w:tc>
        <w:tc>
          <w:tcPr>
            <w:tcW w:w="7220" w:type="dxa"/>
            <w:vAlign w:val="bottom"/>
            <w:gridSpan w:val="3"/>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8"/>
              </w:rPr>
              <w:t>10.1*+</w:t>
            </w:r>
          </w:p>
        </w:tc>
        <w:tc>
          <w:tcPr>
            <w:tcW w:w="7040" w:type="dxa"/>
            <w:vAlign w:val="bottom"/>
            <w:tcBorders>
              <w:bottom w:val="single" w:sz="8" w:color="0000FF"/>
            </w:tcBorders>
            <w:gridSpan w:val="17"/>
          </w:tcPr>
          <w:p>
            <w:pPr>
              <w:ind w:left="20"/>
              <w:spacing w:after="0"/>
              <w:rPr>
                <w:rFonts w:ascii="Arial" w:cs="Arial" w:eastAsia="Arial" w:hAnsi="Arial"/>
                <w:sz w:val="18"/>
                <w:szCs w:val="18"/>
                <w:color w:val="0000FF"/>
                <w:w w:val="89"/>
              </w:rPr>
            </w:pPr>
            <w:hyperlink r:id="rId51">
              <w:r>
                <w:rPr>
                  <w:rFonts w:ascii="Arial" w:cs="Arial" w:eastAsia="Arial" w:hAnsi="Arial"/>
                  <w:sz w:val="18"/>
                  <w:szCs w:val="18"/>
                  <w:color w:val="0000FF"/>
                  <w:w w:val="89"/>
                </w:rPr>
                <w:t>Offer Letter, by and between the Registrant and Reza Zadno, Ph.D., dated as of January 31, 2020.</w:t>
              </w:r>
            </w:hyperlink>
          </w:p>
        </w:tc>
        <w:tc>
          <w:tcPr>
            <w:tcW w:w="2720" w:type="dxa"/>
            <w:vAlign w:val="bottom"/>
            <w:gridSpan w:val="12"/>
          </w:tcPr>
          <w:p>
            <w:pPr>
              <w:spacing w:after="0"/>
              <w:rPr>
                <w:sz w:val="17"/>
                <w:szCs w:val="17"/>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8"/>
              </w:rPr>
              <w:t>10.2*+</w:t>
            </w:r>
          </w:p>
        </w:tc>
        <w:tc>
          <w:tcPr>
            <w:tcW w:w="9760" w:type="dxa"/>
            <w:vAlign w:val="bottom"/>
            <w:gridSpan w:val="29"/>
          </w:tcPr>
          <w:p>
            <w:pPr>
              <w:ind w:left="20"/>
              <w:spacing w:after="0"/>
              <w:rPr>
                <w:rFonts w:ascii="Arial" w:cs="Arial" w:eastAsia="Arial" w:hAnsi="Arial"/>
                <w:sz w:val="18"/>
                <w:szCs w:val="18"/>
                <w:color w:val="0000FF"/>
              </w:rPr>
            </w:pPr>
            <w:hyperlink r:id="rId52">
              <w:r>
                <w:rPr>
                  <w:rFonts w:ascii="Arial" w:cs="Arial" w:eastAsia="Arial" w:hAnsi="Arial"/>
                  <w:sz w:val="18"/>
                  <w:szCs w:val="18"/>
                  <w:color w:val="0000FF"/>
                </w:rPr>
                <w:t>Offer Letter, by and between the Registrant and Kevin Waters, dated as of August 7, 2018.</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8"/>
              </w:rPr>
              <w:t>10.3*+</w:t>
            </w:r>
          </w:p>
        </w:tc>
        <w:tc>
          <w:tcPr>
            <w:tcW w:w="6740" w:type="dxa"/>
            <w:vAlign w:val="bottom"/>
            <w:tcBorders>
              <w:bottom w:val="single" w:sz="8" w:color="0000FF"/>
            </w:tcBorders>
            <w:gridSpan w:val="16"/>
          </w:tcPr>
          <w:p>
            <w:pPr>
              <w:ind w:left="20"/>
              <w:spacing w:after="0"/>
              <w:rPr>
                <w:rFonts w:ascii="Arial" w:cs="Arial" w:eastAsia="Arial" w:hAnsi="Arial"/>
                <w:sz w:val="18"/>
                <w:szCs w:val="18"/>
                <w:color w:val="0000FF"/>
                <w:w w:val="89"/>
              </w:rPr>
            </w:pPr>
            <w:hyperlink r:id="rId53">
              <w:r>
                <w:rPr>
                  <w:rFonts w:ascii="Arial" w:cs="Arial" w:eastAsia="Arial" w:hAnsi="Arial"/>
                  <w:sz w:val="18"/>
                  <w:szCs w:val="18"/>
                  <w:color w:val="0000FF"/>
                  <w:w w:val="89"/>
                </w:rPr>
                <w:t>Offer Letter, by and between the Registrant and Hisham Shiblaq, dated as of March 21, 2019.</w:t>
              </w:r>
            </w:hyperlink>
          </w:p>
        </w:tc>
        <w:tc>
          <w:tcPr>
            <w:tcW w:w="3020" w:type="dxa"/>
            <w:vAlign w:val="bottom"/>
            <w:gridSpan w:val="13"/>
          </w:tcPr>
          <w:p>
            <w:pPr>
              <w:spacing w:after="0"/>
              <w:rPr>
                <w:sz w:val="24"/>
                <w:szCs w:val="24"/>
                <w:color w:val="auto"/>
              </w:rPr>
            </w:pPr>
          </w:p>
        </w:tc>
      </w:tr>
      <w:tr>
        <w:trPr>
          <w:trHeight w:val="304"/>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2"/>
              </w:rPr>
              <w:t>10.4+</w:t>
            </w:r>
          </w:p>
        </w:tc>
        <w:tc>
          <w:tcPr>
            <w:tcW w:w="9760" w:type="dxa"/>
            <w:vAlign w:val="bottom"/>
            <w:gridSpan w:val="29"/>
          </w:tcPr>
          <w:p>
            <w:pPr>
              <w:ind w:left="20"/>
              <w:spacing w:after="0"/>
              <w:rPr>
                <w:rFonts w:ascii="Arial" w:cs="Arial" w:eastAsia="Arial" w:hAnsi="Arial"/>
                <w:sz w:val="18"/>
                <w:szCs w:val="18"/>
                <w:color w:val="0000FF"/>
              </w:rPr>
            </w:pPr>
            <w:hyperlink w:anchor="page313">
              <w:r>
                <w:rPr>
                  <w:rFonts w:ascii="Arial" w:cs="Arial" w:eastAsia="Arial" w:hAnsi="Arial"/>
                  <w:sz w:val="18"/>
                  <w:szCs w:val="18"/>
                  <w:color w:val="0000FF"/>
                </w:rPr>
                <w:t>Amended and Restated 2008 Stock Plan.</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1"/>
              </w:rPr>
              <w:t>10.4(a)+</w:t>
            </w:r>
          </w:p>
        </w:tc>
        <w:tc>
          <w:tcPr>
            <w:tcW w:w="9760" w:type="dxa"/>
            <w:vAlign w:val="bottom"/>
            <w:gridSpan w:val="29"/>
          </w:tcPr>
          <w:p>
            <w:pPr>
              <w:ind w:left="20"/>
              <w:spacing w:after="0"/>
              <w:rPr>
                <w:rFonts w:ascii="Arial" w:cs="Arial" w:eastAsia="Arial" w:hAnsi="Arial"/>
                <w:sz w:val="18"/>
                <w:szCs w:val="18"/>
                <w:color w:val="0000FF"/>
              </w:rPr>
            </w:pPr>
            <w:hyperlink w:anchor="page332">
              <w:r>
                <w:rPr>
                  <w:rFonts w:ascii="Arial" w:cs="Arial" w:eastAsia="Arial" w:hAnsi="Arial"/>
                  <w:sz w:val="18"/>
                  <w:szCs w:val="18"/>
                  <w:color w:val="0000FF"/>
                </w:rPr>
                <w:t xml:space="preserve">Form of Stock Option Agreement under the Amended and Restated </w:t>
              </w:r>
            </w:hyperlink>
            <w:r>
              <w:rPr>
                <w:rFonts w:ascii="Arial" w:cs="Arial" w:eastAsia="Arial" w:hAnsi="Arial"/>
                <w:sz w:val="18"/>
                <w:szCs w:val="18"/>
                <w:color w:val="0000FF"/>
              </w:rPr>
              <w:t xml:space="preserve">2008 </w:t>
            </w:r>
            <w:hyperlink w:anchor="page332">
              <w:r>
                <w:rPr>
                  <w:rFonts w:ascii="Arial" w:cs="Arial" w:eastAsia="Arial" w:hAnsi="Arial"/>
                  <w:sz w:val="18"/>
                  <w:szCs w:val="18"/>
                  <w:color w:val="0000FF"/>
                </w:rPr>
                <w:t>Stock Plan.</w:t>
              </w:r>
            </w:hyperlink>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1"/>
              </w:rPr>
              <w:t>10.5</w:t>
            </w:r>
          </w:p>
        </w:tc>
        <w:tc>
          <w:tcPr>
            <w:tcW w:w="6140" w:type="dxa"/>
            <w:vAlign w:val="bottom"/>
            <w:tcBorders>
              <w:top w:val="single" w:sz="8" w:color="0000FF"/>
            </w:tcBorders>
            <w:gridSpan w:val="12"/>
          </w:tcPr>
          <w:p>
            <w:pPr>
              <w:ind w:left="20"/>
              <w:spacing w:after="0"/>
              <w:rPr>
                <w:rFonts w:ascii="Arial" w:cs="Arial" w:eastAsia="Arial" w:hAnsi="Arial"/>
                <w:sz w:val="18"/>
                <w:szCs w:val="18"/>
                <w:color w:val="0000FF"/>
              </w:rPr>
            </w:pPr>
            <w:hyperlink w:anchor="page367">
              <w:r>
                <w:rPr>
                  <w:rFonts w:ascii="Arial" w:cs="Arial" w:eastAsia="Arial" w:hAnsi="Arial"/>
                  <w:sz w:val="18"/>
                  <w:szCs w:val="18"/>
                  <w:color w:val="0000FF"/>
                </w:rPr>
                <w:t>Form of Indemnification and Advancement Agreement.</w:t>
              </w:r>
            </w:hyperlink>
          </w:p>
        </w:tc>
        <w:tc>
          <w:tcPr>
            <w:tcW w:w="3620" w:type="dxa"/>
            <w:vAlign w:val="bottom"/>
            <w:gridSpan w:val="17"/>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5"/>
              </w:rPr>
              <w:t>10.6*</w:t>
            </w:r>
          </w:p>
        </w:tc>
        <w:tc>
          <w:tcPr>
            <w:tcW w:w="9760" w:type="dxa"/>
            <w:vAlign w:val="bottom"/>
            <w:gridSpan w:val="29"/>
          </w:tcPr>
          <w:p>
            <w:pPr>
              <w:ind w:left="20"/>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Amended and Restated Exclusive License Agreement, by and between the Registrant and AquaBeam LLC, dated as of September 13,</w:t>
              </w:r>
            </w:hyperlink>
          </w:p>
        </w:tc>
      </w:tr>
      <w:tr>
        <w:trPr>
          <w:trHeight w:val="156"/>
        </w:trPr>
        <w:tc>
          <w:tcPr>
            <w:tcW w:w="11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84"/>
              </w:rPr>
            </w:pPr>
            <w:hyperlink r:id="rId54">
              <w:r>
                <w:rPr>
                  <w:rFonts w:ascii="Arial" w:cs="Arial" w:eastAsia="Arial" w:hAnsi="Arial"/>
                  <w:sz w:val="18"/>
                  <w:szCs w:val="18"/>
                  <w:color w:val="0000FF"/>
                  <w:w w:val="84"/>
                </w:rPr>
                <w:t>2019.</w:t>
              </w:r>
            </w:hyperlink>
          </w:p>
        </w:tc>
        <w:tc>
          <w:tcPr>
            <w:tcW w:w="2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5"/>
              </w:rPr>
              <w:t>10.7*</w:t>
            </w:r>
          </w:p>
        </w:tc>
        <w:tc>
          <w:tcPr>
            <w:tcW w:w="8720" w:type="dxa"/>
            <w:vAlign w:val="bottom"/>
            <w:tcBorders>
              <w:bottom w:val="single" w:sz="8" w:color="0000FF"/>
            </w:tcBorders>
            <w:gridSpan w:val="19"/>
          </w:tcPr>
          <w:p>
            <w:pPr>
              <w:ind w:left="20"/>
              <w:spacing w:after="0"/>
              <w:rPr>
                <w:rFonts w:ascii="Arial" w:cs="Arial" w:eastAsia="Arial" w:hAnsi="Arial"/>
                <w:sz w:val="18"/>
                <w:szCs w:val="18"/>
                <w:color w:val="0000FF"/>
                <w:w w:val="89"/>
              </w:rPr>
            </w:pPr>
            <w:hyperlink r:id="rId55">
              <w:r>
                <w:rPr>
                  <w:rFonts w:ascii="Arial" w:cs="Arial" w:eastAsia="Arial" w:hAnsi="Arial"/>
                  <w:sz w:val="18"/>
                  <w:szCs w:val="18"/>
                  <w:color w:val="0000FF"/>
                  <w:w w:val="89"/>
                </w:rPr>
                <w:t>Loan and Security Agreement, by and between the Registrant and Oxford Finance LLC, dated as of September 25, 2019.</w:t>
              </w:r>
            </w:hyperlink>
          </w:p>
        </w:tc>
        <w:tc>
          <w:tcPr>
            <w:tcW w:w="1040" w:type="dxa"/>
            <w:vAlign w:val="bottom"/>
            <w:gridSpan w:val="10"/>
          </w:tcPr>
          <w:p>
            <w:pPr>
              <w:spacing w:after="0"/>
              <w:rPr>
                <w:sz w:val="24"/>
                <w:szCs w:val="24"/>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3"/>
              </w:rPr>
              <w:t>10.7(a)*</w:t>
            </w:r>
          </w:p>
        </w:tc>
        <w:tc>
          <w:tcPr>
            <w:tcW w:w="9760" w:type="dxa"/>
            <w:vAlign w:val="bottom"/>
            <w:gridSpan w:val="29"/>
          </w:tcPr>
          <w:p>
            <w:pPr>
              <w:ind w:left="20"/>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First Amendment to Loan and Security Agreement, by and between the Registrant and Oxford Finance LLC, dated as of January 15,</w:t>
              </w:r>
            </w:hyperlink>
          </w:p>
        </w:tc>
      </w:tr>
      <w:tr>
        <w:trPr>
          <w:trHeight w:val="155"/>
        </w:trPr>
        <w:tc>
          <w:tcPr>
            <w:tcW w:w="11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84"/>
              </w:rPr>
            </w:pPr>
            <w:hyperlink r:id="rId56">
              <w:r>
                <w:rPr>
                  <w:rFonts w:ascii="Arial" w:cs="Arial" w:eastAsia="Arial" w:hAnsi="Arial"/>
                  <w:sz w:val="18"/>
                  <w:szCs w:val="18"/>
                  <w:color w:val="0000FF"/>
                  <w:w w:val="84"/>
                </w:rPr>
                <w:t>2021.</w:t>
              </w:r>
            </w:hyperlink>
          </w:p>
        </w:tc>
        <w:tc>
          <w:tcPr>
            <w:tcW w:w="2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6"/>
              </w:rPr>
              <w:t>10.7(b)*</w:t>
            </w:r>
          </w:p>
        </w:tc>
        <w:tc>
          <w:tcPr>
            <w:tcW w:w="9760" w:type="dxa"/>
            <w:vAlign w:val="bottom"/>
            <w:gridSpan w:val="29"/>
          </w:tcPr>
          <w:p>
            <w:pPr>
              <w:ind w:left="20"/>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Second Amendment to Loan and Security Agreement, by and between the Registrant and Oxford Finance LLC, dated as of April 6,</w:t>
              </w:r>
            </w:hyperlink>
          </w:p>
        </w:tc>
      </w:tr>
      <w:tr>
        <w:trPr>
          <w:trHeight w:val="156"/>
        </w:trPr>
        <w:tc>
          <w:tcPr>
            <w:tcW w:w="11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84"/>
              </w:rPr>
            </w:pPr>
            <w:hyperlink r:id="rId57">
              <w:r>
                <w:rPr>
                  <w:rFonts w:ascii="Arial" w:cs="Arial" w:eastAsia="Arial" w:hAnsi="Arial"/>
                  <w:sz w:val="18"/>
                  <w:szCs w:val="18"/>
                  <w:color w:val="0000FF"/>
                  <w:w w:val="84"/>
                </w:rPr>
                <w:t>2021.</w:t>
              </w:r>
            </w:hyperlink>
          </w:p>
        </w:tc>
        <w:tc>
          <w:tcPr>
            <w:tcW w:w="2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5"/>
              </w:rPr>
              <w:t>10.8*</w:t>
            </w:r>
          </w:p>
        </w:tc>
        <w:tc>
          <w:tcPr>
            <w:tcW w:w="7740" w:type="dxa"/>
            <w:vAlign w:val="bottom"/>
            <w:tcBorders>
              <w:bottom w:val="single" w:sz="8" w:color="0000FF"/>
            </w:tcBorders>
            <w:gridSpan w:val="18"/>
          </w:tcPr>
          <w:p>
            <w:pPr>
              <w:ind w:left="20"/>
              <w:spacing w:after="0"/>
              <w:rPr>
                <w:rFonts w:ascii="Arial" w:cs="Arial" w:eastAsia="Arial" w:hAnsi="Arial"/>
                <w:sz w:val="18"/>
                <w:szCs w:val="18"/>
                <w:color w:val="0000FF"/>
                <w:w w:val="89"/>
              </w:rPr>
            </w:pPr>
            <w:hyperlink r:id="rId58">
              <w:r>
                <w:rPr>
                  <w:rFonts w:ascii="Arial" w:cs="Arial" w:eastAsia="Arial" w:hAnsi="Arial"/>
                  <w:sz w:val="18"/>
                  <w:szCs w:val="18"/>
                  <w:color w:val="0000FF"/>
                  <w:w w:val="89"/>
                </w:rPr>
                <w:t>Lease Agreement, by and between the Registrant and Westport Office Park LLC, dated as of July 15, 2013.</w:t>
              </w:r>
            </w:hyperlink>
          </w:p>
        </w:tc>
        <w:tc>
          <w:tcPr>
            <w:tcW w:w="2020" w:type="dxa"/>
            <w:vAlign w:val="bottom"/>
            <w:gridSpan w:val="11"/>
          </w:tcPr>
          <w:p>
            <w:pPr>
              <w:spacing w:after="0"/>
              <w:rPr>
                <w:sz w:val="24"/>
                <w:szCs w:val="24"/>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3"/>
              </w:rPr>
              <w:t>10.8(a)*</w:t>
            </w:r>
          </w:p>
        </w:tc>
        <w:tc>
          <w:tcPr>
            <w:tcW w:w="9760" w:type="dxa"/>
            <w:vAlign w:val="bottom"/>
            <w:gridSpan w:val="29"/>
          </w:tcPr>
          <w:p>
            <w:pPr>
              <w:ind w:left="20"/>
              <w:spacing w:after="0"/>
              <w:rPr>
                <w:rFonts w:ascii="Arial" w:cs="Arial" w:eastAsia="Arial" w:hAnsi="Arial"/>
                <w:sz w:val="18"/>
                <w:szCs w:val="18"/>
                <w:color w:val="0000FF"/>
                <w:w w:val="94"/>
              </w:rPr>
            </w:pPr>
            <w:hyperlink r:id="rId59">
              <w:r>
                <w:rPr>
                  <w:rFonts w:ascii="Arial" w:cs="Arial" w:eastAsia="Arial" w:hAnsi="Arial"/>
                  <w:sz w:val="18"/>
                  <w:szCs w:val="18"/>
                  <w:color w:val="0000FF"/>
                  <w:w w:val="94"/>
                </w:rPr>
                <w:t>First Amendment to Lease Agreement, by and between the Registrant and Westport Office Park LLC, dated as of March 2, 2016.</w:t>
              </w:r>
            </w:hyperlink>
          </w:p>
        </w:tc>
      </w:tr>
      <w:tr>
        <w:trPr>
          <w:trHeight w:val="20"/>
        </w:trPr>
        <w:tc>
          <w:tcPr>
            <w:tcW w:w="1120" w:type="dxa"/>
            <w:vAlign w:val="bottom"/>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6"/>
              </w:rPr>
              <w:t>10.8(b)*</w:t>
            </w:r>
          </w:p>
        </w:tc>
        <w:tc>
          <w:tcPr>
            <w:tcW w:w="9460" w:type="dxa"/>
            <w:vAlign w:val="bottom"/>
            <w:tcBorders>
              <w:bottom w:val="single" w:sz="8" w:color="0000FF"/>
            </w:tcBorders>
            <w:gridSpan w:val="23"/>
          </w:tcPr>
          <w:p>
            <w:pPr>
              <w:ind w:left="20"/>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Second Amendment to Lease Agreement, by and between the Registrant and Westport Office Park LLC, dated as of May 20, 2016.</w:t>
              </w:r>
            </w:hyperlink>
          </w:p>
        </w:tc>
        <w:tc>
          <w:tcPr>
            <w:tcW w:w="300" w:type="dxa"/>
            <w:vAlign w:val="bottom"/>
            <w:gridSpan w:val="6"/>
          </w:tcPr>
          <w:p>
            <w:pPr>
              <w:spacing w:after="0"/>
              <w:rPr>
                <w:sz w:val="24"/>
                <w:szCs w:val="24"/>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5"/>
              </w:rPr>
              <w:t>10.8(c)*</w:t>
            </w:r>
          </w:p>
        </w:tc>
        <w:tc>
          <w:tcPr>
            <w:tcW w:w="9760" w:type="dxa"/>
            <w:vAlign w:val="bottom"/>
            <w:gridSpan w:val="29"/>
          </w:tcPr>
          <w:p>
            <w:pPr>
              <w:ind w:left="20"/>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Third Amendment to Lease Agreement, by and between the Registrant and Westport Office Park LLC, dated as of April 4, 2018.</w:t>
              </w:r>
            </w:hyperlink>
          </w:p>
        </w:tc>
      </w:tr>
      <w:tr>
        <w:trPr>
          <w:trHeight w:val="20"/>
        </w:trPr>
        <w:tc>
          <w:tcPr>
            <w:tcW w:w="1120" w:type="dxa"/>
            <w:vAlign w:val="bottom"/>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5"/>
              </w:rPr>
              <w:t>10.9*</w:t>
            </w:r>
          </w:p>
        </w:tc>
        <w:tc>
          <w:tcPr>
            <w:tcW w:w="9760" w:type="dxa"/>
            <w:vAlign w:val="bottom"/>
            <w:gridSpan w:val="29"/>
          </w:tcPr>
          <w:p>
            <w:pPr>
              <w:ind w:left="20"/>
              <w:spacing w:after="0"/>
              <w:rPr>
                <w:rFonts w:ascii="Arial" w:cs="Arial" w:eastAsia="Arial" w:hAnsi="Arial"/>
                <w:sz w:val="18"/>
                <w:szCs w:val="18"/>
                <w:color w:val="0000FF"/>
                <w:w w:val="93"/>
              </w:rPr>
            </w:pPr>
            <w:hyperlink r:id="rId62">
              <w:r>
                <w:rPr>
                  <w:rFonts w:ascii="Arial" w:cs="Arial" w:eastAsia="Arial" w:hAnsi="Arial"/>
                  <w:sz w:val="18"/>
                  <w:szCs w:val="18"/>
                  <w:color w:val="0000FF"/>
                  <w:w w:val="93"/>
                </w:rPr>
                <w:t>Amended and Restated Investor Rights Agreement, by and among the Registrant and the investors named therein and the founder</w:t>
              </w:r>
            </w:hyperlink>
          </w:p>
        </w:tc>
      </w:tr>
      <w:tr>
        <w:trPr>
          <w:trHeight w:val="169"/>
        </w:trPr>
        <w:tc>
          <w:tcPr>
            <w:tcW w:w="1120" w:type="dxa"/>
            <w:vAlign w:val="bottom"/>
          </w:tcPr>
          <w:p>
            <w:pPr>
              <w:spacing w:after="0"/>
              <w:rPr>
                <w:sz w:val="14"/>
                <w:szCs w:val="14"/>
                <w:color w:val="auto"/>
              </w:rPr>
            </w:pPr>
          </w:p>
        </w:tc>
        <w:tc>
          <w:tcPr>
            <w:tcW w:w="9340" w:type="dxa"/>
            <w:vAlign w:val="bottom"/>
            <w:tcBorders>
              <w:top w:val="single" w:sz="8" w:color="0000FF"/>
            </w:tcBorders>
            <w:gridSpan w:val="22"/>
          </w:tcPr>
          <w:p>
            <w:pPr>
              <w:ind w:left="20"/>
              <w:spacing w:after="0" w:line="169" w:lineRule="exact"/>
              <w:rPr>
                <w:rFonts w:ascii="Arial" w:cs="Arial" w:eastAsia="Arial" w:hAnsi="Arial"/>
                <w:sz w:val="18"/>
                <w:szCs w:val="18"/>
                <w:color w:val="0000FF"/>
              </w:rPr>
            </w:pPr>
            <w:hyperlink r:id="rId62">
              <w:r>
                <w:rPr>
                  <w:rFonts w:ascii="Arial" w:cs="Arial" w:eastAsia="Arial" w:hAnsi="Arial"/>
                  <w:sz w:val="18"/>
                  <w:szCs w:val="18"/>
                  <w:color w:val="0000FF"/>
                </w:rPr>
                <w:t>named therein, dated June 10, 2021.</w:t>
              </w:r>
            </w:hyperlink>
          </w:p>
        </w:tc>
        <w:tc>
          <w:tcPr>
            <w:tcW w:w="180" w:type="dxa"/>
            <w:vAlign w:val="bottom"/>
            <w:gridSpan w:val="3"/>
          </w:tcPr>
          <w:p>
            <w:pPr>
              <w:spacing w:after="0"/>
              <w:rPr>
                <w:sz w:val="14"/>
                <w:szCs w:val="14"/>
                <w:color w:val="auto"/>
              </w:rPr>
            </w:pPr>
          </w:p>
        </w:tc>
        <w:tc>
          <w:tcPr>
            <w:tcW w:w="2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3"/>
              </w:rPr>
              <w:t>10.10+</w:t>
            </w:r>
          </w:p>
        </w:tc>
        <w:tc>
          <w:tcPr>
            <w:tcW w:w="9760" w:type="dxa"/>
            <w:vAlign w:val="bottom"/>
            <w:gridSpan w:val="29"/>
          </w:tcPr>
          <w:p>
            <w:pPr>
              <w:ind w:left="20"/>
              <w:spacing w:after="0"/>
              <w:rPr>
                <w:rFonts w:ascii="Arial" w:cs="Arial" w:eastAsia="Arial" w:hAnsi="Arial"/>
                <w:sz w:val="18"/>
                <w:szCs w:val="18"/>
                <w:color w:val="0000FF"/>
              </w:rPr>
            </w:pPr>
            <w:hyperlink w:anchor="page382">
              <w:r>
                <w:rPr>
                  <w:rFonts w:ascii="Arial" w:cs="Arial" w:eastAsia="Arial" w:hAnsi="Arial"/>
                  <w:sz w:val="18"/>
                  <w:szCs w:val="18"/>
                  <w:color w:val="0000FF"/>
                </w:rPr>
                <w:t>Non-Employee Director Compensation Program.</w:t>
              </w:r>
            </w:hyperlink>
          </w:p>
        </w:tc>
      </w:tr>
      <w:tr>
        <w:trPr>
          <w:trHeight w:val="304"/>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89"/>
              </w:rPr>
              <w:t>10.11+</w:t>
            </w:r>
          </w:p>
        </w:tc>
        <w:tc>
          <w:tcPr>
            <w:tcW w:w="260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92"/>
              </w:rPr>
            </w:pPr>
            <w:hyperlink w:anchor="page385">
              <w:r>
                <w:rPr>
                  <w:rFonts w:ascii="Arial" w:cs="Arial" w:eastAsia="Arial" w:hAnsi="Arial"/>
                  <w:sz w:val="18"/>
                  <w:szCs w:val="18"/>
                  <w:color w:val="0000FF"/>
                  <w:w w:val="92"/>
                </w:rPr>
                <w:t>2021 Equity Incentive Award Plan.</w:t>
              </w:r>
            </w:hyperlink>
          </w:p>
        </w:tc>
        <w:tc>
          <w:tcPr>
            <w:tcW w:w="940" w:type="dxa"/>
            <w:vAlign w:val="bottom"/>
            <w:tcBorders>
              <w:top w:val="single" w:sz="8" w:color="0000FF"/>
            </w:tcBorders>
            <w:gridSpan w:val="5"/>
          </w:tcPr>
          <w:p>
            <w:pPr>
              <w:spacing w:after="0"/>
              <w:rPr>
                <w:sz w:val="24"/>
                <w:szCs w:val="24"/>
                <w:color w:val="auto"/>
              </w:rPr>
            </w:pPr>
          </w:p>
        </w:tc>
        <w:tc>
          <w:tcPr>
            <w:tcW w:w="6220" w:type="dxa"/>
            <w:vAlign w:val="bottom"/>
            <w:gridSpan w:val="22"/>
          </w:tcPr>
          <w:p>
            <w:pPr>
              <w:spacing w:after="0"/>
              <w:rPr>
                <w:sz w:val="24"/>
                <w:szCs w:val="24"/>
                <w:color w:val="auto"/>
              </w:rPr>
            </w:pPr>
          </w:p>
        </w:tc>
      </w:tr>
      <w:tr>
        <w:trPr>
          <w:trHeight w:val="318"/>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0"/>
              </w:rPr>
              <w:t>10.11(a)+</w:t>
            </w:r>
          </w:p>
        </w:tc>
        <w:tc>
          <w:tcPr>
            <w:tcW w:w="5740" w:type="dxa"/>
            <w:vAlign w:val="bottom"/>
            <w:tcBorders>
              <w:bottom w:val="single" w:sz="8" w:color="0000FF"/>
            </w:tcBorders>
            <w:gridSpan w:val="11"/>
          </w:tcPr>
          <w:p>
            <w:pPr>
              <w:ind w:left="20"/>
              <w:spacing w:after="0"/>
              <w:rPr>
                <w:rFonts w:ascii="Arial" w:cs="Arial" w:eastAsia="Arial" w:hAnsi="Arial"/>
                <w:sz w:val="18"/>
                <w:szCs w:val="18"/>
                <w:color w:val="0000FF"/>
                <w:w w:val="91"/>
              </w:rPr>
            </w:pPr>
            <w:hyperlink w:anchor="page403">
              <w:r>
                <w:rPr>
                  <w:rFonts w:ascii="Arial" w:cs="Arial" w:eastAsia="Arial" w:hAnsi="Arial"/>
                  <w:sz w:val="18"/>
                  <w:szCs w:val="18"/>
                  <w:color w:val="0000FF"/>
                  <w:w w:val="91"/>
                </w:rPr>
                <w:t>Form of Stock Option Agreement under the 2021 Equity Incentive Award Plan.</w:t>
              </w:r>
            </w:hyperlink>
          </w:p>
        </w:tc>
        <w:tc>
          <w:tcPr>
            <w:tcW w:w="4020" w:type="dxa"/>
            <w:vAlign w:val="bottom"/>
            <w:gridSpan w:val="18"/>
          </w:tcPr>
          <w:p>
            <w:pPr>
              <w:spacing w:after="0"/>
              <w:rPr>
                <w:sz w:val="24"/>
                <w:szCs w:val="24"/>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2"/>
              </w:rPr>
              <w:t>10.11(b)+</w:t>
            </w:r>
          </w:p>
        </w:tc>
        <w:tc>
          <w:tcPr>
            <w:tcW w:w="9760" w:type="dxa"/>
            <w:vAlign w:val="bottom"/>
            <w:gridSpan w:val="29"/>
          </w:tcPr>
          <w:p>
            <w:pPr>
              <w:ind w:left="20"/>
              <w:spacing w:after="0"/>
              <w:rPr>
                <w:rFonts w:ascii="Arial" w:cs="Arial" w:eastAsia="Arial" w:hAnsi="Arial"/>
                <w:sz w:val="18"/>
                <w:szCs w:val="18"/>
                <w:color w:val="0000FF"/>
              </w:rPr>
            </w:pPr>
            <w:hyperlink w:anchor="page409">
              <w:r>
                <w:rPr>
                  <w:rFonts w:ascii="Arial" w:cs="Arial" w:eastAsia="Arial" w:hAnsi="Arial"/>
                  <w:sz w:val="18"/>
                  <w:szCs w:val="18"/>
                  <w:color w:val="0000FF"/>
                </w:rPr>
                <w:t>Form of Restricted Stock Unit Agreement under the 2021 Equity Incentive Award Plan.</w:t>
              </w:r>
            </w:hyperlink>
          </w:p>
        </w:tc>
      </w:tr>
      <w:tr>
        <w:trPr>
          <w:trHeight w:val="318"/>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3"/>
              </w:rPr>
              <w:t>10.12+</w:t>
            </w:r>
          </w:p>
        </w:tc>
        <w:tc>
          <w:tcPr>
            <w:tcW w:w="6320" w:type="dxa"/>
            <w:vAlign w:val="bottom"/>
            <w:tcBorders>
              <w:top w:val="single" w:sz="8" w:color="0000FF"/>
            </w:tcBorders>
            <w:gridSpan w:val="13"/>
          </w:tcPr>
          <w:p>
            <w:pPr>
              <w:ind w:left="20"/>
              <w:spacing w:after="0"/>
              <w:rPr>
                <w:rFonts w:ascii="Arial" w:cs="Arial" w:eastAsia="Arial" w:hAnsi="Arial"/>
                <w:sz w:val="18"/>
                <w:szCs w:val="18"/>
                <w:color w:val="0000FF"/>
              </w:rPr>
            </w:pPr>
            <w:hyperlink w:anchor="page414">
              <w:r>
                <w:rPr>
                  <w:rFonts w:ascii="Arial" w:cs="Arial" w:eastAsia="Arial" w:hAnsi="Arial"/>
                  <w:sz w:val="18"/>
                  <w:szCs w:val="18"/>
                  <w:color w:val="0000FF"/>
                </w:rPr>
                <w:t>2021 Employee Stock Purchase Plan.</w:t>
              </w:r>
            </w:hyperlink>
          </w:p>
        </w:tc>
        <w:tc>
          <w:tcPr>
            <w:tcW w:w="3440" w:type="dxa"/>
            <w:vAlign w:val="bottom"/>
            <w:gridSpan w:val="16"/>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3"/>
              </w:rPr>
              <w:t>10.13+</w:t>
            </w:r>
          </w:p>
        </w:tc>
        <w:tc>
          <w:tcPr>
            <w:tcW w:w="9760" w:type="dxa"/>
            <w:vAlign w:val="bottom"/>
            <w:gridSpan w:val="29"/>
          </w:tcPr>
          <w:p>
            <w:pPr>
              <w:ind w:left="20"/>
              <w:spacing w:after="0"/>
              <w:rPr>
                <w:rFonts w:ascii="Arial" w:cs="Arial" w:eastAsia="Arial" w:hAnsi="Arial"/>
                <w:sz w:val="18"/>
                <w:szCs w:val="18"/>
                <w:color w:val="0000FF"/>
                <w:w w:val="91"/>
              </w:rPr>
            </w:pPr>
            <w:hyperlink w:anchor="page428">
              <w:r>
                <w:rPr>
                  <w:rFonts w:ascii="Arial" w:cs="Arial" w:eastAsia="Arial" w:hAnsi="Arial"/>
                  <w:sz w:val="18"/>
                  <w:szCs w:val="18"/>
                  <w:color w:val="0000FF"/>
                  <w:w w:val="91"/>
                </w:rPr>
                <w:t xml:space="preserve">Amended and Restated Change of Control Severance Agreement, by and between the Registrant and Reza Zadno, Ph.D., </w:t>
              </w:r>
            </w:hyperlink>
            <w:r>
              <w:rPr>
                <w:rFonts w:ascii="Arial" w:cs="Arial" w:eastAsia="Arial" w:hAnsi="Arial"/>
                <w:sz w:val="18"/>
                <w:szCs w:val="18"/>
                <w:color w:val="0000FF"/>
                <w:w w:val="91"/>
              </w:rPr>
              <w:t xml:space="preserve">which </w:t>
            </w:r>
            <w:hyperlink w:anchor="page428">
              <w:r>
                <w:rPr>
                  <w:rFonts w:ascii="Arial" w:cs="Arial" w:eastAsia="Arial" w:hAnsi="Arial"/>
                  <w:sz w:val="18"/>
                  <w:szCs w:val="18"/>
                  <w:color w:val="0000FF"/>
                  <w:w w:val="91"/>
                </w:rPr>
                <w:t>will</w:t>
              </w:r>
            </w:hyperlink>
          </w:p>
        </w:tc>
      </w:tr>
      <w:tr>
        <w:trPr>
          <w:trHeight w:val="155"/>
        </w:trPr>
        <w:tc>
          <w:tcPr>
            <w:tcW w:w="11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8"/>
          </w:tcPr>
          <w:p>
            <w:pPr>
              <w:ind w:left="20"/>
              <w:spacing w:after="0" w:line="156" w:lineRule="exact"/>
              <w:rPr>
                <w:rFonts w:ascii="Arial" w:cs="Arial" w:eastAsia="Arial" w:hAnsi="Arial"/>
                <w:sz w:val="18"/>
                <w:szCs w:val="18"/>
                <w:color w:val="0000FF"/>
                <w:w w:val="91"/>
              </w:rPr>
            </w:pPr>
            <w:hyperlink w:anchor="page428">
              <w:r>
                <w:rPr>
                  <w:rFonts w:ascii="Arial" w:cs="Arial" w:eastAsia="Arial" w:hAnsi="Arial"/>
                  <w:sz w:val="18"/>
                  <w:szCs w:val="18"/>
                  <w:color w:val="0000FF"/>
                  <w:w w:val="91"/>
                </w:rPr>
                <w:t>become effective in connection with this offering.</w:t>
              </w:r>
            </w:hyperlink>
          </w:p>
        </w:tc>
        <w:tc>
          <w:tcPr>
            <w:tcW w:w="5920" w:type="dxa"/>
            <w:vAlign w:val="bottom"/>
            <w:tcBorders>
              <w:top w:val="single" w:sz="8" w:color="0000FF"/>
            </w:tcBorders>
            <w:gridSpan w:val="17"/>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17"/>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3"/>
              </w:rPr>
              <w:t>10.14+</w:t>
            </w:r>
          </w:p>
        </w:tc>
        <w:tc>
          <w:tcPr>
            <w:tcW w:w="9760" w:type="dxa"/>
            <w:vAlign w:val="bottom"/>
            <w:gridSpan w:val="29"/>
          </w:tcPr>
          <w:p>
            <w:pPr>
              <w:ind w:left="20"/>
              <w:spacing w:after="0"/>
              <w:rPr>
                <w:rFonts w:ascii="Arial" w:cs="Arial" w:eastAsia="Arial" w:hAnsi="Arial"/>
                <w:sz w:val="18"/>
                <w:szCs w:val="18"/>
                <w:color w:val="0000FF"/>
                <w:w w:val="89"/>
              </w:rPr>
            </w:pPr>
            <w:hyperlink w:anchor="page444">
              <w:r>
                <w:rPr>
                  <w:rFonts w:ascii="Arial" w:cs="Arial" w:eastAsia="Arial" w:hAnsi="Arial"/>
                  <w:sz w:val="18"/>
                  <w:szCs w:val="18"/>
                  <w:color w:val="0000FF"/>
                  <w:w w:val="89"/>
                </w:rPr>
                <w:t>Amended and Restated Change of Control Severance Agreement, by and between the Registrant and Kevin Waters, which will become</w:t>
              </w:r>
            </w:hyperlink>
          </w:p>
        </w:tc>
      </w:tr>
      <w:tr>
        <w:trPr>
          <w:trHeight w:val="156"/>
        </w:trPr>
        <w:tc>
          <w:tcPr>
            <w:tcW w:w="11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5"/>
          </w:tcPr>
          <w:p>
            <w:pPr>
              <w:ind w:left="20"/>
              <w:spacing w:after="0" w:line="156" w:lineRule="exact"/>
              <w:rPr>
                <w:rFonts w:ascii="Arial" w:cs="Arial" w:eastAsia="Arial" w:hAnsi="Arial"/>
                <w:sz w:val="18"/>
                <w:szCs w:val="18"/>
                <w:color w:val="0000FF"/>
                <w:w w:val="93"/>
              </w:rPr>
            </w:pPr>
            <w:hyperlink w:anchor="page444">
              <w:r>
                <w:rPr>
                  <w:rFonts w:ascii="Arial" w:cs="Arial" w:eastAsia="Arial" w:hAnsi="Arial"/>
                  <w:sz w:val="18"/>
                  <w:szCs w:val="18"/>
                  <w:color w:val="0000FF"/>
                  <w:w w:val="93"/>
                </w:rPr>
                <w:t>effective in connection with this offering.</w:t>
              </w:r>
            </w:hyperlink>
          </w:p>
        </w:tc>
        <w:tc>
          <w:tcPr>
            <w:tcW w:w="67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3"/>
              </w:rPr>
              <w:t>10.15+</w:t>
            </w:r>
          </w:p>
        </w:tc>
        <w:tc>
          <w:tcPr>
            <w:tcW w:w="9760" w:type="dxa"/>
            <w:vAlign w:val="bottom"/>
            <w:gridSpan w:val="29"/>
          </w:tcPr>
          <w:p>
            <w:pPr>
              <w:ind w:left="20"/>
              <w:spacing w:after="0"/>
              <w:rPr>
                <w:rFonts w:ascii="Arial" w:cs="Arial" w:eastAsia="Arial" w:hAnsi="Arial"/>
                <w:sz w:val="18"/>
                <w:szCs w:val="18"/>
                <w:color w:val="0000FF"/>
                <w:w w:val="94"/>
              </w:rPr>
            </w:pPr>
            <w:hyperlink w:anchor="page461">
              <w:r>
                <w:rPr>
                  <w:rFonts w:ascii="Arial" w:cs="Arial" w:eastAsia="Arial" w:hAnsi="Arial"/>
                  <w:sz w:val="18"/>
                  <w:szCs w:val="18"/>
                  <w:color w:val="0000FF"/>
                  <w:w w:val="94"/>
                </w:rPr>
                <w:t>Amended and Restated Change of Control Severance Agreement, by and between the Registrant and Hisham Shiblaq, which will</w:t>
              </w:r>
            </w:hyperlink>
          </w:p>
        </w:tc>
      </w:tr>
      <w:tr>
        <w:trPr>
          <w:trHeight w:val="155"/>
        </w:trPr>
        <w:tc>
          <w:tcPr>
            <w:tcW w:w="11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8"/>
          </w:tcPr>
          <w:p>
            <w:pPr>
              <w:ind w:left="20"/>
              <w:spacing w:after="0" w:line="156" w:lineRule="exact"/>
              <w:rPr>
                <w:rFonts w:ascii="Arial" w:cs="Arial" w:eastAsia="Arial" w:hAnsi="Arial"/>
                <w:sz w:val="18"/>
                <w:szCs w:val="18"/>
                <w:color w:val="0000FF"/>
                <w:w w:val="91"/>
              </w:rPr>
            </w:pPr>
            <w:hyperlink w:anchor="page461">
              <w:r>
                <w:rPr>
                  <w:rFonts w:ascii="Arial" w:cs="Arial" w:eastAsia="Arial" w:hAnsi="Arial"/>
                  <w:sz w:val="18"/>
                  <w:szCs w:val="18"/>
                  <w:color w:val="0000FF"/>
                  <w:w w:val="91"/>
                </w:rPr>
                <w:t>become effective in connection with this offering.</w:t>
              </w:r>
            </w:hyperlink>
          </w:p>
        </w:tc>
        <w:tc>
          <w:tcPr>
            <w:tcW w:w="5720" w:type="dxa"/>
            <w:vAlign w:val="bottom"/>
            <w:tcBorders>
              <w:top w:val="single" w:sz="8" w:color="0000FF"/>
            </w:tcBorders>
            <w:gridSpan w:val="13"/>
          </w:tcPr>
          <w:p>
            <w:pPr>
              <w:spacing w:after="0"/>
              <w:rPr>
                <w:sz w:val="13"/>
                <w:szCs w:val="13"/>
                <w:color w:val="auto"/>
              </w:rPr>
            </w:pPr>
          </w:p>
        </w:tc>
        <w:tc>
          <w:tcPr>
            <w:tcW w:w="440" w:type="dxa"/>
            <w:vAlign w:val="bottom"/>
            <w:gridSpan w:val="8"/>
          </w:tcPr>
          <w:p>
            <w:pPr>
              <w:spacing w:after="0"/>
              <w:rPr>
                <w:sz w:val="13"/>
                <w:szCs w:val="13"/>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5"/>
              </w:rPr>
              <w:t>21.1*</w:t>
            </w:r>
          </w:p>
        </w:tc>
        <w:tc>
          <w:tcPr>
            <w:tcW w:w="9760" w:type="dxa"/>
            <w:vAlign w:val="bottom"/>
            <w:gridSpan w:val="29"/>
          </w:tcPr>
          <w:p>
            <w:pPr>
              <w:ind w:left="20"/>
              <w:spacing w:after="0"/>
              <w:rPr>
                <w:rFonts w:ascii="Arial" w:cs="Arial" w:eastAsia="Arial" w:hAnsi="Arial"/>
                <w:sz w:val="18"/>
                <w:szCs w:val="18"/>
                <w:color w:val="0000FF"/>
              </w:rPr>
            </w:pPr>
            <w:hyperlink r:id="rId63">
              <w:r>
                <w:rPr>
                  <w:rFonts w:ascii="Arial" w:cs="Arial" w:eastAsia="Arial" w:hAnsi="Arial"/>
                  <w:sz w:val="18"/>
                  <w:szCs w:val="18"/>
                  <w:color w:val="0000FF"/>
                </w:rPr>
                <w:t>List of subsidiaries of the Registrant.</w:t>
              </w:r>
            </w:hyperlink>
          </w:p>
        </w:tc>
      </w:tr>
      <w:tr>
        <w:trPr>
          <w:trHeight w:val="20"/>
        </w:trPr>
        <w:tc>
          <w:tcPr>
            <w:tcW w:w="112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340" w:type="dxa"/>
            <w:vAlign w:val="bottom"/>
            <w:gridSpan w:val="15"/>
          </w:tcPr>
          <w:p>
            <w:pPr>
              <w:spacing w:after="0" w:line="20" w:lineRule="exact"/>
              <w:rPr>
                <w:sz w:val="1"/>
                <w:szCs w:val="1"/>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1"/>
              </w:rPr>
              <w:t>23.1</w:t>
            </w:r>
          </w:p>
        </w:tc>
        <w:tc>
          <w:tcPr>
            <w:tcW w:w="9760" w:type="dxa"/>
            <w:vAlign w:val="bottom"/>
            <w:gridSpan w:val="29"/>
          </w:tcPr>
          <w:p>
            <w:pPr>
              <w:ind w:left="20"/>
              <w:spacing w:after="0"/>
              <w:rPr>
                <w:rFonts w:ascii="Arial" w:cs="Arial" w:eastAsia="Arial" w:hAnsi="Arial"/>
                <w:sz w:val="18"/>
                <w:szCs w:val="18"/>
                <w:color w:val="0000FF"/>
              </w:rPr>
            </w:pPr>
            <w:hyperlink w:anchor="page477">
              <w:r>
                <w:rPr>
                  <w:rFonts w:ascii="Arial" w:cs="Arial" w:eastAsia="Arial" w:hAnsi="Arial"/>
                  <w:sz w:val="18"/>
                  <w:szCs w:val="18"/>
                  <w:color w:val="0000FF"/>
                </w:rPr>
                <w:t>Consent of PricewaterhouseCoopers LLP, independent registered public accounting firm.</w:t>
              </w:r>
            </w:hyperlink>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1"/>
              </w:rPr>
              <w:t>23.2</w:t>
            </w:r>
          </w:p>
        </w:tc>
        <w:tc>
          <w:tcPr>
            <w:tcW w:w="6420" w:type="dxa"/>
            <w:vAlign w:val="bottom"/>
            <w:tcBorders>
              <w:top w:val="single" w:sz="8" w:color="0000FF"/>
            </w:tcBorders>
            <w:gridSpan w:val="14"/>
          </w:tcPr>
          <w:p>
            <w:pPr>
              <w:ind w:left="20"/>
              <w:spacing w:after="0"/>
              <w:rPr>
                <w:rFonts w:ascii="Arial" w:cs="Arial" w:eastAsia="Arial" w:hAnsi="Arial"/>
                <w:sz w:val="18"/>
                <w:szCs w:val="18"/>
                <w:color w:val="0000FF"/>
              </w:rPr>
            </w:pPr>
            <w:hyperlink w:anchor="page311">
              <w:r>
                <w:rPr>
                  <w:rFonts w:ascii="Arial" w:cs="Arial" w:eastAsia="Arial" w:hAnsi="Arial"/>
                  <w:sz w:val="18"/>
                  <w:szCs w:val="18"/>
                  <w:color w:val="0000FF"/>
                </w:rPr>
                <w:t>Consent of Latham &amp; Watkins LLP (included in Exhibit 5.1).</w:t>
              </w:r>
            </w:hyperlink>
          </w:p>
        </w:tc>
        <w:tc>
          <w:tcPr>
            <w:tcW w:w="3340" w:type="dxa"/>
            <w:vAlign w:val="bottom"/>
            <w:gridSpan w:val="15"/>
          </w:tcPr>
          <w:p>
            <w:pPr>
              <w:spacing w:after="0"/>
              <w:rPr>
                <w:sz w:val="24"/>
                <w:szCs w:val="24"/>
                <w:color w:val="auto"/>
              </w:rPr>
            </w:pPr>
          </w:p>
        </w:tc>
      </w:tr>
      <w:tr>
        <w:trPr>
          <w:trHeight w:val="304"/>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5"/>
              </w:rPr>
              <w:t>24.1*</w:t>
            </w:r>
          </w:p>
        </w:tc>
        <w:tc>
          <w:tcPr>
            <w:tcW w:w="3500" w:type="dxa"/>
            <w:vAlign w:val="bottom"/>
            <w:tcBorders>
              <w:top w:val="single" w:sz="8" w:color="0000FF"/>
              <w:bottom w:val="single" w:sz="8" w:color="0000FF"/>
            </w:tcBorders>
            <w:gridSpan w:val="6"/>
          </w:tcPr>
          <w:p>
            <w:pPr>
              <w:ind w:left="20"/>
              <w:spacing w:after="0"/>
              <w:rPr>
                <w:rFonts w:ascii="Arial" w:cs="Arial" w:eastAsia="Arial" w:hAnsi="Arial"/>
                <w:sz w:val="18"/>
                <w:szCs w:val="18"/>
                <w:color w:val="0000FF"/>
                <w:w w:val="90"/>
              </w:rPr>
            </w:pPr>
            <w:hyperlink w:anchor="page229">
              <w:r>
                <w:rPr>
                  <w:rFonts w:ascii="Arial" w:cs="Arial" w:eastAsia="Arial" w:hAnsi="Arial"/>
                  <w:sz w:val="18"/>
                  <w:szCs w:val="18"/>
                  <w:color w:val="0000FF"/>
                  <w:w w:val="90"/>
                </w:rPr>
                <w:t>Power of Attorney (included on signature page).</w:t>
              </w:r>
            </w:hyperlink>
          </w:p>
        </w:tc>
        <w:tc>
          <w:tcPr>
            <w:tcW w:w="920" w:type="dxa"/>
            <w:vAlign w:val="bottom"/>
            <w:tcBorders>
              <w:top w:val="single" w:sz="8" w:color="0000FF"/>
            </w:tcBorders>
            <w:gridSpan w:val="4"/>
          </w:tcPr>
          <w:p>
            <w:pPr>
              <w:spacing w:after="0"/>
              <w:rPr>
                <w:sz w:val="24"/>
                <w:szCs w:val="24"/>
                <w:color w:val="auto"/>
              </w:rPr>
            </w:pPr>
          </w:p>
        </w:tc>
        <w:tc>
          <w:tcPr>
            <w:tcW w:w="5340" w:type="dxa"/>
            <w:vAlign w:val="bottom"/>
            <w:gridSpan w:val="19"/>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860"/>
          </w:cols>
          <w:pgMar w:left="620" w:top="1440" w:right="419" w:bottom="1440" w:gutter="0" w:footer="0" w:header="0"/>
        </w:sectPr>
      </w:pPr>
    </w:p>
    <w:bookmarkStart w:id="228" w:name="page229"/>
    <w:bookmarkEnd w:id="228"/>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management contract or compensatory plan.</w:t>
      </w: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Financial Statement Schedules.</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the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660" w:right="60" w:hanging="328"/>
        <w:spacing w:after="0" w:line="291" w:lineRule="auto"/>
        <w:tabs>
          <w:tab w:leader="none" w:pos="65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66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68" w:lineRule="exact"/>
        <w:rPr>
          <w:rFonts w:ascii="Arial" w:cs="Arial" w:eastAsia="Arial" w:hAnsi="Arial"/>
          <w:sz w:val="16"/>
          <w:szCs w:val="16"/>
          <w:color w:val="auto"/>
        </w:rPr>
      </w:pPr>
    </w:p>
    <w:p>
      <w:pPr>
        <w:ind w:left="660" w:right="80" w:hanging="328"/>
        <w:spacing w:after="0" w:line="263" w:lineRule="auto"/>
        <w:tabs>
          <w:tab w:leader="none" w:pos="65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80"/>
          </w:cols>
          <w:pgMar w:left="320" w:top="1440" w:right="399" w:bottom="1440" w:gutter="0" w:footer="0" w:header="0"/>
        </w:sectPr>
      </w:pPr>
    </w:p>
    <w:bookmarkStart w:id="229" w:name="page230"/>
    <w:bookmarkEnd w:id="22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Redwood City, State of California on this 8th day of September, 2021.</w:t>
      </w:r>
    </w:p>
    <w:p>
      <w:pPr>
        <w:spacing w:after="0" w:line="10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PROCEPT BIOROBOTICS CORPORATION</w:t>
      </w:r>
    </w:p>
    <w:p>
      <w:pPr>
        <w:spacing w:after="0" w:line="297" w:lineRule="exact"/>
        <w:rPr>
          <w:sz w:val="20"/>
          <w:szCs w:val="20"/>
          <w:color w:val="auto"/>
        </w:rPr>
      </w:pPr>
    </w:p>
    <w:p>
      <w:pPr>
        <w:jc w:val="center"/>
        <w:ind w:left="4980"/>
        <w:spacing w:after="0"/>
        <w:tabs>
          <w:tab w:leader="none" w:pos="200" w:val="left"/>
        </w:tabs>
        <w:rPr>
          <w:sz w:val="20"/>
          <w:szCs w:val="20"/>
          <w:color w:val="auto"/>
        </w:rPr>
      </w:pPr>
      <w:r>
        <w:rPr>
          <w:rFonts w:ascii="Arial" w:cs="Arial" w:eastAsia="Arial" w:hAnsi="Arial"/>
          <w:sz w:val="18"/>
          <w:szCs w:val="18"/>
          <w:color w:val="auto"/>
        </w:rPr>
        <w:t>By:</w:t>
        <w:tab/>
        <w:t>/s/ Reza Zadno</w:t>
      </w:r>
    </w:p>
    <w:p>
      <w:pPr>
        <w:spacing w:after="0" w:line="23" w:lineRule="exact"/>
        <w:rPr>
          <w:sz w:val="20"/>
          <w:szCs w:val="20"/>
          <w:color w:val="auto"/>
        </w:rPr>
      </w:pPr>
    </w:p>
    <w:tbl>
      <w:tblPr>
        <w:tblLayout w:type="fixed"/>
        <w:tblInd w:w="5460" w:type="dxa"/>
        <w:tblCellMar>
          <w:top w:w="0" w:type="dxa"/>
          <w:left w:w="0" w:type="dxa"/>
          <w:bottom w:w="0" w:type="dxa"/>
          <w:right w:w="0" w:type="dxa"/>
        </w:tblCellMar>
      </w:tblPr>
      <w:tr>
        <w:trPr>
          <w:trHeight w:val="222"/>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1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Reza Zadno, Ph.D.</w:t>
            </w:r>
          </w:p>
        </w:tc>
      </w:tr>
      <w:tr>
        <w:trPr>
          <w:trHeight w:val="230"/>
        </w:trPr>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1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9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Reza Zadno</w:t>
            </w:r>
          </w:p>
        </w:tc>
        <w:tc>
          <w:tcPr>
            <w:tcW w:w="10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President, Chief Executive Officer and 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September 8, 2021</w:t>
            </w:r>
          </w:p>
        </w:tc>
      </w:tr>
      <w:tr>
        <w:trPr>
          <w:trHeight w:val="224"/>
        </w:trPr>
        <w:tc>
          <w:tcPr>
            <w:tcW w:w="3680" w:type="dxa"/>
            <w:vAlign w:val="bottom"/>
          </w:tcPr>
          <w:p>
            <w:pPr>
              <w:jc w:val="center"/>
              <w:spacing w:after="0"/>
              <w:rPr>
                <w:sz w:val="20"/>
                <w:szCs w:val="20"/>
                <w:color w:val="auto"/>
              </w:rPr>
            </w:pPr>
            <w:r>
              <w:rPr>
                <w:rFonts w:ascii="Arial" w:cs="Arial" w:eastAsia="Arial" w:hAnsi="Arial"/>
                <w:sz w:val="18"/>
                <w:szCs w:val="18"/>
                <w:color w:val="auto"/>
                <w:w w:val="88"/>
              </w:rPr>
              <w:t>Reza Zadno, Ph.D.</w:t>
            </w:r>
          </w:p>
        </w:tc>
        <w:tc>
          <w:tcPr>
            <w:tcW w:w="10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140" w:type="dxa"/>
            <w:vAlign w:val="bottom"/>
          </w:tcPr>
          <w:p>
            <w:pPr>
              <w:spacing w:after="0"/>
              <w:rPr>
                <w:sz w:val="19"/>
                <w:szCs w:val="19"/>
                <w:color w:val="auto"/>
              </w:rPr>
            </w:pPr>
          </w:p>
        </w:tc>
      </w:tr>
      <w:tr>
        <w:trPr>
          <w:trHeight w:val="43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Kevin Waters</w:t>
            </w:r>
          </w:p>
        </w:tc>
        <w:tc>
          <w:tcPr>
            <w:tcW w:w="10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SVP, Chief Financial Officer</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September 8, 2021</w:t>
            </w:r>
          </w:p>
        </w:tc>
      </w:tr>
      <w:tr>
        <w:trPr>
          <w:trHeight w:val="224"/>
        </w:trPr>
        <w:tc>
          <w:tcPr>
            <w:tcW w:w="3680" w:type="dxa"/>
            <w:vAlign w:val="bottom"/>
          </w:tcPr>
          <w:p>
            <w:pPr>
              <w:jc w:val="center"/>
              <w:spacing w:after="0"/>
              <w:rPr>
                <w:sz w:val="20"/>
                <w:szCs w:val="20"/>
                <w:color w:val="auto"/>
              </w:rPr>
            </w:pPr>
            <w:r>
              <w:rPr>
                <w:rFonts w:ascii="Arial" w:cs="Arial" w:eastAsia="Arial" w:hAnsi="Arial"/>
                <w:sz w:val="18"/>
                <w:szCs w:val="18"/>
                <w:color w:val="auto"/>
                <w:w w:val="91"/>
              </w:rPr>
              <w:t>Kevin Waters</w:t>
            </w:r>
          </w:p>
        </w:tc>
        <w:tc>
          <w:tcPr>
            <w:tcW w:w="10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financial and accounting officer)</w:t>
            </w:r>
          </w:p>
        </w:tc>
        <w:tc>
          <w:tcPr>
            <w:tcW w:w="2140" w:type="dxa"/>
            <w:vAlign w:val="bottom"/>
          </w:tcPr>
          <w:p>
            <w:pPr>
              <w:spacing w:after="0"/>
              <w:rPr>
                <w:sz w:val="19"/>
                <w:szCs w:val="19"/>
                <w:color w:val="auto"/>
              </w:rPr>
            </w:pPr>
          </w:p>
        </w:tc>
      </w:tr>
      <w:tr>
        <w:trPr>
          <w:trHeight w:val="43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Director and Chair of the Board</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September 8, 2021</w:t>
            </w:r>
          </w:p>
        </w:tc>
      </w:tr>
      <w:tr>
        <w:trPr>
          <w:trHeight w:val="224"/>
        </w:trPr>
        <w:tc>
          <w:tcPr>
            <w:tcW w:w="3680" w:type="dxa"/>
            <w:vAlign w:val="bottom"/>
          </w:tcPr>
          <w:p>
            <w:pPr>
              <w:jc w:val="center"/>
              <w:spacing w:after="0"/>
              <w:rPr>
                <w:sz w:val="20"/>
                <w:szCs w:val="20"/>
                <w:color w:val="auto"/>
              </w:rPr>
            </w:pPr>
            <w:r>
              <w:rPr>
                <w:rFonts w:ascii="Arial" w:cs="Arial" w:eastAsia="Arial" w:hAnsi="Arial"/>
                <w:sz w:val="18"/>
                <w:szCs w:val="18"/>
                <w:color w:val="auto"/>
                <w:w w:val="96"/>
              </w:rPr>
              <w:t>Frederic Moll, M.D.</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September 8, 2021</w:t>
            </w:r>
          </w:p>
        </w:tc>
      </w:tr>
      <w:tr>
        <w:trPr>
          <w:trHeight w:val="224"/>
        </w:trPr>
        <w:tc>
          <w:tcPr>
            <w:tcW w:w="3680" w:type="dxa"/>
            <w:vAlign w:val="bottom"/>
          </w:tcPr>
          <w:p>
            <w:pPr>
              <w:jc w:val="center"/>
              <w:spacing w:after="0"/>
              <w:rPr>
                <w:sz w:val="20"/>
                <w:szCs w:val="20"/>
                <w:color w:val="auto"/>
              </w:rPr>
            </w:pPr>
            <w:r>
              <w:rPr>
                <w:rFonts w:ascii="Arial" w:cs="Arial" w:eastAsia="Arial" w:hAnsi="Arial"/>
                <w:sz w:val="18"/>
                <w:szCs w:val="18"/>
                <w:color w:val="auto"/>
                <w:w w:val="93"/>
              </w:rPr>
              <w:t>Antal Desai</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September 8, 2021</w:t>
            </w:r>
          </w:p>
        </w:tc>
      </w:tr>
      <w:tr>
        <w:trPr>
          <w:trHeight w:val="224"/>
        </w:trPr>
        <w:tc>
          <w:tcPr>
            <w:tcW w:w="3680" w:type="dxa"/>
            <w:vAlign w:val="bottom"/>
          </w:tcPr>
          <w:p>
            <w:pPr>
              <w:jc w:val="center"/>
              <w:spacing w:after="0"/>
              <w:rPr>
                <w:sz w:val="20"/>
                <w:szCs w:val="20"/>
                <w:color w:val="auto"/>
              </w:rPr>
            </w:pPr>
            <w:r>
              <w:rPr>
                <w:rFonts w:ascii="Arial" w:cs="Arial" w:eastAsia="Arial" w:hAnsi="Arial"/>
                <w:sz w:val="18"/>
                <w:szCs w:val="18"/>
                <w:color w:val="auto"/>
                <w:w w:val="99"/>
              </w:rPr>
              <w:t>Amy Dodrill</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September 8, 2021</w:t>
            </w:r>
          </w:p>
        </w:tc>
      </w:tr>
      <w:tr>
        <w:trPr>
          <w:trHeight w:val="224"/>
        </w:trPr>
        <w:tc>
          <w:tcPr>
            <w:tcW w:w="3680" w:type="dxa"/>
            <w:vAlign w:val="bottom"/>
          </w:tcPr>
          <w:p>
            <w:pPr>
              <w:jc w:val="center"/>
              <w:spacing w:after="0"/>
              <w:rPr>
                <w:sz w:val="20"/>
                <w:szCs w:val="20"/>
                <w:color w:val="auto"/>
              </w:rPr>
            </w:pPr>
            <w:r>
              <w:rPr>
                <w:rFonts w:ascii="Arial" w:cs="Arial" w:eastAsia="Arial" w:hAnsi="Arial"/>
                <w:sz w:val="18"/>
                <w:szCs w:val="18"/>
                <w:color w:val="auto"/>
                <w:w w:val="93"/>
              </w:rPr>
              <w:t>Taylor Harris</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September 8, 2021</w:t>
            </w:r>
          </w:p>
        </w:tc>
      </w:tr>
      <w:tr>
        <w:trPr>
          <w:trHeight w:val="224"/>
        </w:trPr>
        <w:tc>
          <w:tcPr>
            <w:tcW w:w="3680" w:type="dxa"/>
            <w:vAlign w:val="bottom"/>
          </w:tcPr>
          <w:p>
            <w:pPr>
              <w:jc w:val="center"/>
              <w:spacing w:after="0"/>
              <w:rPr>
                <w:sz w:val="20"/>
                <w:szCs w:val="20"/>
                <w:color w:val="auto"/>
              </w:rPr>
            </w:pPr>
            <w:r>
              <w:rPr>
                <w:rFonts w:ascii="Arial" w:cs="Arial" w:eastAsia="Arial" w:hAnsi="Arial"/>
                <w:sz w:val="18"/>
                <w:szCs w:val="18"/>
                <w:color w:val="auto"/>
                <w:w w:val="93"/>
              </w:rPr>
              <w:t>Thomas Krummel, M.D.</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September 8, 2021</w:t>
            </w:r>
          </w:p>
        </w:tc>
      </w:tr>
      <w:tr>
        <w:trPr>
          <w:trHeight w:val="224"/>
        </w:trPr>
        <w:tc>
          <w:tcPr>
            <w:tcW w:w="3680" w:type="dxa"/>
            <w:vAlign w:val="bottom"/>
          </w:tcPr>
          <w:p>
            <w:pPr>
              <w:jc w:val="center"/>
              <w:spacing w:after="0"/>
              <w:rPr>
                <w:sz w:val="20"/>
                <w:szCs w:val="20"/>
                <w:color w:val="auto"/>
              </w:rPr>
            </w:pPr>
            <w:r>
              <w:rPr>
                <w:rFonts w:ascii="Arial" w:cs="Arial" w:eastAsia="Arial" w:hAnsi="Arial"/>
                <w:sz w:val="18"/>
                <w:szCs w:val="18"/>
                <w:color w:val="auto"/>
                <w:w w:val="92"/>
              </w:rPr>
              <w:t>Rodney Perkins, M.D.</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September 8, 2021</w:t>
            </w:r>
          </w:p>
        </w:tc>
      </w:tr>
      <w:tr>
        <w:trPr>
          <w:trHeight w:val="224"/>
        </w:trPr>
        <w:tc>
          <w:tcPr>
            <w:tcW w:w="3680" w:type="dxa"/>
            <w:vAlign w:val="bottom"/>
          </w:tcPr>
          <w:p>
            <w:pPr>
              <w:jc w:val="center"/>
              <w:spacing w:after="0"/>
              <w:rPr>
                <w:sz w:val="20"/>
                <w:szCs w:val="20"/>
                <w:color w:val="auto"/>
              </w:rPr>
            </w:pPr>
            <w:r>
              <w:rPr>
                <w:rFonts w:ascii="Arial" w:cs="Arial" w:eastAsia="Arial" w:hAnsi="Arial"/>
                <w:sz w:val="18"/>
                <w:szCs w:val="18"/>
                <w:color w:val="auto"/>
                <w:w w:val="93"/>
              </w:rPr>
              <w:t>Colby Wood</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58"/>
        </w:trPr>
        <w:tc>
          <w:tcPr>
            <w:tcW w:w="3680" w:type="dxa"/>
            <w:vAlign w:val="bottom"/>
          </w:tcPr>
          <w:p>
            <w:pPr>
              <w:ind w:left="20"/>
              <w:spacing w:after="0"/>
              <w:rPr>
                <w:sz w:val="20"/>
                <w:szCs w:val="20"/>
                <w:color w:val="auto"/>
              </w:rPr>
            </w:pPr>
            <w:r>
              <w:rPr>
                <w:rFonts w:ascii="Arial" w:cs="Arial" w:eastAsia="Arial" w:hAnsi="Arial"/>
                <w:sz w:val="18"/>
                <w:szCs w:val="18"/>
                <w:color w:val="auto"/>
              </w:rPr>
              <w:t>*Pursuant to power of attorney.</w:t>
            </w:r>
          </w:p>
        </w:tc>
        <w:tc>
          <w:tcPr>
            <w:tcW w:w="1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50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Reza Zadno</w:t>
            </w:r>
          </w:p>
        </w:tc>
        <w:tc>
          <w:tcPr>
            <w:tcW w:w="1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2"/>
        </w:trPr>
        <w:tc>
          <w:tcPr>
            <w:tcW w:w="3680" w:type="dxa"/>
            <w:vAlign w:val="bottom"/>
          </w:tcPr>
          <w:p>
            <w:pPr>
              <w:ind w:left="620"/>
              <w:spacing w:after="0"/>
              <w:rPr>
                <w:sz w:val="20"/>
                <w:szCs w:val="20"/>
                <w:color w:val="auto"/>
              </w:rPr>
            </w:pPr>
            <w:r>
              <w:rPr>
                <w:rFonts w:ascii="Arial" w:cs="Arial" w:eastAsia="Arial" w:hAnsi="Arial"/>
                <w:sz w:val="18"/>
                <w:szCs w:val="18"/>
                <w:color w:val="auto"/>
              </w:rPr>
              <w:t>Reza Zadno</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0"/>
        </w:trPr>
        <w:tc>
          <w:tcPr>
            <w:tcW w:w="3680" w:type="dxa"/>
            <w:vAlign w:val="bottom"/>
          </w:tcPr>
          <w:p>
            <w:pPr>
              <w:ind w:left="380"/>
              <w:spacing w:after="0"/>
              <w:rPr>
                <w:sz w:val="20"/>
                <w:szCs w:val="20"/>
                <w:color w:val="auto"/>
              </w:rPr>
            </w:pPr>
            <w:r>
              <w:rPr>
                <w:rFonts w:ascii="Arial" w:cs="Arial" w:eastAsia="Arial" w:hAnsi="Arial"/>
                <w:sz w:val="18"/>
                <w:szCs w:val="18"/>
                <w:i w:val="1"/>
                <w:iCs w:val="1"/>
                <w:color w:val="auto"/>
              </w:rPr>
              <w:t>As Attorney-in-Fact</w:t>
            </w:r>
          </w:p>
        </w:tc>
        <w:tc>
          <w:tcPr>
            <w:tcW w:w="1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type w:val="continuous"/>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PROCEPT BIOROBOTICS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 Shares of Common Stock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Dated: [l],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20"/>
          <w:szCs w:val="20"/>
          <w:color w:val="auto"/>
        </w:rPr>
        <w:t>PROCEPT BIOROBOTICS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Shares of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UNDERWRITING AGREEMENT</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2021</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Representatives of the several Underwriters</w:t>
      </w:r>
    </w:p>
    <w:p>
      <w:pPr>
        <w:sectPr>
          <w:pgSz w:w="11900" w:h="16838" w:orient="portrait"/>
          <w:cols w:equalWidth="0" w:num="1">
            <w:col w:w="11240"/>
          </w:cols>
          <w:pgMar w:left="320" w:top="1419"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10036</w:t>
      </w:r>
    </w:p>
    <w:p>
      <w:pPr>
        <w:spacing w:after="0" w:line="200" w:lineRule="exact"/>
        <w:rPr>
          <w:sz w:val="20"/>
          <w:szCs w:val="20"/>
          <w:color w:val="auto"/>
        </w:rPr>
      </w:pPr>
    </w:p>
    <w:p>
      <w:pPr>
        <w:sectPr>
          <w:pgSz w:w="11900" w:h="16838" w:orient="portrait"/>
          <w:cols w:equalWidth="0" w:num="2">
            <w:col w:w="260" w:space="440"/>
            <w:col w:w="10540"/>
          </w:cols>
          <w:pgMar w:left="320" w:top="1419" w:right="339" w:bottom="1440" w:gutter="0" w:footer="0" w:header="0"/>
          <w:type w:val="continuous"/>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10282</w:t>
      </w:r>
    </w:p>
    <w:p>
      <w:pPr>
        <w:spacing w:after="0" w:line="200" w:lineRule="exact"/>
        <w:rPr>
          <w:sz w:val="20"/>
          <w:szCs w:val="20"/>
          <w:color w:val="auto"/>
        </w:rPr>
      </w:pPr>
    </w:p>
    <w:p>
      <w:pPr>
        <w:sectPr>
          <w:pgSz w:w="11900" w:h="16838" w:orient="portrait"/>
          <w:cols w:equalWidth="0" w:num="2">
            <w:col w:w="260" w:space="440"/>
            <w:col w:w="10540"/>
          </w:cols>
          <w:pgMar w:left="320" w:top="1419"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PROCEPT BioRobotics Corporation, a Delaware corporation (the “Company”), confirms its agreement with BofA Securities, Inc. (“BofA”) and Goldman Sachs &amp; Co. LLC (“Goldman Sachs”) each of the other Underwriters named in Schedule A hereto (collectively, the “Underwriters,” which term shall also include any underwriter substituted as hereinafter provided in Section 10 hereof), for whom BofA and Goldman Sachs are acting as representatives (in such capacity, the “Representatives”), with respect to (i) the sale by the Company and the purchase by the Underwriters, acting severally and not jointly, of the respective numbers of shares of Common Stock, par value $[●] per share, of the Company (“Common Stock”) set forth in Schedule A hereto and (ii) the grant by the Company to the Underwriters, acting severally and not jointly, of the option described in Section 2(b) hereof to purchase all or any part of [●] additional shares of Common Stock. The aforesaid [●] shares of Common Stock (the “Initial Securities”) to be purchased by the Underwriters and all or any part of the [●] shares of Common Stock subject to the option described in Section 2(b) hereof (the “Option Securities”) are herein called, collectively, the “Securities.”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understands that the Underwriters propose to make a public offering of the Securities as soon as the Representatives deem advisable after this Agreement has been executed and delivered.</w:t>
      </w:r>
    </w:p>
    <w:p>
      <w:pPr>
        <w:sectPr>
          <w:pgSz w:w="11900" w:h="16838" w:orient="portrait"/>
          <w:cols w:equalWidth="0" w:num="1">
            <w:col w:w="11240"/>
          </w:cols>
          <w:pgMar w:left="320" w:top="1419" w:right="339" w:bottom="1440" w:gutter="0" w:footer="0" w:header="0"/>
          <w:type w:val="continuous"/>
        </w:sectPr>
      </w:pPr>
    </w:p>
    <w:bookmarkStart w:id="232" w:name="page233"/>
    <w:bookmarkEnd w:id="232"/>
    <w:p>
      <w:pPr>
        <w:jc w:val="both"/>
        <w:ind w:firstLine="648"/>
        <w:spacing w:after="0" w:line="256" w:lineRule="auto"/>
        <w:rPr>
          <w:sz w:val="20"/>
          <w:szCs w:val="20"/>
          <w:color w:val="auto"/>
        </w:rPr>
      </w:pPr>
      <w:r>
        <w:rPr>
          <w:rFonts w:ascii="Arial" w:cs="Arial" w:eastAsia="Arial" w:hAnsi="Arial"/>
          <w:sz w:val="19"/>
          <w:szCs w:val="19"/>
          <w:color w:val="auto"/>
        </w:rPr>
        <w:t>The Company and Merrill Lynch, Pierce, Fenner &amp; Smith Incorporated, (an affiliate of BofA Securities, Inc., a participating Underwriter, hereafter referred to as “Merrill Lynch”) agree that up to 5% of the Firm Shares to be purchased by the Underwriters (the “Reserved Securities”) shall be reserved for sale by Merrill Lynch to certain persons designated by the Company (the “Invitees”), as part of the distribution of the Shares by the Underwriters, subject to the terms of this Agreement, the applicable rules, regulations and interpretations of FINRA and all other applicable laws, rules and regulations. The Company has solely determined, without any direct or indirect participation by the Underwriters or Merrill Lynch, the Invitees who will purchase Reserved Securities (including the amount to be purchased by such persons) sold by Merrill Lynch. To the extent that such Reserved Securities are not orally confirmed for purchase by Invitees by 11:59 PM. (New York City time) on the date of this Agreement, such Reserved Securities may be offered to the public as part of the public offering contemplated hereby.</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Company has filed with the Securities and Exchange Commission (the “Commission”) a registration statement on Form S-1 (No. 333-[●]), including the related preliminary prospectus or prospectuses, covering the registration of the sale of the Securities under the Securities Act of 1933, as amended (the “1933 Act”). Promptly after execution and delivery of this Agreement, the Company will prepare and file a prospectus in accordance with the provisions of Rule 430A (“Rule 430A”) of the rules and regulations of the Commission under the 1933 Act (the “1933 Act Regulations”) and Rule 424(b) (“Rule 424(b)”) of the 1933 Act Regulations. The information included in such prospectus that was omitted from such registration statement at the time it became effective but that is deemed to be part of such registration statement at the time it became effective pursuant to Rule 430A(b) is herein called the “Rule 430A Information.” Such registration statement, including the amendments thereto, the exhibits thereto and any schedules thereto, at the time it became effective, and including the Rule 430A Information, is herein called the “Registration Statement.” Any registration statement filed pursuant to Rule 462(b) of the 1933 Act Regulations is herein called the “Rule 462(b) Registration Statement”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final prospectus,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Agreement:</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“Applicable Time” means [●]:00 [P./A.M.], New York City time, on [●], 2021 or such other time as agreed by the Company and the Representatives.</w:t>
      </w:r>
    </w:p>
    <w:p>
      <w:pPr>
        <w:spacing w:after="0" w:line="17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“General Disclosure Package” means any Issuer General Use Free Writing Prospectuses issued at or prior to the Applicable Time, the most recent preliminary prospectus that is distributed to investors prior to the Applicable Time and the information included on Schedule B-1 hereto, all considered together.</w:t>
      </w:r>
    </w:p>
    <w:p>
      <w:pPr>
        <w:spacing w:after="0" w:line="186"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233" w:name="page234"/>
    <w:bookmarkEnd w:id="233"/>
    <w:p>
      <w:pPr>
        <w:jc w:val="both"/>
        <w:ind w:left="660"/>
        <w:spacing w:after="0" w:line="263" w:lineRule="auto"/>
        <w:rPr>
          <w:sz w:val="20"/>
          <w:szCs w:val="20"/>
          <w:color w:val="auto"/>
        </w:rPr>
      </w:pPr>
      <w:r>
        <w:rPr>
          <w:rFonts w:ascii="Arial" w:cs="Arial" w:eastAsia="Arial" w:hAnsi="Arial"/>
          <w:sz w:val="19"/>
          <w:szCs w:val="19"/>
          <w:color w:val="auto"/>
        </w:rPr>
        <w:t>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76"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“Issuer General Use Free Writing Prospectus” means any Issuer Free Writing Prospectus that is intended for general distribution to prospective investors (other than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electronic road show,” as defined in Rule 433 (the “Bona Fide Electronic Road Show”)), as evidenced by its being specified in Schedule B-2 hereto.</w:t>
      </w:r>
    </w:p>
    <w:p>
      <w:pPr>
        <w:spacing w:after="0" w:line="18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“Issuer Limited Use Free Writing Prospectus” means any Issuer Free Writing Prospectus that is not an Issuer General Use Free Writing Prospectus.</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“Testing-the-Waters Communication” means any oral or written communication with potential investors undertaken in reliance on Section 5(d) of, or Rule 163B under the 1933 Act.</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“Written Testing-the-Waters Communication” means any Testing-the-Waters Communication that is a written communication within the meaning of Rule 405 under the 1933 Act.</w:t>
      </w:r>
    </w:p>
    <w:p>
      <w:pPr>
        <w:spacing w:after="0" w:line="17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0" w:lineRule="auto"/>
        <w:tabs>
          <w:tab w:leader="none" w:pos="1133" w:val="left"/>
        </w:tabs>
        <w:numPr>
          <w:ilvl w:val="0"/>
          <w:numId w:val="139"/>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 by the Company</w:t>
      </w:r>
      <w:r>
        <w:rPr>
          <w:rFonts w:ascii="Arial" w:cs="Arial" w:eastAsia="Arial" w:hAnsi="Arial"/>
          <w:sz w:val="20"/>
          <w:szCs w:val="20"/>
          <w:color w:val="auto"/>
        </w:rPr>
        <w:t>. The Company represents and warrants to each Underwriter as of the date</w:t>
      </w:r>
      <w:r>
        <w:rPr>
          <w:rFonts w:ascii="Arial" w:cs="Arial" w:eastAsia="Arial" w:hAnsi="Arial"/>
          <w:sz w:val="20"/>
          <w:szCs w:val="20"/>
          <w:i w:val="1"/>
          <w:iCs w:val="1"/>
          <w:color w:val="auto"/>
        </w:rPr>
        <w:t xml:space="preserve"> </w:t>
      </w:r>
      <w:r>
        <w:rPr>
          <w:rFonts w:ascii="Arial" w:cs="Arial" w:eastAsia="Arial" w:hAnsi="Arial"/>
          <w:sz w:val="20"/>
          <w:szCs w:val="20"/>
          <w:color w:val="auto"/>
        </w:rPr>
        <w:t>hereof, the Applicable Time, the Closing Time (as defined below) and any Date of Delivery (as defined below), and agrees with each Underwriter, as follows:</w:t>
      </w:r>
    </w:p>
    <w:p>
      <w:pPr>
        <w:spacing w:after="0" w:line="185" w:lineRule="exact"/>
        <w:rPr>
          <w:rFonts w:ascii="Arial" w:cs="Arial" w:eastAsia="Arial" w:hAnsi="Arial"/>
          <w:sz w:val="20"/>
          <w:szCs w:val="20"/>
          <w:color w:val="auto"/>
        </w:rPr>
      </w:pPr>
    </w:p>
    <w:p>
      <w:pPr>
        <w:jc w:val="both"/>
        <w:ind w:left="660" w:firstLine="644"/>
        <w:spacing w:after="0" w:line="243" w:lineRule="auto"/>
        <w:tabs>
          <w:tab w:leader="none" w:pos="1747" w:val="left"/>
        </w:tabs>
        <w:numPr>
          <w:ilvl w:val="1"/>
          <w:numId w:val="139"/>
        </w:numPr>
        <w:rPr>
          <w:rFonts w:ascii="Arial" w:cs="Arial" w:eastAsia="Arial" w:hAnsi="Arial"/>
          <w:sz w:val="20"/>
          <w:szCs w:val="20"/>
          <w:color w:val="auto"/>
        </w:rPr>
      </w:pPr>
      <w:r>
        <w:rPr>
          <w:rFonts w:ascii="Arial" w:cs="Arial" w:eastAsia="Arial" w:hAnsi="Arial"/>
          <w:sz w:val="20"/>
          <w:szCs w:val="20"/>
          <w:u w:val="single" w:color="auto"/>
          <w:color w:val="auto"/>
        </w:rPr>
        <w:t>Registration Statement and Prospectuses</w:t>
      </w:r>
      <w:r>
        <w:rPr>
          <w:rFonts w:ascii="Arial" w:cs="Arial" w:eastAsia="Arial" w:hAnsi="Arial"/>
          <w:sz w:val="20"/>
          <w:szCs w:val="20"/>
          <w:color w:val="auto"/>
        </w:rPr>
        <w:t>. Each of the Registration Statement and any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or pursuant to Section 8A under the 1933 Act have been instituted or are pending or, to the Company’s knowledge, contemplated. The Company has complied with each request (if any) from the Commission for additional information.</w:t>
      </w:r>
    </w:p>
    <w:p>
      <w:pPr>
        <w:spacing w:after="0" w:line="196"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9"/>
          <w:szCs w:val="19"/>
          <w:color w:val="auto"/>
        </w:rPr>
        <w:t>Each of the Registration Statement and any post-effective amendment thereto, at the time it became effective, the Applicable Time, the Closing Time and any Date of Delivery, complied and will comply in all material respects with the applicable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applicable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234" w:name="page235"/>
    <w:bookmarkEnd w:id="234"/>
    <w:p>
      <w:pPr>
        <w:jc w:val="both"/>
        <w:ind w:firstLine="644"/>
        <w:spacing w:after="0" w:line="255" w:lineRule="auto"/>
        <w:tabs>
          <w:tab w:leader="none" w:pos="1128"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Accurate Disclosure</w:t>
      </w:r>
      <w:r>
        <w:rPr>
          <w:rFonts w:ascii="Arial" w:cs="Arial" w:eastAsia="Arial" w:hAnsi="Arial"/>
          <w:sz w:val="19"/>
          <w:szCs w:val="19"/>
          <w:color w:val="auto"/>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“Underwriting–Commissions and Discounts,” the information in the second, third and fourth paragraphs under the heading “Underwriting–Price Stabilization, Short Positions and Penalty Bids” and the information under the heading “Underwriting–Electronic Distribution” in each case contained in the Prospectus (collectively, the “Underwriter Information”).</w:t>
      </w:r>
    </w:p>
    <w:p>
      <w:pPr>
        <w:spacing w:after="0" w:line="180" w:lineRule="exact"/>
        <w:rPr>
          <w:sz w:val="20"/>
          <w:szCs w:val="20"/>
          <w:color w:val="auto"/>
        </w:rPr>
      </w:pPr>
    </w:p>
    <w:p>
      <w:pPr>
        <w:jc w:val="both"/>
        <w:ind w:firstLine="644"/>
        <w:spacing w:after="0" w:line="276" w:lineRule="auto"/>
        <w:tabs>
          <w:tab w:leader="none" w:pos="121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Prospectuses</w:t>
      </w:r>
      <w:r>
        <w:rPr>
          <w:rFonts w:ascii="Arial" w:cs="Arial" w:eastAsia="Arial" w:hAnsi="Arial"/>
          <w:sz w:val="18"/>
          <w:szCs w:val="18"/>
          <w:color w:val="auto"/>
        </w:rPr>
        <w:t>. No Issuer Free Writing Prospectus conflicts or will conflict with the information contained in the Registration Statement or the Prospectus, and any preliminary or other prospectus deemed to be a part thereof that has not been superseded or modified. The representation and warranties in this subsection shall not apply to statements in or omissions from any Issuer Free Writing Prospectus made in reliance upon and in conformity with the Underwriter Information. The Company has made available a Bona Fide Electronic Road Show in compliance with Rule 433(d)(8)(ii) such that no filing of any “road show” (as defined in Rule 433(h)) is required in connection with the offering of the Securities.</w:t>
      </w:r>
    </w:p>
    <w:p>
      <w:pPr>
        <w:spacing w:after="0" w:line="164" w:lineRule="exact"/>
        <w:rPr>
          <w:rFonts w:ascii="Arial" w:cs="Arial" w:eastAsia="Arial" w:hAnsi="Arial"/>
          <w:sz w:val="18"/>
          <w:szCs w:val="18"/>
          <w:color w:val="auto"/>
        </w:rPr>
      </w:pPr>
    </w:p>
    <w:p>
      <w:pPr>
        <w:jc w:val="both"/>
        <w:ind w:firstLine="644"/>
        <w:spacing w:after="0" w:line="257" w:lineRule="auto"/>
        <w:tabs>
          <w:tab w:leader="none" w:pos="1131"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Testing-the-Waters Materials</w:t>
      </w:r>
      <w:r>
        <w:rPr>
          <w:rFonts w:ascii="Arial" w:cs="Arial" w:eastAsia="Arial" w:hAnsi="Arial"/>
          <w:sz w:val="19"/>
          <w:szCs w:val="19"/>
          <w:color w:val="auto"/>
        </w:rPr>
        <w:t>. The Company (A) has not engaged in any Testing-the-Waters Communication other than Testing-the-Waters Communications with the consent of the Representatives with (x) entities that are qualified or reasonably believed to be institutional buyers within the meaning of Rule 144A under the 1933 Act or (y) institutions that are accredited investors within the meaning of Rule 501 under the 1933 Act, and otherwise in compliance with the requirements of either Section 5(d) or Rule163B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B-3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0"/>
          </w:cols>
          <w:pgMar w:left="980" w:top="1419" w:right="339" w:bottom="1440" w:gutter="0" w:footer="0" w:header="0"/>
        </w:sectPr>
      </w:pPr>
    </w:p>
    <w:bookmarkStart w:id="235" w:name="page236"/>
    <w:bookmarkEnd w:id="235"/>
    <w:p>
      <w:pPr>
        <w:jc w:val="both"/>
        <w:ind w:left="4" w:firstLine="644"/>
        <w:spacing w:after="0" w:line="244" w:lineRule="auto"/>
        <w:tabs>
          <w:tab w:leader="none" w:pos="1175" w:val="left"/>
        </w:tabs>
        <w:numPr>
          <w:ilvl w:val="1"/>
          <w:numId w:val="142"/>
        </w:numPr>
        <w:rPr>
          <w:rFonts w:ascii="Arial" w:cs="Arial" w:eastAsia="Arial" w:hAnsi="Arial"/>
          <w:sz w:val="20"/>
          <w:szCs w:val="20"/>
          <w:color w:val="auto"/>
        </w:rPr>
      </w:pPr>
      <w:r>
        <w:rPr>
          <w:rFonts w:ascii="Arial" w:cs="Arial" w:eastAsia="Arial" w:hAnsi="Arial"/>
          <w:sz w:val="20"/>
          <w:szCs w:val="20"/>
          <w:u w:val="single" w:color="auto"/>
          <w:color w:val="auto"/>
        </w:rPr>
        <w:t>Company Not Ineligible Issuer</w:t>
      </w:r>
      <w:r>
        <w:rPr>
          <w:rFonts w:ascii="Arial" w:cs="Arial" w:eastAsia="Arial" w:hAnsi="Arial"/>
          <w:sz w:val="20"/>
          <w:szCs w:val="20"/>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94" w:lineRule="exact"/>
        <w:rPr>
          <w:rFonts w:ascii="Arial" w:cs="Arial" w:eastAsia="Arial" w:hAnsi="Arial"/>
          <w:sz w:val="20"/>
          <w:szCs w:val="20"/>
          <w:color w:val="auto"/>
        </w:rPr>
      </w:pPr>
    </w:p>
    <w:p>
      <w:pPr>
        <w:jc w:val="both"/>
        <w:ind w:left="4" w:firstLine="644"/>
        <w:spacing w:after="0" w:line="282" w:lineRule="auto"/>
        <w:tabs>
          <w:tab w:leader="none" w:pos="1162"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xml:space="preserve"> From the time of the initial confidential submission of the Registration Statement to the Commission (or, if earlier, the first date on which the Company engaged directly or through any Person (as defined below) authorized to act on its behalf in any Testing-the-Waters Communication) through the date hereof, the Company has been and is an “emerging growth company,” as defined in Section 2(a) of the 1933 Act (an “Emerging Growth Company”).</w:t>
      </w:r>
    </w:p>
    <w:p>
      <w:pPr>
        <w:spacing w:after="0" w:line="161" w:lineRule="exact"/>
        <w:rPr>
          <w:rFonts w:ascii="Arial" w:cs="Arial" w:eastAsia="Arial" w:hAnsi="Arial"/>
          <w:sz w:val="18"/>
          <w:szCs w:val="18"/>
          <w:color w:val="auto"/>
        </w:rPr>
      </w:pPr>
    </w:p>
    <w:p>
      <w:pPr>
        <w:jc w:val="both"/>
        <w:ind w:left="4" w:firstLine="644"/>
        <w:spacing w:after="0" w:line="269" w:lineRule="auto"/>
        <w:tabs>
          <w:tab w:leader="none" w:pos="1231"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Independent Accountants</w:t>
      </w:r>
      <w:r>
        <w:rPr>
          <w:rFonts w:ascii="Arial" w:cs="Arial" w:eastAsia="Arial" w:hAnsi="Arial"/>
          <w:sz w:val="19"/>
          <w:szCs w:val="19"/>
          <w:color w:val="auto"/>
        </w:rPr>
        <w:t>. The accountants who certified the financial statements and supporting schedules included in the Registration Statement, the General Disclosure Package and the Prospectus are independent public accountants as required by the 1933 Act, the 1933 Act Regulations and the Public Company Accounting Oversight Board.</w:t>
      </w:r>
    </w:p>
    <w:p>
      <w:pPr>
        <w:spacing w:after="0" w:line="169" w:lineRule="exact"/>
        <w:rPr>
          <w:rFonts w:ascii="Arial" w:cs="Arial" w:eastAsia="Arial" w:hAnsi="Arial"/>
          <w:sz w:val="19"/>
          <w:szCs w:val="19"/>
          <w:color w:val="auto"/>
        </w:rPr>
      </w:pPr>
    </w:p>
    <w:p>
      <w:pPr>
        <w:jc w:val="both"/>
        <w:ind w:left="4" w:firstLine="644"/>
        <w:spacing w:after="0" w:line="255" w:lineRule="auto"/>
        <w:tabs>
          <w:tab w:leader="none" w:pos="1407"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financial statements included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(deficit) and cash flows of the Company and its consolidated subsidiaries for the periods specified; said financial statements have been prepared in conformity with U.S. generally accepted accounting principles (“GAAP”) applied on a consistent basis throughout the periods involved except, in the case of unaudited interim financial statements, subject to normal year-end audit adjustments and the exclusion of certain footnotes as permitted by the applicable rules of the Commission. The supporting schedules, if any, present fairly, in all material respects, in accordance with GAAP the information required to be stated therein.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General Disclosure Package or the Prospectus under the 1933 Act or the 1933 Act Regulations.</w:t>
      </w:r>
    </w:p>
    <w:p>
      <w:pPr>
        <w:spacing w:after="0" w:line="181" w:lineRule="exact"/>
        <w:rPr>
          <w:rFonts w:ascii="Arial" w:cs="Arial" w:eastAsia="Arial" w:hAnsi="Arial"/>
          <w:sz w:val="19"/>
          <w:szCs w:val="19"/>
          <w:color w:val="auto"/>
        </w:rPr>
      </w:pPr>
    </w:p>
    <w:p>
      <w:pPr>
        <w:jc w:val="both"/>
        <w:ind w:left="4" w:firstLine="644"/>
        <w:spacing w:after="0" w:line="304" w:lineRule="auto"/>
        <w:tabs>
          <w:tab w:leader="none" w:pos="1189"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w:t>
      </w:r>
    </w:p>
    <w:p>
      <w:pPr>
        <w:spacing w:after="0" w:line="1" w:lineRule="exact"/>
        <w:rPr>
          <w:rFonts w:ascii="Arial" w:cs="Arial" w:eastAsia="Arial" w:hAnsi="Arial"/>
          <w:sz w:val="16"/>
          <w:szCs w:val="16"/>
          <w:color w:val="auto"/>
        </w:rPr>
      </w:pPr>
    </w:p>
    <w:p>
      <w:pPr>
        <w:jc w:val="both"/>
        <w:ind w:left="4" w:hanging="4"/>
        <w:spacing w:after="0" w:line="281" w:lineRule="auto"/>
        <w:tabs>
          <w:tab w:leader="none" w:pos="32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4"/>
          </w:cols>
          <w:pgMar w:left="976" w:top="1419" w:right="339" w:bottom="1440" w:gutter="0" w:footer="0" w:header="0"/>
        </w:sectPr>
      </w:pPr>
    </w:p>
    <w:bookmarkStart w:id="236" w:name="page237"/>
    <w:bookmarkEnd w:id="236"/>
    <w:p>
      <w:pPr>
        <w:jc w:val="both"/>
        <w:ind w:left="-460" w:firstLine="644"/>
        <w:spacing w:after="0" w:line="257" w:lineRule="auto"/>
        <w:tabs>
          <w:tab w:leader="none" w:pos="616"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Good Standing of the Company</w:t>
      </w:r>
      <w:r>
        <w:rPr>
          <w:rFonts w:ascii="Arial" w:cs="Arial" w:eastAsia="Arial" w:hAnsi="Arial"/>
          <w:sz w:val="19"/>
          <w:szCs w:val="19"/>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184" w:lineRule="exact"/>
        <w:rPr>
          <w:rFonts w:ascii="Arial" w:cs="Arial" w:eastAsia="Arial" w:hAnsi="Arial"/>
          <w:sz w:val="19"/>
          <w:szCs w:val="19"/>
          <w:color w:val="auto"/>
        </w:rPr>
      </w:pPr>
    </w:p>
    <w:p>
      <w:pPr>
        <w:jc w:val="both"/>
        <w:ind w:left="-460" w:firstLine="644"/>
        <w:spacing w:after="0" w:line="271" w:lineRule="auto"/>
        <w:tabs>
          <w:tab w:leader="none" w:pos="671"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Good Standing of Subsidiaries</w:t>
      </w:r>
      <w:r>
        <w:rPr>
          <w:rFonts w:ascii="Arial" w:cs="Arial" w:eastAsia="Arial" w:hAnsi="Arial"/>
          <w:sz w:val="18"/>
          <w:szCs w:val="18"/>
          <w:color w:val="auto"/>
        </w:rPr>
        <w:t>. Each subsidiary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reasonably expected to result in a Material Adverse Effect. Except as otherwise disclosed in the Registration Statement, the General Disclosure Package and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were issued in violation of the preemptive or similar rights of any securityholder of such subsidiary. The only subsidiaries of the Company are the subsidiaries listed on Exhibit 21 to the Registration Statement.</w:t>
      </w:r>
    </w:p>
    <w:p>
      <w:pPr>
        <w:spacing w:after="0" w:line="169" w:lineRule="exact"/>
        <w:rPr>
          <w:rFonts w:ascii="Arial" w:cs="Arial" w:eastAsia="Arial" w:hAnsi="Arial"/>
          <w:sz w:val="18"/>
          <w:szCs w:val="18"/>
          <w:color w:val="auto"/>
        </w:rPr>
      </w:pPr>
    </w:p>
    <w:p>
      <w:pPr>
        <w:jc w:val="both"/>
        <w:ind w:left="-460" w:firstLine="644"/>
        <w:spacing w:after="0" w:line="273" w:lineRule="auto"/>
        <w:tabs>
          <w:tab w:leader="none" w:pos="76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or equity incentive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w:t>
      </w:r>
    </w:p>
    <w:p>
      <w:pPr>
        <w:spacing w:after="0" w:line="168" w:lineRule="exact"/>
        <w:rPr>
          <w:rFonts w:ascii="Arial" w:cs="Arial" w:eastAsia="Arial" w:hAnsi="Arial"/>
          <w:sz w:val="18"/>
          <w:szCs w:val="18"/>
          <w:color w:val="auto"/>
        </w:rPr>
      </w:pPr>
    </w:p>
    <w:p>
      <w:pPr>
        <w:ind w:left="780" w:hanging="596"/>
        <w:spacing w:after="0"/>
        <w:tabs>
          <w:tab w:leader="none" w:pos="7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238" w:lineRule="exact"/>
        <w:rPr>
          <w:rFonts w:ascii="Arial" w:cs="Arial" w:eastAsia="Arial" w:hAnsi="Arial"/>
          <w:sz w:val="18"/>
          <w:szCs w:val="18"/>
          <w:color w:val="auto"/>
        </w:rPr>
      </w:pPr>
    </w:p>
    <w:p>
      <w:pPr>
        <w:jc w:val="both"/>
        <w:ind w:left="-460" w:firstLine="644"/>
        <w:spacing w:after="0" w:line="321" w:lineRule="auto"/>
        <w:tabs>
          <w:tab w:leader="none" w:pos="811"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Authorization and Description of Securities</w:t>
      </w:r>
      <w:r>
        <w:rPr>
          <w:rFonts w:ascii="Arial" w:cs="Arial" w:eastAsia="Arial" w:hAnsi="Arial"/>
          <w:sz w:val="16"/>
          <w:szCs w:val="16"/>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in all material respects, to all statements relating thereto contained in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120"/>
          </w:cols>
          <w:pgMar w:left="1440" w:top="1419" w:right="339" w:bottom="1440" w:gutter="0" w:footer="0" w:header="0"/>
        </w:sectPr>
      </w:pPr>
    </w:p>
    <w:bookmarkStart w:id="237" w:name="page238"/>
    <w:bookmarkEnd w:id="237"/>
    <w:p>
      <w:pPr>
        <w:jc w:val="both"/>
        <w:ind w:left="4"/>
        <w:spacing w:after="0" w:line="250" w:lineRule="auto"/>
        <w:rPr>
          <w:sz w:val="20"/>
          <w:szCs w:val="20"/>
          <w:color w:val="auto"/>
        </w:rPr>
      </w:pPr>
      <w:r>
        <w:rPr>
          <w:rFonts w:ascii="Arial" w:cs="Arial" w:eastAsia="Arial" w:hAnsi="Arial"/>
          <w:sz w:val="20"/>
          <w:szCs w:val="20"/>
          <w:color w:val="auto"/>
        </w:rPr>
        <w:t>Statement, the General Disclosure Package and the Prospectus and such description conforms, in all material respects, to the rights set forth in the instruments defining the same. No holder of Securities will be subject to personal liability solely by reason of being such a holder.</w:t>
      </w:r>
    </w:p>
    <w:p>
      <w:pPr>
        <w:spacing w:after="0" w:line="186" w:lineRule="exact"/>
        <w:rPr>
          <w:sz w:val="20"/>
          <w:szCs w:val="20"/>
          <w:color w:val="auto"/>
        </w:rPr>
      </w:pPr>
    </w:p>
    <w:p>
      <w:pPr>
        <w:jc w:val="both"/>
        <w:ind w:left="4" w:firstLine="644"/>
        <w:spacing w:after="0" w:line="246" w:lineRule="auto"/>
        <w:tabs>
          <w:tab w:leader="none" w:pos="1328" w:val="left"/>
        </w:tabs>
        <w:numPr>
          <w:ilvl w:val="1"/>
          <w:numId w:val="145"/>
        </w:numPr>
        <w:rPr>
          <w:rFonts w:ascii="Arial" w:cs="Arial" w:eastAsia="Arial" w:hAnsi="Arial"/>
          <w:sz w:val="20"/>
          <w:szCs w:val="20"/>
          <w:color w:val="auto"/>
        </w:rPr>
      </w:pPr>
      <w:r>
        <w:rPr>
          <w:rFonts w:ascii="Arial" w:cs="Arial" w:eastAsia="Arial" w:hAnsi="Arial"/>
          <w:sz w:val="20"/>
          <w:szCs w:val="20"/>
          <w:u w:val="single" w:color="auto"/>
          <w:color w:val="auto"/>
        </w:rPr>
        <w:t>Registration Rights</w:t>
      </w:r>
      <w:r>
        <w:rPr>
          <w:rFonts w:ascii="Arial" w:cs="Arial" w:eastAsia="Arial" w:hAnsi="Arial"/>
          <w:sz w:val="20"/>
          <w:szCs w:val="20"/>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191" w:lineRule="exact"/>
        <w:rPr>
          <w:rFonts w:ascii="Arial" w:cs="Arial" w:eastAsia="Arial" w:hAnsi="Arial"/>
          <w:sz w:val="20"/>
          <w:szCs w:val="20"/>
          <w:color w:val="auto"/>
        </w:rPr>
      </w:pPr>
    </w:p>
    <w:p>
      <w:pPr>
        <w:jc w:val="both"/>
        <w:ind w:left="4" w:firstLine="644"/>
        <w:spacing w:after="0" w:line="269" w:lineRule="auto"/>
        <w:tabs>
          <w:tab w:leader="none" w:pos="1261"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Absence of Violations, Defaults and Conflicts</w:t>
      </w:r>
      <w:r>
        <w:rPr>
          <w:rFonts w:ascii="Arial" w:cs="Arial" w:eastAsia="Arial" w:hAnsi="Arial"/>
          <w:sz w:val="18"/>
          <w:szCs w:val="18"/>
          <w:color w:val="auto"/>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singly or in the aggregate, reasonably be expected to result in a Material Adverse Effect, or</w:t>
      </w:r>
    </w:p>
    <w:p>
      <w:pPr>
        <w:spacing w:after="0" w:line="1" w:lineRule="exact"/>
        <w:rPr>
          <w:rFonts w:ascii="Arial" w:cs="Arial" w:eastAsia="Arial" w:hAnsi="Arial"/>
          <w:sz w:val="18"/>
          <w:szCs w:val="18"/>
          <w:color w:val="auto"/>
        </w:rPr>
      </w:pPr>
    </w:p>
    <w:p>
      <w:pPr>
        <w:jc w:val="both"/>
        <w:ind w:left="4" w:hanging="4"/>
        <w:spacing w:after="0" w:line="303" w:lineRule="auto"/>
        <w:tabs>
          <w:tab w:leader="none" w:pos="34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singly or in the aggregate, reasonably be expected to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(x) the provisions of the charter, by-laws or similar organizational document of the Company or any of its subsidiaries or (y) any law, statute, rule, regulation, judgment, order, writ or decree of any Governmental Entity, except, in the case of clause (y), for such violations as would not, singly or in the aggregate, reasonably be expected to have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jc w:val="both"/>
        <w:ind w:left="4" w:firstLine="644"/>
        <w:spacing w:after="0" w:line="263" w:lineRule="auto"/>
        <w:tabs>
          <w:tab w:leader="none" w:pos="1303" w:val="left"/>
        </w:tabs>
        <w:numPr>
          <w:ilvl w:val="1"/>
          <w:numId w:val="146"/>
        </w:numPr>
        <w:rPr>
          <w:rFonts w:ascii="Arial" w:cs="Arial" w:eastAsia="Arial" w:hAnsi="Arial"/>
          <w:sz w:val="19"/>
          <w:szCs w:val="19"/>
          <w:color w:val="auto"/>
        </w:rPr>
      </w:pPr>
      <w:r>
        <w:rPr>
          <w:rFonts w:ascii="Arial" w:cs="Arial" w:eastAsia="Arial" w:hAnsi="Arial"/>
          <w:sz w:val="19"/>
          <w:szCs w:val="19"/>
          <w:u w:val="single" w:color="auto"/>
          <w:color w:val="auto"/>
        </w:rPr>
        <w:t>Absence of Labor Dispute</w:t>
      </w:r>
      <w:r>
        <w:rPr>
          <w:rFonts w:ascii="Arial" w:cs="Arial" w:eastAsia="Arial" w:hAnsi="Arial"/>
          <w:sz w:val="19"/>
          <w:szCs w:val="19"/>
          <w:color w:val="auto"/>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partners, collaborators or contractors, which, in either case, would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584"/>
          </w:cols>
          <w:pgMar w:left="976" w:top="1419" w:right="339" w:bottom="1440" w:gutter="0" w:footer="0" w:header="0"/>
        </w:sectPr>
      </w:pPr>
    </w:p>
    <w:bookmarkStart w:id="238" w:name="page239"/>
    <w:bookmarkEnd w:id="238"/>
    <w:p>
      <w:pPr>
        <w:jc w:val="both"/>
        <w:ind w:left="-460" w:firstLine="644"/>
        <w:spacing w:after="0" w:line="260" w:lineRule="auto"/>
        <w:tabs>
          <w:tab w:leader="none" w:pos="975"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Absence of Proceedings</w:t>
      </w:r>
      <w:r>
        <w:rPr>
          <w:rFonts w:ascii="Arial" w:cs="Arial" w:eastAsia="Arial" w:hAnsi="Arial"/>
          <w:sz w:val="19"/>
          <w:szCs w:val="19"/>
          <w:color w:val="auto"/>
        </w:rPr>
        <w:t>. There is no action, suit, proceeding, inquiry or investigation before or brought by any Governmental Entity now pending or, to the knowledge of the Company, threatened, against or affecting the Company or any of its subsidiaries, which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w:t>
      </w:r>
    </w:p>
    <w:p>
      <w:pPr>
        <w:spacing w:after="0" w:line="180" w:lineRule="exact"/>
        <w:rPr>
          <w:rFonts w:ascii="Arial" w:cs="Arial" w:eastAsia="Arial" w:hAnsi="Arial"/>
          <w:sz w:val="19"/>
          <w:szCs w:val="19"/>
          <w:color w:val="auto"/>
        </w:rPr>
      </w:pPr>
    </w:p>
    <w:p>
      <w:pPr>
        <w:jc w:val="both"/>
        <w:ind w:left="-460" w:firstLine="644"/>
        <w:spacing w:after="0" w:line="250" w:lineRule="auto"/>
        <w:tabs>
          <w:tab w:leader="none" w:pos="838"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Accuracy of Exhibits</w:t>
      </w:r>
      <w:r>
        <w:rPr>
          <w:rFonts w:ascii="Arial" w:cs="Arial" w:eastAsia="Arial" w:hAnsi="Arial"/>
          <w:sz w:val="20"/>
          <w:szCs w:val="20"/>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85" w:lineRule="exact"/>
        <w:rPr>
          <w:rFonts w:ascii="Arial" w:cs="Arial" w:eastAsia="Arial" w:hAnsi="Arial"/>
          <w:sz w:val="20"/>
          <w:szCs w:val="20"/>
          <w:color w:val="auto"/>
        </w:rPr>
      </w:pPr>
    </w:p>
    <w:p>
      <w:pPr>
        <w:jc w:val="both"/>
        <w:ind w:left="-460" w:firstLine="644"/>
        <w:spacing w:after="0" w:line="316" w:lineRule="auto"/>
        <w:tabs>
          <w:tab w:leader="none" w:pos="81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(A) such as have been already obtained or as may be required under the 1933 Act, the 1933 Act Regulations, the rules of the Nasdaq Stock Market LLC, state securities laws or the rules of FINRA and (B) such as have been obtained under the laws and regulations of jurisdictions outside the United States in which the Reserved Securities were offered.</w:t>
      </w:r>
    </w:p>
    <w:p>
      <w:pPr>
        <w:spacing w:after="0" w:line="139" w:lineRule="exact"/>
        <w:rPr>
          <w:rFonts w:ascii="Arial" w:cs="Arial" w:eastAsia="Arial" w:hAnsi="Arial"/>
          <w:sz w:val="16"/>
          <w:szCs w:val="16"/>
          <w:color w:val="auto"/>
        </w:rPr>
      </w:pPr>
    </w:p>
    <w:p>
      <w:pPr>
        <w:jc w:val="both"/>
        <w:ind w:left="-460" w:firstLine="644"/>
        <w:spacing w:after="0" w:line="269" w:lineRule="auto"/>
        <w:tabs>
          <w:tab w:leader="none" w:pos="86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Possession of Licenses and Permits</w:t>
      </w:r>
      <w:r>
        <w:rPr>
          <w:rFonts w:ascii="Arial" w:cs="Arial" w:eastAsia="Arial" w:hAnsi="Arial"/>
          <w:sz w:val="18"/>
          <w:szCs w:val="18"/>
          <w:color w:val="auto"/>
        </w:rPr>
        <w:t>. The Company and its subsidiaries possess such permits, licenses, approvals, consents, exemptions and other authorizations (collectively, “Governmental Licenses”) issued by the appropriate Governmental Entities necessary to conduct the business now operated by them, except where the failure so to possess would not, singly or in the aggregate, result in a Material Adverse Effect. The Company and its subsidiaries are in compliance in all material respects with the terms and conditions of all Governmental Licenses, except where the failure so to comply would not, singly or in the aggregate reasonably be expected to result in a Material Adverse Effect. The Company has fulfilled and performed all of its material obligations with respect to the Governmental Licenses and no event has occurred which allows, or after notice or lapse of time would allow, revocation or termination thereof or results in any other material impairment of the rights of the Company as a holder of any permit, except where the failure to so fulfill or perform, or the occurrence of such event, would not, singly or in the aggregate, reasonably be expected to result in a Material Adverse Effect. All of the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Neither the Company nor any of its subsidiaries has received any written notice of proceedings relating to the revocation or modification of, or non-compliance with, any Governmental Licenses which, singly or in the aggregate, if the subject of an unfavorable decision, ruling or finding, would result in a Material Adverse Effect.</w:t>
      </w:r>
    </w:p>
    <w:p>
      <w:pPr>
        <w:spacing w:after="0" w:line="178" w:lineRule="exact"/>
        <w:rPr>
          <w:rFonts w:ascii="Arial" w:cs="Arial" w:eastAsia="Arial" w:hAnsi="Arial"/>
          <w:sz w:val="18"/>
          <w:szCs w:val="18"/>
          <w:color w:val="auto"/>
        </w:rPr>
      </w:pPr>
    </w:p>
    <w:p>
      <w:pPr>
        <w:jc w:val="both"/>
        <w:ind w:left="-460" w:firstLine="644"/>
        <w:spacing w:after="0" w:line="263" w:lineRule="auto"/>
        <w:tabs>
          <w:tab w:leader="none" w:pos="893"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Title to Property</w:t>
      </w:r>
      <w:r>
        <w:rPr>
          <w:rFonts w:ascii="Arial" w:cs="Arial" w:eastAsia="Arial" w:hAnsi="Arial"/>
          <w:sz w:val="19"/>
          <w:szCs w:val="19"/>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do not, singly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20"/>
          </w:cols>
          <w:pgMar w:left="1440" w:top="1419" w:right="339" w:bottom="1440" w:gutter="0" w:footer="0" w:header="0"/>
        </w:sectPr>
      </w:pPr>
    </w:p>
    <w:bookmarkStart w:id="239" w:name="page240"/>
    <w:bookmarkEnd w:id="239"/>
    <w:p>
      <w:pPr>
        <w:jc w:val="both"/>
        <w:spacing w:after="0" w:line="274" w:lineRule="auto"/>
        <w:rPr>
          <w:sz w:val="20"/>
          <w:szCs w:val="20"/>
          <w:color w:val="auto"/>
        </w:rPr>
      </w:pPr>
      <w:r>
        <w:rPr>
          <w:rFonts w:ascii="Arial" w:cs="Arial" w:eastAsia="Arial" w:hAnsi="Arial"/>
          <w:sz w:val="18"/>
          <w:szCs w:val="18"/>
          <w:color w:val="auto"/>
        </w:rPr>
        <w:t>materially affect the value of such property and do not materially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is aware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68" w:lineRule="exact"/>
        <w:rPr>
          <w:sz w:val="20"/>
          <w:szCs w:val="20"/>
          <w:color w:val="auto"/>
        </w:rPr>
      </w:pPr>
    </w:p>
    <w:p>
      <w:pPr>
        <w:jc w:val="both"/>
        <w:ind w:firstLine="644"/>
        <w:spacing w:after="0" w:line="267" w:lineRule="auto"/>
        <w:tabs>
          <w:tab w:leader="none" w:pos="136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Possession of Intellectual Property</w:t>
      </w:r>
      <w:r>
        <w:rPr>
          <w:rFonts w:ascii="Arial" w:cs="Arial" w:eastAsia="Arial" w:hAnsi="Arial"/>
          <w:sz w:val="18"/>
          <w:szCs w:val="18"/>
          <w:color w:val="auto"/>
        </w:rPr>
        <w:t>. The Company and its subsidiaries own, or have obtained valid and enforceable rights and licenses under patents, patent applications, inventions, copyrights and other works of authorship, know how (including trade secrets and other proprietary or confidential information, systems or procedures), trademarks, service marks, trade names, trade and service mark registrations, designs, processes, licenses, computer programs, technical data and information, and other intellectual property (collectively, “Intellectual Property”) that are reasonably necessary to carry on the business of the Company as currently conducted or as currently proposed to be conducted, including for the development, manufacture, operation, sale and/or commercialization of any products or services currently under development or sold by any of the Company or its subsidiaries, in each case, as disclosed in the Registration Statement, the General Disclosure Package and the Prospectus. Except as disclosed in the Registration Statement, the General Disclosure Package and the Prospectus: (A) there are no third parties who have rights to any Intellectual Property, including no liens, security interest, or other encumbrances, except for (x) customary reversionary rights of third-party licensors with respect to Intellectual Property, including those that are disclosed in the Registration Statement, the General Disclosure Package and the Prospectus to the extent such Intellectual Property is licensed to the Company or one or more of its subsidiaries, or (y) non-exclusively in-licensed or out-licensed Intellectual Property Rights; (B) the Company has taken all reasonably necessary steps to secure its interests in the Intellectual Property from its employees and contractors; (C) to the Company’s knowledge, there is no infringement, misappropriation or violation by third parties of any Intellectual Property owned by, or exclusively in-licensed to, the Company or its subsidiaries; (D) the Company is not infringing the intellectual property rights of third parties in any material respect; and (E) none of the Intellectual Property owned by, or exclusively in-licensed to, the Company or its subsidiaries has been adjudged invalid or unenforceable in whole or in part. There is no pending or threatened action, suit, proceeding or claim by others: (1) challenging the Company’s rights in or to any Intellectual Property owned by, or exclusively in-licensed to, the Company or its subsidiaries, and the Company is unaware of any facts which would form a reasonable basis for any such action, suit, proceeding or claim; (2) challenging the validity, enforceability or scope of any Intellectual Property owned by, or exclusively in-licensed to, the Company or its subsidiaries, and the Company is unaware of any facts which would form a reasonable basis for any such action, suit, proceeding or claim; or (3) asserting that the Company or any of its subsidiaries infringes or otherwise violates, or would, upon the commercialization of any product or service described in the Registration Statement, the General Disclosure Package or the Prospectus as under development, infringe or otherwise violate, any intellectual property rights of others, and the Company and its subsidiaries are unaware of any facts which would form a reasonable basis for any such action, suit, proceeding or claim. No employee of the Company is or has been in violation of any term of any employment contract, patent disclosure agreement, invention assignment agreement, non-competition agreement, non-solicitation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580"/>
          </w:cols>
          <w:pgMar w:left="980" w:top="1419" w:right="339" w:bottom="1440" w:gutter="0" w:footer="0" w:header="0"/>
        </w:sectPr>
      </w:pPr>
    </w:p>
    <w:bookmarkStart w:id="240" w:name="page241"/>
    <w:bookmarkEnd w:id="240"/>
    <w:p>
      <w:pPr>
        <w:jc w:val="both"/>
        <w:spacing w:after="0" w:line="267" w:lineRule="auto"/>
        <w:rPr>
          <w:sz w:val="20"/>
          <w:szCs w:val="20"/>
          <w:color w:val="auto"/>
        </w:rPr>
      </w:pPr>
      <w:r>
        <w:rPr>
          <w:rFonts w:ascii="Arial" w:cs="Arial" w:eastAsia="Arial" w:hAnsi="Arial"/>
          <w:sz w:val="18"/>
          <w:szCs w:val="18"/>
          <w:color w:val="auto"/>
        </w:rPr>
        <w:t>nondisclosure agreement or any restrictive covenant to or with a former employer where the basis of such violation relates to such employee’s employment with the Company, in each case, in any material respect. The Company and its subsidiaries have complied with the terms of each agreement pursuant to which Intellectual Property has been exclusively in-licensed to the Company or any subsidiary, and all such agreements are in full force and effect with respect to the Company or any subsidiary and to the knowledge of the Company, with respect to the counter-party to each such agreement. There are no material defects in any of the patents or patent applications within the Intellectual Property owned by, or exclusively in-licensed to, the Company or its subsidiaries. The patents included in the Intellectual Property owned by, or exclusively in-licensed to, the Company or its subsidiaries are subsisting and have not lapsed and the patent applications in the Intellectual Property owned by, or exclusively in-licensed to, the Company or its subsidiaries are subsisting and have not been abandoned. Except as set forth in the Registration Statement, the General Disclosure Package and the Prospectus, the Company and its subsidiaries are not obligated or under any liability whatsoever to make any material payment by way of royalties, fees or otherwise to any owner or licensor of, or other claimant to, any Intellectual Property in-licensed to the Company or its subsidiaries with respect to the use thereof or in connection with the conduct of their respective businesses or otherwise. No technology employed by the Company or its subsidiaries has been obtained or is being used by the Company or its subsidiaries in violation of any contractual or legal obligation binding on the Company, its subsidiaries, or any of their officers, directors, employees, or contractors, or in violation of any contractual rights of any persons. The products and product candidates described in the Registration Statement, the General Disclosure Package and the Prospectus as under development by the Company or any subsidiary fall within the scope of the claims of one or more patents or applications relating to the product or product candidate or its intended use owned by, or exclusively in-licensed to, the Company or any subsidiary. All patents and patent applications owned by or exclusively in-licensed to the Company and for which the Company has the right to prosecute have been duly and properly filed and maintained and the parties prosecuting such applications have complied with their duty of candor and disclosure to the U.S. Patent and Trademark Office (the “USPTO”) in connection with such patents and applications. To the Company’s knowledge, there is no prior art that may render any patent within the Intellectual Property owned by, or exclusively in-licensed to the Company or its subsidiaries and for which the Company or a subsidiary has the right to prosecute, invalid or that may render any patent application within the Intellectual Property owned by, or exclusively in-licensed to the Company or its subsidiaries for which the Company or a subsidiary has the right to prosecute, unpatentable that has not been disclosed to the USPTO. There is no patent or published patent application, in the U.S. or other jurisdiction, which, in the case of a patent, contains claims, or in the case of a published patent application contains patentable claims, that dominate or may dominate any of the Intellectual Property owned by, or exclusively in-licensed to, the Company or any of its subsidiaries or that interferes with the issued or pending claims of any such Intellectual Property.</w:t>
      </w:r>
    </w:p>
    <w:p>
      <w:pPr>
        <w:spacing w:after="0" w:line="194" w:lineRule="exact"/>
        <w:rPr>
          <w:sz w:val="20"/>
          <w:szCs w:val="20"/>
          <w:color w:val="auto"/>
        </w:rPr>
      </w:pPr>
    </w:p>
    <w:p>
      <w:pPr>
        <w:jc w:val="both"/>
        <w:ind w:firstLine="644"/>
        <w:spacing w:after="0" w:line="257" w:lineRule="auto"/>
        <w:tabs>
          <w:tab w:leader="none" w:pos="1343"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Clinical Data and Regulatory Compliance</w:t>
      </w:r>
      <w:r>
        <w:rPr>
          <w:rFonts w:ascii="Arial" w:cs="Arial" w:eastAsia="Arial" w:hAnsi="Arial"/>
          <w:sz w:val="19"/>
          <w:szCs w:val="19"/>
          <w:color w:val="auto"/>
        </w:rPr>
        <w:t>. The preclinical tests and clinical trials, and other studies conducted by or on behalf of the Company or its subsidiaries or in which the Company or its subsidiaries’ products were evaluated (collectively, “studies”) that are described in, or the results of which are referred to in, the Registration Statement, the General Disclosure Package or the Prospectus were and, if still pending, are being conducted in all material respects in accordance with all applicable laws, including, without limitation, the Federal Food, Drug, and Cosmetic Act and its implementing regulations at 21 C.F.R. Parts 50, 54, 56, 58, and 812; each description of the results of such studies is accurate in all material respects, and the Company and its subsidiaries have no knowledge of any other studies the results of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80"/>
          </w:cols>
          <w:pgMar w:left="980" w:top="1419" w:right="339" w:bottom="1440" w:gutter="0" w:footer="0" w:header="0"/>
        </w:sectPr>
      </w:pPr>
    </w:p>
    <w:bookmarkStart w:id="241" w:name="page242"/>
    <w:bookmarkEnd w:id="241"/>
    <w:p>
      <w:pPr>
        <w:jc w:val="both"/>
        <w:ind w:left="4"/>
        <w:spacing w:after="0" w:line="244" w:lineRule="auto"/>
        <w:rPr>
          <w:sz w:val="20"/>
          <w:szCs w:val="20"/>
          <w:color w:val="auto"/>
        </w:rPr>
      </w:pPr>
      <w:r>
        <w:rPr>
          <w:rFonts w:ascii="Arial" w:cs="Arial" w:eastAsia="Arial" w:hAnsi="Arial"/>
          <w:sz w:val="20"/>
          <w:szCs w:val="20"/>
          <w:color w:val="auto"/>
        </w:rPr>
        <w:t>materially inconsistent with, or otherwise materially call into question, the results described or referred to in the Registration Statement, the General Disclosure Package or the Prospectus; and neither the Company nor any of its subsidiaries has received any written notice of, or written correspondence from, the U.S. Food and Drug Administration or institutional review board requiring the termination, suspension or material adverse modification of any clinical trials that are described or referred to in the Registration Statement, the General Disclosure Package or the Prospectus</w:t>
      </w:r>
    </w:p>
    <w:p>
      <w:pPr>
        <w:spacing w:after="0" w:line="194" w:lineRule="exact"/>
        <w:rPr>
          <w:sz w:val="20"/>
          <w:szCs w:val="20"/>
          <w:color w:val="auto"/>
        </w:rPr>
      </w:pPr>
    </w:p>
    <w:p>
      <w:pPr>
        <w:jc w:val="both"/>
        <w:ind w:left="4" w:firstLine="644"/>
        <w:spacing w:after="0" w:line="268" w:lineRule="auto"/>
        <w:tabs>
          <w:tab w:leader="none" w:pos="140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Compliance with Healthcare Laws</w:t>
      </w:r>
      <w:r>
        <w:rPr>
          <w:rFonts w:ascii="Arial" w:cs="Arial" w:eastAsia="Arial" w:hAnsi="Arial"/>
          <w:sz w:val="18"/>
          <w:szCs w:val="18"/>
          <w:color w:val="auto"/>
        </w:rPr>
        <w:t>. The Company and its subsidiaries and, to the Company's knowledge, their respective officers, directors, employees, and independent contractors: (i) during the past four (4) years, have complied with and are in compliance with applicable provisions of the health care laws, including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the criminal laws relating to health care fraud and abuse, including 18 U.S.C. Sections 286 and 287 and the health care fraud criminal provisions under the Health Insurance Portability and Accountability Act of 1996, 42 U.S.C.</w:t>
      </w:r>
    </w:p>
    <w:p>
      <w:pPr>
        <w:spacing w:after="0" w:line="4" w:lineRule="exact"/>
        <w:rPr>
          <w:rFonts w:ascii="Arial" w:cs="Arial" w:eastAsia="Arial" w:hAnsi="Arial"/>
          <w:sz w:val="18"/>
          <w:szCs w:val="18"/>
          <w:color w:val="auto"/>
        </w:rPr>
      </w:pPr>
    </w:p>
    <w:p>
      <w:pPr>
        <w:jc w:val="both"/>
        <w:ind w:left="4" w:hanging="4"/>
        <w:spacing w:after="0" w:line="267" w:lineRule="auto"/>
        <w:tabs>
          <w:tab w:leader="none" w:pos="27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1320d et seq., (“HIPAA”); the Civil Monetary Penalties Law, 42 U.S.C. §§ 1320a-7a and 1320a-7b; the Physician Payments Sunshine Act, 42 U.S.C. § 1320a-7h; the exclusion law, 42 U.S.C. § 1320a-7; HIPAA, as amended by the Health Information Technology for Economic and Clinical Health Act (“HITECH Act”), 42 U.S.C. §§ 17921 et seq.; the Federal Food, Drug, and Cosmetic Act, 21 U.S.C. §§ 301 et seq.; the regulations promulgated pursuant to such laws; and any similar federal, state and local laws and regulations (collectively the “Health Care Laws”), except where such non-compliance would not, singly or in the aggregate, result in a Material Adverse Effect; (ii) during the past four (4) years, the Company and its subsidiaries have not received any unresolved United States Food and Drug Administration Form 483, written notice of adverse finding, warning letter, untitled letter or other written correspondence or written notice from any court or arbitrator or Governmental Entity, including any notified body alleging or asserting non-compliance with (A) any Health Care Laws or (B) or any Governmental Licenses required by applicable Health Care Laws; (iii) during the past four (4) years have not received written notice of any claim, action, suit, proceeding, hearing, enforcement, investigation, arbitration or other action (“Proceeding”) from any Governmental Entity or other third party alleging a material violation of any Health Care Laws, and has no knowledge that any Governmental Entity or other third party is considering any Proceeding; (iv) during the past four (4) years, have filed, obtained, maintained or submitted all material reports, documents, forms, notices, applications, records, claims, submissions and supplements or amendments as required by any Health Care Laws or Governmental Licenses (“Reports”) and that all such Reports were materially complete and correct on the date filed (or were materially corrected or supplemented by a subsequent submission); (v) are not a party to or has any ongoing reporting obligations pursuant to any corporate integrity agreements, deferred or non-prosecution agreements, monitoring agreements, consent decrees, settlement orders, plans of correction or similar agreements with or imposed by any Governmental Entity; and (vi) along with its employees, officers or directors, or, to the Company’s knowledge, independent contractors and agents, have not been excluded, suspended or debarred from, or otherwise ineligible for participation in any government health care program or human clinical research during the past four (4) years.</w:t>
      </w:r>
    </w:p>
    <w:p>
      <w:pPr>
        <w:spacing w:after="0" w:line="183" w:lineRule="exact"/>
        <w:rPr>
          <w:rFonts w:ascii="Arial" w:cs="Arial" w:eastAsia="Arial" w:hAnsi="Arial"/>
          <w:sz w:val="18"/>
          <w:szCs w:val="18"/>
          <w:color w:val="auto"/>
        </w:rPr>
      </w:pPr>
    </w:p>
    <w:p>
      <w:pPr>
        <w:ind w:left="4" w:firstLine="644"/>
        <w:spacing w:after="0" w:line="260" w:lineRule="auto"/>
        <w:tabs>
          <w:tab w:leader="none" w:pos="1347" w:val="left"/>
        </w:tabs>
        <w:numPr>
          <w:ilvl w:val="1"/>
          <w:numId w:val="151"/>
        </w:numPr>
        <w:rPr>
          <w:rFonts w:ascii="Arial" w:cs="Arial" w:eastAsia="Arial" w:hAnsi="Arial"/>
          <w:sz w:val="20"/>
          <w:szCs w:val="20"/>
          <w:color w:val="auto"/>
        </w:rPr>
      </w:pPr>
      <w:r>
        <w:rPr>
          <w:rFonts w:ascii="Arial" w:cs="Arial" w:eastAsia="Arial" w:hAnsi="Arial"/>
          <w:sz w:val="20"/>
          <w:szCs w:val="20"/>
          <w:u w:val="single" w:color="auto"/>
          <w:color w:val="auto"/>
        </w:rPr>
        <w:t>Environmental Laws</w:t>
      </w:r>
      <w:r>
        <w:rPr>
          <w:rFonts w:ascii="Arial" w:cs="Arial" w:eastAsia="Arial" w:hAnsi="Arial"/>
          <w:sz w:val="20"/>
          <w:szCs w:val="20"/>
          <w:color w:val="auto"/>
        </w:rPr>
        <w:t>. Except as would not, singly or in the aggregate, reasonably be expected to result in a Material Adverse Effect,(A) neither the Company nor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584"/>
          </w:cols>
          <w:pgMar w:left="976" w:top="1419" w:right="339" w:bottom="1440" w:gutter="0" w:footer="0" w:header="0"/>
        </w:sectPr>
      </w:pPr>
    </w:p>
    <w:bookmarkStart w:id="242" w:name="page243"/>
    <w:bookmarkEnd w:id="242"/>
    <w:p>
      <w:pPr>
        <w:jc w:val="both"/>
        <w:spacing w:after="0" w:line="269" w:lineRule="auto"/>
        <w:rPr>
          <w:sz w:val="20"/>
          <w:szCs w:val="20"/>
          <w:color w:val="auto"/>
        </w:rPr>
      </w:pPr>
      <w:r>
        <w:rPr>
          <w:rFonts w:ascii="Arial" w:cs="Arial" w:eastAsia="Arial" w:hAnsi="Arial"/>
          <w:sz w:val="18"/>
          <w:szCs w:val="18"/>
          <w:color w:val="auto"/>
        </w:rPr>
        <w:t>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against the Company or any of its subsidiaries and (D) to the knowledge of the Company,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181" w:lineRule="exact"/>
        <w:rPr>
          <w:sz w:val="20"/>
          <w:szCs w:val="20"/>
          <w:color w:val="auto"/>
        </w:rPr>
      </w:pPr>
    </w:p>
    <w:p>
      <w:pPr>
        <w:jc w:val="both"/>
        <w:ind w:firstLine="644"/>
        <w:spacing w:after="0" w:line="255" w:lineRule="auto"/>
        <w:tabs>
          <w:tab w:leader="none" w:pos="1438"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Accounting Controls</w:t>
      </w:r>
      <w:r>
        <w:rPr>
          <w:rFonts w:ascii="Arial" w:cs="Arial" w:eastAsia="Arial" w:hAnsi="Arial"/>
          <w:sz w:val="19"/>
          <w:szCs w:val="19"/>
          <w:color w:val="auto"/>
        </w:rPr>
        <w:t>. The Company and each of its subsidiaries maintain effective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w:t>
      </w:r>
    </w:p>
    <w:p>
      <w:pPr>
        <w:spacing w:after="0" w:line="186" w:lineRule="exact"/>
        <w:rPr>
          <w:rFonts w:ascii="Arial" w:cs="Arial" w:eastAsia="Arial" w:hAnsi="Arial"/>
          <w:sz w:val="19"/>
          <w:szCs w:val="19"/>
          <w:color w:val="auto"/>
        </w:rPr>
      </w:pPr>
    </w:p>
    <w:p>
      <w:pPr>
        <w:jc w:val="both"/>
        <w:ind w:firstLine="644"/>
        <w:spacing w:after="0" w:line="257" w:lineRule="auto"/>
        <w:tabs>
          <w:tab w:leader="none" w:pos="1480"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Compliance with the Sarbanes-Oxley Act.</w:t>
      </w:r>
      <w:r>
        <w:rPr>
          <w:rFonts w:ascii="Arial" w:cs="Arial" w:eastAsia="Arial" w:hAnsi="Arial"/>
          <w:sz w:val="19"/>
          <w:szCs w:val="19"/>
          <w:color w:val="auto"/>
        </w:rPr>
        <w:t xml:space="preserve"> The Company has taken all necessary actions to ensure that, upon the effectiveness of the Registration Statement, it will be in compliance in all material respects with all provisions of the Sarbanes-Oxley Act of 2002 and all rules and regulations promulgated thereunder or implementing the provisions thereof (the “Sarbanes-Oxley Act”) that are then in effect and with which the Company is required to comply as of the effectiveness of the Registration Statement, and is, or will be, actively taking steps to ensure that it will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184" w:lineRule="exact"/>
        <w:rPr>
          <w:rFonts w:ascii="Arial" w:cs="Arial" w:eastAsia="Arial" w:hAnsi="Arial"/>
          <w:sz w:val="19"/>
          <w:szCs w:val="19"/>
          <w:color w:val="auto"/>
        </w:rPr>
      </w:pPr>
    </w:p>
    <w:p>
      <w:pPr>
        <w:jc w:val="both"/>
        <w:ind w:firstLine="644"/>
        <w:spacing w:after="0" w:line="250" w:lineRule="auto"/>
        <w:tabs>
          <w:tab w:leader="none" w:pos="1460"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Payment of Taxes</w:t>
      </w:r>
      <w:r>
        <w:rPr>
          <w:rFonts w:ascii="Arial" w:cs="Arial" w:eastAsia="Arial" w:hAnsi="Arial"/>
          <w:sz w:val="20"/>
          <w:szCs w:val="20"/>
          <w:color w:val="auto"/>
        </w:rPr>
        <w:t>. Except to the extent that would not result in a Material Adverse Effect, (A) all United States federal income tax returns of the Company and its subsidiaries required by law to be filed have been timely filed and all taxes shown by such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580"/>
          </w:cols>
          <w:pgMar w:left="980" w:top="1419" w:right="339" w:bottom="1440" w:gutter="0" w:footer="0" w:header="0"/>
        </w:sectPr>
      </w:pPr>
    </w:p>
    <w:bookmarkStart w:id="243" w:name="page244"/>
    <w:bookmarkEnd w:id="243"/>
    <w:p>
      <w:pPr>
        <w:jc w:val="both"/>
        <w:spacing w:after="0" w:line="273" w:lineRule="auto"/>
        <w:rPr>
          <w:sz w:val="20"/>
          <w:szCs w:val="20"/>
          <w:color w:val="auto"/>
        </w:rPr>
      </w:pPr>
      <w:r>
        <w:rPr>
          <w:rFonts w:ascii="Arial" w:cs="Arial" w:eastAsia="Arial" w:hAnsi="Arial"/>
          <w:sz w:val="18"/>
          <w:szCs w:val="18"/>
          <w:color w:val="auto"/>
        </w:rPr>
        <w:t>or otherwise assessed, which are due and payable, have been paid, except assessments against which appeals have been or will be promptly taken and as to which adequate reserves have been provided in accordance with GAAP and (B) the Company and its subsidiaries have timely filed all other tax returns that are required to have been filed by them pursuant to applicable foreign, state, local or other law, and have paid all taxes due and payable pursuant to such returns or pursuant to any assessment received by the Company and its subsidiaries, except for such taxes, if any, as are being contested in good faith by appropriate proceedings diligently conducted and as to which adequate reserves have been established by the Company in accordance with GAAP. No tax deficiency has been determined adversely to the Company (nor does the Company have any notice or knowledge of any tax deficiency which could reasonably be expected to be determined adversely to the Company).</w:t>
      </w:r>
    </w:p>
    <w:p>
      <w:pPr>
        <w:spacing w:after="0" w:line="168" w:lineRule="exact"/>
        <w:rPr>
          <w:sz w:val="20"/>
          <w:szCs w:val="20"/>
          <w:color w:val="auto"/>
        </w:rPr>
      </w:pPr>
    </w:p>
    <w:p>
      <w:pPr>
        <w:jc w:val="both"/>
        <w:ind w:firstLine="644"/>
        <w:spacing w:after="0" w:line="257" w:lineRule="auto"/>
        <w:tabs>
          <w:tab w:leader="none" w:pos="128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result in a Material Adverse Effect. Neither of the Company nor any of its subsidiaries has been denied any insurance coverage which it has sought or for which it has applied.</w:t>
      </w:r>
    </w:p>
    <w:p>
      <w:pPr>
        <w:spacing w:after="0" w:line="184" w:lineRule="exact"/>
        <w:rPr>
          <w:rFonts w:ascii="Arial" w:cs="Arial" w:eastAsia="Arial" w:hAnsi="Arial"/>
          <w:sz w:val="19"/>
          <w:szCs w:val="19"/>
          <w:color w:val="auto"/>
        </w:rPr>
      </w:pPr>
    </w:p>
    <w:p>
      <w:pPr>
        <w:jc w:val="both"/>
        <w:ind w:firstLine="644"/>
        <w:spacing w:after="0" w:line="246" w:lineRule="auto"/>
        <w:tabs>
          <w:tab w:leader="none" w:pos="1356"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191" w:lineRule="exact"/>
        <w:rPr>
          <w:rFonts w:ascii="Arial" w:cs="Arial" w:eastAsia="Arial" w:hAnsi="Arial"/>
          <w:sz w:val="20"/>
          <w:szCs w:val="20"/>
          <w:color w:val="auto"/>
        </w:rPr>
      </w:pPr>
    </w:p>
    <w:p>
      <w:pPr>
        <w:jc w:val="both"/>
        <w:ind w:firstLine="644"/>
        <w:spacing w:after="0" w:line="282" w:lineRule="auto"/>
        <w:tabs>
          <w:tab w:leader="none" w:pos="1533"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to the knowledge of the Company,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161" w:lineRule="exact"/>
        <w:rPr>
          <w:rFonts w:ascii="Arial" w:cs="Arial" w:eastAsia="Arial" w:hAnsi="Arial"/>
          <w:sz w:val="18"/>
          <w:szCs w:val="18"/>
          <w:color w:val="auto"/>
        </w:rPr>
      </w:pPr>
    </w:p>
    <w:p>
      <w:pPr>
        <w:jc w:val="both"/>
        <w:ind w:firstLine="644"/>
        <w:spacing w:after="0" w:line="255" w:lineRule="auto"/>
        <w:tabs>
          <w:tab w:leader="none" w:pos="1466"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Foreign Corrupt Practices Act</w:t>
      </w:r>
      <w:r>
        <w:rPr>
          <w:rFonts w:ascii="Arial" w:cs="Arial" w:eastAsia="Arial" w:hAnsi="Arial"/>
          <w:sz w:val="19"/>
          <w:szCs w:val="19"/>
          <w:color w:val="auto"/>
        </w:rPr>
        <w:t>. Neither the Company nor any of its subsidiaries or any director, officer, employee, or, to the knowledge of the Company, affiliate, agent,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or any other applicable anti-bribery or anti-corruption laws (together with the FCPA, the “Anti-Corruption Laws”) including, without limitation, offering, paying, promising to pay, or authorizing the payment of any money, or anything of value to any “foreign official” (as such term is defined in the FCPA), any officer or employee of a government or government-owned or controlled entity or of any public international organization, or any foreign political party or official thereof or any candidate for foreign political office, in contravention of the Anti-Corruption Laws. The Company and its subsidiaries and affiliates have conducted their businesses in compliance with the Anti-Corruption Laws and have instituted and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580"/>
          </w:cols>
          <w:pgMar w:left="980" w:top="1419" w:right="339" w:bottom="1440" w:gutter="0" w:footer="0" w:header="0"/>
        </w:sectPr>
      </w:pPr>
    </w:p>
    <w:bookmarkStart w:id="244" w:name="page245"/>
    <w:bookmarkEnd w:id="244"/>
    <w:p>
      <w:pPr>
        <w:jc w:val="both"/>
        <w:spacing w:after="0" w:line="246" w:lineRule="auto"/>
        <w:rPr>
          <w:sz w:val="20"/>
          <w:szCs w:val="20"/>
          <w:color w:val="auto"/>
        </w:rPr>
      </w:pPr>
      <w:r>
        <w:rPr>
          <w:rFonts w:ascii="Arial" w:cs="Arial" w:eastAsia="Arial" w:hAnsi="Arial"/>
          <w:sz w:val="20"/>
          <w:szCs w:val="20"/>
          <w:color w:val="auto"/>
        </w:rPr>
        <w:t>policies and procedures designed to ensure, and which are reasonably expected to continue to ensure, continued compliance therewith. None of the Company or any of its subsidiaries shall use, directly or indirectly, the proceeds of the offering in furtherance of an offer, payment, promise to pay, or authorization of the payment of money or anything of value to any person in violation of the Anti-Corruption Laws.</w:t>
      </w:r>
    </w:p>
    <w:p>
      <w:pPr>
        <w:spacing w:after="0" w:line="191" w:lineRule="exact"/>
        <w:rPr>
          <w:sz w:val="20"/>
          <w:szCs w:val="20"/>
          <w:color w:val="auto"/>
        </w:rPr>
      </w:pPr>
    </w:p>
    <w:p>
      <w:pPr>
        <w:jc w:val="both"/>
        <w:ind w:firstLine="644"/>
        <w:spacing w:after="0" w:line="316" w:lineRule="auto"/>
        <w:tabs>
          <w:tab w:leader="none" w:pos="1469"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Money Laundering Laws</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best knowledge of the Company, threatened.</w:t>
      </w:r>
    </w:p>
    <w:p>
      <w:pPr>
        <w:spacing w:after="0" w:line="139" w:lineRule="exact"/>
        <w:rPr>
          <w:rFonts w:ascii="Arial" w:cs="Arial" w:eastAsia="Arial" w:hAnsi="Arial"/>
          <w:sz w:val="16"/>
          <w:szCs w:val="16"/>
          <w:color w:val="auto"/>
        </w:rPr>
      </w:pPr>
    </w:p>
    <w:p>
      <w:pPr>
        <w:jc w:val="both"/>
        <w:ind w:firstLine="644"/>
        <w:spacing w:after="0" w:line="269" w:lineRule="auto"/>
        <w:tabs>
          <w:tab w:leader="none" w:pos="140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Neither the Company nor any of its subsidiaries or any director, officer, employee, or, to the knowledge of the Company, affiliate, agent, or representative of the Company or any of its subsidiaries is an individual or entity (“Person”), or is 50 percent or more owned in the aggregate or otherwise controlled by, or acting on behalf of one or more Persons that are, currently the subject or target of any sanctions administered or enforced by the United States Government, including, without limitation, the U.S. Department of the Treasury’s Office of Foreign Assets Control (“OFAC”), the United Nations Security Council (“UNSC”), the European Union, Her Majesty’s Treasury (“HMT”),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Persons,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For the past five years, the Company and its subsidiaries have not knowingly engaged in, are not now knowingly engaged in, and will not knowingly engage in, any direct or indirect dealings or transactions with any Person or in any country or territory that at the time of the dealing or transaction is or was the subject of Sanctions.</w:t>
      </w:r>
    </w:p>
    <w:p>
      <w:pPr>
        <w:spacing w:after="0" w:line="181" w:lineRule="exact"/>
        <w:rPr>
          <w:rFonts w:ascii="Arial" w:cs="Arial" w:eastAsia="Arial" w:hAnsi="Arial"/>
          <w:sz w:val="18"/>
          <w:szCs w:val="18"/>
          <w:color w:val="auto"/>
        </w:rPr>
      </w:pPr>
    </w:p>
    <w:p>
      <w:pPr>
        <w:jc w:val="both"/>
        <w:ind w:firstLine="644"/>
        <w:spacing w:after="0" w:line="257" w:lineRule="auto"/>
        <w:tabs>
          <w:tab w:leader="none" w:pos="1523"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Sales of Reserved Securities</w:t>
      </w:r>
      <w:r>
        <w:rPr>
          <w:rFonts w:ascii="Arial" w:cs="Arial" w:eastAsia="Arial" w:hAnsi="Arial"/>
          <w:sz w:val="19"/>
          <w:szCs w:val="19"/>
          <w:color w:val="auto"/>
        </w:rPr>
        <w:t>. In connection with any offer and sale of Reserved Securities outside the United States, the Preliminary Prospectus, the Prospectus and any amendment or supplement thereto, at the time it was filed, complied and will comply in all material respects with any applicable laws or regulations of foreign jurisdictions in which the same is distributed. The Company has not offered, or caused Merrill Lynch to offer, Reserved Securities to any person with the specific intent to unlawfully influence (i) a customer or supplier of the Company or any of its affiliates to alter the customer’s or supplier’s level or type of business with any such entity or (ii) a trade journalist or publication to write or publish favorable information about the Company or any of its affiliates, or their respective businesses or products.</w:t>
      </w:r>
    </w:p>
    <w:p>
      <w:pPr>
        <w:spacing w:after="0" w:line="184" w:lineRule="exact"/>
        <w:rPr>
          <w:rFonts w:ascii="Arial" w:cs="Arial" w:eastAsia="Arial" w:hAnsi="Arial"/>
          <w:sz w:val="19"/>
          <w:szCs w:val="19"/>
          <w:color w:val="auto"/>
        </w:rPr>
      </w:pPr>
    </w:p>
    <w:p>
      <w:pPr>
        <w:ind w:right="20" w:firstLine="644"/>
        <w:spacing w:after="0" w:line="260" w:lineRule="auto"/>
        <w:tabs>
          <w:tab w:leader="none" w:pos="1497"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Lending Relationship</w:t>
      </w:r>
      <w:r>
        <w:rPr>
          <w:rFonts w:ascii="Arial" w:cs="Arial" w:eastAsia="Arial" w:hAnsi="Arial"/>
          <w:sz w:val="20"/>
          <w:szCs w:val="20"/>
          <w:i w:val="1"/>
          <w:iCs w:val="1"/>
          <w:color w:val="auto"/>
        </w:rPr>
        <w:t>.</w:t>
      </w:r>
      <w:r>
        <w:rPr>
          <w:rFonts w:ascii="Arial" w:cs="Arial" w:eastAsia="Arial" w:hAnsi="Arial"/>
          <w:sz w:val="20"/>
          <w:szCs w:val="20"/>
          <w:color w:val="auto"/>
        </w:rPr>
        <w:t xml:space="preserve"> The Company (i) does not have any material lending or other relationship with any bank or lending affiliate of any Underwriter and (ii) does not intend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580"/>
          </w:cols>
          <w:pgMar w:left="980" w:top="1419" w:right="339" w:bottom="1440" w:gutter="0" w:footer="0" w:header="0"/>
        </w:sectPr>
      </w:pPr>
    </w:p>
    <w:bookmarkStart w:id="245" w:name="page246"/>
    <w:bookmarkEnd w:id="245"/>
    <w:p>
      <w:pPr>
        <w:spacing w:after="0"/>
        <w:rPr>
          <w:sz w:val="20"/>
          <w:szCs w:val="20"/>
          <w:color w:val="auto"/>
        </w:rPr>
      </w:pPr>
      <w:r>
        <w:rPr>
          <w:rFonts w:ascii="Arial" w:cs="Arial" w:eastAsia="Arial" w:hAnsi="Arial"/>
          <w:sz w:val="19"/>
          <w:szCs w:val="19"/>
          <w:color w:val="auto"/>
        </w:rPr>
        <w:t>use any of the proceeds from the sale of the Securities to repay any outstanding debt owed to any affiliate of any Underwriter.</w:t>
      </w:r>
    </w:p>
    <w:p>
      <w:pPr>
        <w:spacing w:after="0" w:line="227" w:lineRule="exact"/>
        <w:rPr>
          <w:sz w:val="20"/>
          <w:szCs w:val="20"/>
          <w:color w:val="auto"/>
        </w:rPr>
      </w:pPr>
    </w:p>
    <w:p>
      <w:pPr>
        <w:jc w:val="both"/>
        <w:ind w:firstLine="644"/>
        <w:spacing w:after="0" w:line="246" w:lineRule="auto"/>
        <w:tabs>
          <w:tab w:leader="none" w:pos="1741"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Statistical and Market-Related Data</w:t>
      </w:r>
      <w:r>
        <w:rPr>
          <w:rFonts w:ascii="Arial" w:cs="Arial" w:eastAsia="Arial" w:hAnsi="Arial"/>
          <w:sz w:val="20"/>
          <w:szCs w:val="20"/>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91" w:lineRule="exact"/>
        <w:rPr>
          <w:rFonts w:ascii="Arial" w:cs="Arial" w:eastAsia="Arial" w:hAnsi="Arial"/>
          <w:sz w:val="20"/>
          <w:szCs w:val="20"/>
          <w:color w:val="auto"/>
        </w:rPr>
      </w:pPr>
    </w:p>
    <w:p>
      <w:pPr>
        <w:ind w:firstLine="644"/>
        <w:spacing w:after="0" w:line="287" w:lineRule="auto"/>
        <w:tabs>
          <w:tab w:leader="none" w:pos="1523"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No Rated Debt</w:t>
      </w:r>
      <w:r>
        <w:rPr>
          <w:rFonts w:ascii="Arial" w:cs="Arial" w:eastAsia="Arial" w:hAnsi="Arial"/>
          <w:sz w:val="19"/>
          <w:szCs w:val="19"/>
          <w:color w:val="auto"/>
        </w:rPr>
        <w:t>. No securities issued or guaranteed by, or loans to, the Company are rated by any “nationally recognized statistical rating organization” (as defined by the Commission in Section 3(a)(62) of the 1934 Act).</w:t>
      </w:r>
    </w:p>
    <w:p>
      <w:pPr>
        <w:spacing w:after="0" w:line="1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u w:val="single" w:color="auto"/>
          <w:color w:val="auto"/>
        </w:rPr>
        <w:t>Data Privacy and Security Laws</w:t>
      </w:r>
      <w:r>
        <w:rPr>
          <w:rFonts w:ascii="Arial" w:cs="Arial" w:eastAsia="Arial" w:hAnsi="Arial"/>
          <w:sz w:val="18"/>
          <w:szCs w:val="18"/>
          <w:color w:val="auto"/>
        </w:rPr>
        <w:t>. Except as would not, individually or in the aggregate, reasonably be expected to have a Material Adverse Effect, the Company and its subsidiaries are, and for the past four (4) years have been, in compliance with applicable data privacy and security laws and regulations, including to the extent applicable, the California Consumer Privacy Act, HIPAA, HITECH Act, and the European Union General Data Protection Regulation (“GDPR”) (EU 2016/679) (and all other applicable laws and regulations governing the data privacy and security of Personal Data (defined below)(collectively, the “Privacy Laws”). To ensure compliance with the Privacy Laws, the Company and its subsidiaries have in place, comply with, and take commercially reasonable steps to ensure compliance with their policies and procedures relating to data privacy and security and the collection, storage, use, disclosure, handling, and analysis of Personal Data (the “Policies”). Each of the Company Policies has been designed to provide accurate and sufficient notice of the Company’s then-current privacy practices relating to its subject matter.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Protected Health Information as defined by HIPAA; (iv) “personal data” as defined by GDPR, and (v) any other information that allows the identification of such natural person, or his or her family, or permits the collection or analysis of any data related to an identified person’s health or sexual orientation. Except as would not, individually or in the aggregate, reasonably be expected to have a Material Adverse Effect, (i) for the past four (4) years, the Company and its subsidiaries have made disclosures to users or customers required by Privacy Laws, (ii) to the knowledge of the Company, none of such disclosures have been inaccurate, misleading, deceptive or in violation of any Privacy Laws; and (iii) the execution, delivery and performance of this Agreement or any other agreement referred to in this Agreement will not result in a breach of violation of any Privacy Laws or Policies. During the past four (4) years, neither the Company nor any subsidiary: (i) has received written notice of any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(xli) </w:t>
      </w:r>
      <w:r>
        <w:rPr>
          <w:rFonts w:ascii="Arial" w:cs="Arial" w:eastAsia="Arial" w:hAnsi="Arial"/>
          <w:sz w:val="20"/>
          <w:szCs w:val="20"/>
          <w:u w:val="single" w:color="auto"/>
          <w:color w:val="auto"/>
        </w:rPr>
        <w:t>Cybersecurity; Data Protection</w:t>
      </w:r>
      <w:r>
        <w:rPr>
          <w:rFonts w:ascii="Arial" w:cs="Arial" w:eastAsia="Arial" w:hAnsi="Arial"/>
          <w:sz w:val="20"/>
          <w:szCs w:val="20"/>
          <w:color w:val="auto"/>
        </w:rPr>
        <w:t>. Except as would not, individually or in the aggregate, reasonably be expected to have a Material Adverse Effect, (i) there has been no security breach or incident, unauthorized access or disclosure, or other compromise of or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580"/>
          </w:cols>
          <w:pgMar w:left="980" w:top="1419" w:right="339" w:bottom="1440" w:gutter="0" w:footer="0" w:header="0"/>
        </w:sectPr>
      </w:pPr>
    </w:p>
    <w:bookmarkStart w:id="246" w:name="page247"/>
    <w:bookmarkEnd w:id="246"/>
    <w:p>
      <w:pPr>
        <w:jc w:val="both"/>
        <w:ind w:left="660"/>
        <w:spacing w:after="0" w:line="270" w:lineRule="auto"/>
        <w:rPr>
          <w:sz w:val="20"/>
          <w:szCs w:val="20"/>
          <w:color w:val="auto"/>
        </w:rPr>
      </w:pPr>
      <w:r>
        <w:rPr>
          <w:rFonts w:ascii="Arial" w:cs="Arial" w:eastAsia="Arial" w:hAnsi="Arial"/>
          <w:sz w:val="18"/>
          <w:szCs w:val="18"/>
          <w:color w:val="auto"/>
        </w:rPr>
        <w:t>to the Company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including any such equipment or technology maintained or provided by any third parties to Company or its subsidiaries (collectively, “IT Systems and Data”); (ii) the Company and its subsidiaries have taken appropriate steps to implement controls, policies, procedures, and technological safeguards designed to maintain and protect the integrity, continuous operation, redundancy and security of their IT Systems and Data; (iii) neither the Company nor its subsidiaries have been notified of, and each of them have no knowledge of any event or condition that could result in, any security breach or incident, unauthorized access or disclosure or other compromise to their IT Systems and Data; and (iv)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172"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8"/>
          <w:szCs w:val="18"/>
          <w:color w:val="auto"/>
        </w:rPr>
        <w:t xml:space="preserve">(xlii) </w:t>
      </w:r>
      <w:r>
        <w:rPr>
          <w:rFonts w:ascii="Arial" w:cs="Arial" w:eastAsia="Arial" w:hAnsi="Arial"/>
          <w:sz w:val="18"/>
          <w:szCs w:val="18"/>
          <w:u w:val="single" w:color="auto"/>
          <w:color w:val="auto"/>
        </w:rPr>
        <w:t>ERISA Compliance</w:t>
      </w:r>
      <w:r>
        <w:rPr>
          <w:rFonts w:ascii="Arial" w:cs="Arial" w:eastAsia="Arial" w:hAnsi="Arial"/>
          <w:sz w:val="18"/>
          <w:szCs w:val="18"/>
          <w:color w:val="auto"/>
        </w:rPr>
        <w:t>. Except as would not, individually or in the aggregate, have a Material Adverse Effect: (i) each employee benefit plan, within the meaning of Section 3(3) of the Employee Retirement Income Security Act of 1974, as amended (“ERISA”), for which the Company would have any liability (each, a “Plan”) has been maintained in compliance with its terms and the requirements of any applicable statutes, orders, rules and regulations, including, but not limited to, ERISA and the Internal Revenue Code of 1986, as amended (the “Code”); (ii) each Plan that is intended to be qualified under Section 401(a) of the Code is so qualified, and nothing has occurred, whether by action or by failure to act, which would cause the loss of such qualification; (iii) neither the Company nor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Code) maintains or has within the past six years maintained a Plan or an “employee benefit plan” (within the meaning of Section 3(3) of ERISA) that is subject to Title IV of ERISA; and (iv) the following event has not occurred or is not reasonably likely to occur: a material increase in the Company’s “accumulated post-retirement benefit obligations” (within the meaning of Accounting Standards Codification Topic 715-60) compared to the amount of such obligations in the Company’s most recently completed fiscal year.</w:t>
      </w:r>
    </w:p>
    <w:p>
      <w:pPr>
        <w:spacing w:after="0" w:line="172" w:lineRule="exact"/>
        <w:rPr>
          <w:sz w:val="20"/>
          <w:szCs w:val="20"/>
          <w:color w:val="auto"/>
        </w:rPr>
      </w:pPr>
    </w:p>
    <w:p>
      <w:pPr>
        <w:jc w:val="both"/>
        <w:ind w:firstLine="656"/>
        <w:spacing w:after="0" w:line="250" w:lineRule="auto"/>
        <w:tabs>
          <w:tab w:leader="none" w:pos="1238" w:val="left"/>
        </w:tabs>
        <w:numPr>
          <w:ilvl w:val="0"/>
          <w:numId w:val="156"/>
        </w:numPr>
        <w:rPr>
          <w:rFonts w:ascii="Arial" w:cs="Arial" w:eastAsia="Arial" w:hAnsi="Arial"/>
          <w:sz w:val="20"/>
          <w:szCs w:val="20"/>
          <w:color w:val="auto"/>
        </w:rPr>
      </w:pPr>
      <w:r>
        <w:rPr>
          <w:rFonts w:ascii="Arial" w:cs="Arial" w:eastAsia="Arial" w:hAnsi="Arial"/>
          <w:sz w:val="20"/>
          <w:szCs w:val="20"/>
          <w:i w:val="1"/>
          <w:iCs w:val="1"/>
          <w:color w:val="auto"/>
        </w:rPr>
        <w:t>Officer’s Certificates</w:t>
      </w:r>
      <w:r>
        <w:rPr>
          <w:rFonts w:ascii="Arial" w:cs="Arial" w:eastAsia="Arial" w:hAnsi="Arial"/>
          <w:sz w:val="20"/>
          <w:szCs w:val="20"/>
          <w:color w:val="auto"/>
        </w:rPr>
        <w:t>. Any certificate signed by any officer of the Company or any of its subsidiaries delivered to the</w:t>
      </w:r>
      <w:r>
        <w:rPr>
          <w:rFonts w:ascii="Arial" w:cs="Arial" w:eastAsia="Arial" w:hAnsi="Arial"/>
          <w:sz w:val="20"/>
          <w:szCs w:val="20"/>
          <w:i w:val="1"/>
          <w:iCs w:val="1"/>
          <w:color w:val="auto"/>
        </w:rPr>
        <w:t xml:space="preserve"> </w:t>
      </w:r>
      <w:r>
        <w:rPr>
          <w:rFonts w:ascii="Arial" w:cs="Arial" w:eastAsia="Arial" w:hAnsi="Arial"/>
          <w:sz w:val="20"/>
          <w:szCs w:val="20"/>
          <w:color w:val="auto"/>
        </w:rPr>
        <w:t>Representatives or to counsel for the Underwriters shall be deemed a representation and warranty by the Company to each Underwriter as to the matters covered thereby.</w:t>
      </w:r>
    </w:p>
    <w:p>
      <w:pPr>
        <w:spacing w:after="0" w:line="18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4" w:lineRule="auto"/>
        <w:tabs>
          <w:tab w:leader="none" w:pos="1119" w:val="left"/>
        </w:tabs>
        <w:numPr>
          <w:ilvl w:val="0"/>
          <w:numId w:val="157"/>
        </w:numPr>
        <w:rPr>
          <w:rFonts w:ascii="Arial" w:cs="Arial" w:eastAsia="Arial" w:hAnsi="Arial"/>
          <w:sz w:val="20"/>
          <w:szCs w:val="20"/>
          <w:color w:val="auto"/>
        </w:rPr>
      </w:pPr>
      <w:r>
        <w:rPr>
          <w:rFonts w:ascii="Arial" w:cs="Arial" w:eastAsia="Arial" w:hAnsi="Arial"/>
          <w:sz w:val="20"/>
          <w:szCs w:val="20"/>
          <w:i w:val="1"/>
          <w:iCs w:val="1"/>
          <w:color w:val="auto"/>
        </w:rPr>
        <w:t>Initial Securities</w:t>
      </w:r>
      <w:r>
        <w:rPr>
          <w:rFonts w:ascii="Arial" w:cs="Arial" w:eastAsia="Arial" w:hAnsi="Arial"/>
          <w:sz w:val="20"/>
          <w:szCs w:val="20"/>
          <w:color w:val="auto"/>
        </w:rPr>
        <w:t>. On the basis of the representations and warranties herein contained and subject to the terms and conditions</w:t>
      </w:r>
      <w:r>
        <w:rPr>
          <w:rFonts w:ascii="Arial" w:cs="Arial" w:eastAsia="Arial" w:hAnsi="Arial"/>
          <w:sz w:val="20"/>
          <w:szCs w:val="20"/>
          <w:i w:val="1"/>
          <w:iCs w:val="1"/>
          <w:color w:val="auto"/>
        </w:rPr>
        <w:t xml:space="preserve"> </w:t>
      </w:r>
      <w:r>
        <w:rPr>
          <w:rFonts w:ascii="Arial" w:cs="Arial" w:eastAsia="Arial" w:hAnsi="Arial"/>
          <w:sz w:val="20"/>
          <w:szCs w:val="20"/>
          <w:color w:val="auto"/>
        </w:rPr>
        <w:t>herein set forth, the Company agrees to sell to each Underwriter, severally and not jointly, and each Underwriter, severally and not jointly, agrees to purchase from the Company, at the price per share set forth in Schedule A, that number of Initial Securities set forth in Schedule A opposite the name of such Underwriter, plus any additional number of Initial Securities which such Underwriter may become obligated to purchase pursuant to the provisions of Section 10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247" w:name="page248"/>
    <w:bookmarkEnd w:id="247"/>
    <w:p>
      <w:pPr>
        <w:spacing w:after="0" w:line="260" w:lineRule="auto"/>
        <w:rPr>
          <w:sz w:val="20"/>
          <w:szCs w:val="20"/>
          <w:color w:val="auto"/>
        </w:rPr>
      </w:pPr>
      <w:r>
        <w:rPr>
          <w:rFonts w:ascii="Arial" w:cs="Arial" w:eastAsia="Arial" w:hAnsi="Arial"/>
          <w:sz w:val="20"/>
          <w:szCs w:val="20"/>
          <w:color w:val="auto"/>
        </w:rPr>
        <w:t>subject, in each case, to such adjustments among the Underwriters as the Representatives in their sole discretion shall make to eliminate any sales or purchases of fractional shares.</w:t>
      </w:r>
    </w:p>
    <w:p>
      <w:pPr>
        <w:spacing w:after="0" w:line="177" w:lineRule="exact"/>
        <w:rPr>
          <w:sz w:val="20"/>
          <w:szCs w:val="20"/>
          <w:color w:val="auto"/>
        </w:rPr>
      </w:pPr>
    </w:p>
    <w:p>
      <w:pPr>
        <w:jc w:val="both"/>
        <w:ind w:firstLine="656"/>
        <w:spacing w:after="0" w:line="255" w:lineRule="auto"/>
        <w:tabs>
          <w:tab w:leader="none" w:pos="1103" w:val="left"/>
        </w:tabs>
        <w:numPr>
          <w:ilvl w:val="0"/>
          <w:numId w:val="158"/>
        </w:numPr>
        <w:rPr>
          <w:rFonts w:ascii="Arial" w:cs="Arial" w:eastAsia="Arial" w:hAnsi="Arial"/>
          <w:sz w:val="19"/>
          <w:szCs w:val="19"/>
          <w:color w:val="auto"/>
        </w:rPr>
      </w:pPr>
      <w:r>
        <w:rPr>
          <w:rFonts w:ascii="Arial" w:cs="Arial" w:eastAsia="Arial" w:hAnsi="Arial"/>
          <w:sz w:val="19"/>
          <w:szCs w:val="19"/>
          <w:i w:val="1"/>
          <w:iCs w:val="1"/>
          <w:color w:val="auto"/>
        </w:rPr>
        <w:t>Option Securities</w:t>
      </w:r>
      <w:r>
        <w:rPr>
          <w:rFonts w:ascii="Arial" w:cs="Arial" w:eastAsia="Arial" w:hAnsi="Arial"/>
          <w:sz w:val="19"/>
          <w:szCs w:val="19"/>
          <w:color w:val="auto"/>
        </w:rPr>
        <w:t>. In addition, on the basis of the representations and warranties herein contained and subject to the terms and</w:t>
      </w:r>
      <w:r>
        <w:rPr>
          <w:rFonts w:ascii="Arial" w:cs="Arial" w:eastAsia="Arial" w:hAnsi="Arial"/>
          <w:sz w:val="19"/>
          <w:szCs w:val="19"/>
          <w:i w:val="1"/>
          <w:iCs w:val="1"/>
          <w:color w:val="auto"/>
        </w:rPr>
        <w:t xml:space="preserve"> </w:t>
      </w:r>
      <w:r>
        <w:rPr>
          <w:rFonts w:ascii="Arial" w:cs="Arial" w:eastAsia="Arial" w:hAnsi="Arial"/>
          <w:sz w:val="19"/>
          <w:szCs w:val="19"/>
          <w:color w:val="auto"/>
        </w:rPr>
        <w:t>conditions herein set forth, the Company hereby grants an option to the Underwriters, severally and not jointly, to purchase up to an additional [●] shares of Common Stock,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181" w:lineRule="exact"/>
        <w:rPr>
          <w:rFonts w:ascii="Arial" w:cs="Arial" w:eastAsia="Arial" w:hAnsi="Arial"/>
          <w:sz w:val="19"/>
          <w:szCs w:val="19"/>
          <w:color w:val="auto"/>
        </w:rPr>
      </w:pPr>
    </w:p>
    <w:p>
      <w:pPr>
        <w:jc w:val="both"/>
        <w:ind w:firstLine="656"/>
        <w:spacing w:after="0" w:line="259" w:lineRule="auto"/>
        <w:tabs>
          <w:tab w:leader="none" w:pos="1092" w:val="left"/>
        </w:tabs>
        <w:numPr>
          <w:ilvl w:val="0"/>
          <w:numId w:val="158"/>
        </w:numPr>
        <w:rPr>
          <w:rFonts w:ascii="Arial" w:cs="Arial" w:eastAsia="Arial" w:hAnsi="Arial"/>
          <w:sz w:val="19"/>
          <w:szCs w:val="19"/>
          <w:color w:val="auto"/>
        </w:rPr>
      </w:pPr>
      <w:r>
        <w:rPr>
          <w:rFonts w:ascii="Arial" w:cs="Arial" w:eastAsia="Arial" w:hAnsi="Arial"/>
          <w:sz w:val="19"/>
          <w:szCs w:val="19"/>
          <w:i w:val="1"/>
          <w:iCs w:val="1"/>
          <w:color w:val="auto"/>
        </w:rPr>
        <w:t>Payment</w:t>
      </w:r>
      <w:r>
        <w:rPr>
          <w:rFonts w:ascii="Arial" w:cs="Arial" w:eastAsia="Arial" w:hAnsi="Arial"/>
          <w:sz w:val="19"/>
          <w:szCs w:val="19"/>
          <w:color w:val="auto"/>
        </w:rPr>
        <w:t>. Payment of the purchase price for, and delivery of certificates or security entitlements for, the Initial Securities shall</w:t>
      </w:r>
      <w:r>
        <w:rPr>
          <w:rFonts w:ascii="Arial" w:cs="Arial" w:eastAsia="Arial" w:hAnsi="Arial"/>
          <w:sz w:val="19"/>
          <w:szCs w:val="19"/>
          <w:i w:val="1"/>
          <w:iCs w:val="1"/>
          <w:color w:val="auto"/>
        </w:rPr>
        <w:t xml:space="preserve"> </w:t>
      </w:r>
      <w:r>
        <w:rPr>
          <w:rFonts w:ascii="Arial" w:cs="Arial" w:eastAsia="Arial" w:hAnsi="Arial"/>
          <w:sz w:val="19"/>
          <w:szCs w:val="19"/>
          <w:color w:val="auto"/>
        </w:rPr>
        <w:t>be made at the offices of Cooley LLP, 4401 Eastgate Mall, San Diego, CA 92121,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the Representatives,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248" w:name="page249"/>
    <w:bookmarkEnd w:id="248"/>
    <w:p>
      <w:pPr>
        <w:ind w:left="660"/>
        <w:spacing w:after="0"/>
        <w:tabs>
          <w:tab w:leader="none" w:pos="18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each Underwriter as follows:</w:t>
      </w:r>
    </w:p>
    <w:p>
      <w:pPr>
        <w:spacing w:after="0" w:line="216" w:lineRule="exact"/>
        <w:rPr>
          <w:sz w:val="20"/>
          <w:szCs w:val="20"/>
          <w:color w:val="auto"/>
        </w:rPr>
      </w:pPr>
    </w:p>
    <w:p>
      <w:pPr>
        <w:jc w:val="both"/>
        <w:ind w:firstLine="656"/>
        <w:spacing w:after="0" w:line="269" w:lineRule="auto"/>
        <w:tabs>
          <w:tab w:leader="none" w:pos="1065"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Compliance with Securities Regulations and Commission Requests</w:t>
      </w:r>
      <w:r>
        <w:rPr>
          <w:rFonts w:ascii="Arial" w:cs="Arial" w:eastAsia="Arial" w:hAnsi="Arial"/>
          <w:sz w:val="18"/>
          <w:szCs w:val="18"/>
          <w:color w:val="auto"/>
        </w:rPr>
        <w:t>. The Company, subject to Section 3(b), will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Rule 430A, and will promptly notify the Representatives, and confirm the notice in writing (which may be via email),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including pursuant to Section 8A under the 1933 Act,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practicable.</w:t>
      </w:r>
    </w:p>
    <w:p>
      <w:pPr>
        <w:spacing w:after="0" w:line="178" w:lineRule="exact"/>
        <w:rPr>
          <w:rFonts w:ascii="Arial" w:cs="Arial" w:eastAsia="Arial" w:hAnsi="Arial"/>
          <w:sz w:val="18"/>
          <w:szCs w:val="18"/>
          <w:color w:val="auto"/>
        </w:rPr>
      </w:pPr>
    </w:p>
    <w:p>
      <w:pPr>
        <w:jc w:val="both"/>
        <w:ind w:firstLine="656"/>
        <w:spacing w:after="0" w:line="268" w:lineRule="auto"/>
        <w:tabs>
          <w:tab w:leader="none" w:pos="109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Continued Compliance with Securities Laws</w:t>
      </w:r>
      <w:r>
        <w:rPr>
          <w:rFonts w:ascii="Arial" w:cs="Arial" w:eastAsia="Arial" w:hAnsi="Arial"/>
          <w:sz w:val="18"/>
          <w:szCs w:val="18"/>
          <w:color w:val="auto"/>
        </w:rPr>
        <w:t>. The Company will comply with the 1933 Act and the 1933 Act Regulations so as</w:t>
      </w:r>
      <w:r>
        <w:rPr>
          <w:rFonts w:ascii="Arial" w:cs="Arial" w:eastAsia="Arial" w:hAnsi="Arial"/>
          <w:sz w:val="18"/>
          <w:szCs w:val="18"/>
          <w:i w:val="1"/>
          <w:iCs w:val="1"/>
          <w:color w:val="auto"/>
        </w:rPr>
        <w:t xml:space="preserve"> </w:t>
      </w:r>
      <w:r>
        <w:rPr>
          <w:rFonts w:ascii="Arial" w:cs="Arial" w:eastAsia="Arial" w:hAnsi="Arial"/>
          <w:sz w:val="18"/>
          <w:szCs w:val="18"/>
          <w:color w:val="auto"/>
        </w:rPr>
        <w:t>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object. The Company will furnish to the Underwriters such number of copies of such amendment or supplement as the Underwriters may reasonably request. The Company has given the Representatives notice of any filings made pursuant to the 1934 Act or 1934 Act Regulations within 48 hours prior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249" w:name="page250"/>
    <w:bookmarkEnd w:id="249"/>
    <w:p>
      <w:pPr>
        <w:jc w:val="both"/>
        <w:spacing w:after="0" w:line="246" w:lineRule="auto"/>
        <w:rPr>
          <w:sz w:val="20"/>
          <w:szCs w:val="20"/>
          <w:color w:val="auto"/>
        </w:rPr>
      </w:pPr>
      <w:r>
        <w:rPr>
          <w:rFonts w:ascii="Arial" w:cs="Arial" w:eastAsia="Arial" w:hAnsi="Arial"/>
          <w:sz w:val="20"/>
          <w:szCs w:val="20"/>
          <w:color w:val="auto"/>
        </w:rPr>
        <w:t>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91" w:lineRule="exact"/>
        <w:rPr>
          <w:sz w:val="20"/>
          <w:szCs w:val="20"/>
          <w:color w:val="auto"/>
        </w:rPr>
      </w:pPr>
    </w:p>
    <w:p>
      <w:pPr>
        <w:jc w:val="both"/>
        <w:ind w:firstLine="656"/>
        <w:spacing w:after="0" w:line="276" w:lineRule="auto"/>
        <w:tabs>
          <w:tab w:leader="none" w:pos="1146"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Representatives and counsel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without charge, signed copies of the Registration Statement as originally filed and each amendment thereto (including exhibits filed therewith)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64" w:lineRule="exact"/>
        <w:rPr>
          <w:rFonts w:ascii="Arial" w:cs="Arial" w:eastAsia="Arial" w:hAnsi="Arial"/>
          <w:sz w:val="18"/>
          <w:szCs w:val="18"/>
          <w:color w:val="auto"/>
        </w:rPr>
      </w:pPr>
    </w:p>
    <w:p>
      <w:pPr>
        <w:jc w:val="both"/>
        <w:ind w:firstLine="656"/>
        <w:spacing w:after="0" w:line="257" w:lineRule="auto"/>
        <w:tabs>
          <w:tab w:leader="none" w:pos="1076" w:val="left"/>
        </w:tabs>
        <w:numPr>
          <w:ilvl w:val="0"/>
          <w:numId w:val="160"/>
        </w:numPr>
        <w:rPr>
          <w:rFonts w:ascii="Arial" w:cs="Arial" w:eastAsia="Arial" w:hAnsi="Arial"/>
          <w:sz w:val="19"/>
          <w:szCs w:val="19"/>
          <w:color w:val="auto"/>
        </w:rPr>
      </w:pPr>
      <w:r>
        <w:rPr>
          <w:rFonts w:ascii="Arial" w:cs="Arial" w:eastAsia="Arial" w:hAnsi="Arial"/>
          <w:sz w:val="19"/>
          <w:szCs w:val="19"/>
          <w:i w:val="1"/>
          <w:iCs w:val="1"/>
          <w:color w:val="auto"/>
        </w:rPr>
        <w:t>Delivery of Prospectuses</w:t>
      </w:r>
      <w:r>
        <w:rPr>
          <w:rFonts w:ascii="Arial" w:cs="Arial" w:eastAsia="Arial" w:hAnsi="Arial"/>
          <w:sz w:val="19"/>
          <w:szCs w:val="19"/>
          <w:color w:val="auto"/>
        </w:rPr>
        <w:t>. The Company has delivered to each Underwriter, without charge, as many copies of each preliminary</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4" w:lineRule="exact"/>
        <w:rPr>
          <w:rFonts w:ascii="Arial" w:cs="Arial" w:eastAsia="Arial" w:hAnsi="Arial"/>
          <w:sz w:val="19"/>
          <w:szCs w:val="19"/>
          <w:color w:val="auto"/>
        </w:rPr>
      </w:pPr>
    </w:p>
    <w:p>
      <w:pPr>
        <w:jc w:val="both"/>
        <w:ind w:firstLine="656"/>
        <w:spacing w:after="0" w:line="243" w:lineRule="auto"/>
        <w:tabs>
          <w:tab w:leader="none" w:pos="1106" w:val="left"/>
        </w:tabs>
        <w:numPr>
          <w:ilvl w:val="0"/>
          <w:numId w:val="160"/>
        </w:numPr>
        <w:rPr>
          <w:rFonts w:ascii="Arial" w:cs="Arial" w:eastAsia="Arial" w:hAnsi="Arial"/>
          <w:sz w:val="20"/>
          <w:szCs w:val="20"/>
          <w:color w:val="auto"/>
        </w:rPr>
      </w:pPr>
      <w:r>
        <w:rPr>
          <w:rFonts w:ascii="Arial" w:cs="Arial" w:eastAsia="Arial" w:hAnsi="Arial"/>
          <w:sz w:val="20"/>
          <w:szCs w:val="20"/>
          <w:i w:val="1"/>
          <w:iCs w:val="1"/>
          <w:color w:val="auto"/>
        </w:rPr>
        <w:t>Blue Sky Qualifications</w:t>
      </w:r>
      <w:r>
        <w:rPr>
          <w:rFonts w:ascii="Arial" w:cs="Arial" w:eastAsia="Arial" w:hAnsi="Arial"/>
          <w:sz w:val="20"/>
          <w:szCs w:val="20"/>
          <w:color w:val="auto"/>
        </w:rPr>
        <w:t>. The Company will use its best efforts, in cooperation with the Underwriters, to qualify the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for 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5" w:lineRule="exact"/>
        <w:rPr>
          <w:rFonts w:ascii="Arial" w:cs="Arial" w:eastAsia="Arial" w:hAnsi="Arial"/>
          <w:sz w:val="20"/>
          <w:szCs w:val="20"/>
          <w:color w:val="auto"/>
        </w:rPr>
      </w:pPr>
    </w:p>
    <w:p>
      <w:pPr>
        <w:jc w:val="both"/>
        <w:ind w:firstLine="656"/>
        <w:spacing w:after="0" w:line="250" w:lineRule="auto"/>
        <w:tabs>
          <w:tab w:leader="none" w:pos="1125" w:val="left"/>
        </w:tabs>
        <w:numPr>
          <w:ilvl w:val="0"/>
          <w:numId w:val="160"/>
        </w:numPr>
        <w:rPr>
          <w:rFonts w:ascii="Arial" w:cs="Arial" w:eastAsia="Arial" w:hAnsi="Arial"/>
          <w:sz w:val="20"/>
          <w:szCs w:val="20"/>
          <w:color w:val="auto"/>
        </w:rPr>
      </w:pPr>
      <w:r>
        <w:rPr>
          <w:rFonts w:ascii="Arial" w:cs="Arial" w:eastAsia="Arial" w:hAnsi="Arial"/>
          <w:sz w:val="20"/>
          <w:szCs w:val="20"/>
          <w:i w:val="1"/>
          <w:iCs w:val="1"/>
          <w:color w:val="auto"/>
        </w:rPr>
        <w:t>Rule 158</w:t>
      </w:r>
      <w:r>
        <w:rPr>
          <w:rFonts w:ascii="Arial" w:cs="Arial" w:eastAsia="Arial" w:hAnsi="Arial"/>
          <w:sz w:val="20"/>
          <w:szCs w:val="20"/>
          <w:color w:val="auto"/>
        </w:rPr>
        <w:t>. The Company will timely file such reports pursuant to the 1934 Act as are necessary in order to make generally</w:t>
      </w:r>
      <w:r>
        <w:rPr>
          <w:rFonts w:ascii="Arial" w:cs="Arial" w:eastAsia="Arial" w:hAnsi="Arial"/>
          <w:sz w:val="20"/>
          <w:szCs w:val="20"/>
          <w:i w:val="1"/>
          <w:iCs w:val="1"/>
          <w:color w:val="auto"/>
        </w:rPr>
        <w:t xml:space="preserve"> </w:t>
      </w:r>
      <w:r>
        <w:rPr>
          <w:rFonts w:ascii="Arial" w:cs="Arial" w:eastAsia="Arial" w:hAnsi="Arial"/>
          <w:sz w:val="20"/>
          <w:szCs w:val="20"/>
          <w:color w:val="auto"/>
        </w:rPr>
        <w:t>available to its securityholders as soon as practicable an earnings statement for the purposes of, and to provide to the Underwriters the benefits contemplated by, the last paragraph of Section 11(a) of the 1933 Act.</w:t>
      </w:r>
    </w:p>
    <w:p>
      <w:pPr>
        <w:spacing w:after="0" w:line="185" w:lineRule="exact"/>
        <w:rPr>
          <w:rFonts w:ascii="Arial" w:cs="Arial" w:eastAsia="Arial" w:hAnsi="Arial"/>
          <w:sz w:val="20"/>
          <w:szCs w:val="20"/>
          <w:color w:val="auto"/>
        </w:rPr>
      </w:pPr>
    </w:p>
    <w:p>
      <w:pPr>
        <w:ind w:firstLine="656"/>
        <w:spacing w:after="0" w:line="260" w:lineRule="auto"/>
        <w:tabs>
          <w:tab w:leader="none" w:pos="1103" w:val="left"/>
        </w:tabs>
        <w:numPr>
          <w:ilvl w:val="0"/>
          <w:numId w:val="160"/>
        </w:numPr>
        <w:rPr>
          <w:rFonts w:ascii="Arial" w:cs="Arial" w:eastAsia="Arial" w:hAnsi="Arial"/>
          <w:sz w:val="20"/>
          <w:szCs w:val="20"/>
          <w:color w:val="auto"/>
        </w:rPr>
      </w:pPr>
      <w:r>
        <w:rPr>
          <w:rFonts w:ascii="Arial" w:cs="Arial" w:eastAsia="Arial" w:hAnsi="Arial"/>
          <w:sz w:val="20"/>
          <w:szCs w:val="20"/>
          <w:i w:val="1"/>
          <w:iCs w:val="1"/>
          <w:color w:val="auto"/>
        </w:rPr>
        <w:t>Use of Proceeds</w:t>
      </w:r>
      <w:r>
        <w:rPr>
          <w:rFonts w:ascii="Arial" w:cs="Arial" w:eastAsia="Arial" w:hAnsi="Arial"/>
          <w:sz w:val="20"/>
          <w:szCs w:val="20"/>
          <w:color w:val="auto"/>
        </w:rPr>
        <w:t>. The Company will use the net proceeds received by it from the sale of the Securities in the manner specified</w:t>
      </w:r>
      <w:r>
        <w:rPr>
          <w:rFonts w:ascii="Arial" w:cs="Arial" w:eastAsia="Arial" w:hAnsi="Arial"/>
          <w:sz w:val="20"/>
          <w:szCs w:val="20"/>
          <w:i w:val="1"/>
          <w:iCs w:val="1"/>
          <w:color w:val="auto"/>
        </w:rPr>
        <w:t xml:space="preserve"> </w:t>
      </w:r>
      <w:r>
        <w:rPr>
          <w:rFonts w:ascii="Arial" w:cs="Arial" w:eastAsia="Arial" w:hAnsi="Arial"/>
          <w:sz w:val="20"/>
          <w:szCs w:val="20"/>
          <w:color w:val="auto"/>
        </w:rPr>
        <w:t>in the Registration Statement, the General Disclosure Package and the Prospectus under “Use of Proceeds.”</w:t>
      </w:r>
    </w:p>
    <w:p>
      <w:pPr>
        <w:spacing w:after="0" w:line="176" w:lineRule="exact"/>
        <w:rPr>
          <w:rFonts w:ascii="Arial" w:cs="Arial" w:eastAsia="Arial" w:hAnsi="Arial"/>
          <w:sz w:val="20"/>
          <w:szCs w:val="20"/>
          <w:color w:val="auto"/>
        </w:rPr>
      </w:pPr>
    </w:p>
    <w:p>
      <w:pPr>
        <w:ind w:firstLine="656"/>
        <w:spacing w:after="0" w:line="260" w:lineRule="auto"/>
        <w:tabs>
          <w:tab w:leader="none" w:pos="1090" w:val="left"/>
        </w:tabs>
        <w:numPr>
          <w:ilvl w:val="0"/>
          <w:numId w:val="160"/>
        </w:numPr>
        <w:rPr>
          <w:rFonts w:ascii="Arial" w:cs="Arial" w:eastAsia="Arial" w:hAnsi="Arial"/>
          <w:sz w:val="20"/>
          <w:szCs w:val="20"/>
          <w:color w:val="auto"/>
        </w:rPr>
      </w:pPr>
      <w:r>
        <w:rPr>
          <w:rFonts w:ascii="Arial" w:cs="Arial" w:eastAsia="Arial" w:hAnsi="Arial"/>
          <w:sz w:val="20"/>
          <w:szCs w:val="20"/>
          <w:i w:val="1"/>
          <w:iCs w:val="1"/>
          <w:color w:val="auto"/>
        </w:rPr>
        <w:t>Listing</w:t>
      </w:r>
      <w:r>
        <w:rPr>
          <w:rFonts w:ascii="Arial" w:cs="Arial" w:eastAsia="Arial" w:hAnsi="Arial"/>
          <w:sz w:val="20"/>
          <w:szCs w:val="20"/>
          <w:color w:val="auto"/>
        </w:rPr>
        <w:t>. The Company will use its best efforts to effect and maintain the listing of the Common Stock (including the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on the Nasdaq Global Market.</w:t>
      </w:r>
    </w:p>
    <w:p>
      <w:pPr>
        <w:spacing w:after="0" w:line="176" w:lineRule="exact"/>
        <w:rPr>
          <w:rFonts w:ascii="Arial" w:cs="Arial" w:eastAsia="Arial" w:hAnsi="Arial"/>
          <w:sz w:val="20"/>
          <w:szCs w:val="20"/>
          <w:color w:val="auto"/>
        </w:rPr>
      </w:pPr>
    </w:p>
    <w:p>
      <w:pPr>
        <w:ind w:firstLine="656"/>
        <w:spacing w:after="0" w:line="260" w:lineRule="auto"/>
        <w:tabs>
          <w:tab w:leader="none" w:pos="1033" w:val="left"/>
        </w:tabs>
        <w:numPr>
          <w:ilvl w:val="0"/>
          <w:numId w:val="160"/>
        </w:numPr>
        <w:rPr>
          <w:rFonts w:ascii="Arial" w:cs="Arial" w:eastAsia="Arial" w:hAnsi="Arial"/>
          <w:sz w:val="20"/>
          <w:szCs w:val="20"/>
          <w:color w:val="auto"/>
        </w:rPr>
      </w:pPr>
      <w:r>
        <w:rPr>
          <w:rFonts w:ascii="Arial" w:cs="Arial" w:eastAsia="Arial" w:hAnsi="Arial"/>
          <w:sz w:val="20"/>
          <w:szCs w:val="20"/>
          <w:i w:val="1"/>
          <w:iCs w:val="1"/>
          <w:color w:val="auto"/>
        </w:rPr>
        <w:t>Restriction on Sale of Securities</w:t>
      </w:r>
      <w:r>
        <w:rPr>
          <w:rFonts w:ascii="Arial" w:cs="Arial" w:eastAsia="Arial" w:hAnsi="Arial"/>
          <w:sz w:val="20"/>
          <w:szCs w:val="20"/>
          <w:color w:val="auto"/>
        </w:rPr>
        <w:t>. During a period of 180 days from the date of the Prospectus, the Company will not, without the</w:t>
      </w:r>
      <w:r>
        <w:rPr>
          <w:rFonts w:ascii="Arial" w:cs="Arial" w:eastAsia="Arial" w:hAnsi="Arial"/>
          <w:sz w:val="20"/>
          <w:szCs w:val="20"/>
          <w:i w:val="1"/>
          <w:iCs w:val="1"/>
          <w:color w:val="auto"/>
        </w:rPr>
        <w:t xml:space="preserve"> </w:t>
      </w:r>
      <w:r>
        <w:rPr>
          <w:rFonts w:ascii="Arial" w:cs="Arial" w:eastAsia="Arial" w:hAnsi="Arial"/>
          <w:sz w:val="20"/>
          <w:szCs w:val="20"/>
          <w:color w:val="auto"/>
        </w:rPr>
        <w:t>prior written consent of BofA and Goldman Sachs,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250" w:name="page251"/>
    <w:bookmarkEnd w:id="250"/>
    <w:p>
      <w:pPr>
        <w:jc w:val="both"/>
        <w:spacing w:after="0" w:line="269" w:lineRule="auto"/>
        <w:rPr>
          <w:sz w:val="20"/>
          <w:szCs w:val="20"/>
          <w:color w:val="auto"/>
        </w:rPr>
      </w:pPr>
      <w:r>
        <w:rPr>
          <w:rFonts w:ascii="Arial" w:cs="Arial" w:eastAsia="Arial" w:hAnsi="Arial"/>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or make a confidential submission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w:t>
      </w:r>
    </w:p>
    <w:p>
      <w:pPr>
        <w:spacing w:after="0" w:line="4" w:lineRule="exact"/>
        <w:rPr>
          <w:sz w:val="20"/>
          <w:szCs w:val="20"/>
          <w:color w:val="auto"/>
        </w:rPr>
      </w:pPr>
    </w:p>
    <w:p>
      <w:pPr>
        <w:jc w:val="both"/>
        <w:ind w:firstLine="8"/>
        <w:spacing w:after="0" w:line="266" w:lineRule="auto"/>
        <w:tabs>
          <w:tab w:leader="none" w:pos="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above is to be settled by delivery of Common Stock or other securities, in cash or otherwise or (iii) publicly disclose the intention to do any of the foregoing described in clauses (i) and (ii) above. The foregoing sentence shall not apply to (A) the Securities to be sold hereunder,</w:t>
      </w:r>
    </w:p>
    <w:p>
      <w:pPr>
        <w:jc w:val="both"/>
        <w:spacing w:after="0" w:line="267" w:lineRule="auto"/>
        <w:rPr>
          <w:rFonts w:ascii="Arial" w:cs="Arial" w:eastAsia="Arial" w:hAnsi="Arial"/>
          <w:sz w:val="18"/>
          <w:szCs w:val="18"/>
          <w:color w:val="auto"/>
        </w:rPr>
      </w:pPr>
      <w:r>
        <w:rPr>
          <w:rFonts w:ascii="Arial" w:cs="Arial" w:eastAsia="Arial" w:hAnsi="Arial"/>
          <w:sz w:val="18"/>
          <w:szCs w:val="18"/>
          <w:color w:val="auto"/>
        </w:rPr>
        <w:t>(B) any shares of Common Stock issued by the Company upon the exercise of an option or warrant, the settlement of a restricted stock unit or the conversion of a security, in each case, outstanding on the date hereof and referred to in the Registration Statement, the General Disclosure Package and the Prospectus, (C) the reacquisition or withholding of all or a portion of shares of Common Stock subject to a stock award to satisfy a tax withholding obligation of the Company in connection with the vesting or exercise of such stock award or to satisfy the purchase price or exercise price of such stock award, (D) the grant of compensatory equity-based awards, and/or the issuance of shares of Common Stock with respect thereto, made pursuant to compensatory equity-based plans referred to in the Registration Statement, the General Disclosure Package and the Prospectus, provided that each recipient of such shares of Common Stock, when issued, enters into a lock-up agreement substantially in the form of Exhibit A hereto, (E) any shares of Common Stock issued pursuant to any non-employee director compensation plan or program or dividend reinvestment plan referred to in the Registration Statement, the General Disclosure Package and the Prospectus outstanding on the date hereof, provided that each recipient of such securities enters into a lock-up agreement substantially in the form of Exhibit A hereto, (F) the filing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or (G) the issuance of shares of Common Stock, restricted stock 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 (iii) commercial relationships or (iv) other strategic transactions, provided that the aggregate number of shares of Common Stock, restricted stock awards and shares of Common Stock issuable upon the conversion, exercise or exchange of securities (on an as converted or as exercised basis, as the case may be) issued pursuant to this clause (G) shall not exceed 7.5% of the total number of shares of Common Stock issued and outstanding immediately following the issuance and sale of the Securities at the Closing Time pursuant hereto; and provided, further, that each recipient of shares of Common Stock, restricted stock awards or securities convertible into or exercisable or exchangeable for shares of Common Stock pursuant to this clause agrees to be bound by the terms of the lock-up or shall execute a lock-up agreement substantially in the form of Exhibit A hereto. Notwithstanding anything to the contrary herein, the Company shall cause an option holder who is not a holder of any shares of Common Stock to execute a lock-up agreement in the form of Exhibit A hereto at the time such holder exercises his or her option during a period of 180 days from the date of the Prospectus.</w:t>
      </w:r>
    </w:p>
    <w:p>
      <w:pPr>
        <w:spacing w:after="0" w:line="181" w:lineRule="exact"/>
        <w:rPr>
          <w:rFonts w:ascii="Arial" w:cs="Arial" w:eastAsia="Arial" w:hAnsi="Arial"/>
          <w:sz w:val="18"/>
          <w:szCs w:val="18"/>
          <w:color w:val="auto"/>
        </w:rPr>
      </w:pPr>
    </w:p>
    <w:p>
      <w:pPr>
        <w:jc w:val="both"/>
        <w:ind w:firstLine="656"/>
        <w:spacing w:after="0" w:line="244" w:lineRule="auto"/>
        <w:tabs>
          <w:tab w:leader="none" w:pos="1033" w:val="left"/>
        </w:tabs>
        <w:numPr>
          <w:ilvl w:val="1"/>
          <w:numId w:val="161"/>
        </w:numPr>
        <w:rPr>
          <w:rFonts w:ascii="Arial" w:cs="Arial" w:eastAsia="Arial" w:hAnsi="Arial"/>
          <w:sz w:val="20"/>
          <w:szCs w:val="20"/>
          <w:color w:val="auto"/>
        </w:rPr>
      </w:pPr>
      <w:r>
        <w:rPr>
          <w:rFonts w:ascii="Arial" w:cs="Arial" w:eastAsia="Arial" w:hAnsi="Arial"/>
          <w:sz w:val="20"/>
          <w:szCs w:val="20"/>
          <w:i w:val="1"/>
          <w:iCs w:val="1"/>
          <w:color w:val="auto"/>
        </w:rPr>
        <w:t>Press Releases</w:t>
      </w:r>
      <w:r>
        <w:rPr>
          <w:rFonts w:ascii="Arial" w:cs="Arial" w:eastAsia="Arial" w:hAnsi="Arial"/>
          <w:sz w:val="20"/>
          <w:szCs w:val="20"/>
          <w:color w:val="auto"/>
        </w:rPr>
        <w:t>. If BofA and Goldman Sachs, in their sole discretion, agree to release or waive the restrictions set forth in a lock-up agreement described in Section 5(j)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251" w:name="page252"/>
    <w:bookmarkEnd w:id="251"/>
    <w:p>
      <w:pPr>
        <w:jc w:val="both"/>
        <w:ind w:firstLine="656"/>
        <w:spacing w:after="0" w:line="282" w:lineRule="auto"/>
        <w:tabs>
          <w:tab w:leader="none" w:pos="1198"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61" w:lineRule="exact"/>
        <w:rPr>
          <w:rFonts w:ascii="Arial" w:cs="Arial" w:eastAsia="Arial" w:hAnsi="Arial"/>
          <w:sz w:val="18"/>
          <w:szCs w:val="18"/>
          <w:color w:val="auto"/>
        </w:rPr>
      </w:pPr>
    </w:p>
    <w:p>
      <w:pPr>
        <w:jc w:val="both"/>
        <w:ind w:firstLine="656"/>
        <w:spacing w:after="0" w:line="269" w:lineRule="auto"/>
        <w:tabs>
          <w:tab w:leader="none" w:pos="1033"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Prospectuses</w:t>
      </w:r>
      <w:r>
        <w:rPr>
          <w:rFonts w:ascii="Arial" w:cs="Arial" w:eastAsia="Arial" w:hAnsi="Arial"/>
          <w:sz w:val="18"/>
          <w:szCs w:val="18"/>
          <w:color w:val="auto"/>
        </w:rPr>
        <w:t>. The Company agrees that, unless it obtains the prior written consent of the Representatives, it</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81" w:lineRule="exact"/>
        <w:rPr>
          <w:rFonts w:ascii="Arial" w:cs="Arial" w:eastAsia="Arial" w:hAnsi="Arial"/>
          <w:sz w:val="18"/>
          <w:szCs w:val="18"/>
          <w:color w:val="auto"/>
        </w:rPr>
      </w:pPr>
    </w:p>
    <w:p>
      <w:pPr>
        <w:jc w:val="both"/>
        <w:ind w:firstLine="656"/>
        <w:spacing w:after="0" w:line="263" w:lineRule="auto"/>
        <w:tabs>
          <w:tab w:leader="none" w:pos="1158" w:val="left"/>
        </w:tabs>
        <w:numPr>
          <w:ilvl w:val="0"/>
          <w:numId w:val="162"/>
        </w:numPr>
        <w:rPr>
          <w:rFonts w:ascii="Arial" w:cs="Arial" w:eastAsia="Arial" w:hAnsi="Arial"/>
          <w:sz w:val="19"/>
          <w:szCs w:val="19"/>
          <w:color w:val="auto"/>
        </w:rPr>
      </w:pPr>
      <w:r>
        <w:rPr>
          <w:rFonts w:ascii="Arial" w:cs="Arial" w:eastAsia="Arial" w:hAnsi="Arial"/>
          <w:sz w:val="19"/>
          <w:szCs w:val="19"/>
          <w:i w:val="1"/>
          <w:iCs w:val="1"/>
          <w:color w:val="auto"/>
        </w:rPr>
        <w:t>Certification Regarding Beneficial Owners</w:t>
      </w:r>
      <w:r>
        <w:rPr>
          <w:rFonts w:ascii="Arial" w:cs="Arial" w:eastAsia="Arial" w:hAnsi="Arial"/>
          <w:sz w:val="19"/>
          <w:szCs w:val="19"/>
          <w:color w:val="auto"/>
        </w:rPr>
        <w:t>. The Company will deliver to the Representatives, on the date of execution of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 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176" w:lineRule="exact"/>
        <w:rPr>
          <w:rFonts w:ascii="Arial" w:cs="Arial" w:eastAsia="Arial" w:hAnsi="Arial"/>
          <w:sz w:val="19"/>
          <w:szCs w:val="19"/>
          <w:color w:val="auto"/>
        </w:rPr>
      </w:pPr>
    </w:p>
    <w:p>
      <w:pPr>
        <w:jc w:val="both"/>
        <w:ind w:firstLine="656"/>
        <w:spacing w:after="0" w:line="243" w:lineRule="auto"/>
        <w:tabs>
          <w:tab w:leader="none" w:pos="1076" w:val="left"/>
        </w:tabs>
        <w:numPr>
          <w:ilvl w:val="0"/>
          <w:numId w:val="162"/>
        </w:numPr>
        <w:rPr>
          <w:rFonts w:ascii="Arial" w:cs="Arial" w:eastAsia="Arial" w:hAnsi="Arial"/>
          <w:sz w:val="20"/>
          <w:szCs w:val="20"/>
          <w:color w:val="auto"/>
        </w:rPr>
      </w:pPr>
      <w:r>
        <w:rPr>
          <w:rFonts w:ascii="Arial" w:cs="Arial" w:eastAsia="Arial" w:hAnsi="Arial"/>
          <w:sz w:val="20"/>
          <w:szCs w:val="20"/>
          <w:i w:val="1"/>
          <w:iCs w:val="1"/>
          <w:color w:val="auto"/>
        </w:rPr>
        <w:t>Compliance with FINRA Rules</w:t>
      </w:r>
      <w:r>
        <w:rPr>
          <w:rFonts w:ascii="Arial" w:cs="Arial" w:eastAsia="Arial" w:hAnsi="Arial"/>
          <w:sz w:val="20"/>
          <w:szCs w:val="20"/>
          <w:color w:val="auto"/>
        </w:rPr>
        <w:t>. The Company hereby agrees that it will ensure that the Reserved Securities will be restricted as</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by FINRA or the FINRA rules from sale, transfer, assignment, pledge or hypothecation for a period of three months following the date of this Agreement. Merrill Lynch will notify the Company as to which persons will need to be so restricted. At the request of the Underwriters or Merrill Lynch, the Company will direct the transfer agent to place a stop transfer restriction upon such securities for such period of time. Should the Company release, or seek to release, from such restrictions any of the Reserved Securities, the Company agrees to reimburse the Underwriters and Merrill Lynch for any reasonable expenses (including, without limitation, legal expenses) they incur in connection with such release.</w:t>
      </w:r>
    </w:p>
    <w:p>
      <w:pPr>
        <w:spacing w:after="0" w:line="192" w:lineRule="exact"/>
        <w:rPr>
          <w:rFonts w:ascii="Arial" w:cs="Arial" w:eastAsia="Arial" w:hAnsi="Arial"/>
          <w:sz w:val="20"/>
          <w:szCs w:val="20"/>
          <w:color w:val="auto"/>
        </w:rPr>
      </w:pPr>
    </w:p>
    <w:p>
      <w:pPr>
        <w:jc w:val="both"/>
        <w:ind w:firstLine="656"/>
        <w:spacing w:after="0" w:line="244" w:lineRule="auto"/>
        <w:tabs>
          <w:tab w:leader="none" w:pos="1090" w:val="left"/>
        </w:tabs>
        <w:numPr>
          <w:ilvl w:val="0"/>
          <w:numId w:val="162"/>
        </w:numPr>
        <w:rPr>
          <w:rFonts w:ascii="Arial" w:cs="Arial" w:eastAsia="Arial" w:hAnsi="Arial"/>
          <w:sz w:val="20"/>
          <w:szCs w:val="20"/>
          <w:color w:val="auto"/>
        </w:rPr>
      </w:pPr>
      <w:r>
        <w:rPr>
          <w:rFonts w:ascii="Arial" w:cs="Arial" w:eastAsia="Arial" w:hAnsi="Arial"/>
          <w:sz w:val="20"/>
          <w:szCs w:val="20"/>
          <w:i w:val="1"/>
          <w:iCs w:val="1"/>
          <w:color w:val="auto"/>
        </w:rPr>
        <w:t>Testing-the-Waters Materials</w:t>
      </w:r>
      <w:r>
        <w:rPr>
          <w:rFonts w:ascii="Arial" w:cs="Arial" w:eastAsia="Arial" w:hAnsi="Arial"/>
          <w:sz w:val="20"/>
          <w:szCs w:val="20"/>
          <w:color w:val="auto"/>
        </w:rPr>
        <w:t>. If at any time following the distribution of any Written Testing-the-Waters Communication there</w:t>
      </w:r>
      <w:r>
        <w:rPr>
          <w:rFonts w:ascii="Arial" w:cs="Arial" w:eastAsia="Arial" w:hAnsi="Arial"/>
          <w:sz w:val="20"/>
          <w:szCs w:val="20"/>
          <w:i w:val="1"/>
          <w:iCs w:val="1"/>
          <w:color w:val="auto"/>
        </w:rPr>
        <w:t xml:space="preserve"> </w:t>
      </w:r>
      <w:r>
        <w:rPr>
          <w:rFonts w:ascii="Arial" w:cs="Arial" w:eastAsia="Arial" w:hAnsi="Arial"/>
          <w:sz w:val="20"/>
          <w:szCs w:val="20"/>
          <w:color w:val="auto"/>
        </w:rPr>
        <w:t>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252" w:name="page253"/>
    <w:bookmarkEnd w:id="252"/>
    <w:p>
      <w:pPr>
        <w:spacing w:after="0"/>
        <w:rPr>
          <w:sz w:val="20"/>
          <w:szCs w:val="20"/>
          <w:color w:val="auto"/>
        </w:rPr>
      </w:pPr>
      <w:r>
        <w:rPr>
          <w:rFonts w:ascii="Arial" w:cs="Arial" w:eastAsia="Arial" w:hAnsi="Arial"/>
          <w:sz w:val="20"/>
          <w:szCs w:val="20"/>
          <w:color w:val="auto"/>
        </w:rPr>
        <w:t>such Written Testing-the-Waters Communication to eliminate or correct such untrue statement or omission.</w:t>
      </w:r>
    </w:p>
    <w:p>
      <w:pPr>
        <w:spacing w:after="0" w:line="216" w:lineRule="exact"/>
        <w:rPr>
          <w:sz w:val="20"/>
          <w:szCs w:val="20"/>
          <w:color w:val="auto"/>
        </w:rPr>
      </w:pPr>
    </w:p>
    <w:p>
      <w:pPr>
        <w:jc w:val="both"/>
        <w:ind w:firstLine="656"/>
        <w:spacing w:after="0" w:line="250" w:lineRule="auto"/>
        <w:tabs>
          <w:tab w:leader="none" w:pos="1144" w:val="left"/>
        </w:tabs>
        <w:numPr>
          <w:ilvl w:val="0"/>
          <w:numId w:val="163"/>
        </w:numPr>
        <w:rPr>
          <w:rFonts w:ascii="Arial" w:cs="Arial" w:eastAsia="Arial" w:hAnsi="Arial"/>
          <w:sz w:val="20"/>
          <w:szCs w:val="20"/>
          <w:color w:val="auto"/>
        </w:rPr>
      </w:pPr>
      <w:r>
        <w:rPr>
          <w:rFonts w:ascii="Arial" w:cs="Arial" w:eastAsia="Arial" w:hAnsi="Arial"/>
          <w:sz w:val="20"/>
          <w:szCs w:val="20"/>
          <w:i w:val="1"/>
          <w:iCs w:val="1"/>
          <w:color w:val="auto"/>
        </w:rPr>
        <w:t>Emerging Growth Company Status</w:t>
      </w:r>
      <w:r>
        <w:rPr>
          <w:rFonts w:ascii="Arial" w:cs="Arial" w:eastAsia="Arial" w:hAnsi="Arial"/>
          <w:sz w:val="20"/>
          <w:szCs w:val="20"/>
          <w:color w:val="auto"/>
        </w:rPr>
        <w:t>. The Company will promptly notify the Representatives if the Company ceases to be an</w:t>
      </w:r>
      <w:r>
        <w:rPr>
          <w:rFonts w:ascii="Arial" w:cs="Arial" w:eastAsia="Arial" w:hAnsi="Arial"/>
          <w:sz w:val="20"/>
          <w:szCs w:val="20"/>
          <w:i w:val="1"/>
          <w:iCs w:val="1"/>
          <w:color w:val="auto"/>
        </w:rPr>
        <w:t xml:space="preserve"> </w:t>
      </w:r>
      <w:r>
        <w:rPr>
          <w:rFonts w:ascii="Arial" w:cs="Arial" w:eastAsia="Arial" w:hAnsi="Arial"/>
          <w:sz w:val="20"/>
          <w:szCs w:val="20"/>
          <w:color w:val="auto"/>
        </w:rPr>
        <w:t>Emerging Growth Company at any time prior to the later of (i) completion of the distribution of the Securities within the meaning of the 1933 Act and (ii) completion of the 180-day restricted period referred to in Section 3(i).</w:t>
      </w:r>
    </w:p>
    <w:p>
      <w:pPr>
        <w:spacing w:after="0" w:line="18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6"/>
          <w:szCs w:val="16"/>
          <w:u w:val="single" w:color="auto"/>
          <w:color w:val="auto"/>
        </w:rPr>
        <w:t>Payment of Expenses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8" w:lineRule="auto"/>
        <w:tabs>
          <w:tab w:leader="none" w:pos="1146"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will pay or cause to be paid all expenses incident to the performance of its obligations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50% of the cost of aircraft and other transportation chartered in connection with the road show (it being understood that the Underwriters will pay or caused to be paid the other 50% of the cost of such aircraft or other transportation), (viii) the filing fees incident to, and the reasonable fees and disbursements of counsel to the Underwriters in connection with, the review by FINRA of the terms of the sale of the Securities, provided that the amount payable by the Company pursuant to this clause (viii) and clause (v) about shall not exceed $40,000 in the aggregate, (ix) the fees and expenses incurred in connection with the listing of the Securities on the Nasdaq Global Market,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and (xi) all costs and expenses of the Underwriters and Merrill Lynch, including the fees and disbursements of counsel for Merrill Lynch, in connection with matters related to the Reserved Securities which are designated by the Company for sale to Invitees.</w:t>
      </w:r>
    </w:p>
    <w:p>
      <w:pPr>
        <w:spacing w:after="0" w:line="178" w:lineRule="exact"/>
        <w:rPr>
          <w:rFonts w:ascii="Arial" w:cs="Arial" w:eastAsia="Arial" w:hAnsi="Arial"/>
          <w:sz w:val="18"/>
          <w:szCs w:val="18"/>
          <w:color w:val="auto"/>
        </w:rPr>
      </w:pPr>
    </w:p>
    <w:p>
      <w:pPr>
        <w:jc w:val="both"/>
        <w:ind w:firstLine="656"/>
        <w:spacing w:after="0" w:line="244" w:lineRule="auto"/>
        <w:tabs>
          <w:tab w:leader="none" w:pos="1225" w:val="left"/>
        </w:tabs>
        <w:numPr>
          <w:ilvl w:val="0"/>
          <w:numId w:val="164"/>
        </w:numPr>
        <w:rPr>
          <w:rFonts w:ascii="Arial" w:cs="Arial" w:eastAsia="Arial" w:hAnsi="Arial"/>
          <w:sz w:val="20"/>
          <w:szCs w:val="20"/>
          <w:color w:val="auto"/>
        </w:rPr>
      </w:pPr>
      <w:r>
        <w:rPr>
          <w:rFonts w:ascii="Arial" w:cs="Arial" w:eastAsia="Arial" w:hAnsi="Arial"/>
          <w:sz w:val="20"/>
          <w:szCs w:val="20"/>
          <w:i w:val="1"/>
          <w:iCs w:val="1"/>
          <w:color w:val="auto"/>
        </w:rPr>
        <w:t>Termination of Agreement</w:t>
      </w:r>
      <w:r>
        <w:rPr>
          <w:rFonts w:ascii="Arial" w:cs="Arial" w:eastAsia="Arial" w:hAnsi="Arial"/>
          <w:sz w:val="20"/>
          <w:szCs w:val="20"/>
          <w:color w:val="auto"/>
        </w:rPr>
        <w:t>. If this Agreement is terminated by the Representatives in accordance with the provisions of</w:t>
      </w:r>
      <w:r>
        <w:rPr>
          <w:rFonts w:ascii="Arial" w:cs="Arial" w:eastAsia="Arial" w:hAnsi="Arial"/>
          <w:sz w:val="20"/>
          <w:szCs w:val="20"/>
          <w:i w:val="1"/>
          <w:iCs w:val="1"/>
          <w:color w:val="auto"/>
        </w:rPr>
        <w:t xml:space="preserve"> </w:t>
      </w:r>
      <w:r>
        <w:rPr>
          <w:rFonts w:ascii="Arial" w:cs="Arial" w:eastAsia="Arial" w:hAnsi="Arial"/>
          <w:sz w:val="20"/>
          <w:szCs w:val="20"/>
          <w:color w:val="auto"/>
        </w:rPr>
        <w:t>Section 5, Section 9(a)(i) or (iii) or Section 10 hereof, the Company shall reimburse the non-defaulting Underwriters for all of their reasonable and documented out-of-pocket expenses that were actually incurred, including the reasonable fees and disbursements of counsel for the Underwriters; provided that if this Agreement is terminated by the Representatives pursuant to Section 10 hereof, the Company will have no obligation to reimburse any defaulting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253" w:name="page254"/>
    <w:bookmarkEnd w:id="253"/>
    <w:p>
      <w:pPr>
        <w:jc w:val="both"/>
        <w:ind w:firstLine="648"/>
        <w:spacing w:after="0" w:line="246"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Conditions of Underwriters’ Obligations</w:t>
      </w:r>
      <w:r>
        <w:rPr>
          <w:rFonts w:ascii="Arial" w:cs="Arial" w:eastAsia="Arial" w:hAnsi="Arial"/>
          <w:sz w:val="20"/>
          <w:szCs w:val="20"/>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91" w:lineRule="exact"/>
        <w:rPr>
          <w:sz w:val="20"/>
          <w:szCs w:val="20"/>
          <w:color w:val="auto"/>
        </w:rPr>
      </w:pPr>
    </w:p>
    <w:p>
      <w:pPr>
        <w:jc w:val="both"/>
        <w:ind w:firstLine="656"/>
        <w:spacing w:after="0" w:line="242" w:lineRule="auto"/>
        <w:tabs>
          <w:tab w:leader="none" w:pos="1214" w:val="left"/>
        </w:tabs>
        <w:numPr>
          <w:ilvl w:val="1"/>
          <w:numId w:val="165"/>
        </w:numPr>
        <w:rPr>
          <w:rFonts w:ascii="Arial" w:cs="Arial" w:eastAsia="Arial" w:hAnsi="Arial"/>
          <w:sz w:val="20"/>
          <w:szCs w:val="20"/>
          <w:color w:val="auto"/>
        </w:rPr>
      </w:pPr>
      <w:r>
        <w:rPr>
          <w:rFonts w:ascii="Arial" w:cs="Arial" w:eastAsia="Arial" w:hAnsi="Arial"/>
          <w:sz w:val="20"/>
          <w:szCs w:val="20"/>
          <w:i w:val="1"/>
          <w:iCs w:val="1"/>
          <w:color w:val="auto"/>
        </w:rPr>
        <w:t>Effectiveness of Registration Statement; Rule 430A Information</w:t>
      </w:r>
      <w:r>
        <w:rPr>
          <w:rFonts w:ascii="Arial" w:cs="Arial" w:eastAsia="Arial" w:hAnsi="Arial"/>
          <w:sz w:val="20"/>
          <w:szCs w:val="20"/>
          <w:color w:val="auto"/>
        </w:rPr>
        <w:t>. The Registration Statement, including any Rule 462(b)</w:t>
      </w:r>
      <w:r>
        <w:rPr>
          <w:rFonts w:ascii="Arial" w:cs="Arial" w:eastAsia="Arial" w:hAnsi="Arial"/>
          <w:sz w:val="20"/>
          <w:szCs w:val="20"/>
          <w:i w:val="1"/>
          <w:iCs w:val="1"/>
          <w:color w:val="auto"/>
        </w:rPr>
        <w:t xml:space="preserve"> </w:t>
      </w:r>
      <w:r>
        <w:rPr>
          <w:rFonts w:ascii="Arial" w:cs="Arial" w:eastAsia="Arial" w:hAnsi="Arial"/>
          <w:sz w:val="20"/>
          <w:szCs w:val="20"/>
          <w:color w:val="auto"/>
        </w:rPr>
        <w:t>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or pursuant to Section 8A under the 1933 Act have been instituted or are pending or, to the Company’s knowledge, contemplated; and the Company has complied with each request (if any) from the Commission for additional information.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94" w:lineRule="exact"/>
        <w:rPr>
          <w:rFonts w:ascii="Arial" w:cs="Arial" w:eastAsia="Arial" w:hAnsi="Arial"/>
          <w:sz w:val="20"/>
          <w:szCs w:val="20"/>
          <w:color w:val="auto"/>
        </w:rPr>
      </w:pPr>
    </w:p>
    <w:p>
      <w:pPr>
        <w:jc w:val="both"/>
        <w:ind w:firstLine="656"/>
        <w:spacing w:after="0" w:line="263" w:lineRule="auto"/>
        <w:tabs>
          <w:tab w:leader="none" w:pos="1090" w:val="left"/>
        </w:tabs>
        <w:numPr>
          <w:ilvl w:val="1"/>
          <w:numId w:val="165"/>
        </w:numPr>
        <w:rPr>
          <w:rFonts w:ascii="Arial" w:cs="Arial" w:eastAsia="Arial" w:hAnsi="Arial"/>
          <w:sz w:val="19"/>
          <w:szCs w:val="19"/>
          <w:color w:val="auto"/>
        </w:rPr>
      </w:pPr>
      <w:r>
        <w:rPr>
          <w:rFonts w:ascii="Arial" w:cs="Arial" w:eastAsia="Arial" w:hAnsi="Arial"/>
          <w:sz w:val="19"/>
          <w:szCs w:val="19"/>
          <w:i w:val="1"/>
          <w:iCs w:val="1"/>
          <w:color w:val="auto"/>
        </w:rPr>
        <w:t>Opinion and Negative Assurance Letter of Counsel for Company</w:t>
      </w:r>
      <w:r>
        <w:rPr>
          <w:rFonts w:ascii="Arial" w:cs="Arial" w:eastAsia="Arial" w:hAnsi="Arial"/>
          <w:sz w:val="19"/>
          <w:szCs w:val="19"/>
          <w:color w:val="auto"/>
        </w:rPr>
        <w:t>. At the Closing Time, the Representatives shall have received</w:t>
      </w:r>
      <w:r>
        <w:rPr>
          <w:rFonts w:ascii="Arial" w:cs="Arial" w:eastAsia="Arial" w:hAnsi="Arial"/>
          <w:sz w:val="19"/>
          <w:szCs w:val="19"/>
          <w:i w:val="1"/>
          <w:iCs w:val="1"/>
          <w:color w:val="auto"/>
        </w:rPr>
        <w:t xml:space="preserve"> </w:t>
      </w:r>
      <w:r>
        <w:rPr>
          <w:rFonts w:ascii="Arial" w:cs="Arial" w:eastAsia="Arial" w:hAnsi="Arial"/>
          <w:sz w:val="19"/>
          <w:szCs w:val="19"/>
          <w:color w:val="auto"/>
        </w:rPr>
        <w:t>the favorable opinion and negative assurance letter, dated the Closing Time, of Latham &amp; Watkins LLP, counsel for the Company, in the form and substance reasonably satisfactory to counsel for the Underwriters previously agreed upon by the Representatives and such counsel, together with signed or reproduced copies of such letter for each of the other Underwriters.</w:t>
      </w:r>
    </w:p>
    <w:p>
      <w:pPr>
        <w:spacing w:after="0" w:line="176" w:lineRule="exact"/>
        <w:rPr>
          <w:rFonts w:ascii="Arial" w:cs="Arial" w:eastAsia="Arial" w:hAnsi="Arial"/>
          <w:sz w:val="19"/>
          <w:szCs w:val="19"/>
          <w:color w:val="auto"/>
        </w:rPr>
      </w:pPr>
    </w:p>
    <w:p>
      <w:pPr>
        <w:jc w:val="both"/>
        <w:ind w:firstLine="656"/>
        <w:spacing w:after="0" w:line="263" w:lineRule="auto"/>
        <w:tabs>
          <w:tab w:leader="none" w:pos="1187" w:val="left"/>
        </w:tabs>
        <w:numPr>
          <w:ilvl w:val="1"/>
          <w:numId w:val="165"/>
        </w:numPr>
        <w:rPr>
          <w:rFonts w:ascii="Arial" w:cs="Arial" w:eastAsia="Arial" w:hAnsi="Arial"/>
          <w:sz w:val="19"/>
          <w:szCs w:val="19"/>
          <w:color w:val="auto"/>
        </w:rPr>
      </w:pPr>
      <w:r>
        <w:rPr>
          <w:rFonts w:ascii="Arial" w:cs="Arial" w:eastAsia="Arial" w:hAnsi="Arial"/>
          <w:sz w:val="19"/>
          <w:szCs w:val="19"/>
          <w:i w:val="1"/>
          <w:iCs w:val="1"/>
          <w:color w:val="auto"/>
        </w:rPr>
        <w:t>Opinion of Intellectual Property Counsel for Company</w:t>
      </w:r>
      <w:r>
        <w:rPr>
          <w:rFonts w:ascii="Arial" w:cs="Arial" w:eastAsia="Arial" w:hAnsi="Arial"/>
          <w:sz w:val="19"/>
          <w:szCs w:val="19"/>
          <w:color w:val="auto"/>
        </w:rPr>
        <w:t>. At the Closing Time, the Representatives shall have received the</w:t>
      </w:r>
      <w:r>
        <w:rPr>
          <w:rFonts w:ascii="Arial" w:cs="Arial" w:eastAsia="Arial" w:hAnsi="Arial"/>
          <w:sz w:val="19"/>
          <w:szCs w:val="19"/>
          <w:i w:val="1"/>
          <w:iCs w:val="1"/>
          <w:color w:val="auto"/>
        </w:rPr>
        <w:t xml:space="preserve"> </w:t>
      </w:r>
      <w:r>
        <w:rPr>
          <w:rFonts w:ascii="Arial" w:cs="Arial" w:eastAsia="Arial" w:hAnsi="Arial"/>
          <w:sz w:val="19"/>
          <w:szCs w:val="19"/>
          <w:color w:val="auto"/>
        </w:rPr>
        <w:t>favorable opinion, dated the Closing Time, of FisherBroyles, LLP, counsel for the Company with respect to intellectual property matters, in the form and substance reasonably satisfactory to counsel for the Underwriters previously agreed upon by the Representatives and such counsel, together with signed or reproduced copies of such letter for each of the other Underwriters.</w:t>
      </w:r>
    </w:p>
    <w:p>
      <w:pPr>
        <w:spacing w:after="0" w:line="176" w:lineRule="exact"/>
        <w:rPr>
          <w:rFonts w:ascii="Arial" w:cs="Arial" w:eastAsia="Arial" w:hAnsi="Arial"/>
          <w:sz w:val="19"/>
          <w:szCs w:val="19"/>
          <w:color w:val="auto"/>
        </w:rPr>
      </w:pPr>
    </w:p>
    <w:p>
      <w:pPr>
        <w:jc w:val="both"/>
        <w:ind w:firstLine="656"/>
        <w:spacing w:after="0" w:line="246" w:lineRule="auto"/>
        <w:tabs>
          <w:tab w:leader="none" w:pos="1171" w:val="left"/>
        </w:tabs>
        <w:numPr>
          <w:ilvl w:val="1"/>
          <w:numId w:val="165"/>
        </w:numPr>
        <w:rPr>
          <w:rFonts w:ascii="Arial" w:cs="Arial" w:eastAsia="Arial" w:hAnsi="Arial"/>
          <w:sz w:val="20"/>
          <w:szCs w:val="20"/>
          <w:color w:val="auto"/>
        </w:rPr>
      </w:pPr>
      <w:r>
        <w:rPr>
          <w:rFonts w:ascii="Arial" w:cs="Arial" w:eastAsia="Arial" w:hAnsi="Arial"/>
          <w:sz w:val="20"/>
          <w:szCs w:val="20"/>
          <w:i w:val="1"/>
          <w:iCs w:val="1"/>
          <w:color w:val="auto"/>
        </w:rPr>
        <w:t>Opinion and Negative Assurance Letter of Counsel for Underwriters</w:t>
      </w:r>
      <w:r>
        <w:rPr>
          <w:rFonts w:ascii="Arial" w:cs="Arial" w:eastAsia="Arial" w:hAnsi="Arial"/>
          <w:sz w:val="20"/>
          <w:szCs w:val="20"/>
          <w:color w:val="auto"/>
        </w:rPr>
        <w:t>. At the Closing Time, the Representatives shall have</w:t>
      </w:r>
      <w:r>
        <w:rPr>
          <w:rFonts w:ascii="Arial" w:cs="Arial" w:eastAsia="Arial" w:hAnsi="Arial"/>
          <w:sz w:val="20"/>
          <w:szCs w:val="20"/>
          <w:i w:val="1"/>
          <w:iCs w:val="1"/>
          <w:color w:val="auto"/>
        </w:rPr>
        <w:t xml:space="preserve"> </w:t>
      </w:r>
      <w:r>
        <w:rPr>
          <w:rFonts w:ascii="Arial" w:cs="Arial" w:eastAsia="Arial" w:hAnsi="Arial"/>
          <w:sz w:val="20"/>
          <w:szCs w:val="20"/>
          <w:color w:val="auto"/>
        </w:rPr>
        <w:t>received the opinion and negative assurance letter, dated the Closing Time, of Cooley LLP, counsel for the Underwriters, in the form and substance reasonably satisfactory to the Representatives, together with signed or reproduced copies of such letter for each of the other Underwriters.</w:t>
      </w:r>
    </w:p>
    <w:p>
      <w:pPr>
        <w:spacing w:after="0" w:line="191" w:lineRule="exact"/>
        <w:rPr>
          <w:rFonts w:ascii="Arial" w:cs="Arial" w:eastAsia="Arial" w:hAnsi="Arial"/>
          <w:sz w:val="20"/>
          <w:szCs w:val="20"/>
          <w:color w:val="auto"/>
        </w:rPr>
      </w:pPr>
    </w:p>
    <w:p>
      <w:pPr>
        <w:jc w:val="both"/>
        <w:ind w:firstLine="656"/>
        <w:spacing w:after="0" w:line="301" w:lineRule="auto"/>
        <w:tabs>
          <w:tab w:leader="none" w:pos="1119" w:val="left"/>
        </w:tabs>
        <w:numPr>
          <w:ilvl w:val="1"/>
          <w:numId w:val="165"/>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or the President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w:t>
      </w:r>
    </w:p>
    <w:p>
      <w:pPr>
        <w:spacing w:after="0" w:line="6" w:lineRule="exact"/>
        <w:rPr>
          <w:rFonts w:ascii="Arial" w:cs="Arial" w:eastAsia="Arial" w:hAnsi="Arial"/>
          <w:sz w:val="16"/>
          <w:szCs w:val="16"/>
          <w:color w:val="auto"/>
        </w:rPr>
      </w:pPr>
    </w:p>
    <w:p>
      <w:pPr>
        <w:ind w:left="340" w:hanging="332"/>
        <w:spacing w:after="0"/>
        <w:tabs>
          <w:tab w:leader="none" w:pos="34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no stop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254" w:name="page255"/>
    <w:bookmarkEnd w:id="254"/>
    <w:p>
      <w:pPr>
        <w:jc w:val="both"/>
        <w:spacing w:after="0" w:line="269" w:lineRule="auto"/>
        <w:rPr>
          <w:sz w:val="20"/>
          <w:szCs w:val="20"/>
          <w:color w:val="auto"/>
        </w:rPr>
      </w:pPr>
      <w:r>
        <w:rPr>
          <w:rFonts w:ascii="Arial" w:cs="Arial" w:eastAsia="Arial" w:hAnsi="Arial"/>
          <w:sz w:val="19"/>
          <w:szCs w:val="19"/>
          <w:color w:val="auto"/>
        </w:rPr>
        <w:t>suspending the effectiveness of the Registration Statement under the 1933 Act has been issued, no order preventing or suspending the use of any preliminary prospectus or the Prospectus has been issued and no proceedings for any of those purposes or pursuant to Section 8A under the 1933 Act have been instituted or are pending or, to their knowledge, contemplated.</w:t>
      </w:r>
    </w:p>
    <w:p>
      <w:pPr>
        <w:spacing w:after="0" w:line="170" w:lineRule="exact"/>
        <w:rPr>
          <w:sz w:val="20"/>
          <w:szCs w:val="20"/>
          <w:color w:val="auto"/>
        </w:rPr>
      </w:pPr>
    </w:p>
    <w:p>
      <w:pPr>
        <w:jc w:val="both"/>
        <w:ind w:firstLine="656"/>
        <w:spacing w:after="0" w:line="260" w:lineRule="auto"/>
        <w:tabs>
          <w:tab w:leader="none" w:pos="1138" w:val="left"/>
        </w:tabs>
        <w:numPr>
          <w:ilvl w:val="0"/>
          <w:numId w:val="167"/>
        </w:numPr>
        <w:rPr>
          <w:rFonts w:ascii="Arial" w:cs="Arial" w:eastAsia="Arial" w:hAnsi="Arial"/>
          <w:sz w:val="19"/>
          <w:szCs w:val="19"/>
          <w:color w:val="auto"/>
        </w:rPr>
      </w:pPr>
      <w:r>
        <w:rPr>
          <w:rFonts w:ascii="Arial" w:cs="Arial" w:eastAsia="Arial" w:hAnsi="Arial"/>
          <w:sz w:val="19"/>
          <w:szCs w:val="19"/>
          <w:i w:val="1"/>
          <w:iCs w:val="1"/>
          <w:color w:val="auto"/>
        </w:rPr>
        <w:t>Accountant’s Comfort Letter</w:t>
      </w:r>
      <w:r>
        <w:rPr>
          <w:rFonts w:ascii="Arial" w:cs="Arial" w:eastAsia="Arial" w:hAnsi="Arial"/>
          <w:sz w:val="19"/>
          <w:szCs w:val="19"/>
          <w:color w:val="auto"/>
        </w:rPr>
        <w:t>. At the time of the execution of this Agreement, the Representatives shall have received from</w:t>
      </w:r>
      <w:r>
        <w:rPr>
          <w:rFonts w:ascii="Arial" w:cs="Arial" w:eastAsia="Arial" w:hAnsi="Arial"/>
          <w:sz w:val="19"/>
          <w:szCs w:val="19"/>
          <w:i w:val="1"/>
          <w:iCs w:val="1"/>
          <w:color w:val="auto"/>
        </w:rPr>
        <w:t xml:space="preserve"> </w:t>
      </w:r>
      <w:r>
        <w:rPr>
          <w:rFonts w:ascii="Arial" w:cs="Arial" w:eastAsia="Arial" w:hAnsi="Arial"/>
          <w:sz w:val="19"/>
          <w:szCs w:val="19"/>
          <w:color w:val="auto"/>
        </w:rPr>
        <w:t>PricewaterhouseCoopers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0" w:lineRule="exact"/>
        <w:rPr>
          <w:rFonts w:ascii="Arial" w:cs="Arial" w:eastAsia="Arial" w:hAnsi="Arial"/>
          <w:sz w:val="19"/>
          <w:szCs w:val="19"/>
          <w:color w:val="auto"/>
        </w:rPr>
      </w:pPr>
    </w:p>
    <w:p>
      <w:pPr>
        <w:jc w:val="both"/>
        <w:ind w:firstLine="656"/>
        <w:spacing w:after="0" w:line="291" w:lineRule="auto"/>
        <w:tabs>
          <w:tab w:leader="none" w:pos="1090"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Representatives shall have received from PricewaterhouseCoopers LLP a</w:t>
      </w:r>
      <w:r>
        <w:rPr>
          <w:rFonts w:ascii="Arial" w:cs="Arial" w:eastAsia="Arial" w:hAnsi="Arial"/>
          <w:sz w:val="18"/>
          <w:szCs w:val="18"/>
          <w:i w:val="1"/>
          <w:iCs w:val="1"/>
          <w:color w:val="auto"/>
        </w:rPr>
        <w:t xml:space="preserve"> </w:t>
      </w:r>
      <w:r>
        <w:rPr>
          <w:rFonts w:ascii="Arial" w:cs="Arial" w:eastAsia="Arial" w:hAnsi="Arial"/>
          <w:sz w:val="18"/>
          <w:szCs w:val="18"/>
          <w:color w:val="auto"/>
        </w:rPr>
        <w:t>letter, dated as of the Closing Time, to the effect that they reaffirm the statements made in the letter furnished pursuant to subsection (f) of this Section, except that the specified date referred to shall be a date not more than three business days prior to the Closing Time.</w:t>
      </w:r>
    </w:p>
    <w:p>
      <w:pPr>
        <w:spacing w:after="0" w:line="151" w:lineRule="exact"/>
        <w:rPr>
          <w:rFonts w:ascii="Arial" w:cs="Arial" w:eastAsia="Arial" w:hAnsi="Arial"/>
          <w:sz w:val="18"/>
          <w:szCs w:val="18"/>
          <w:color w:val="auto"/>
        </w:rPr>
      </w:pPr>
    </w:p>
    <w:p>
      <w:pPr>
        <w:ind w:firstLine="656"/>
        <w:spacing w:after="0" w:line="260" w:lineRule="auto"/>
        <w:tabs>
          <w:tab w:leader="none" w:pos="1144" w:val="left"/>
        </w:tabs>
        <w:numPr>
          <w:ilvl w:val="0"/>
          <w:numId w:val="167"/>
        </w:numPr>
        <w:rPr>
          <w:rFonts w:ascii="Arial" w:cs="Arial" w:eastAsia="Arial" w:hAnsi="Arial"/>
          <w:sz w:val="20"/>
          <w:szCs w:val="20"/>
          <w:color w:val="auto"/>
        </w:rPr>
      </w:pPr>
      <w:r>
        <w:rPr>
          <w:rFonts w:ascii="Arial" w:cs="Arial" w:eastAsia="Arial" w:hAnsi="Arial"/>
          <w:sz w:val="20"/>
          <w:szCs w:val="20"/>
          <w:i w:val="1"/>
          <w:iCs w:val="1"/>
          <w:color w:val="auto"/>
        </w:rPr>
        <w:t>Approval of Listing</w:t>
      </w:r>
      <w:r>
        <w:rPr>
          <w:rFonts w:ascii="Arial" w:cs="Arial" w:eastAsia="Arial" w:hAnsi="Arial"/>
          <w:sz w:val="20"/>
          <w:szCs w:val="20"/>
          <w:color w:val="auto"/>
        </w:rPr>
        <w:t>. At the Closing Time, the Securities shall have been approved for listing on the Nasdaq Global Market,</w:t>
      </w:r>
      <w:r>
        <w:rPr>
          <w:rFonts w:ascii="Arial" w:cs="Arial" w:eastAsia="Arial" w:hAnsi="Arial"/>
          <w:sz w:val="20"/>
          <w:szCs w:val="20"/>
          <w:i w:val="1"/>
          <w:iCs w:val="1"/>
          <w:color w:val="auto"/>
        </w:rPr>
        <w:t xml:space="preserve"> </w:t>
      </w:r>
      <w:r>
        <w:rPr>
          <w:rFonts w:ascii="Arial" w:cs="Arial" w:eastAsia="Arial" w:hAnsi="Arial"/>
          <w:sz w:val="20"/>
          <w:szCs w:val="20"/>
          <w:color w:val="auto"/>
        </w:rPr>
        <w:t>subject only to official notice of issuance.</w:t>
      </w:r>
    </w:p>
    <w:p>
      <w:pPr>
        <w:spacing w:after="0" w:line="176" w:lineRule="exact"/>
        <w:rPr>
          <w:rFonts w:ascii="Arial" w:cs="Arial" w:eastAsia="Arial" w:hAnsi="Arial"/>
          <w:sz w:val="20"/>
          <w:szCs w:val="20"/>
          <w:color w:val="auto"/>
        </w:rPr>
      </w:pPr>
    </w:p>
    <w:p>
      <w:pPr>
        <w:ind w:firstLine="656"/>
        <w:spacing w:after="0" w:line="260" w:lineRule="auto"/>
        <w:tabs>
          <w:tab w:leader="none" w:pos="1073" w:val="left"/>
        </w:tabs>
        <w:numPr>
          <w:ilvl w:val="0"/>
          <w:numId w:val="167"/>
        </w:numPr>
        <w:rPr>
          <w:rFonts w:ascii="Arial" w:cs="Arial" w:eastAsia="Arial" w:hAnsi="Arial"/>
          <w:sz w:val="20"/>
          <w:szCs w:val="20"/>
          <w:color w:val="auto"/>
        </w:rPr>
      </w:pPr>
      <w:r>
        <w:rPr>
          <w:rFonts w:ascii="Arial" w:cs="Arial" w:eastAsia="Arial" w:hAnsi="Arial"/>
          <w:sz w:val="20"/>
          <w:szCs w:val="20"/>
          <w:i w:val="1"/>
          <w:iCs w:val="1"/>
          <w:color w:val="auto"/>
        </w:rPr>
        <w:t>No Objection</w:t>
      </w:r>
      <w:r>
        <w:rPr>
          <w:rFonts w:ascii="Arial" w:cs="Arial" w:eastAsia="Arial" w:hAnsi="Arial"/>
          <w:sz w:val="20"/>
          <w:szCs w:val="20"/>
          <w:color w:val="auto"/>
        </w:rPr>
        <w:t>. FINRA has confirmed that it has not raised any objection with respect to the fairness and reasonableness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underwriting terms and arrangements relating to the offering of the Securities.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73" w:val="left"/>
        </w:tabs>
        <w:numPr>
          <w:ilvl w:val="0"/>
          <w:numId w:val="167"/>
        </w:numPr>
        <w:rPr>
          <w:rFonts w:ascii="Arial" w:cs="Arial" w:eastAsia="Arial" w:hAnsi="Arial"/>
          <w:sz w:val="20"/>
          <w:szCs w:val="20"/>
          <w:color w:val="auto"/>
        </w:rPr>
      </w:pPr>
      <w:r>
        <w:rPr>
          <w:rFonts w:ascii="Arial" w:cs="Arial" w:eastAsia="Arial" w:hAnsi="Arial"/>
          <w:sz w:val="20"/>
          <w:szCs w:val="20"/>
          <w:i w:val="1"/>
          <w:iCs w:val="1"/>
          <w:color w:val="auto"/>
        </w:rPr>
        <w:t>Lock-up Agreements</w:t>
      </w:r>
      <w:r>
        <w:rPr>
          <w:rFonts w:ascii="Arial" w:cs="Arial" w:eastAsia="Arial" w:hAnsi="Arial"/>
          <w:sz w:val="20"/>
          <w:szCs w:val="20"/>
          <w:color w:val="auto"/>
        </w:rPr>
        <w:t>. At the date of this Agreement, the Representatives shall have received an agreement substantially in the</w:t>
      </w:r>
      <w:r>
        <w:rPr>
          <w:rFonts w:ascii="Arial" w:cs="Arial" w:eastAsia="Arial" w:hAnsi="Arial"/>
          <w:sz w:val="20"/>
          <w:szCs w:val="20"/>
          <w:i w:val="1"/>
          <w:iCs w:val="1"/>
          <w:color w:val="auto"/>
        </w:rPr>
        <w:t xml:space="preserve"> </w:t>
      </w:r>
      <w:r>
        <w:rPr>
          <w:rFonts w:ascii="Arial" w:cs="Arial" w:eastAsia="Arial" w:hAnsi="Arial"/>
          <w:sz w:val="20"/>
          <w:szCs w:val="20"/>
          <w:color w:val="auto"/>
        </w:rPr>
        <w:t>form of Exhibit A hereto signed by (i) each of the Company’s directors and officers and (ii) each holder of shares of Common Stock or any security convertible or exercisable for shares of Common Stock.</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184" w:val="left"/>
        </w:tabs>
        <w:numPr>
          <w:ilvl w:val="0"/>
          <w:numId w:val="167"/>
        </w:numPr>
        <w:rPr>
          <w:rFonts w:ascii="Arial" w:cs="Arial" w:eastAsia="Arial" w:hAnsi="Arial"/>
          <w:sz w:val="20"/>
          <w:szCs w:val="20"/>
          <w:color w:val="auto"/>
        </w:rPr>
      </w:pPr>
      <w:r>
        <w:rPr>
          <w:rFonts w:ascii="Arial" w:cs="Arial" w:eastAsia="Arial" w:hAnsi="Arial"/>
          <w:sz w:val="20"/>
          <w:szCs w:val="20"/>
          <w:i w:val="1"/>
          <w:iCs w:val="1"/>
          <w:color w:val="auto"/>
        </w:rPr>
        <w:t>Opinion of Regulatory Counsel for Company</w:t>
      </w:r>
      <w:r>
        <w:rPr>
          <w:rFonts w:ascii="Arial" w:cs="Arial" w:eastAsia="Arial" w:hAnsi="Arial"/>
          <w:sz w:val="20"/>
          <w:szCs w:val="20"/>
          <w:color w:val="auto"/>
        </w:rPr>
        <w:t>. At the Closing Time, the Representatives shall have received the favorable</w:t>
      </w:r>
      <w:r>
        <w:rPr>
          <w:rFonts w:ascii="Arial" w:cs="Arial" w:eastAsia="Arial" w:hAnsi="Arial"/>
          <w:sz w:val="20"/>
          <w:szCs w:val="20"/>
          <w:i w:val="1"/>
          <w:iCs w:val="1"/>
          <w:color w:val="auto"/>
        </w:rPr>
        <w:t xml:space="preserve"> </w:t>
      </w:r>
      <w:r>
        <w:rPr>
          <w:rFonts w:ascii="Arial" w:cs="Arial" w:eastAsia="Arial" w:hAnsi="Arial"/>
          <w:sz w:val="20"/>
          <w:szCs w:val="20"/>
          <w:color w:val="auto"/>
        </w:rPr>
        <w:t>opinion, dated the Closing Time, of Hogan Lovells US LLP, counsel for the Company with respect to regulatory matters, in the form and substance reasonably satisfactory to counsel for the Underwriters previously agreed upon by the Representatives and such counsel, together with signed or reproduced copies of such letter for each of the other Underwriters.</w:t>
      </w:r>
    </w:p>
    <w:p>
      <w:pPr>
        <w:spacing w:after="0" w:line="191" w:lineRule="exact"/>
        <w:rPr>
          <w:rFonts w:ascii="Arial" w:cs="Arial" w:eastAsia="Arial" w:hAnsi="Arial"/>
          <w:sz w:val="20"/>
          <w:szCs w:val="20"/>
          <w:color w:val="auto"/>
        </w:rPr>
      </w:pPr>
    </w:p>
    <w:p>
      <w:pPr>
        <w:jc w:val="both"/>
        <w:ind w:firstLine="656"/>
        <w:spacing w:after="0" w:line="282" w:lineRule="auto"/>
        <w:tabs>
          <w:tab w:leader="none" w:pos="107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Chief Financial Officer Certificate</w:t>
      </w:r>
      <w:r>
        <w:rPr>
          <w:rFonts w:ascii="Arial" w:cs="Arial" w:eastAsia="Arial" w:hAnsi="Arial"/>
          <w:sz w:val="18"/>
          <w:szCs w:val="18"/>
          <w:color w:val="auto"/>
        </w:rPr>
        <w:t>. On the date of this Agreement and at the Closing Time, as the case may be,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furnished to the Representatives a certificate, dated the respective dates of delivery thereof and addressed to the Underwriters, of its chief financial officer with respect to certain financial data contained in the General Disclosure Package and the Prospectus, providing “management comfort” with respect to such information, in form and substance reasonably satisfactory to the Representatives.</w:t>
      </w:r>
    </w:p>
    <w:p>
      <w:pPr>
        <w:spacing w:after="0" w:line="161" w:lineRule="exact"/>
        <w:rPr>
          <w:rFonts w:ascii="Arial" w:cs="Arial" w:eastAsia="Arial" w:hAnsi="Arial"/>
          <w:sz w:val="18"/>
          <w:szCs w:val="18"/>
          <w:color w:val="auto"/>
        </w:rPr>
      </w:pPr>
    </w:p>
    <w:p>
      <w:pPr>
        <w:jc w:val="both"/>
        <w:ind w:right="20" w:firstLine="656"/>
        <w:spacing w:after="0" w:line="250" w:lineRule="auto"/>
        <w:tabs>
          <w:tab w:leader="none" w:pos="1158" w:val="left"/>
        </w:tabs>
        <w:numPr>
          <w:ilvl w:val="0"/>
          <w:numId w:val="167"/>
        </w:numPr>
        <w:rPr>
          <w:rFonts w:ascii="Arial" w:cs="Arial" w:eastAsia="Arial" w:hAnsi="Arial"/>
          <w:sz w:val="20"/>
          <w:szCs w:val="20"/>
          <w:color w:val="auto"/>
        </w:rPr>
      </w:pPr>
      <w:r>
        <w:rPr>
          <w:rFonts w:ascii="Arial" w:cs="Arial" w:eastAsia="Arial" w:hAnsi="Arial"/>
          <w:sz w:val="20"/>
          <w:szCs w:val="20"/>
          <w:i w:val="1"/>
          <w:iCs w:val="1"/>
          <w:color w:val="auto"/>
        </w:rPr>
        <w:t>Conditions to Purchase of Option Securities</w:t>
      </w:r>
      <w:r>
        <w:rPr>
          <w:rFonts w:ascii="Arial" w:cs="Arial" w:eastAsia="Arial" w:hAnsi="Arial"/>
          <w:sz w:val="20"/>
          <w:szCs w:val="20"/>
          <w:color w:val="auto"/>
        </w:rPr>
        <w:t>. In the event that the Underwriters exercise their option provided in Section 2(b)</w:t>
      </w:r>
      <w:r>
        <w:rPr>
          <w:rFonts w:ascii="Arial" w:cs="Arial" w:eastAsia="Arial" w:hAnsi="Arial"/>
          <w:sz w:val="20"/>
          <w:szCs w:val="20"/>
          <w:i w:val="1"/>
          <w:iCs w:val="1"/>
          <w:color w:val="auto"/>
        </w:rPr>
        <w:t xml:space="preserve"> </w:t>
      </w:r>
      <w:r>
        <w:rPr>
          <w:rFonts w:ascii="Arial" w:cs="Arial" w:eastAsia="Arial" w:hAnsi="Arial"/>
          <w:sz w:val="20"/>
          <w:szCs w:val="20"/>
          <w:color w:val="auto"/>
        </w:rPr>
        <w:t>hereof to purchase all or any portion of the Option Securities, the representations and warranties of the Company contained herein and the statements in any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255" w:name="page256"/>
    <w:bookmarkEnd w:id="255"/>
    <w:p>
      <w:pPr>
        <w:spacing w:after="0" w:line="260" w:lineRule="auto"/>
        <w:rPr>
          <w:sz w:val="20"/>
          <w:szCs w:val="20"/>
          <w:color w:val="auto"/>
        </w:rPr>
      </w:pPr>
      <w:r>
        <w:rPr>
          <w:rFonts w:ascii="Arial" w:cs="Arial" w:eastAsia="Arial" w:hAnsi="Arial"/>
          <w:sz w:val="20"/>
          <w:szCs w:val="20"/>
          <w:color w:val="auto"/>
        </w:rPr>
        <w:t>furnished by the Company and any of its subsidiaries hereunder shall be true and correct as of each Date of Delivery and, at the relevant Date of Delivery, the Representatives shall have received:</w:t>
      </w:r>
    </w:p>
    <w:p>
      <w:pPr>
        <w:spacing w:after="0" w:line="177" w:lineRule="exact"/>
        <w:rPr>
          <w:sz w:val="20"/>
          <w:szCs w:val="20"/>
          <w:color w:val="auto"/>
        </w:rPr>
      </w:pPr>
    </w:p>
    <w:p>
      <w:pPr>
        <w:jc w:val="both"/>
        <w:ind w:left="660" w:firstLine="644"/>
        <w:spacing w:after="0" w:line="250" w:lineRule="auto"/>
        <w:tabs>
          <w:tab w:leader="none" w:pos="1693"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A certificate, dated such Date of Delivery, of the President or a Vice President of the Company and of the chief financial or chief accounting officer of the Company confirming that the certificate delivered at the Closing Time pursuant to Section 5(e) hereof remains true and correct as of such Date of Delivery.</w:t>
      </w:r>
    </w:p>
    <w:p>
      <w:pPr>
        <w:spacing w:after="0" w:line="185" w:lineRule="exact"/>
        <w:rPr>
          <w:rFonts w:ascii="Arial" w:cs="Arial" w:eastAsia="Arial" w:hAnsi="Arial"/>
          <w:sz w:val="20"/>
          <w:szCs w:val="20"/>
          <w:color w:val="auto"/>
        </w:rPr>
      </w:pPr>
    </w:p>
    <w:p>
      <w:pPr>
        <w:jc w:val="both"/>
        <w:ind w:left="660" w:firstLine="644"/>
        <w:spacing w:after="0" w:line="263" w:lineRule="auto"/>
        <w:tabs>
          <w:tab w:leader="none" w:pos="1815" w:val="left"/>
        </w:tabs>
        <w:numPr>
          <w:ilvl w:val="1"/>
          <w:numId w:val="168"/>
        </w:numPr>
        <w:rPr>
          <w:rFonts w:ascii="Arial" w:cs="Arial" w:eastAsia="Arial" w:hAnsi="Arial"/>
          <w:sz w:val="19"/>
          <w:szCs w:val="19"/>
          <w:color w:val="auto"/>
        </w:rPr>
      </w:pPr>
      <w:r>
        <w:rPr>
          <w:rFonts w:ascii="Arial" w:cs="Arial" w:eastAsia="Arial" w:hAnsi="Arial"/>
          <w:sz w:val="19"/>
          <w:szCs w:val="19"/>
          <w:u w:val="single" w:color="auto"/>
          <w:color w:val="auto"/>
        </w:rPr>
        <w:t>Opinion and Negative Assurance Letter of Counsel for Company</w:t>
      </w:r>
      <w:r>
        <w:rPr>
          <w:rFonts w:ascii="Arial" w:cs="Arial" w:eastAsia="Arial" w:hAnsi="Arial"/>
          <w:sz w:val="19"/>
          <w:szCs w:val="19"/>
          <w:color w:val="auto"/>
        </w:rPr>
        <w:t>. If requested by the Representatives, the favorable opinion and negative assurance letter of Latham &amp; Watkins LLP, counsel for the Company, in form and substance reasonably satisfactory to counsel for the Underwriters, dated such Date of Delivery, relating to the Option Securities to be purchased on such Date of Delivery and otherwise to the same effect as the opinion required by Section 5(b) hereof.</w:t>
      </w:r>
    </w:p>
    <w:p>
      <w:pPr>
        <w:spacing w:after="0" w:line="176" w:lineRule="exact"/>
        <w:rPr>
          <w:rFonts w:ascii="Arial" w:cs="Arial" w:eastAsia="Arial" w:hAnsi="Arial"/>
          <w:sz w:val="19"/>
          <w:szCs w:val="19"/>
          <w:color w:val="auto"/>
        </w:rPr>
      </w:pPr>
    </w:p>
    <w:p>
      <w:pPr>
        <w:jc w:val="both"/>
        <w:ind w:left="660" w:firstLine="644"/>
        <w:spacing w:after="0" w:line="263" w:lineRule="auto"/>
        <w:tabs>
          <w:tab w:leader="none" w:pos="1843" w:val="left"/>
        </w:tabs>
        <w:numPr>
          <w:ilvl w:val="1"/>
          <w:numId w:val="168"/>
        </w:numPr>
        <w:rPr>
          <w:rFonts w:ascii="Arial" w:cs="Arial" w:eastAsia="Arial" w:hAnsi="Arial"/>
          <w:sz w:val="19"/>
          <w:szCs w:val="19"/>
          <w:color w:val="auto"/>
        </w:rPr>
      </w:pPr>
      <w:r>
        <w:rPr>
          <w:rFonts w:ascii="Arial" w:cs="Arial" w:eastAsia="Arial" w:hAnsi="Arial"/>
          <w:sz w:val="19"/>
          <w:szCs w:val="19"/>
          <w:u w:val="single" w:color="auto"/>
          <w:color w:val="auto"/>
        </w:rPr>
        <w:t>Opinion of Intellectual Property Counsel for Company</w:t>
      </w:r>
      <w:r>
        <w:rPr>
          <w:rFonts w:ascii="Arial" w:cs="Arial" w:eastAsia="Arial" w:hAnsi="Arial"/>
          <w:sz w:val="19"/>
          <w:szCs w:val="19"/>
          <w:color w:val="auto"/>
        </w:rPr>
        <w:t>. If requested by the Representatives, the favorable opinion of FisherBroyles, LLP, counsel for the Company with respect to intellectual property matters, in form and substance reasonably satisfactory to counsel for the Underwriters, dated such Date of Delivery, relating to the Option Securities to be purchased on such Date of Delivery and otherwise to the same effect as the opinion required by Section 5(c) hereof.</w:t>
      </w:r>
    </w:p>
    <w:p>
      <w:pPr>
        <w:spacing w:after="0" w:line="176" w:lineRule="exact"/>
        <w:rPr>
          <w:rFonts w:ascii="Arial" w:cs="Arial" w:eastAsia="Arial" w:hAnsi="Arial"/>
          <w:sz w:val="19"/>
          <w:szCs w:val="19"/>
          <w:color w:val="auto"/>
        </w:rPr>
      </w:pPr>
    </w:p>
    <w:p>
      <w:pPr>
        <w:jc w:val="both"/>
        <w:ind w:left="660" w:firstLine="644"/>
        <w:spacing w:after="0" w:line="291" w:lineRule="auto"/>
        <w:tabs>
          <w:tab w:leader="none" w:pos="1818"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Opinion and Negative Assurance Letter of Counsel for Underwriters</w:t>
      </w:r>
      <w:r>
        <w:rPr>
          <w:rFonts w:ascii="Arial" w:cs="Arial" w:eastAsia="Arial" w:hAnsi="Arial"/>
          <w:sz w:val="18"/>
          <w:szCs w:val="18"/>
          <w:color w:val="auto"/>
        </w:rPr>
        <w:t>. If requested by the Representatives, the opinion and negative assurance letter of Cooley LLP, counsel for the Underwriters, dated such Date of Delivery, relating to the Option Securities to be purchased on such Date of Delivery and otherwise to the same effect as the opinion required by Section 5(d) hereof.</w:t>
      </w:r>
    </w:p>
    <w:p>
      <w:pPr>
        <w:spacing w:after="0" w:line="151" w:lineRule="exact"/>
        <w:rPr>
          <w:rFonts w:ascii="Arial" w:cs="Arial" w:eastAsia="Arial" w:hAnsi="Arial"/>
          <w:sz w:val="18"/>
          <w:szCs w:val="18"/>
          <w:color w:val="auto"/>
        </w:rPr>
      </w:pPr>
    </w:p>
    <w:p>
      <w:pPr>
        <w:jc w:val="both"/>
        <w:ind w:left="660" w:firstLine="644"/>
        <w:spacing w:after="0" w:line="246" w:lineRule="auto"/>
        <w:tabs>
          <w:tab w:leader="none" w:pos="1831"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Opinion of Regulatory Counsel for Company</w:t>
      </w:r>
      <w:r>
        <w:rPr>
          <w:rFonts w:ascii="Arial" w:cs="Arial" w:eastAsia="Arial" w:hAnsi="Arial"/>
          <w:sz w:val="20"/>
          <w:szCs w:val="20"/>
          <w:color w:val="auto"/>
        </w:rPr>
        <w:t>. If requested by the Representatives, the favorable opinion of Hogan Lovells US LLP, counsel for the Company with respect to regulatory matters, in form and substance reasonably satisfactory to counsel for the Underwriters, dated such Date of Delivery, relating to the Option Securities to be purchased on such Date of Delivery and otherwise to the same effect as the opinion required by Section 5(k) hereof.</w:t>
      </w:r>
    </w:p>
    <w:p>
      <w:pPr>
        <w:spacing w:after="0" w:line="191" w:lineRule="exact"/>
        <w:rPr>
          <w:rFonts w:ascii="Arial" w:cs="Arial" w:eastAsia="Arial" w:hAnsi="Arial"/>
          <w:sz w:val="20"/>
          <w:szCs w:val="20"/>
          <w:color w:val="auto"/>
        </w:rPr>
      </w:pPr>
    </w:p>
    <w:p>
      <w:pPr>
        <w:jc w:val="both"/>
        <w:ind w:left="660" w:firstLine="644"/>
        <w:spacing w:after="0" w:line="263" w:lineRule="auto"/>
        <w:tabs>
          <w:tab w:leader="none" w:pos="1832" w:val="left"/>
        </w:tabs>
        <w:numPr>
          <w:ilvl w:val="1"/>
          <w:numId w:val="168"/>
        </w:numPr>
        <w:rPr>
          <w:rFonts w:ascii="Arial" w:cs="Arial" w:eastAsia="Arial" w:hAnsi="Arial"/>
          <w:sz w:val="19"/>
          <w:szCs w:val="19"/>
          <w:color w:val="auto"/>
        </w:rPr>
      </w:pPr>
      <w:r>
        <w:rPr>
          <w:rFonts w:ascii="Arial" w:cs="Arial" w:eastAsia="Arial" w:hAnsi="Arial"/>
          <w:sz w:val="19"/>
          <w:szCs w:val="19"/>
          <w:u w:val="single" w:color="auto"/>
          <w:color w:val="auto"/>
        </w:rPr>
        <w:t>Bring-down Comfort Letter</w:t>
      </w:r>
      <w:r>
        <w:rPr>
          <w:rFonts w:ascii="Arial" w:cs="Arial" w:eastAsia="Arial" w:hAnsi="Arial"/>
          <w:sz w:val="19"/>
          <w:szCs w:val="19"/>
          <w:color w:val="auto"/>
        </w:rPr>
        <w:t>. If requested by the Representatives, a letter from PricewaterhouseCoopers LLP, in form and substance satisfactory to the Representatives and dated such Date of Delivery, substantially in the same form and substance as the letter furnished to the Representatives pursuant to Section 5(f) hereof, except that the “specified date” in the letter furnished pursuant to this paragraph shall be a date not more than three business days prior to such Date of Delivery.</w:t>
      </w:r>
    </w:p>
    <w:p>
      <w:pPr>
        <w:spacing w:after="0" w:line="176" w:lineRule="exact"/>
        <w:rPr>
          <w:rFonts w:ascii="Arial" w:cs="Arial" w:eastAsia="Arial" w:hAnsi="Arial"/>
          <w:sz w:val="19"/>
          <w:szCs w:val="19"/>
          <w:color w:val="auto"/>
        </w:rPr>
      </w:pPr>
    </w:p>
    <w:p>
      <w:pPr>
        <w:jc w:val="both"/>
        <w:ind w:left="660" w:firstLine="644"/>
        <w:spacing w:after="0" w:line="291" w:lineRule="auto"/>
        <w:tabs>
          <w:tab w:leader="none" w:pos="1846"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Chief Financial Officer Certificate</w:t>
      </w:r>
      <w:r>
        <w:rPr>
          <w:rFonts w:ascii="Arial" w:cs="Arial" w:eastAsia="Arial" w:hAnsi="Arial"/>
          <w:sz w:val="18"/>
          <w:szCs w:val="18"/>
          <w:color w:val="auto"/>
        </w:rPr>
        <w:t>. If requested by the Representatives, a certificate from the chief financial officer of the Company, in form and substance satisfactory to the Representatives and dated such Date of Delivery, relating to the Option Securities to be purchased on such Date of Delivery and otherwise to the same effect as the opinion required by Section 5(l) hereof.</w:t>
      </w:r>
    </w:p>
    <w:p>
      <w:pPr>
        <w:spacing w:after="0" w:line="151" w:lineRule="exact"/>
        <w:rPr>
          <w:rFonts w:ascii="Arial" w:cs="Arial" w:eastAsia="Arial" w:hAnsi="Arial"/>
          <w:sz w:val="18"/>
          <w:szCs w:val="18"/>
          <w:color w:val="auto"/>
        </w:rPr>
      </w:pPr>
    </w:p>
    <w:p>
      <w:pPr>
        <w:ind w:firstLine="656"/>
        <w:spacing w:after="0" w:line="260" w:lineRule="auto"/>
        <w:tabs>
          <w:tab w:leader="none" w:pos="1090" w:val="left"/>
        </w:tabs>
        <w:numPr>
          <w:ilvl w:val="0"/>
          <w:numId w:val="169"/>
        </w:numPr>
        <w:rPr>
          <w:rFonts w:ascii="Arial" w:cs="Arial" w:eastAsia="Arial" w:hAnsi="Arial"/>
          <w:sz w:val="20"/>
          <w:szCs w:val="20"/>
          <w:color w:val="auto"/>
        </w:rPr>
      </w:pPr>
      <w:r>
        <w:rPr>
          <w:rFonts w:ascii="Arial" w:cs="Arial" w:eastAsia="Arial" w:hAnsi="Arial"/>
          <w:sz w:val="20"/>
          <w:szCs w:val="20"/>
          <w:i w:val="1"/>
          <w:iCs w:val="1"/>
          <w:color w:val="auto"/>
        </w:rPr>
        <w:t>Additional Documents</w:t>
      </w:r>
      <w:r>
        <w:rPr>
          <w:rFonts w:ascii="Arial" w:cs="Arial" w:eastAsia="Arial" w:hAnsi="Arial"/>
          <w:sz w:val="20"/>
          <w:szCs w:val="20"/>
          <w:color w:val="auto"/>
        </w:rPr>
        <w:t>. At the Closing Time and at each Date of Delivery (if any) counsel for the Underwriters shall have been</w:t>
      </w:r>
      <w:r>
        <w:rPr>
          <w:rFonts w:ascii="Arial" w:cs="Arial" w:eastAsia="Arial" w:hAnsi="Arial"/>
          <w:sz w:val="20"/>
          <w:szCs w:val="20"/>
          <w:i w:val="1"/>
          <w:iCs w:val="1"/>
          <w:color w:val="auto"/>
        </w:rPr>
        <w:t xml:space="preserve"> </w:t>
      </w:r>
      <w:r>
        <w:rPr>
          <w:rFonts w:ascii="Arial" w:cs="Arial" w:eastAsia="Arial" w:hAnsi="Arial"/>
          <w:sz w:val="20"/>
          <w:szCs w:val="20"/>
          <w:color w:val="auto"/>
        </w:rPr>
        <w:t>furnished with such documents and certificates as they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256" w:name="page257"/>
    <w:bookmarkEnd w:id="256"/>
    <w:p>
      <w:pPr>
        <w:jc w:val="both"/>
        <w:spacing w:after="0" w:line="246" w:lineRule="auto"/>
        <w:rPr>
          <w:sz w:val="20"/>
          <w:szCs w:val="20"/>
          <w:color w:val="auto"/>
        </w:rPr>
      </w:pPr>
      <w:r>
        <w:rPr>
          <w:rFonts w:ascii="Arial" w:cs="Arial" w:eastAsia="Arial" w:hAnsi="Arial"/>
          <w:sz w:val="20"/>
          <w:szCs w:val="20"/>
          <w:color w:val="auto"/>
        </w:rPr>
        <w:t>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Representatives and counsel for the Underwriters.</w:t>
      </w:r>
    </w:p>
    <w:p>
      <w:pPr>
        <w:spacing w:after="0" w:line="191" w:lineRule="exact"/>
        <w:rPr>
          <w:sz w:val="20"/>
          <w:szCs w:val="20"/>
          <w:color w:val="auto"/>
        </w:rPr>
      </w:pPr>
    </w:p>
    <w:p>
      <w:pPr>
        <w:jc w:val="both"/>
        <w:ind w:firstLine="656"/>
        <w:spacing w:after="0" w:line="259" w:lineRule="auto"/>
        <w:tabs>
          <w:tab w:leader="none" w:pos="1130" w:val="left"/>
        </w:tabs>
        <w:numPr>
          <w:ilvl w:val="0"/>
          <w:numId w:val="170"/>
        </w:numPr>
        <w:rPr>
          <w:rFonts w:ascii="Arial" w:cs="Arial" w:eastAsia="Arial" w:hAnsi="Arial"/>
          <w:sz w:val="19"/>
          <w:szCs w:val="19"/>
          <w:color w:val="auto"/>
        </w:rPr>
      </w:pPr>
      <w:r>
        <w:rPr>
          <w:rFonts w:ascii="Arial" w:cs="Arial" w:eastAsia="Arial" w:hAnsi="Arial"/>
          <w:sz w:val="19"/>
          <w:szCs w:val="19"/>
          <w:i w:val="1"/>
          <w:iCs w:val="1"/>
          <w:color w:val="auto"/>
        </w:rPr>
        <w:t>Termination of Agreement</w:t>
      </w:r>
      <w:r>
        <w:rPr>
          <w:rFonts w:ascii="Arial" w:cs="Arial" w:eastAsia="Arial" w:hAnsi="Arial"/>
          <w:sz w:val="19"/>
          <w:szCs w:val="19"/>
          <w:color w:val="auto"/>
        </w:rPr>
        <w:t>. If any condition specified in this Section shall not have been fulfilled when and as required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fulfilled,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15, 16 and 17 shall survive any such termination and remain in full force and effect.</w:t>
      </w:r>
    </w:p>
    <w:p>
      <w:pPr>
        <w:spacing w:after="0" w:line="17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0" w:lineRule="auto"/>
        <w:tabs>
          <w:tab w:leader="none" w:pos="1079" w:val="left"/>
        </w:tabs>
        <w:numPr>
          <w:ilvl w:val="0"/>
          <w:numId w:val="171"/>
        </w:numPr>
        <w:rPr>
          <w:rFonts w:ascii="Arial" w:cs="Arial" w:eastAsia="Arial" w:hAnsi="Arial"/>
          <w:sz w:val="20"/>
          <w:szCs w:val="20"/>
          <w:color w:val="auto"/>
        </w:rPr>
      </w:pPr>
      <w:r>
        <w:rPr>
          <w:rFonts w:ascii="Arial" w:cs="Arial" w:eastAsia="Arial" w:hAnsi="Arial"/>
          <w:sz w:val="20"/>
          <w:szCs w:val="20"/>
          <w:i w:val="1"/>
          <w:iCs w:val="1"/>
          <w:color w:val="auto"/>
        </w:rPr>
        <w:t>Indemnification of Underwriters</w:t>
      </w:r>
      <w:r>
        <w:rPr>
          <w:rFonts w:ascii="Arial" w:cs="Arial" w:eastAsia="Arial" w:hAnsi="Arial"/>
          <w:sz w:val="20"/>
          <w:szCs w:val="20"/>
          <w:color w:val="auto"/>
        </w:rPr>
        <w:t>. The Company agrees to indemnify and hold harmless each Underwriter, its affiliates (as such</w:t>
      </w:r>
      <w:r>
        <w:rPr>
          <w:rFonts w:ascii="Arial" w:cs="Arial" w:eastAsia="Arial" w:hAnsi="Arial"/>
          <w:sz w:val="20"/>
          <w:szCs w:val="20"/>
          <w:i w:val="1"/>
          <w:iCs w:val="1"/>
          <w:color w:val="auto"/>
        </w:rPr>
        <w:t xml:space="preserve"> </w:t>
      </w:r>
      <w:r>
        <w:rPr>
          <w:rFonts w:ascii="Arial" w:cs="Arial" w:eastAsia="Arial" w:hAnsi="Arial"/>
          <w:sz w:val="20"/>
          <w:szCs w:val="20"/>
          <w:color w:val="auto"/>
        </w:rPr>
        <w:t>term is defined in Rule 501(b) under the 1933 Act (each, an “Affiliate”)), its selling agents and each person, if any, who controls any Underwriter within the meaning of Section 15 of the 1933 Act or Section 20 of the 1934 Act as follows:</w:t>
      </w:r>
    </w:p>
    <w:p>
      <w:pPr>
        <w:spacing w:after="0" w:line="185" w:lineRule="exact"/>
        <w:rPr>
          <w:rFonts w:ascii="Arial" w:cs="Arial" w:eastAsia="Arial" w:hAnsi="Arial"/>
          <w:sz w:val="20"/>
          <w:szCs w:val="20"/>
          <w:color w:val="auto"/>
        </w:rPr>
      </w:pPr>
    </w:p>
    <w:p>
      <w:pPr>
        <w:jc w:val="both"/>
        <w:ind w:left="660" w:firstLine="644"/>
        <w:spacing w:after="0" w:line="271" w:lineRule="auto"/>
        <w:tabs>
          <w:tab w:leader="none" w:pos="183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or investor presentations made to investors by the Company (whether in person or electronically), or the omission or alleged omission in any preliminary prospectus, Issuer Free Writing Prospectus, any Written Testing-the-Waters Communication, Prospectus or in any Marketing Materials of a material fact necessary in order to make the statements therein, in the light of the circumstances under which they were made, not misleading;</w:t>
      </w:r>
    </w:p>
    <w:p>
      <w:pPr>
        <w:spacing w:after="0" w:line="169" w:lineRule="exact"/>
        <w:rPr>
          <w:rFonts w:ascii="Arial" w:cs="Arial" w:eastAsia="Arial" w:hAnsi="Arial"/>
          <w:sz w:val="18"/>
          <w:szCs w:val="18"/>
          <w:color w:val="auto"/>
        </w:rPr>
      </w:pPr>
    </w:p>
    <w:p>
      <w:pPr>
        <w:jc w:val="both"/>
        <w:ind w:left="660" w:firstLine="644"/>
        <w:spacing w:after="0" w:line="282" w:lineRule="auto"/>
        <w:tabs>
          <w:tab w:leader="none" w:pos="181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161" w:lineRule="exact"/>
        <w:rPr>
          <w:rFonts w:ascii="Arial" w:cs="Arial" w:eastAsia="Arial" w:hAnsi="Arial"/>
          <w:sz w:val="18"/>
          <w:szCs w:val="18"/>
          <w:color w:val="auto"/>
        </w:rPr>
      </w:pPr>
    </w:p>
    <w:p>
      <w:pPr>
        <w:jc w:val="both"/>
        <w:ind w:left="660" w:firstLine="644"/>
        <w:spacing w:after="0" w:line="291" w:lineRule="auto"/>
        <w:tabs>
          <w:tab w:leader="none" w:pos="186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257" w:name="page258"/>
    <w:bookmarkEnd w:id="257"/>
    <w:p>
      <w:pPr>
        <w:ind w:left="660"/>
        <w:spacing w:after="0" w:line="260" w:lineRule="auto"/>
        <w:rPr>
          <w:sz w:val="20"/>
          <w:szCs w:val="20"/>
          <w:color w:val="auto"/>
        </w:rPr>
      </w:pPr>
      <w:r>
        <w:rPr>
          <w:rFonts w:ascii="Arial" w:cs="Arial" w:eastAsia="Arial" w:hAnsi="Arial"/>
          <w:sz w:val="20"/>
          <w:szCs w:val="20"/>
          <w:color w:val="auto"/>
        </w:rPr>
        <w:t>any such untrue statement or omission, or any such alleged untrue statement or omission, to the extent that any such expense is not paid under (i) or (ii) above;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191" w:lineRule="exact"/>
        <w:rPr>
          <w:sz w:val="20"/>
          <w:szCs w:val="20"/>
          <w:color w:val="auto"/>
        </w:rPr>
      </w:pPr>
    </w:p>
    <w:p>
      <w:pPr>
        <w:jc w:val="both"/>
        <w:ind w:firstLine="656"/>
        <w:spacing w:after="0" w:line="243" w:lineRule="auto"/>
        <w:tabs>
          <w:tab w:leader="none" w:pos="1144" w:val="left"/>
        </w:tabs>
        <w:numPr>
          <w:ilvl w:val="0"/>
          <w:numId w:val="172"/>
        </w:numPr>
        <w:rPr>
          <w:rFonts w:ascii="Arial" w:cs="Arial" w:eastAsia="Arial" w:hAnsi="Arial"/>
          <w:sz w:val="20"/>
          <w:szCs w:val="20"/>
          <w:color w:val="auto"/>
        </w:rPr>
      </w:pPr>
      <w:r>
        <w:rPr>
          <w:rFonts w:ascii="Arial" w:cs="Arial" w:eastAsia="Arial" w:hAnsi="Arial"/>
          <w:sz w:val="20"/>
          <w:szCs w:val="20"/>
          <w:i w:val="1"/>
          <w:iCs w:val="1"/>
          <w:color w:val="auto"/>
        </w:rPr>
        <w:t>Indemnification of Company, Directors and Officers</w:t>
      </w:r>
      <w:r>
        <w:rPr>
          <w:rFonts w:ascii="Arial" w:cs="Arial" w:eastAsia="Arial" w:hAnsi="Arial"/>
          <w:sz w:val="20"/>
          <w:szCs w:val="20"/>
          <w:color w:val="auto"/>
        </w:rPr>
        <w:t>. Each Underwriter severally agrees to indemnify and hold harmless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192" w:lineRule="exact"/>
        <w:rPr>
          <w:rFonts w:ascii="Arial" w:cs="Arial" w:eastAsia="Arial" w:hAnsi="Arial"/>
          <w:sz w:val="20"/>
          <w:szCs w:val="20"/>
          <w:color w:val="auto"/>
        </w:rPr>
      </w:pPr>
    </w:p>
    <w:p>
      <w:pPr>
        <w:jc w:val="both"/>
        <w:ind w:firstLine="656"/>
        <w:spacing w:after="0" w:line="269" w:lineRule="auto"/>
        <w:tabs>
          <w:tab w:leader="none" w:pos="1119"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Actions against Parties; Notification</w:t>
      </w:r>
      <w:r>
        <w:rPr>
          <w:rFonts w:ascii="Arial" w:cs="Arial" w:eastAsia="Arial" w:hAnsi="Arial"/>
          <w:sz w:val="18"/>
          <w:szCs w:val="18"/>
          <w:color w:val="auto"/>
        </w:rPr>
        <w:t>. Each indemnified party shall give notice as promptly as reasonably practicable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73" w:lineRule="exact"/>
        <w:rPr>
          <w:rFonts w:ascii="Arial" w:cs="Arial" w:eastAsia="Arial" w:hAnsi="Arial"/>
          <w:sz w:val="18"/>
          <w:szCs w:val="18"/>
          <w:color w:val="auto"/>
        </w:rPr>
      </w:pPr>
    </w:p>
    <w:p>
      <w:pPr>
        <w:jc w:val="both"/>
        <w:ind w:firstLine="656"/>
        <w:spacing w:after="0" w:line="244" w:lineRule="auto"/>
        <w:tabs>
          <w:tab w:leader="none" w:pos="1117" w:val="left"/>
        </w:tabs>
        <w:numPr>
          <w:ilvl w:val="0"/>
          <w:numId w:val="172"/>
        </w:numPr>
        <w:rPr>
          <w:rFonts w:ascii="Arial" w:cs="Arial" w:eastAsia="Arial" w:hAnsi="Arial"/>
          <w:sz w:val="20"/>
          <w:szCs w:val="20"/>
          <w:color w:val="auto"/>
        </w:rPr>
      </w:pPr>
      <w:r>
        <w:rPr>
          <w:rFonts w:ascii="Arial" w:cs="Arial" w:eastAsia="Arial" w:hAnsi="Arial"/>
          <w:sz w:val="20"/>
          <w:szCs w:val="20"/>
          <w:i w:val="1"/>
          <w:iCs w:val="1"/>
          <w:color w:val="auto"/>
        </w:rPr>
        <w:t>Settlement without Consent if Failure to Reimburse</w:t>
      </w:r>
      <w:r>
        <w:rPr>
          <w:rFonts w:ascii="Arial" w:cs="Arial" w:eastAsia="Arial" w:hAnsi="Arial"/>
          <w:sz w:val="20"/>
          <w:szCs w:val="20"/>
          <w:color w:val="auto"/>
        </w:rPr>
        <w:t>. If at any time an indemnified party shall have requested an indemnifying</w:t>
      </w:r>
      <w:r>
        <w:rPr>
          <w:rFonts w:ascii="Arial" w:cs="Arial" w:eastAsia="Arial" w:hAnsi="Arial"/>
          <w:sz w:val="20"/>
          <w:szCs w:val="20"/>
          <w:i w:val="1"/>
          <w:iCs w:val="1"/>
          <w:color w:val="auto"/>
        </w:rPr>
        <w:t xml:space="preserve"> </w:t>
      </w:r>
      <w:r>
        <w:rPr>
          <w:rFonts w:ascii="Arial" w:cs="Arial" w:eastAsia="Arial" w:hAnsi="Arial"/>
          <w:sz w:val="20"/>
          <w:szCs w:val="20"/>
          <w:color w:val="auto"/>
        </w:rPr>
        <w:t>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9" w:right="339" w:bottom="1440" w:gutter="0" w:footer="0" w:header="0"/>
        </w:sectPr>
      </w:pPr>
    </w:p>
    <w:bookmarkStart w:id="258" w:name="page259"/>
    <w:bookmarkEnd w:id="258"/>
    <w:p>
      <w:pPr>
        <w:spacing w:after="0" w:line="260" w:lineRule="auto"/>
        <w:rPr>
          <w:sz w:val="20"/>
          <w:szCs w:val="20"/>
          <w:color w:val="auto"/>
        </w:rPr>
      </w:pPr>
      <w:r>
        <w:rPr>
          <w:rFonts w:ascii="Arial" w:cs="Arial" w:eastAsia="Arial" w:hAnsi="Arial"/>
          <w:sz w:val="20"/>
          <w:szCs w:val="20"/>
          <w:color w:val="auto"/>
        </w:rPr>
        <w:t>settlement being entered into and (iii) such indemnifying party shall not have reimbursed such indemnified party in accordance with such request prior to the date of such settlement.</w:t>
      </w:r>
    </w:p>
    <w:p>
      <w:pPr>
        <w:spacing w:after="0" w:line="177" w:lineRule="exact"/>
        <w:rPr>
          <w:sz w:val="20"/>
          <w:szCs w:val="20"/>
          <w:color w:val="auto"/>
        </w:rPr>
      </w:pPr>
    </w:p>
    <w:p>
      <w:pPr>
        <w:jc w:val="both"/>
        <w:ind w:firstLine="656"/>
        <w:spacing w:after="0" w:line="271" w:lineRule="auto"/>
        <w:tabs>
          <w:tab w:leader="none" w:pos="1092"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Indemnification for Reserved Securities</w:t>
      </w:r>
      <w:r>
        <w:rPr>
          <w:rFonts w:ascii="Arial" w:cs="Arial" w:eastAsia="Arial" w:hAnsi="Arial"/>
          <w:sz w:val="18"/>
          <w:szCs w:val="18"/>
          <w:color w:val="auto"/>
        </w:rPr>
        <w:t>. In connection with the offer and sale of the Reserved Securities, the Company agrees</w:t>
      </w:r>
      <w:r>
        <w:rPr>
          <w:rFonts w:ascii="Arial" w:cs="Arial" w:eastAsia="Arial" w:hAnsi="Arial"/>
          <w:sz w:val="18"/>
          <w:szCs w:val="18"/>
          <w:i w:val="1"/>
          <w:iCs w:val="1"/>
          <w:color w:val="auto"/>
        </w:rPr>
        <w:t xml:space="preserve"> </w:t>
      </w:r>
      <w:r>
        <w:rPr>
          <w:rFonts w:ascii="Arial" w:cs="Arial" w:eastAsia="Arial" w:hAnsi="Arial"/>
          <w:sz w:val="18"/>
          <w:szCs w:val="18"/>
          <w:color w:val="auto"/>
        </w:rPr>
        <w:t>to indemnify and hold harmless Merrill Lynch, its affiliates and selling agents and each person, if any, who controls Merrill Lynch within the meaning of either Section 15 of the 1933 Act or Section 20 of the 1934 Act, from and against any and all loss, liability, claim, damage and expense (including, without limitation, any legal or other expenses reasonably incurred in connection with defending, investigating or settling any such action or claim), as incurred, (i) arising out of the violation of any applicable laws or regulations of foreign jurisdictions where Reserved Securities have been offered, (ii) arising out of any untrue statement or alleged untrue statement of a material fact contained in any material prepared by or with the consent of the Company for distribution to Invitees in connection with the offering of the Reserved Securities or caused by any omission or alleged omission to state therein a material fact required to be stated therein or necessary to make the statements therein not misleading, (iii) caused by the failure of any Invitee to pay for and accept delivery of Reserved Securities which have been orally confirmed for purchase by any Invitee by 11:59P.M. (New York City time) on the date of the Agreement or (iv) related to, or arising out of or in connection with, the offering of the Reserved Securities.</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Contribution</w:t>
      </w:r>
      <w:r>
        <w:rPr>
          <w:rFonts w:ascii="Arial" w:cs="Arial" w:eastAsia="Arial" w:hAnsi="Arial"/>
          <w:sz w:val="20"/>
          <w:szCs w:val="20"/>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or any violation of the nature referred to in Section 6(e) hereof.</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19" w:right="339" w:bottom="1440" w:gutter="0" w:footer="0" w:header="0"/>
        </w:sectPr>
      </w:pPr>
    </w:p>
    <w:bookmarkStart w:id="259" w:name="page260"/>
    <w:bookmarkEnd w:id="259"/>
    <w:p>
      <w:pPr>
        <w:jc w:val="both"/>
        <w:spacing w:after="0" w:line="244" w:lineRule="auto"/>
        <w:rPr>
          <w:sz w:val="20"/>
          <w:szCs w:val="20"/>
          <w:color w:val="auto"/>
        </w:rPr>
      </w:pPr>
      <w:r>
        <w:rPr>
          <w:rFonts w:ascii="Arial" w:cs="Arial" w:eastAsia="Arial" w:hAnsi="Arial"/>
          <w:sz w:val="20"/>
          <w:szCs w:val="20"/>
          <w:color w:val="auto"/>
        </w:rPr>
        <w:t>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 person guilty of fraudulent misrepresentation (within the meaning of Section 11(f) of the 1933 Act) shall be entitled to contribution from any person who was not guilty of such fraudulent misrepresentation.</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w:t>
      </w:r>
    </w:p>
    <w:p>
      <w:pPr>
        <w:spacing w:after="0" w:line="1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Representations, Warranties and Agreements to Survive</w:t>
      </w:r>
      <w:r>
        <w:rPr>
          <w:rFonts w:ascii="Arial" w:cs="Arial" w:eastAsia="Arial" w:hAnsi="Arial"/>
          <w:sz w:val="20"/>
          <w:szCs w:val="20"/>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9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0" w:lineRule="auto"/>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Representatives may terminate this Agreement, by notice to the Company, at any time at or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MKT or the New York Stock Exchange or in the Nasdaq Global Market has been suspended or materially limited, or minimum or maximum prices for trading have been fixed, or maximum ranges for prices have been required, by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19" w:right="339" w:bottom="1440" w:gutter="0" w:footer="0" w:header="0"/>
        </w:sectPr>
      </w:pPr>
    </w:p>
    <w:bookmarkStart w:id="260" w:name="page261"/>
    <w:bookmarkEnd w:id="260"/>
    <w:p>
      <w:pPr>
        <w:jc w:val="both"/>
        <w:spacing w:after="0" w:line="269" w:lineRule="auto"/>
        <w:rPr>
          <w:sz w:val="20"/>
          <w:szCs w:val="20"/>
          <w:color w:val="auto"/>
        </w:rPr>
      </w:pPr>
      <w:r>
        <w:rPr>
          <w:rFonts w:ascii="Arial" w:cs="Arial" w:eastAsia="Arial" w:hAnsi="Arial"/>
          <w:sz w:val="19"/>
          <w:szCs w:val="19"/>
          <w:color w:val="auto"/>
        </w:rPr>
        <w:t>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70" w:lineRule="exact"/>
        <w:rPr>
          <w:sz w:val="20"/>
          <w:szCs w:val="20"/>
          <w:color w:val="auto"/>
        </w:rPr>
      </w:pPr>
    </w:p>
    <w:p>
      <w:pPr>
        <w:jc w:val="both"/>
        <w:ind w:firstLine="656"/>
        <w:spacing w:after="0" w:line="250" w:lineRule="auto"/>
        <w:tabs>
          <w:tab w:leader="none" w:pos="1117" w:val="left"/>
        </w:tabs>
        <w:numPr>
          <w:ilvl w:val="0"/>
          <w:numId w:val="175"/>
        </w:numPr>
        <w:rPr>
          <w:rFonts w:ascii="Arial" w:cs="Arial" w:eastAsia="Arial" w:hAnsi="Arial"/>
          <w:sz w:val="20"/>
          <w:szCs w:val="20"/>
          <w:color w:val="auto"/>
        </w:rPr>
      </w:pPr>
      <w:r>
        <w:rPr>
          <w:rFonts w:ascii="Arial" w:cs="Arial" w:eastAsia="Arial" w:hAnsi="Arial"/>
          <w:sz w:val="20"/>
          <w:szCs w:val="20"/>
          <w:i w:val="1"/>
          <w:iCs w:val="1"/>
          <w:color w:val="auto"/>
        </w:rPr>
        <w:t>Liabilities</w:t>
      </w:r>
      <w:r>
        <w:rPr>
          <w:rFonts w:ascii="Arial" w:cs="Arial" w:eastAsia="Arial" w:hAnsi="Arial"/>
          <w:sz w:val="20"/>
          <w:szCs w:val="20"/>
          <w:color w:val="auto"/>
        </w:rPr>
        <w:t>. If this Agreement is terminated pursuant to this Section, such termination shall be without liability of any party to</w:t>
      </w:r>
      <w:r>
        <w:rPr>
          <w:rFonts w:ascii="Arial" w:cs="Arial" w:eastAsia="Arial" w:hAnsi="Arial"/>
          <w:sz w:val="20"/>
          <w:szCs w:val="20"/>
          <w:i w:val="1"/>
          <w:iCs w:val="1"/>
          <w:color w:val="auto"/>
        </w:rPr>
        <w:t xml:space="preserve"> </w:t>
      </w:r>
      <w:r>
        <w:rPr>
          <w:rFonts w:ascii="Arial" w:cs="Arial" w:eastAsia="Arial" w:hAnsi="Arial"/>
          <w:sz w:val="20"/>
          <w:szCs w:val="20"/>
          <w:color w:val="auto"/>
        </w:rPr>
        <w:t>any other party except as provided in Section 4 hereof, and provided further that Sections 1, 6, 7, 8, 15, 16 and 17 shall survive such termination and remain in full force and effect.</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165" w:lineRule="exact"/>
        <w:rPr>
          <w:sz w:val="20"/>
          <w:szCs w:val="20"/>
          <w:color w:val="auto"/>
        </w:rPr>
      </w:pPr>
    </w:p>
    <w:p>
      <w:pPr>
        <w:jc w:val="both"/>
        <w:ind w:left="660" w:firstLine="644"/>
        <w:spacing w:after="0" w:line="246" w:lineRule="auto"/>
        <w:tabs>
          <w:tab w:leader="none" w:pos="174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91" w:lineRule="exact"/>
        <w:rPr>
          <w:rFonts w:ascii="Arial" w:cs="Arial" w:eastAsia="Arial" w:hAnsi="Arial"/>
          <w:sz w:val="20"/>
          <w:szCs w:val="20"/>
          <w:color w:val="auto"/>
        </w:rPr>
      </w:pPr>
    </w:p>
    <w:p>
      <w:pPr>
        <w:jc w:val="both"/>
        <w:ind w:left="660" w:firstLine="644"/>
        <w:spacing w:after="0" w:line="246" w:lineRule="auto"/>
        <w:tabs>
          <w:tab w:leader="none" w:pos="1841"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action taken pursuant to this Section shall relieve any defaulting Underwriter from liability in respect of its default.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deemed to have been duly given if mailed or transmitted by any standard form of telecommunication. Notices to the Underwriters shall be directed to the Representatives at BofA, One Bryant Park, New York, New York 10036, attention of Syndicate Department (facsimile: (646) 855-3073), with a copy to ECM Legal (facsimile: (212) 230-8730); or Goldman Sachs &amp; Co. LLC, 200 West Street, New York, New York 10282, Attention: Registration Department; and notices to the Company shall be directed to it at [●], attention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19" w:right="339" w:bottom="1440" w:gutter="0" w:footer="0" w:header="0"/>
        </w:sectPr>
      </w:pPr>
    </w:p>
    <w:bookmarkStart w:id="261" w:name="page262"/>
    <w:bookmarkEnd w:id="261"/>
    <w:p>
      <w:pPr>
        <w:jc w:val="both"/>
        <w:ind w:firstLine="648"/>
        <w:spacing w:after="0" w:line="270"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 Advisory or Fiduciary Relationship</w:t>
      </w:r>
      <w:r>
        <w:rPr>
          <w:rFonts w:ascii="Arial" w:cs="Arial" w:eastAsia="Arial" w:hAnsi="Arial"/>
          <w:sz w:val="18"/>
          <w:szCs w:val="18"/>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7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3" w:lineRule="auto"/>
        <w:tabs>
          <w:tab w:leader="none" w:pos="1135"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6" w:lineRule="exact"/>
        <w:rPr>
          <w:rFonts w:ascii="Arial" w:cs="Arial" w:eastAsia="Arial" w:hAnsi="Arial"/>
          <w:sz w:val="19"/>
          <w:szCs w:val="19"/>
          <w:color w:val="auto"/>
        </w:rPr>
      </w:pPr>
    </w:p>
    <w:p>
      <w:pPr>
        <w:jc w:val="both"/>
        <w:ind w:firstLine="656"/>
        <w:spacing w:after="0" w:line="263" w:lineRule="auto"/>
        <w:tabs>
          <w:tab w:leader="none" w:pos="113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Parties</w:t>
      </w:r>
      <w:r>
        <w:rPr>
          <w:rFonts w:ascii="Arial" w:cs="Arial" w:eastAsia="Arial" w:hAnsi="Arial"/>
          <w:sz w:val="19"/>
          <w:szCs w:val="19"/>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19" w:right="339" w:bottom="1440" w:gutter="0" w:footer="0" w:header="0"/>
        </w:sectPr>
      </w:pPr>
    </w:p>
    <w:bookmarkStart w:id="262" w:name="page263"/>
    <w:bookmarkEnd w:id="262"/>
    <w:p>
      <w:pPr>
        <w:jc w:val="both"/>
        <w:spacing w:after="0" w:line="246" w:lineRule="auto"/>
        <w:rPr>
          <w:sz w:val="20"/>
          <w:szCs w:val="20"/>
          <w:color w:val="auto"/>
        </w:rPr>
      </w:pPr>
      <w:r>
        <w:rPr>
          <w:rFonts w:ascii="Arial" w:cs="Arial" w:eastAsia="Arial" w:hAnsi="Arial"/>
          <w:sz w:val="20"/>
          <w:szCs w:val="20"/>
          <w:color w:val="auto"/>
        </w:rPr>
        <w:t>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Consent to Jurisdiction</w:t>
      </w:r>
      <w:r>
        <w:rPr>
          <w:rFonts w:ascii="Arial" w:cs="Arial" w:eastAsia="Arial" w:hAnsi="Arial"/>
          <w:sz w:val="19"/>
          <w:szCs w:val="19"/>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TIME</w:t>
      </w:r>
      <w:r>
        <w:rPr>
          <w:rFonts w:ascii="Arial" w:cs="Arial" w:eastAsia="Arial" w:hAnsi="Arial"/>
          <w:sz w:val="20"/>
          <w:szCs w:val="20"/>
          <w:color w:val="auto"/>
        </w:rPr>
        <w:t>. TIME SHALL BE OF THE ESSENCE OF THIS AGREEMENT. EXCEPT AS OTHERWISE SET FORTH HEREIN, SPECIFIED TIMES OF DAY REFER TO NEW YORK CITY TIME.</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 and Electronic Signatures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6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color w:val="auto"/>
        </w:rPr>
        <w:t>SECTION 20.</w:t>
      </w:r>
      <w:r>
        <w:rPr>
          <w:sz w:val="20"/>
          <w:szCs w:val="20"/>
          <w:color w:val="auto"/>
        </w:rPr>
        <w:tab/>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19" w:right="339" w:bottom="1440" w:gutter="0" w:footer="0" w:header="0"/>
        </w:sectPr>
      </w:pPr>
    </w:p>
    <w:bookmarkStart w:id="263" w:name="page264"/>
    <w:bookmarkEnd w:id="263"/>
    <w:p>
      <w:pPr>
        <w:jc w:val="both"/>
        <w:ind w:firstLine="237"/>
        <w:spacing w:after="0" w:line="250" w:lineRule="auto"/>
        <w:rPr>
          <w:sz w:val="20"/>
          <w:szCs w:val="20"/>
          <w:color w:val="auto"/>
        </w:rPr>
      </w:pPr>
      <w:r>
        <w:rPr>
          <w:rFonts w:ascii="Arial" w:cs="Arial" w:eastAsia="Arial" w:hAnsi="Arial"/>
          <w:sz w:val="20"/>
          <w:szCs w:val="20"/>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0" w:lineRule="exact"/>
        <w:rPr>
          <w:sz w:val="20"/>
          <w:szCs w:val="20"/>
          <w:color w:val="auto"/>
        </w:rPr>
      </w:pPr>
    </w:p>
    <w:p>
      <w:pPr>
        <w:spacing w:after="0" w:line="242"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Very truly yours,</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PROCEPT BIOROBOTICS CORPORATION</w:t>
      </w:r>
    </w:p>
    <w:p>
      <w:pPr>
        <w:spacing w:after="0" w:line="200" w:lineRule="exact"/>
        <w:rPr>
          <w:sz w:val="20"/>
          <w:szCs w:val="20"/>
          <w:color w:val="auto"/>
        </w:rPr>
      </w:pPr>
    </w:p>
    <w:p>
      <w:pPr>
        <w:spacing w:after="0" w:line="353"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10160</wp:posOffset>
            </wp:positionV>
            <wp:extent cx="23056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19" w:right="339" w:bottom="1440" w:gutter="0" w:footer="0" w:header="0"/>
        </w:sectPr>
      </w:pPr>
    </w:p>
    <w:bookmarkStart w:id="264" w:name="page265"/>
    <w:bookmarkEnd w:id="264"/>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the date first above written: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93"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tab/>
        <w:t>BOFA SECURITIES, INC.</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6350</wp:posOffset>
            </wp:positionV>
            <wp:extent cx="29489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tab/>
        <w:t>GOLDMAN SACHS &amp; CO. LLC</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6350</wp:posOffset>
            </wp:positionV>
            <wp:extent cx="29489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other Underwriters named in Schedule A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0139"/>
          </w:cols>
          <w:pgMar w:left="320" w:top="1440" w:right="1440" w:bottom="1440" w:gutter="0" w:footer="0" w:header="0"/>
        </w:sectPr>
      </w:pPr>
    </w:p>
    <w:bookmarkStart w:id="265" w:name="page266"/>
    <w:bookmarkEnd w:id="265"/>
    <w:p>
      <w:pPr>
        <w:ind w:left="5020"/>
        <w:spacing w:after="0"/>
        <w:rPr>
          <w:sz w:val="20"/>
          <w:szCs w:val="20"/>
          <w:color w:val="auto"/>
        </w:rPr>
      </w:pPr>
      <w:r>
        <w:rPr>
          <w:rFonts w:ascii="Arial" w:cs="Arial" w:eastAsia="Arial" w:hAnsi="Arial"/>
          <w:sz w:val="20"/>
          <w:szCs w:val="20"/>
          <w:color w:val="auto"/>
        </w:rPr>
        <w:t>SCHEDULE 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initial public offering price per share for the Securities shall be $[●].</w:t>
      </w:r>
    </w:p>
    <w:p>
      <w:pPr>
        <w:spacing w:after="0" w:line="216"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The purchase price per share for the Securities to be paid by the several Underwriters shall be $[●], being an amount equal to the initial public offering price set forth above less $[●] per share, subject to adjustment in accordance with Section 2(b) for dividends or distributions declared by the Company and payable on the Initial Securities but not payable on the Option Securities.</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00" w:type="dxa"/>
            <w:vAlign w:val="bottom"/>
            <w:gridSpan w:val="2"/>
          </w:tcPr>
          <w:p>
            <w:pPr>
              <w:jc w:val="center"/>
              <w:ind w:right="1000"/>
              <w:spacing w:after="0"/>
              <w:rPr>
                <w:sz w:val="20"/>
                <w:szCs w:val="20"/>
                <w:color w:val="auto"/>
              </w:rPr>
            </w:pPr>
            <w:r>
              <w:rPr>
                <w:rFonts w:ascii="Arial" w:cs="Arial" w:eastAsia="Arial" w:hAnsi="Arial"/>
                <w:sz w:val="20"/>
                <w:szCs w:val="20"/>
                <w:color w:val="auto"/>
                <w:w w:val="92"/>
              </w:rPr>
              <w:t>Number of</w:t>
            </w:r>
          </w:p>
        </w:tc>
        <w:tc>
          <w:tcPr>
            <w:tcW w:w="0" w:type="dxa"/>
            <w:vAlign w:val="bottom"/>
          </w:tcPr>
          <w:p>
            <w:pPr>
              <w:spacing w:after="0"/>
              <w:rPr>
                <w:sz w:val="1"/>
                <w:szCs w:val="1"/>
                <w:color w:val="auto"/>
              </w:rPr>
            </w:pPr>
          </w:p>
        </w:tc>
      </w:tr>
      <w:tr>
        <w:trPr>
          <w:trHeight w:val="206"/>
        </w:trPr>
        <w:tc>
          <w:tcPr>
            <w:tcW w:w="7860" w:type="dxa"/>
            <w:vAlign w:val="bottom"/>
          </w:tcPr>
          <w:p>
            <w:pPr>
              <w:spacing w:after="0" w:line="200" w:lineRule="exact"/>
              <w:rPr>
                <w:sz w:val="20"/>
                <w:szCs w:val="20"/>
                <w:color w:val="auto"/>
              </w:rPr>
            </w:pPr>
            <w:r>
              <w:rPr>
                <w:rFonts w:ascii="Arial" w:cs="Arial" w:eastAsia="Arial" w:hAnsi="Arial"/>
                <w:sz w:val="20"/>
                <w:szCs w:val="20"/>
                <w:color w:val="auto"/>
              </w:rPr>
              <w:t>Name of Underwriter</w:t>
            </w:r>
          </w:p>
        </w:tc>
        <w:tc>
          <w:tcPr>
            <w:tcW w:w="1000" w:type="dxa"/>
            <w:vAlign w:val="bottom"/>
          </w:tcPr>
          <w:p>
            <w:pPr>
              <w:spacing w:after="0"/>
              <w:rPr>
                <w:sz w:val="17"/>
                <w:szCs w:val="17"/>
                <w:color w:val="auto"/>
              </w:rPr>
            </w:pPr>
          </w:p>
        </w:tc>
        <w:tc>
          <w:tcPr>
            <w:tcW w:w="130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20"/>
                <w:szCs w:val="20"/>
                <w:color w:val="auto"/>
                <w:w w:val="92"/>
              </w:rPr>
              <w:t>Initial Securities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7860" w:type="dxa"/>
            <w:vAlign w:val="bottom"/>
          </w:tcPr>
          <w:p>
            <w:pPr>
              <w:spacing w:after="0"/>
              <w:rPr>
                <w:sz w:val="20"/>
                <w:szCs w:val="20"/>
                <w:color w:val="auto"/>
              </w:rPr>
            </w:pPr>
            <w:r>
              <w:rPr>
                <w:rFonts w:ascii="Arial" w:cs="Arial" w:eastAsia="Arial" w:hAnsi="Arial"/>
                <w:sz w:val="20"/>
                <w:szCs w:val="20"/>
                <w:color w:val="auto"/>
              </w:rPr>
              <w:t>BofA Securities, Inc.</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0"/>
                <w:szCs w:val="20"/>
                <w:color w:val="auto"/>
              </w:rPr>
            </w:pPr>
            <w:r>
              <w:rPr>
                <w:rFonts w:ascii="Arial" w:cs="Arial" w:eastAsia="Arial" w:hAnsi="Arial"/>
                <w:sz w:val="20"/>
                <w:szCs w:val="20"/>
                <w:color w:val="auto"/>
              </w:rPr>
              <w:t>Goldman Sachs &amp; Co. LLC</w:t>
            </w:r>
          </w:p>
        </w:tc>
        <w:tc>
          <w:tcPr>
            <w:tcW w:w="10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20"/>
                <w:szCs w:val="20"/>
                <w:color w:val="auto"/>
              </w:rPr>
              <w:t>Cowen and Company, LLC</w:t>
            </w: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20"/>
                <w:szCs w:val="20"/>
                <w:color w:val="auto"/>
              </w:rPr>
              <w:t>Guggenheim Securities LLC</w:t>
            </w: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20"/>
                <w:szCs w:val="20"/>
                <w:color w:val="auto"/>
              </w:rPr>
              <w:t>SVB Leerink LLC</w:t>
            </w: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860" w:type="dxa"/>
            <w:vAlign w:val="bottom"/>
            <w:vMerge w:val="restart"/>
          </w:tcPr>
          <w:p>
            <w:pPr>
              <w:ind w:left="640"/>
              <w:spacing w:after="0"/>
              <w:rPr>
                <w:sz w:val="20"/>
                <w:szCs w:val="20"/>
                <w:color w:val="auto"/>
              </w:rPr>
            </w:pPr>
            <w:r>
              <w:rPr>
                <w:rFonts w:ascii="Arial" w:cs="Arial" w:eastAsia="Arial" w:hAnsi="Arial"/>
                <w:sz w:val="20"/>
                <w:szCs w:val="20"/>
                <w:color w:val="auto"/>
              </w:rPr>
              <w:t>Total</w:t>
            </w:r>
          </w:p>
        </w:tc>
        <w:tc>
          <w:tcPr>
            <w:tcW w:w="10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7860" w:type="dxa"/>
            <w:vAlign w:val="bottom"/>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Sch A - 1</w:t>
      </w:r>
    </w:p>
    <w:p>
      <w:pPr>
        <w:sectPr>
          <w:pgSz w:w="11900" w:h="16838" w:orient="portrait"/>
          <w:cols w:equalWidth="0" w:num="1">
            <w:col w:w="11240"/>
          </w:cols>
          <w:pgMar w:left="320" w:top="1419" w:right="339" w:bottom="1440" w:gutter="0" w:footer="0" w:header="0"/>
        </w:sectPr>
      </w:pPr>
    </w:p>
    <w:bookmarkStart w:id="266" w:name="page267"/>
    <w:bookmarkEnd w:id="266"/>
    <w:p>
      <w:pPr>
        <w:jc w:val="center"/>
        <w:ind w:right="-11"/>
        <w:spacing w:after="0"/>
        <w:rPr>
          <w:sz w:val="20"/>
          <w:szCs w:val="20"/>
          <w:color w:val="auto"/>
        </w:rPr>
      </w:pPr>
      <w:r>
        <w:rPr>
          <w:rFonts w:ascii="Arial" w:cs="Arial" w:eastAsia="Arial" w:hAnsi="Arial"/>
          <w:sz w:val="20"/>
          <w:szCs w:val="20"/>
          <w:color w:val="auto"/>
        </w:rPr>
        <w:t>SCHEDULE B-1</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u w:val="single" w:color="auto"/>
          <w:color w:val="auto"/>
        </w:rPr>
        <w:t>Pricing Terms</w:t>
      </w:r>
    </w:p>
    <w:p>
      <w:pPr>
        <w:spacing w:after="0" w:line="216" w:lineRule="exact"/>
        <w:rPr>
          <w:sz w:val="20"/>
          <w:szCs w:val="20"/>
          <w:color w:val="auto"/>
        </w:rPr>
      </w:pPr>
    </w:p>
    <w:p>
      <w:pPr>
        <w:ind w:left="352" w:hanging="352"/>
        <w:spacing w:after="0"/>
        <w:tabs>
          <w:tab w:leader="none" w:pos="35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Company is selling [●] shares of Common Stock.</w:t>
      </w:r>
    </w:p>
    <w:p>
      <w:pPr>
        <w:spacing w:after="0" w:line="215" w:lineRule="exact"/>
        <w:rPr>
          <w:rFonts w:ascii="Arial" w:cs="Arial" w:eastAsia="Arial" w:hAnsi="Arial"/>
          <w:sz w:val="20"/>
          <w:szCs w:val="20"/>
          <w:color w:val="auto"/>
        </w:rPr>
      </w:pPr>
    </w:p>
    <w:p>
      <w:pPr>
        <w:ind w:left="-8" w:firstLine="8"/>
        <w:spacing w:after="0" w:line="260" w:lineRule="auto"/>
        <w:tabs>
          <w:tab w:leader="none" w:pos="34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Company has granted an option to the Underwriters, severally and not jointly, to purchase up to an additional [●] shares of Common Stock.</w:t>
      </w:r>
    </w:p>
    <w:p>
      <w:pPr>
        <w:spacing w:after="0" w:line="176" w:lineRule="exact"/>
        <w:rPr>
          <w:rFonts w:ascii="Arial" w:cs="Arial" w:eastAsia="Arial" w:hAnsi="Arial"/>
          <w:sz w:val="20"/>
          <w:szCs w:val="20"/>
          <w:color w:val="auto"/>
        </w:rPr>
      </w:pPr>
    </w:p>
    <w:p>
      <w:pPr>
        <w:ind w:left="352" w:hanging="352"/>
        <w:spacing w:after="0"/>
        <w:tabs>
          <w:tab w:leader="none" w:pos="35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initial public offering price per share for the Securities shall be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Sch B - 1</w:t>
      </w:r>
    </w:p>
    <w:p>
      <w:pPr>
        <w:sectPr>
          <w:pgSz w:w="11900" w:h="16838" w:orient="portrait"/>
          <w:cols w:equalWidth="0" w:num="1">
            <w:col w:w="11232"/>
          </w:cols>
          <w:pgMar w:left="328" w:top="1419" w:right="339" w:bottom="1440" w:gutter="0" w:footer="0" w:header="0"/>
        </w:sectPr>
      </w:pPr>
    </w:p>
    <w:bookmarkStart w:id="267" w:name="page268"/>
    <w:bookmarkEnd w:id="267"/>
    <w:p>
      <w:pPr>
        <w:jc w:val="center"/>
        <w:ind w:right="-1100"/>
        <w:spacing w:after="0"/>
        <w:rPr>
          <w:sz w:val="20"/>
          <w:szCs w:val="20"/>
          <w:color w:val="auto"/>
        </w:rPr>
      </w:pPr>
      <w:r>
        <w:rPr>
          <w:rFonts w:ascii="Arial" w:cs="Arial" w:eastAsia="Arial" w:hAnsi="Arial"/>
          <w:sz w:val="20"/>
          <w:szCs w:val="20"/>
          <w:color w:val="auto"/>
        </w:rPr>
        <w:t>SCHEDULE B-2</w:t>
      </w:r>
    </w:p>
    <w:p>
      <w:pPr>
        <w:spacing w:after="0" w:line="216" w:lineRule="exact"/>
        <w:rPr>
          <w:sz w:val="20"/>
          <w:szCs w:val="20"/>
          <w:color w:val="auto"/>
        </w:rPr>
      </w:pPr>
    </w:p>
    <w:p>
      <w:pPr>
        <w:ind w:left="4580"/>
        <w:spacing w:after="0"/>
        <w:rPr>
          <w:sz w:val="20"/>
          <w:szCs w:val="20"/>
          <w:color w:val="auto"/>
        </w:rPr>
      </w:pPr>
      <w:r>
        <w:rPr>
          <w:rFonts w:ascii="Arial" w:cs="Arial" w:eastAsia="Arial" w:hAnsi="Arial"/>
          <w:sz w:val="16"/>
          <w:szCs w:val="16"/>
          <w:u w:val="single" w:color="auto"/>
          <w:color w:val="auto"/>
        </w:rPr>
        <w:t>Free Writing Prospectuses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[SPECIFY EACH ISSUER GENERAL USE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Sch B - 2</w:t>
      </w:r>
    </w:p>
    <w:p>
      <w:pPr>
        <w:sectPr>
          <w:pgSz w:w="11900" w:h="16838" w:orient="portrait"/>
          <w:cols w:equalWidth="0" w:num="1">
            <w:col w:w="10139"/>
          </w:cols>
          <w:pgMar w:left="320" w:top="1419" w:right="1440" w:bottom="1440" w:gutter="0" w:footer="0" w:header="0"/>
        </w:sectPr>
      </w:pPr>
    </w:p>
    <w:bookmarkStart w:id="268" w:name="page269"/>
    <w:bookmarkEnd w:id="268"/>
    <w:p>
      <w:pPr>
        <w:jc w:val="center"/>
        <w:ind w:right="-1120"/>
        <w:spacing w:after="0"/>
        <w:rPr>
          <w:sz w:val="20"/>
          <w:szCs w:val="20"/>
          <w:color w:val="auto"/>
        </w:rPr>
      </w:pPr>
      <w:r>
        <w:rPr>
          <w:rFonts w:ascii="Arial" w:cs="Arial" w:eastAsia="Arial" w:hAnsi="Arial"/>
          <w:sz w:val="20"/>
          <w:szCs w:val="20"/>
          <w:color w:val="auto"/>
        </w:rPr>
        <w:t>SCHEDULE B-3</w:t>
      </w:r>
    </w:p>
    <w:p>
      <w:pPr>
        <w:spacing w:after="0" w:line="216" w:lineRule="exact"/>
        <w:rPr>
          <w:sz w:val="20"/>
          <w:szCs w:val="20"/>
          <w:color w:val="auto"/>
        </w:rPr>
      </w:pPr>
    </w:p>
    <w:p>
      <w:pPr>
        <w:ind w:left="3860"/>
        <w:spacing w:after="0"/>
        <w:rPr>
          <w:sz w:val="20"/>
          <w:szCs w:val="20"/>
          <w:color w:val="auto"/>
        </w:rPr>
      </w:pPr>
      <w:r>
        <w:rPr>
          <w:rFonts w:ascii="Arial" w:cs="Arial" w:eastAsia="Arial" w:hAnsi="Arial"/>
          <w:sz w:val="16"/>
          <w:szCs w:val="16"/>
          <w:u w:val="single" w:color="auto"/>
          <w:color w:val="auto"/>
        </w:rPr>
        <w:t>Written Testing-the-Waters Communications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PROCEPT BioRobotics Corporation Testing-the-Waters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Sch B - 3</w:t>
      </w:r>
    </w:p>
    <w:p>
      <w:pPr>
        <w:sectPr>
          <w:pgSz w:w="11900" w:h="16838" w:orient="portrait"/>
          <w:cols w:equalWidth="0" w:num="1">
            <w:col w:w="10139"/>
          </w:cols>
          <w:pgMar w:left="320" w:top="1419" w:right="1440" w:bottom="1440" w:gutter="0" w:footer="0" w:header="0"/>
        </w:sectPr>
      </w:pPr>
    </w:p>
    <w:bookmarkStart w:id="269" w:name="page270"/>
    <w:bookmarkEnd w:id="269"/>
    <w:p>
      <w:pPr>
        <w:jc w:val="right"/>
        <w:spacing w:after="0"/>
        <w:rPr>
          <w:sz w:val="20"/>
          <w:szCs w:val="20"/>
          <w:color w:val="auto"/>
        </w:rPr>
      </w:pPr>
      <w:r>
        <w:rPr>
          <w:rFonts w:ascii="Arial" w:cs="Arial" w:eastAsia="Arial" w:hAnsi="Arial"/>
          <w:sz w:val="20"/>
          <w:szCs w:val="20"/>
          <w:color w:val="auto"/>
        </w:rPr>
        <w:t>Exhibit A</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[Form of lock-up from directors, officers or other stockholders pursuant to Section 5(j)]</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 2021</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Underwriters to be named in the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within-mentioned Underwriting Agreement</w:t>
      </w:r>
    </w:p>
    <w:p>
      <w:pPr>
        <w:spacing w:after="0" w:line="293"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7"/>
          <w:szCs w:val="17"/>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Bryant Park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10036</w:t>
      </w:r>
    </w:p>
    <w:p>
      <w:pPr>
        <w:spacing w:after="0" w:line="293"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7"/>
          <w:szCs w:val="17"/>
          <w:color w:val="auto"/>
        </w:rPr>
        <w:t>Goldman Sachs &amp; Co.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200 West Street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10282</w:t>
      </w:r>
    </w:p>
    <w:p>
      <w:pPr>
        <w:spacing w:after="0" w:line="200" w:lineRule="exact"/>
        <w:rPr>
          <w:sz w:val="20"/>
          <w:szCs w:val="20"/>
          <w:color w:val="auto"/>
        </w:rPr>
      </w:pPr>
    </w:p>
    <w:p>
      <w:pPr>
        <w:spacing w:after="0" w:line="32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u w:val="single" w:color="auto"/>
          <w:color w:val="auto"/>
        </w:rPr>
        <w:t>Proposed Public Offering by PROCEPT BioRobotics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Sirs/Madams: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undersigned, a stockholder, an officer and/or director of PROCEPT BioRobotics Corporation, a Delaware corporation (the “Company”), understands that BofA Securities, Inc. (“BofA”) and Goldman Sachs &amp; Co. LLC (“Goldman Sachs” and together with BofA, the “Representatives”) propose to enter into an Underwriting Agreement (the “Underwriting Agreement”) with the Company providing for the public offering (the “Public Offering”) of shares of the Company’s common stock, par value $0.001 per share (the “Common Stock”). In recognition of the benefit that the Public Offering will confer upon the undersigned as a stockholder, an officer and/or director of the Company, and for other good and valuable consideration, the receipt and sufficiency of which are hereby acknowledged, the undersigned agrees with each underwriter to be named in the Underwriting Agreement (the “Underwriters”) that, during the period beginning on the date hereof and ending on the date that is 180 days from the date of the Underwriting Agreement (the “Lock-Up Period”), the undersigned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shares of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or (ii) enter into any swap or any other agreement or any transaction that transfers, in whole or in part, directly or indirectly, the economic consequence of ownership of the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A-1</w:t>
      </w:r>
    </w:p>
    <w:p>
      <w:pPr>
        <w:sectPr>
          <w:pgSz w:w="11900" w:h="16838" w:orient="portrait"/>
          <w:cols w:equalWidth="0" w:num="1">
            <w:col w:w="11240"/>
          </w:cols>
          <w:pgMar w:left="320" w:top="1419" w:right="339" w:bottom="1440" w:gutter="0" w:footer="0" w:header="0"/>
        </w:sectPr>
      </w:pPr>
    </w:p>
    <w:bookmarkStart w:id="270" w:name="page271"/>
    <w:bookmarkEnd w:id="270"/>
    <w:p>
      <w:pPr>
        <w:jc w:val="both"/>
        <w:spacing w:after="0" w:line="250" w:lineRule="auto"/>
        <w:rPr>
          <w:sz w:val="20"/>
          <w:szCs w:val="20"/>
          <w:color w:val="auto"/>
        </w:rPr>
      </w:pPr>
      <w:r>
        <w:rPr>
          <w:rFonts w:ascii="Arial" w:cs="Arial" w:eastAsia="Arial" w:hAnsi="Arial"/>
          <w:sz w:val="20"/>
          <w:szCs w:val="20"/>
          <w:color w:val="auto"/>
        </w:rPr>
        <w:t>Securities, whether any such swap or transaction is to be settled by delivery of shares of Common Stock or other securities, in cash or otherwise. If the undersigned is an officer or director of the Company, the undersigned further agrees that the foregoing provisions shall be equally applicable to any issuer-directed securities the undersigned may purchase in the Public Offering.</w:t>
      </w:r>
    </w:p>
    <w:p>
      <w:pPr>
        <w:spacing w:after="0" w:line="186"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If the undersigned is an officer or director of the Company, (1)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lock-up agreement to the extent and for the duration that such terms remain in effect at the time of the transfer.</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and subject to the conditions below, the undersigned may, without the prior written consent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Representatives:</w:t>
      </w:r>
    </w:p>
    <w:p>
      <w:pPr>
        <w:spacing w:after="0" w:line="200" w:lineRule="exact"/>
        <w:rPr>
          <w:sz w:val="20"/>
          <w:szCs w:val="20"/>
          <w:color w:val="auto"/>
        </w:rPr>
      </w:pPr>
    </w:p>
    <w:p>
      <w:pPr>
        <w:jc w:val="both"/>
        <w:ind w:left="660" w:hanging="328"/>
        <w:spacing w:after="0" w:line="259" w:lineRule="auto"/>
        <w:tabs>
          <w:tab w:leader="none" w:pos="729"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transfer Lock-Up Securities, provided that (1) the Representatives receive a signed lock-up agreement for the balance of the Lock-Up Period from each donee, trustee, distributee, or transferee, as the case may be, (2) any such transfer shall not involve a disposition for value, (3) in the case of clauses (i) through (iv) below, such transfers are not required to be reported during the Lock-Up Period with the Securities and Exchange Commission (the “Commission”) on Form 4 in accordance with Section 16 of the Securities Exchange Act of 1934, as amended (the “Exchange Act”), and (4) the undersigned does not otherwise voluntarily effect any public filing or report regarding such transfers during the Lock-Up Period:</w:t>
      </w:r>
    </w:p>
    <w:p>
      <w:pPr>
        <w:spacing w:after="0" w:line="178" w:lineRule="exact"/>
        <w:rPr>
          <w:rFonts w:ascii="Arial" w:cs="Arial" w:eastAsia="Arial" w:hAnsi="Arial"/>
          <w:sz w:val="19"/>
          <w:szCs w:val="19"/>
          <w:color w:val="auto"/>
        </w:rPr>
      </w:pPr>
    </w:p>
    <w:p>
      <w:pPr>
        <w:ind w:left="1040" w:hanging="384"/>
        <w:spacing w:after="0"/>
        <w:tabs>
          <w:tab w:leader="none" w:pos="104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 xml:space="preserve">as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gift or gifts; or</w:t>
      </w:r>
    </w:p>
    <w:p>
      <w:pPr>
        <w:spacing w:after="0" w:line="215" w:lineRule="exact"/>
        <w:rPr>
          <w:rFonts w:ascii="Arial" w:cs="Arial" w:eastAsia="Arial" w:hAnsi="Arial"/>
          <w:sz w:val="20"/>
          <w:szCs w:val="20"/>
          <w:color w:val="auto"/>
        </w:rPr>
      </w:pPr>
    </w:p>
    <w:p>
      <w:pPr>
        <w:ind w:left="1300" w:hanging="644"/>
        <w:spacing w:after="0" w:line="250" w:lineRule="auto"/>
        <w:tabs>
          <w:tab w:leader="none" w:pos="1102" w:val="left"/>
        </w:tabs>
        <w:numPr>
          <w:ilvl w:val="1"/>
          <w:numId w:val="179"/>
        </w:numPr>
        <w:rPr>
          <w:rFonts w:ascii="Arial" w:cs="Arial" w:eastAsia="Arial" w:hAnsi="Arial"/>
          <w:sz w:val="20"/>
          <w:szCs w:val="20"/>
          <w:color w:val="auto"/>
        </w:rPr>
      </w:pPr>
      <w:r>
        <w:rPr>
          <w:rFonts w:ascii="Arial" w:cs="Arial" w:eastAsia="Arial" w:hAnsi="Arial"/>
          <w:sz w:val="20"/>
          <w:szCs w:val="20"/>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w:t>
      </w:r>
    </w:p>
    <w:p>
      <w:pPr>
        <w:spacing w:after="0" w:line="185" w:lineRule="exact"/>
        <w:rPr>
          <w:rFonts w:ascii="Arial" w:cs="Arial" w:eastAsia="Arial" w:hAnsi="Arial"/>
          <w:sz w:val="20"/>
          <w:szCs w:val="20"/>
          <w:color w:val="auto"/>
        </w:rPr>
      </w:pPr>
    </w:p>
    <w:p>
      <w:pPr>
        <w:ind w:left="1160" w:hanging="504"/>
        <w:spacing w:after="0"/>
        <w:tabs>
          <w:tab w:leader="none" w:pos="116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as a distribution to limited partners, members, stockholders or other equity holders of the undersigned; or</w:t>
      </w:r>
    </w:p>
    <w:p>
      <w:pPr>
        <w:spacing w:after="0" w:line="215" w:lineRule="exact"/>
        <w:rPr>
          <w:rFonts w:ascii="Arial" w:cs="Arial" w:eastAsia="Arial" w:hAnsi="Arial"/>
          <w:sz w:val="20"/>
          <w:szCs w:val="20"/>
          <w:color w:val="auto"/>
        </w:rPr>
      </w:pPr>
    </w:p>
    <w:p>
      <w:pPr>
        <w:ind w:left="1300" w:hanging="644"/>
        <w:spacing w:after="0" w:line="260" w:lineRule="auto"/>
        <w:tabs>
          <w:tab w:leader="none" w:pos="1227" w:val="left"/>
        </w:tabs>
        <w:numPr>
          <w:ilvl w:val="1"/>
          <w:numId w:val="179"/>
        </w:numPr>
        <w:rPr>
          <w:rFonts w:ascii="Arial" w:cs="Arial" w:eastAsia="Arial" w:hAnsi="Arial"/>
          <w:sz w:val="20"/>
          <w:szCs w:val="20"/>
          <w:color w:val="auto"/>
        </w:rPr>
      </w:pPr>
      <w:r>
        <w:rPr>
          <w:rFonts w:ascii="Arial" w:cs="Arial" w:eastAsia="Arial" w:hAnsi="Arial"/>
          <w:sz w:val="20"/>
          <w:szCs w:val="20"/>
          <w:color w:val="auto"/>
        </w:rPr>
        <w:t>to the undersigned’s affiliates or to any investment fund or other entity that, directly or indirectly, controls or manages, is controlled or managed by, or is under common control or management with, the undersigned; or</w:t>
      </w:r>
    </w:p>
    <w:p>
      <w:pPr>
        <w:spacing w:after="0" w:line="176" w:lineRule="exact"/>
        <w:rPr>
          <w:rFonts w:ascii="Arial" w:cs="Arial" w:eastAsia="Arial" w:hAnsi="Arial"/>
          <w:sz w:val="20"/>
          <w:szCs w:val="20"/>
          <w:color w:val="auto"/>
        </w:rPr>
      </w:pPr>
    </w:p>
    <w:p>
      <w:pPr>
        <w:ind w:left="1300" w:hanging="644"/>
        <w:spacing w:after="0" w:line="246" w:lineRule="auto"/>
        <w:tabs>
          <w:tab w:leader="none" w:pos="115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by will or intestate succession upon the death of the undersigned, provided that, any required filing under Section 16 of the Exchange Act made during the Lock-Up Period shall clearly indicate in the footnotes thereto that the filing relates to the circumstances described above, and the undersigned does not otherwise voluntarily effect any other public filings or reports regarding such exercise during the Lock-Up Period; or</w:t>
      </w:r>
    </w:p>
    <w:p>
      <w:pPr>
        <w:spacing w:after="0" w:line="191" w:lineRule="exact"/>
        <w:rPr>
          <w:rFonts w:ascii="Arial" w:cs="Arial" w:eastAsia="Arial" w:hAnsi="Arial"/>
          <w:sz w:val="20"/>
          <w:szCs w:val="20"/>
          <w:color w:val="auto"/>
        </w:rPr>
      </w:pPr>
    </w:p>
    <w:p>
      <w:pPr>
        <w:ind w:left="1300" w:hanging="644"/>
        <w:spacing w:after="0" w:line="260" w:lineRule="auto"/>
        <w:tabs>
          <w:tab w:leader="none" w:pos="1208" w:val="left"/>
        </w:tabs>
        <w:numPr>
          <w:ilvl w:val="1"/>
          <w:numId w:val="179"/>
        </w:numPr>
        <w:rPr>
          <w:rFonts w:ascii="Arial" w:cs="Arial" w:eastAsia="Arial" w:hAnsi="Arial"/>
          <w:sz w:val="20"/>
          <w:szCs w:val="20"/>
          <w:color w:val="auto"/>
        </w:rPr>
      </w:pPr>
      <w:r>
        <w:rPr>
          <w:rFonts w:ascii="Arial" w:cs="Arial" w:eastAsia="Arial" w:hAnsi="Arial"/>
          <w:sz w:val="20"/>
          <w:szCs w:val="20"/>
          <w:color w:val="auto"/>
        </w:rPr>
        <w:t>pursuant to a court order, a qualified domestic order or in connection with a divorce settlement provided that, any required filing under Section 16 of the Exchange Act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A-2</w:t>
      </w:r>
    </w:p>
    <w:p>
      <w:pPr>
        <w:sectPr>
          <w:pgSz w:w="11900" w:h="16838" w:orient="portrait"/>
          <w:cols w:equalWidth="0" w:num="1">
            <w:col w:w="11240"/>
          </w:cols>
          <w:pgMar w:left="320" w:top="1419" w:right="339" w:bottom="1440" w:gutter="0" w:footer="0" w:header="0"/>
        </w:sectPr>
      </w:pPr>
    </w:p>
    <w:bookmarkStart w:id="271" w:name="page272"/>
    <w:bookmarkEnd w:id="271"/>
    <w:p>
      <w:pPr>
        <w:jc w:val="both"/>
        <w:ind w:left="968"/>
        <w:spacing w:after="0" w:line="250" w:lineRule="auto"/>
        <w:rPr>
          <w:sz w:val="20"/>
          <w:szCs w:val="20"/>
          <w:color w:val="auto"/>
        </w:rPr>
      </w:pPr>
      <w:r>
        <w:rPr>
          <w:rFonts w:ascii="Arial" w:cs="Arial" w:eastAsia="Arial" w:hAnsi="Arial"/>
          <w:sz w:val="20"/>
          <w:szCs w:val="20"/>
          <w:color w:val="auto"/>
        </w:rPr>
        <w:t>during the Lock-Up Period shall clearly indicate in the footnotes thereto that the filing relates to the circumstances described above, and the undersigned does not otherwise voluntarily effect any other public filings or reports regarding such exercise during the Lock-Up Period;</w:t>
      </w:r>
    </w:p>
    <w:p>
      <w:pPr>
        <w:spacing w:after="0" w:line="186" w:lineRule="exact"/>
        <w:rPr>
          <w:sz w:val="20"/>
          <w:szCs w:val="20"/>
          <w:color w:val="auto"/>
        </w:rPr>
      </w:pPr>
    </w:p>
    <w:p>
      <w:pPr>
        <w:jc w:val="both"/>
        <w:ind w:left="328" w:hanging="328"/>
        <w:spacing w:after="0" w:line="242" w:lineRule="auto"/>
        <w:tabs>
          <w:tab w:leader="none" w:pos="38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exercise any rights to purchase, exchange or convert any stock options granted to the undersigned pursuant to the Company’s equity incentive plans referred to in the prospectus relating to the Public Offering, or any warrants or other securities convertible into or exercisable or exchangeable for shares of Common Stock, which warrants or other securities are described in the prospectus relating to the Public Offering, provided that (1) the underlying shares of Common Stock continue to be subject to the restrictions on transfer set forth in this lock-up agreement, (2) any required filing under Section 16 of the Exchange Act made during the Lock-Up Period shall clearly indicate in the footnotes thereto that (A) the filing relates to the circumstances described above and (B) the underlying shares of Common Stock continue to be subject to the restrictions on transfer set forth in this lock-up agreement and (3) the undersigned does not otherwise voluntarily effect any other public filings or reports regarding such exercise during the Lock-Up Period;</w:t>
      </w:r>
    </w:p>
    <w:p>
      <w:pPr>
        <w:spacing w:after="0" w:line="194" w:lineRule="exact"/>
        <w:rPr>
          <w:rFonts w:ascii="Arial" w:cs="Arial" w:eastAsia="Arial" w:hAnsi="Arial"/>
          <w:sz w:val="20"/>
          <w:szCs w:val="20"/>
          <w:color w:val="auto"/>
        </w:rPr>
      </w:pPr>
    </w:p>
    <w:p>
      <w:pPr>
        <w:jc w:val="both"/>
        <w:ind w:left="328" w:hanging="328"/>
        <w:spacing w:after="0" w:line="246" w:lineRule="auto"/>
        <w:tabs>
          <w:tab w:leader="none" w:pos="35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sell or otherwise transfer Lock-Up Securities to the Company in connection with the termination of the undersigned’s employment or other service with the Company, provided that any filing under Section 16 of the Exchange Act made during the Lock-Up Period shall clearly indicate in the footnotes thereto that the filing relates to the circumstances described in this clause and no public filing, report or announcement shall be voluntarily made;</w:t>
      </w:r>
    </w:p>
    <w:p>
      <w:pPr>
        <w:spacing w:after="0" w:line="191" w:lineRule="exact"/>
        <w:rPr>
          <w:rFonts w:ascii="Arial" w:cs="Arial" w:eastAsia="Arial" w:hAnsi="Arial"/>
          <w:sz w:val="20"/>
          <w:szCs w:val="20"/>
          <w:color w:val="auto"/>
        </w:rPr>
      </w:pPr>
    </w:p>
    <w:p>
      <w:pPr>
        <w:jc w:val="both"/>
        <w:ind w:left="328" w:hanging="328"/>
        <w:spacing w:after="0" w:line="257" w:lineRule="auto"/>
        <w:tabs>
          <w:tab w:leader="none" w:pos="41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transfer Lock-Up Securities pursuant to a bona fide third-party tender offer, or in connection with a merger, consolidation or other similar transaction, that is approved by the Board of Directors of the Company, made to all holders of the Company’s capital stock involving a change of control of the Company; provided that, in the event that such tender offer, merger, consolidation or other transaction is not completed, such securities shall remain subject to the restrictions on transfer set forth in this lock-up agreement (for purposes hereof, “change of control” shall mean the transfer (whether by tender offer, merger, consolidation or other similar transaction), in one transaction or a series of related transactions, to a person or group of affiliated persons, of shares of capital stock of the Company if, after such transaction or transactions, such person or group of affiliated persons would hold more than 50% of the outstanding voting securities of the Company (or the surviving entity));</w:t>
      </w:r>
    </w:p>
    <w:p>
      <w:pPr>
        <w:spacing w:after="0" w:line="180" w:lineRule="exact"/>
        <w:rPr>
          <w:rFonts w:ascii="Arial" w:cs="Arial" w:eastAsia="Arial" w:hAnsi="Arial"/>
          <w:sz w:val="19"/>
          <w:szCs w:val="19"/>
          <w:color w:val="auto"/>
        </w:rPr>
      </w:pPr>
    </w:p>
    <w:p>
      <w:pPr>
        <w:jc w:val="both"/>
        <w:ind w:left="328" w:hanging="328"/>
        <w:spacing w:after="0" w:line="243" w:lineRule="auto"/>
        <w:tabs>
          <w:tab w:leader="none" w:pos="38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convert shares of preferred stock of the Company into shares of Common Stock in connection with the consummation of the Public Offering, as described in the prospectus relating to the Public Offering, provided that any shares of Common Stock received upon such conversion shall be subject to the terms of this lock-up agreement, and provided further that any required filing under Section 16 of the Exchange Act made during the Lock-Up Period shall clearly indicate in the footnotes thereto the circumstances described above, and the undersigned does not otherwise voluntarily effect any other public filings or reports regarding such exercise during the Lock-Up Period; and</w:t>
      </w:r>
    </w:p>
    <w:p>
      <w:pPr>
        <w:spacing w:after="0" w:line="195" w:lineRule="exact"/>
        <w:rPr>
          <w:rFonts w:ascii="Arial" w:cs="Arial" w:eastAsia="Arial" w:hAnsi="Arial"/>
          <w:sz w:val="20"/>
          <w:szCs w:val="20"/>
          <w:color w:val="auto"/>
        </w:rPr>
      </w:pPr>
    </w:p>
    <w:p>
      <w:pPr>
        <w:jc w:val="both"/>
        <w:ind w:left="328" w:hanging="328"/>
        <w:spacing w:after="0" w:line="291" w:lineRule="auto"/>
        <w:tabs>
          <w:tab w:leader="none" w:pos="35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transfer Lock-Up Securities to the Company upon (i) a vesting event of any equity award granted under any equity incentive plan or stock purchase plan of the Company described in the prospectus relating to the Public Offering, or (ii) upon the exercise by the undersigned of options or warrants in accordance with clause (b) above, in each case, on a “net” or “cashless”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Exhibit A-3</w:t>
      </w:r>
    </w:p>
    <w:p>
      <w:pPr>
        <w:sectPr>
          <w:pgSz w:w="11900" w:h="16838" w:orient="portrait"/>
          <w:cols w:equalWidth="0" w:num="1">
            <w:col w:w="10908"/>
          </w:cols>
          <w:pgMar w:left="652" w:top="1419" w:right="339" w:bottom="1440" w:gutter="0" w:footer="0" w:header="0"/>
        </w:sectPr>
      </w:pPr>
    </w:p>
    <w:bookmarkStart w:id="272" w:name="page273"/>
    <w:bookmarkEnd w:id="272"/>
    <w:p>
      <w:pPr>
        <w:jc w:val="both"/>
        <w:ind w:left="660"/>
        <w:spacing w:after="0" w:line="273" w:lineRule="auto"/>
        <w:rPr>
          <w:sz w:val="20"/>
          <w:szCs w:val="20"/>
          <w:color w:val="auto"/>
        </w:rPr>
      </w:pPr>
      <w:r>
        <w:rPr>
          <w:rFonts w:ascii="Arial" w:cs="Arial" w:eastAsia="Arial" w:hAnsi="Arial"/>
          <w:sz w:val="18"/>
          <w:szCs w:val="18"/>
          <w:color w:val="auto"/>
        </w:rPr>
        <w:t>basis, and/or to cover tax withholding obligations of the undersigned in connection therewith, provided, in each case, that (1) any shares of Common Stock received upon such transfer shall be subject to the terms of this lock-up agreement, (2) provided no public filing, report or announcement reporting a reduction in beneficial ownership of shares of Common Stock shall be required or shall be voluntarily made during the Lock-Up Period within 60 days after the date of the prospectus relating to the Public Offering, and after such 60th day, if the undersigned is required to file a report reporting a reduction in beneficial ownership of shares of Common Stock during the Lock-Up Period, such report or filing shall clearly indicate in the footnotes thereto that the filing relates to the circumstances described in this clause and that the shares of Common Stock received upon exercise of the stock option or warrant or vesting event are subject to this agreement, and no public filing, report or announcement shall be voluntarily made.</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Notwithstanding anything herein to the contrary, nothing in this lock-up agreement shall prevent the undersigned from establishing a 10b5-l trading plan that complies with Rule 10b5-l under the Exchange Act (“10b5-l Trading Plan”) or from amending an existing 10b5-l Trading Plan so long as there are no sales of Lock-Up Securities under such plan during the Lock-Up Period; and provided that, the establishment of a 10b5-1 Trading Plan or the amendment of a 10b5-l Trading Plan, in either case, providing for sales of Lock-Up Securities shall only be permitted if (i) the establishment or amendment of such plan is not required to be reported in any public report or filing with the Commission or otherwise during the Lock-Up Period, and (ii) the undersigned does not otherwise voluntarily effect any public filing or report regarding the establishment or amendment of such plan during the Lock-Up Period.</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Furthermore, the undersigned may sell shares of Common Stock purchased by the undersigned from the Underwriters in the Public Offering (other than any issuer-directed shares of Common Stock purchased in the Public Offering by an officer or director of the Company) or on the open market following the Public Offering if and only if (i) such sales are not required to be reported during the Lock-Up Period in any public report or filing with the Commission, or otherwise and (ii) the undersigned does not otherwise voluntarily effect any public filing or report regarding such sales during the Lock-Up Period.</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enter into this lock-up agreement and nothing set forth in such disclosures is intended to suggest that the Representatives or any Underwriter is making such a recommendation.</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undersigned understands that, if (1) the execution of the Underwriting Agreement in connection with the Public Offering shall not have occurred on or before December 31, 2021, (2) the date that the Company withdraws the registration statement relating to the Public Offering, (3) the Underwriting Agreement (other than the provisions thereof which survive termination) shall terminate or be terminated prior to payment for and delivery of the Common Stock to be sold thereunder, (4)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A-4</w:t>
      </w:r>
    </w:p>
    <w:p>
      <w:pPr>
        <w:sectPr>
          <w:pgSz w:w="11900" w:h="16838" w:orient="portrait"/>
          <w:cols w:equalWidth="0" w:num="1">
            <w:col w:w="11240"/>
          </w:cols>
          <w:pgMar w:left="320" w:top="1419" w:right="339" w:bottom="1440" w:gutter="0" w:footer="0" w:header="0"/>
        </w:sectPr>
      </w:pPr>
    </w:p>
    <w:bookmarkStart w:id="273" w:name="page274"/>
    <w:bookmarkEnd w:id="273"/>
    <w:p>
      <w:pPr>
        <w:jc w:val="both"/>
        <w:spacing w:after="0" w:line="263" w:lineRule="auto"/>
        <w:rPr>
          <w:sz w:val="20"/>
          <w:szCs w:val="20"/>
          <w:color w:val="auto"/>
        </w:rPr>
      </w:pPr>
      <w:r>
        <w:rPr>
          <w:rFonts w:ascii="Arial" w:cs="Arial" w:eastAsia="Arial" w:hAnsi="Arial"/>
          <w:sz w:val="19"/>
          <w:szCs w:val="19"/>
          <w:color w:val="auto"/>
        </w:rPr>
        <w:t>Representatives, on behalf of the Underwriters, advise the Company, or the Company advises the Representatives, in each case in writing, prior to the execution of the Underwriting Agreement, that they have determined not to proceed with the Public Offering, the undersigned shall be released from all obligations under this lock-up agreement; provided, however, that in the case of (1), the Company may, by written notice to the undersigned prior to such date, extend such date for a period of up to three additional months.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This lock-up agreement and any claim, controversy or dispute arising under or related to this lock-up agreement shall be governed by and construed in accordance with the laws of the State of New York, without regard to the conflict of laws principles thereof. This lock-up agreement may be delivered via facsimile, electronic mail (including pdf or any electronic signature complying with the U.S. federal ESIGN Act of 2000, e.g., </w:t>
      </w:r>
      <w:r>
        <w:rPr>
          <w:rFonts w:ascii="Arial" w:cs="Arial" w:eastAsia="Arial" w:hAnsi="Arial"/>
          <w:sz w:val="19"/>
          <w:szCs w:val="19"/>
          <w:u w:val="single" w:color="auto"/>
          <w:color w:val="0563C1"/>
        </w:rPr>
        <w:t>www.docusign.com</w:t>
      </w:r>
      <w:r>
        <w:rPr>
          <w:rFonts w:ascii="Arial" w:cs="Arial" w:eastAsia="Arial" w:hAnsi="Arial"/>
          <w:sz w:val="19"/>
          <w:szCs w:val="19"/>
          <w:color w:val="auto"/>
        </w:rPr>
        <w:t xml:space="preserve"> or </w:t>
      </w:r>
      <w:r>
        <w:rPr>
          <w:rFonts w:ascii="Arial" w:cs="Arial" w:eastAsia="Arial" w:hAnsi="Arial"/>
          <w:sz w:val="19"/>
          <w:szCs w:val="19"/>
          <w:u w:val="single" w:color="auto"/>
          <w:color w:val="0563C1"/>
        </w:rPr>
        <w:t>www.echosign.com</w:t>
      </w:r>
      <w:r>
        <w:rPr>
          <w:rFonts w:ascii="Arial" w:cs="Arial" w:eastAsia="Arial" w:hAnsi="Arial"/>
          <w:sz w:val="19"/>
          <w:szCs w:val="19"/>
          <w:color w:val="auto"/>
        </w:rPr>
        <w:t>)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A-5</w:t>
      </w:r>
    </w:p>
    <w:p>
      <w:pPr>
        <w:sectPr>
          <w:pgSz w:w="11900" w:h="16838" w:orient="portrait"/>
          <w:cols w:equalWidth="0" w:num="1">
            <w:col w:w="11240"/>
          </w:cols>
          <w:pgMar w:left="320" w:top="1419" w:right="339" w:bottom="1440" w:gutter="0" w:footer="0" w:header="0"/>
        </w:sectPr>
      </w:pPr>
    </w:p>
    <w:bookmarkStart w:id="274" w:name="page275"/>
    <w:bookmarkEnd w:id="274"/>
    <w:p>
      <w:pPr>
        <w:spacing w:after="0" w:line="1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701675</wp:posOffset>
            </wp:positionV>
            <wp:extent cx="22713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00"/>
        <w:spacing w:after="0"/>
        <w:rPr>
          <w:sz w:val="20"/>
          <w:szCs w:val="20"/>
          <w:color w:val="auto"/>
        </w:rPr>
      </w:pPr>
      <w:r>
        <w:rPr>
          <w:rFonts w:ascii="Arial" w:cs="Arial" w:eastAsia="Arial" w:hAnsi="Arial"/>
          <w:sz w:val="19"/>
          <w:szCs w:val="19"/>
          <w:color w:val="auto"/>
        </w:rPr>
        <w:t>Name of Security Holder (Print exact</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39"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15875</wp:posOffset>
            </wp:positionV>
            <wp:extent cx="2040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1"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380365</wp:posOffset>
            </wp:positionV>
            <wp:extent cx="22713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Name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380365</wp:posOffset>
            </wp:positionV>
            <wp:extent cx="22713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Title of Authorized Signatory (Print)</w:t>
      </w:r>
    </w:p>
    <w:p>
      <w:pPr>
        <w:spacing w:after="0" w:line="299" w:lineRule="exact"/>
        <w:rPr>
          <w:sz w:val="20"/>
          <w:szCs w:val="20"/>
          <w:color w:val="auto"/>
        </w:rPr>
      </w:pPr>
    </w:p>
    <w:p>
      <w:pPr>
        <w:ind w:left="2800"/>
        <w:spacing w:after="0"/>
        <w:rPr>
          <w:sz w:val="20"/>
          <w:szCs w:val="20"/>
          <w:color w:val="auto"/>
        </w:rPr>
      </w:pPr>
      <w:r>
        <w:rPr>
          <w:rFonts w:ascii="Arial" w:cs="Arial" w:eastAsia="Arial" w:hAnsi="Arial"/>
          <w:sz w:val="19"/>
          <w:szCs w:val="19"/>
          <w:color w:val="auto"/>
        </w:rPr>
        <w:t>(indicate capacity of person signing if</w:t>
      </w:r>
    </w:p>
    <w:p>
      <w:pPr>
        <w:ind w:left="2800"/>
        <w:spacing w:after="0" w:line="230" w:lineRule="auto"/>
        <w:rPr>
          <w:sz w:val="20"/>
          <w:szCs w:val="20"/>
          <w:color w:val="auto"/>
        </w:rPr>
      </w:pPr>
      <w:r>
        <w:rPr>
          <w:rFonts w:ascii="Arial" w:cs="Arial" w:eastAsia="Arial" w:hAnsi="Arial"/>
          <w:sz w:val="21"/>
          <w:szCs w:val="21"/>
          <w:color w:val="auto"/>
        </w:rPr>
        <w:t>signing as custodian, trustee, or on</w:t>
      </w:r>
    </w:p>
    <w:p>
      <w:pPr>
        <w:ind w:left="2800"/>
        <w:spacing w:after="0"/>
        <w:rPr>
          <w:sz w:val="20"/>
          <w:szCs w:val="20"/>
          <w:color w:val="auto"/>
        </w:rPr>
      </w:pPr>
      <w:r>
        <w:rPr>
          <w:rFonts w:ascii="Arial" w:cs="Arial" w:eastAsia="Arial" w:hAnsi="Arial"/>
          <w:sz w:val="22"/>
          <w:szCs w:val="22"/>
          <w:color w:val="auto"/>
        </w:rPr>
        <w:t>behalf of an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Lock-Up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275" w:name="page276"/>
    <w:bookmarkEnd w:id="275"/>
    <w:p>
      <w:pPr>
        <w:jc w:val="right"/>
        <w:spacing w:after="0"/>
        <w:rPr>
          <w:sz w:val="20"/>
          <w:szCs w:val="20"/>
          <w:color w:val="auto"/>
        </w:rPr>
      </w:pPr>
      <w:r>
        <w:rPr>
          <w:rFonts w:ascii="Arial" w:cs="Arial" w:eastAsia="Arial" w:hAnsi="Arial"/>
          <w:sz w:val="20"/>
          <w:szCs w:val="20"/>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PRESS RELEASE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BE ISSUED PURSUANT TO SECTION 3(j)</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PROCEPT BIOROBOTICS CORPORATION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PROCEPT BIOROBOTICS CORPORATION (the “Company”) announced today that BofA Securities, Inc. and Goldman Sachs &amp; Co. LLC, representatives of the several underwriters in the Company’s recent public sale of [●] shares of common stock, are [waiving] [releasing] a lock-up restriction with respect to shares of the Company’s common stock held by [certain officers or directors] [an officer or director] of</w:t>
      </w:r>
    </w:p>
    <w:p>
      <w:pPr>
        <w:spacing w:after="0" w:line="1" w:lineRule="exact"/>
        <w:rPr>
          <w:sz w:val="20"/>
          <w:szCs w:val="20"/>
          <w:color w:val="auto"/>
        </w:rPr>
      </w:pPr>
    </w:p>
    <w:p>
      <w:pPr>
        <w:spacing w:after="0"/>
        <w:tabs>
          <w:tab w:leader="none" w:pos="4620" w:val="left"/>
          <w:tab w:leader="none" w:pos="5160" w:val="left"/>
          <w:tab w:leader="none" w:pos="5600" w:val="left"/>
        </w:tabs>
        <w:rPr>
          <w:sz w:val="20"/>
          <w:szCs w:val="20"/>
          <w:color w:val="auto"/>
        </w:rPr>
      </w:pPr>
      <w:r>
        <w:rPr>
          <w:rFonts w:ascii="Arial" w:cs="Arial" w:eastAsia="Arial" w:hAnsi="Arial"/>
          <w:sz w:val="19"/>
          <w:szCs w:val="19"/>
          <w:color w:val="auto"/>
        </w:rPr>
        <w:t>the Company. The [waiver] [release] will take effect on</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20</w:t>
      </w:r>
      <w:r>
        <w:rPr>
          <w:sz w:val="20"/>
          <w:szCs w:val="20"/>
          <w:color w:val="auto"/>
        </w:rPr>
        <w:tab/>
      </w:r>
      <w:r>
        <w:rPr>
          <w:rFonts w:ascii="Arial" w:cs="Arial" w:eastAsia="Arial" w:hAnsi="Arial"/>
          <w:sz w:val="16"/>
          <w:szCs w:val="16"/>
          <w:color w:val="auto"/>
        </w:rPr>
        <w:t>, and the shares may be sold on or after such date.</w:t>
      </w:r>
    </w:p>
    <w:p>
      <w:pPr>
        <w:spacing w:after="0" w:line="198"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B-1</w:t>
      </w:r>
    </w:p>
    <w:p>
      <w:pPr>
        <w:sectPr>
          <w:pgSz w:w="11900" w:h="16838" w:orient="portrait"/>
          <w:cols w:equalWidth="0" w:num="1">
            <w:col w:w="11240"/>
          </w:cols>
          <w:pgMar w:left="320" w:top="1419"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PROCEPT BIOROBOTICS CORPORATION</w:t>
      </w:r>
    </w:p>
    <w:p>
      <w:pPr>
        <w:spacing w:after="0" w:line="220"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PROCEPT BioRobotics Corporation, a Delaware corporation, hereby certifies as follows:</w:t>
      </w:r>
    </w:p>
    <w:p>
      <w:pPr>
        <w:spacing w:after="0" w:line="220" w:lineRule="exact"/>
        <w:rPr>
          <w:sz w:val="20"/>
          <w:szCs w:val="20"/>
          <w:color w:val="auto"/>
        </w:rPr>
      </w:pPr>
    </w:p>
    <w:p>
      <w:pPr>
        <w:ind w:left="980" w:right="160" w:hanging="324"/>
        <w:spacing w:after="0" w:line="287" w:lineRule="auto"/>
        <w:tabs>
          <w:tab w:leader="none" w:pos="98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name of the Corporation is PROCEPT BioRobotics Corporation. The original Certificate of Incorporation of the Corporation was filed with the Secretary of State of the State of Delaware on January 29, 2021.</w:t>
      </w:r>
    </w:p>
    <w:p>
      <w:pPr>
        <w:spacing w:after="0" w:line="151" w:lineRule="exact"/>
        <w:rPr>
          <w:rFonts w:ascii="Arial" w:cs="Arial" w:eastAsia="Arial" w:hAnsi="Arial"/>
          <w:sz w:val="21"/>
          <w:szCs w:val="21"/>
          <w:color w:val="auto"/>
        </w:rPr>
      </w:pPr>
    </w:p>
    <w:p>
      <w:pPr>
        <w:ind w:left="980" w:right="300" w:hanging="324"/>
        <w:spacing w:after="0" w:line="343" w:lineRule="auto"/>
        <w:tabs>
          <w:tab w:leader="none" w:pos="98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The Amended and Restated Certificate of Incorporation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has been duly adopted in accordance with the provisions of Sections 242, 245 and 228 of the Delaware General Corporation Law.</w:t>
      </w:r>
    </w:p>
    <w:p>
      <w:pPr>
        <w:spacing w:after="0" w:line="104" w:lineRule="exact"/>
        <w:rPr>
          <w:sz w:val="20"/>
          <w:szCs w:val="20"/>
          <w:color w:val="auto"/>
        </w:rPr>
      </w:pPr>
    </w:p>
    <w:p>
      <w:pPr>
        <w:ind w:right="500" w:firstLine="648"/>
        <w:spacing w:after="0" w:line="287" w:lineRule="auto"/>
        <w:rPr>
          <w:sz w:val="20"/>
          <w:szCs w:val="20"/>
          <w:color w:val="auto"/>
        </w:rPr>
      </w:pPr>
      <w:r>
        <w:rPr>
          <w:rFonts w:ascii="Arial" w:cs="Arial" w:eastAsia="Arial" w:hAnsi="Arial"/>
          <w:sz w:val="21"/>
          <w:szCs w:val="21"/>
          <w:color w:val="auto"/>
        </w:rPr>
        <w:t xml:space="preserve">The text of the Amended and Restated Certificate of Incorporation as heretofore amended or supplemented is hereby restated and further amended to read in its entirety as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Amended and Restated Certificate of Incorporation has been signed this day of , 2021.</w:t>
      </w:r>
    </w:p>
    <w:p>
      <w:pPr>
        <w:spacing w:after="0" w:line="200" w:lineRule="exact"/>
        <w:rPr>
          <w:sz w:val="20"/>
          <w:szCs w:val="20"/>
          <w:color w:val="auto"/>
        </w:rPr>
      </w:pPr>
    </w:p>
    <w:p>
      <w:pPr>
        <w:spacing w:after="0" w:line="33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PROCEPT BIOROBOTICS CORPORATION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700"/>
        <w:spacing w:after="0"/>
        <w:rPr>
          <w:sz w:val="20"/>
          <w:szCs w:val="20"/>
          <w:color w:val="auto"/>
        </w:rPr>
      </w:pPr>
      <w:r>
        <w:rPr>
          <w:rFonts w:ascii="Arial" w:cs="Arial" w:eastAsia="Arial" w:hAnsi="Arial"/>
          <w:sz w:val="22"/>
          <w:szCs w:val="22"/>
          <w:color w:val="auto"/>
        </w:rPr>
        <w:t>/s/</w:t>
      </w:r>
    </w:p>
    <w:p>
      <w:pPr>
        <w:spacing w:after="0" w:line="21" w:lineRule="exact"/>
        <w:rPr>
          <w:sz w:val="20"/>
          <w:szCs w:val="20"/>
          <w:color w:val="auto"/>
        </w:rPr>
      </w:pPr>
    </w:p>
    <w:p>
      <w:pPr>
        <w:ind w:left="9700"/>
        <w:spacing w:after="0"/>
        <w:rPr>
          <w:sz w:val="20"/>
          <w:szCs w:val="20"/>
          <w:color w:val="auto"/>
        </w:rPr>
      </w:pPr>
      <w:r>
        <w:rPr>
          <w:rFonts w:ascii="Arial" w:cs="Arial" w:eastAsia="Arial" w:hAnsi="Arial"/>
          <w:sz w:val="21"/>
          <w:szCs w:val="21"/>
          <w:color w:val="auto"/>
        </w:rPr>
        <w:t>By: Reza Zadno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20320</wp:posOffset>
            </wp:positionV>
            <wp:extent cx="763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45" w:lineRule="exact"/>
        <w:rPr>
          <w:sz w:val="20"/>
          <w:szCs w:val="20"/>
          <w:color w:val="auto"/>
        </w:rPr>
      </w:pPr>
    </w:p>
    <w:p>
      <w:pPr>
        <w:ind w:left="10700"/>
        <w:spacing w:after="0"/>
        <w:rPr>
          <w:sz w:val="20"/>
          <w:szCs w:val="20"/>
          <w:color w:val="auto"/>
        </w:rPr>
      </w:pPr>
      <w:r>
        <w:rPr>
          <w:rFonts w:ascii="Arial" w:cs="Arial" w:eastAsia="Arial" w:hAnsi="Arial"/>
          <w:sz w:val="22"/>
          <w:szCs w:val="22"/>
          <w:color w:val="auto"/>
        </w:rPr>
        <w:t>Reza</w:t>
      </w:r>
    </w:p>
    <w:p>
      <w:pPr>
        <w:spacing w:after="0" w:line="21" w:lineRule="exact"/>
        <w:rPr>
          <w:sz w:val="20"/>
          <w:szCs w:val="20"/>
          <w:color w:val="auto"/>
        </w:rPr>
      </w:pPr>
    </w:p>
    <w:p>
      <w:pPr>
        <w:ind w:left="10060"/>
        <w:spacing w:after="0"/>
        <w:rPr>
          <w:sz w:val="20"/>
          <w:szCs w:val="20"/>
          <w:color w:val="auto"/>
        </w:rPr>
      </w:pPr>
      <w:r>
        <w:rPr>
          <w:rFonts w:ascii="Arial" w:cs="Arial" w:eastAsia="Arial" w:hAnsi="Arial"/>
          <w:sz w:val="22"/>
          <w:szCs w:val="22"/>
          <w:color w:val="auto"/>
        </w:rPr>
        <w:t>Zadno</w:t>
      </w:r>
    </w:p>
    <w:p>
      <w:pPr>
        <w:spacing w:after="0" w:line="40" w:lineRule="exact"/>
        <w:rPr>
          <w:sz w:val="20"/>
          <w:szCs w:val="20"/>
          <w:color w:val="auto"/>
        </w:rPr>
      </w:pPr>
    </w:p>
    <w:p>
      <w:pPr>
        <w:ind w:left="10700"/>
        <w:spacing w:after="0"/>
        <w:rPr>
          <w:sz w:val="20"/>
          <w:szCs w:val="20"/>
          <w:color w:val="auto"/>
        </w:rPr>
      </w:pPr>
      <w:r>
        <w:rPr>
          <w:rFonts w:ascii="Arial" w:cs="Arial" w:eastAsia="Arial" w:hAnsi="Arial"/>
          <w:sz w:val="22"/>
          <w:szCs w:val="22"/>
          <w:color w:val="auto"/>
        </w:rPr>
        <w:t>Chief</w:t>
      </w:r>
    </w:p>
    <w:p>
      <w:pPr>
        <w:spacing w:after="0" w:line="21" w:lineRule="exact"/>
        <w:rPr>
          <w:sz w:val="20"/>
          <w:szCs w:val="20"/>
          <w:color w:val="auto"/>
        </w:rPr>
      </w:pPr>
    </w:p>
    <w:p>
      <w:pPr>
        <w:ind w:left="10060"/>
        <w:spacing w:after="0"/>
        <w:rPr>
          <w:sz w:val="20"/>
          <w:szCs w:val="20"/>
          <w:color w:val="auto"/>
        </w:rPr>
      </w:pPr>
      <w:r>
        <w:rPr>
          <w:rFonts w:ascii="Arial" w:cs="Arial" w:eastAsia="Arial" w:hAnsi="Arial"/>
          <w:sz w:val="22"/>
          <w:szCs w:val="22"/>
          <w:color w:val="auto"/>
        </w:rPr>
        <w:t>Executive</w:t>
      </w:r>
    </w:p>
    <w:p>
      <w:pPr>
        <w:spacing w:after="0" w:line="4" w:lineRule="exact"/>
        <w:rPr>
          <w:sz w:val="20"/>
          <w:szCs w:val="20"/>
          <w:color w:val="auto"/>
        </w:rPr>
      </w:pPr>
    </w:p>
    <w:p>
      <w:pPr>
        <w:ind w:left="1006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11240"/>
          </w:cols>
          <w:pgMar w:left="320" w:top="121" w:right="339" w:bottom="1440" w:gutter="0" w:footer="0" w:header="0"/>
        </w:sectPr>
      </w:pPr>
    </w:p>
    <w:bookmarkStart w:id="277" w:name="page278"/>
    <w:bookmarkEnd w:id="277"/>
    <w:p>
      <w:pPr>
        <w:ind w:left="50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PROCEPT BIOROBOTICS CORPORATION</w:t>
      </w:r>
    </w:p>
    <w:p>
      <w:pPr>
        <w:spacing w:after="0" w:line="398"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b w:val="1"/>
          <w:bCs w:val="1"/>
          <w:u w:val="single" w:color="auto"/>
          <w:color w:val="auto"/>
        </w:rPr>
        <w:t>FIRST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name of the Corporation is PROCEPT BioRobotics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u w:val="single" w:color="auto"/>
          <w:color w:val="auto"/>
        </w:rPr>
        <w:t>SECOND</w:t>
      </w:r>
      <w:r>
        <w:rPr>
          <w:rFonts w:ascii="Arial" w:cs="Arial" w:eastAsia="Arial" w:hAnsi="Arial"/>
          <w:sz w:val="22"/>
          <w:szCs w:val="22"/>
          <w:b w:val="1"/>
          <w:bCs w:val="1"/>
          <w:color w:val="auto"/>
        </w:rPr>
        <w:t xml:space="preserve">: </w:t>
      </w:r>
      <w:r>
        <w:rPr>
          <w:rFonts w:ascii="Arial" w:cs="Arial" w:eastAsia="Arial" w:hAnsi="Arial"/>
          <w:sz w:val="22"/>
          <w:szCs w:val="22"/>
          <w:color w:val="auto"/>
        </w:rPr>
        <w:t>The address of the Corporation’s registered office in the State of Delaware is 251 Little Falls Drive,</w:t>
      </w:r>
      <w:r>
        <w:rPr>
          <w:rFonts w:ascii="Arial" w:cs="Arial" w:eastAsia="Arial" w:hAnsi="Arial"/>
          <w:sz w:val="22"/>
          <w:szCs w:val="22"/>
          <w:b w:val="1"/>
          <w:bCs w:val="1"/>
          <w:color w:val="auto"/>
        </w:rPr>
        <w:t xml:space="preserve"> </w:t>
      </w:r>
      <w:r>
        <w:rPr>
          <w:rFonts w:ascii="Arial" w:cs="Arial" w:eastAsia="Arial" w:hAnsi="Arial"/>
          <w:sz w:val="22"/>
          <w:szCs w:val="22"/>
          <w:color w:val="auto"/>
        </w:rPr>
        <w:t>City of Wilmington, County of New Castle, 19808. The name of its registered agent at such address is Corporation Service Company.</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u w:val="single" w:color="auto"/>
          <w:color w:val="auto"/>
        </w:rPr>
        <w:t>THIRD</w:t>
      </w:r>
      <w:r>
        <w:rPr>
          <w:rFonts w:ascii="Arial" w:cs="Arial" w:eastAsia="Arial" w:hAnsi="Arial"/>
          <w:sz w:val="22"/>
          <w:szCs w:val="22"/>
          <w:b w:val="1"/>
          <w:bCs w:val="1"/>
          <w:color w:val="auto"/>
        </w:rPr>
        <w:t xml:space="preserve">: </w:t>
      </w:r>
      <w:r>
        <w:rPr>
          <w:rFonts w:ascii="Arial" w:cs="Arial" w:eastAsia="Arial" w:hAnsi="Arial"/>
          <w:sz w:val="22"/>
          <w:szCs w:val="22"/>
          <w:color w:val="auto"/>
        </w:rPr>
        <w:t>The purpose of the Corporation is to engage in any lawful act or activity for which corporations may</w:t>
      </w:r>
      <w:r>
        <w:rPr>
          <w:rFonts w:ascii="Arial" w:cs="Arial" w:eastAsia="Arial" w:hAnsi="Arial"/>
          <w:sz w:val="22"/>
          <w:szCs w:val="22"/>
          <w:b w:val="1"/>
          <w:bCs w:val="1"/>
          <w:color w:val="auto"/>
        </w:rPr>
        <w:t xml:space="preserve"> </w:t>
      </w:r>
      <w:r>
        <w:rPr>
          <w:rFonts w:ascii="Arial" w:cs="Arial" w:eastAsia="Arial" w:hAnsi="Arial"/>
          <w:sz w:val="22"/>
          <w:szCs w:val="22"/>
          <w:color w:val="auto"/>
        </w:rPr>
        <w:t>be organized under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as it now exists or may hereafter be amended and supplemented.</w:t>
      </w:r>
    </w:p>
    <w:p>
      <w:pPr>
        <w:spacing w:after="0" w:line="177"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u w:val="single" w:color="auto"/>
          <w:color w:val="auto"/>
        </w:rPr>
        <w:t>FOURTH</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is authorized to issue two classes of stock to be designated, respectively, “</w:t>
      </w:r>
      <w:r>
        <w:rPr>
          <w:rFonts w:ascii="Arial" w:cs="Arial" w:eastAsia="Arial" w:hAnsi="Arial"/>
          <w:sz w:val="22"/>
          <w:szCs w:val="22"/>
          <w:u w:val="single" w:color="auto"/>
          <w:color w:val="auto"/>
        </w:rPr>
        <w:t>Common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Stock</w:t>
      </w:r>
      <w:r>
        <w:rPr>
          <w:rFonts w:ascii="Arial" w:cs="Arial" w:eastAsia="Arial" w:hAnsi="Arial"/>
          <w:sz w:val="22"/>
          <w:szCs w:val="22"/>
          <w:color w:val="auto"/>
        </w:rPr>
        <w:t>” and “</w:t>
      </w:r>
      <w:r>
        <w:rPr>
          <w:rFonts w:ascii="Arial" w:cs="Arial" w:eastAsia="Arial" w:hAnsi="Arial"/>
          <w:sz w:val="22"/>
          <w:szCs w:val="22"/>
          <w:u w:val="single" w:color="auto"/>
          <w:color w:val="auto"/>
        </w:rPr>
        <w:t>Preferred Stock</w:t>
      </w:r>
      <w:r>
        <w:rPr>
          <w:rFonts w:ascii="Arial" w:cs="Arial" w:eastAsia="Arial" w:hAnsi="Arial"/>
          <w:sz w:val="22"/>
          <w:szCs w:val="22"/>
          <w:color w:val="auto"/>
        </w:rPr>
        <w:t>.” The total number of shares of capital stock which the Corporation shall have authority to issue is 310,000,000. The total number of shares of Common Stock that the Corporation is authorized to issue is 300,000,000, having a par value of $0.00001 per share, and the total number of shares of Preferred Stock that the corporation is authorized to issue is 10,000,000, having a par value of $0.00001 per share.</w:t>
      </w:r>
    </w:p>
    <w:p>
      <w:pPr>
        <w:spacing w:after="0" w:line="18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u w:val="single" w:color="auto"/>
          <w:color w:val="auto"/>
        </w:rPr>
        <w:t>FIFTH</w:t>
      </w:r>
      <w:r>
        <w:rPr>
          <w:rFonts w:ascii="Arial" w:cs="Arial" w:eastAsia="Arial" w:hAnsi="Arial"/>
          <w:sz w:val="22"/>
          <w:szCs w:val="22"/>
          <w:b w:val="1"/>
          <w:bCs w:val="1"/>
          <w:color w:val="auto"/>
        </w:rPr>
        <w:t xml:space="preserve">: </w:t>
      </w:r>
      <w:r>
        <w:rPr>
          <w:rFonts w:ascii="Arial" w:cs="Arial" w:eastAsia="Arial" w:hAnsi="Arial"/>
          <w:sz w:val="22"/>
          <w:szCs w:val="22"/>
          <w:color w:val="auto"/>
        </w:rPr>
        <w:t>The designations and the powers, privileges and rights, and the qualifications, limitations or restrictions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in respect of each class of capital stock of the Corporation are as follows:</w:t>
      </w:r>
    </w:p>
    <w:p>
      <w:pPr>
        <w:spacing w:after="0" w:line="162" w:lineRule="exact"/>
        <w:rPr>
          <w:sz w:val="20"/>
          <w:szCs w:val="20"/>
          <w:color w:val="auto"/>
        </w:rPr>
      </w:pPr>
    </w:p>
    <w:p>
      <w:pPr>
        <w:ind w:left="1620" w:hanging="316"/>
        <w:spacing w:after="0"/>
        <w:tabs>
          <w:tab w:leader="none" w:pos="162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COMMON STOCK</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304"/>
        <w:spacing w:after="0" w:line="297" w:lineRule="auto"/>
        <w:tabs>
          <w:tab w:leader="none" w:pos="1944"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voting, dividend, liquidation, conversion and stock split rights of the holders of the Common Stock are subject to and qualified by the rights of the holders of the Preferred Stock of any series as may be designated by the Board of Directors of the Corporation (the “</w:t>
      </w:r>
      <w:r>
        <w:rPr>
          <w:rFonts w:ascii="Arial" w:cs="Arial" w:eastAsia="Arial" w:hAnsi="Arial"/>
          <w:sz w:val="19"/>
          <w:szCs w:val="19"/>
          <w:u w:val="single" w:color="auto"/>
          <w:color w:val="auto"/>
        </w:rPr>
        <w:t>Board of Directors</w:t>
      </w:r>
      <w:r>
        <w:rPr>
          <w:rFonts w:ascii="Arial" w:cs="Arial" w:eastAsia="Arial" w:hAnsi="Arial"/>
          <w:sz w:val="19"/>
          <w:szCs w:val="19"/>
          <w:color w:val="auto"/>
        </w:rPr>
        <w:t>”) upon any issuance of the Preferred Stock of any series.</w:t>
      </w:r>
    </w:p>
    <w:p>
      <w:pPr>
        <w:spacing w:after="0" w:line="133" w:lineRule="exact"/>
        <w:rPr>
          <w:rFonts w:ascii="Arial" w:cs="Arial" w:eastAsia="Arial" w:hAnsi="Arial"/>
          <w:sz w:val="19"/>
          <w:szCs w:val="19"/>
          <w:color w:val="auto"/>
        </w:rPr>
      </w:pPr>
    </w:p>
    <w:p>
      <w:pPr>
        <w:jc w:val="both"/>
        <w:ind w:firstLine="1304"/>
        <w:spacing w:after="0" w:line="238" w:lineRule="auto"/>
        <w:tabs>
          <w:tab w:leader="none" w:pos="1944"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Voting</w:t>
      </w:r>
      <w:r>
        <w:rPr>
          <w:rFonts w:ascii="Arial" w:cs="Arial" w:eastAsia="Arial" w:hAnsi="Arial"/>
          <w:sz w:val="22"/>
          <w:szCs w:val="22"/>
          <w:color w:val="auto"/>
        </w:rPr>
        <w:t>. Each holder of Common Stock shall be entitled to one (1) vote for each share of Common Stock held by such holder. Each holder of Common Stock shall be entitled to notice of any stockholders’ meeting in accordance with the Bylaws of the Corporation (as in effect at the time in question) (the “</w:t>
      </w:r>
      <w:r>
        <w:rPr>
          <w:rFonts w:ascii="Arial" w:cs="Arial" w:eastAsia="Arial" w:hAnsi="Arial"/>
          <w:sz w:val="22"/>
          <w:szCs w:val="22"/>
          <w:u w:val="single" w:color="auto"/>
          <w:color w:val="auto"/>
        </w:rPr>
        <w:t>Bylaws</w:t>
      </w:r>
      <w:r>
        <w:rPr>
          <w:rFonts w:ascii="Arial" w:cs="Arial" w:eastAsia="Arial" w:hAnsi="Arial"/>
          <w:sz w:val="22"/>
          <w:szCs w:val="22"/>
          <w:color w:val="auto"/>
        </w:rPr>
        <w:t>”) and applicable law on all matters put to a vote of the stockholders of the Corporation.</w:t>
      </w:r>
    </w:p>
    <w:p>
      <w:pPr>
        <w:spacing w:after="0" w:line="18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The number of authorized shares of Common Stock may be increased or decreased (but not below the number of shares thereof then outstanding) by the affirmative vote</w:t>
      </w:r>
    </w:p>
    <w:p>
      <w:pPr>
        <w:sectPr>
          <w:pgSz w:w="11900" w:h="16838" w:orient="portrait"/>
          <w:cols w:equalWidth="0" w:num="1">
            <w:col w:w="11240"/>
          </w:cols>
          <w:pgMar w:left="320" w:top="1408" w:right="339" w:bottom="1440" w:gutter="0" w:footer="0" w:header="0"/>
        </w:sectPr>
      </w:pPr>
    </w:p>
    <w:bookmarkStart w:id="278" w:name="page279"/>
    <w:bookmarkEnd w:id="278"/>
    <w:p>
      <w:pPr>
        <w:spacing w:after="0" w:line="19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of the holders of a majority of the stock of the Corporation entitled to vote, irrespective of the provisions of Section 242(b)(2) of the DGCL.</w:t>
      </w:r>
    </w:p>
    <w:p>
      <w:pPr>
        <w:spacing w:after="0" w:line="175" w:lineRule="exact"/>
        <w:rPr>
          <w:sz w:val="20"/>
          <w:szCs w:val="20"/>
          <w:color w:val="auto"/>
        </w:rPr>
      </w:pPr>
    </w:p>
    <w:p>
      <w:pPr>
        <w:jc w:val="both"/>
        <w:ind w:firstLine="1304"/>
        <w:spacing w:after="0" w:line="235" w:lineRule="auto"/>
        <w:tabs>
          <w:tab w:leader="none" w:pos="1944"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xml:space="preserve">. Subject to the rights of any holders of any shares of Preferred Stock which may from time to time come into existence and be outstanding, the holders of Common Stock shall be entitled to the payment of dividends when and as declared by the Board of Directors in accordance with applicable law and to receive other distributions from the Corporation. Any dividends declared by the Board of Directors to the holders of the then outstanding Common Stock shall be paid to the holders thereof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in accordance with the number of shares of Common Stock held by each such holder as of the record date of such dividend.</w:t>
      </w:r>
    </w:p>
    <w:p>
      <w:pPr>
        <w:spacing w:after="0" w:line="187" w:lineRule="exact"/>
        <w:rPr>
          <w:rFonts w:ascii="Arial" w:cs="Arial" w:eastAsia="Arial" w:hAnsi="Arial"/>
          <w:sz w:val="22"/>
          <w:szCs w:val="22"/>
          <w:color w:val="auto"/>
        </w:rPr>
      </w:pPr>
    </w:p>
    <w:p>
      <w:pPr>
        <w:jc w:val="both"/>
        <w:ind w:firstLine="1304"/>
        <w:spacing w:after="0" w:line="236" w:lineRule="auto"/>
        <w:tabs>
          <w:tab w:leader="none" w:pos="1944"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Liquidation</w:t>
      </w:r>
      <w:r>
        <w:rPr>
          <w:rFonts w:ascii="Arial" w:cs="Arial" w:eastAsia="Arial" w:hAnsi="Arial"/>
          <w:sz w:val="22"/>
          <w:szCs w:val="22"/>
          <w:color w:val="auto"/>
        </w:rPr>
        <w:t xml:space="preserve">. Subject to the rights of any holders of any shares of Preferred Stock which may from time to time come into existence and be outstanding,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in accordance with the number of shares of Common Stock held by each such holder.</w:t>
      </w:r>
    </w:p>
    <w:p>
      <w:pPr>
        <w:spacing w:after="0" w:line="181" w:lineRule="exact"/>
        <w:rPr>
          <w:sz w:val="20"/>
          <w:szCs w:val="20"/>
          <w:color w:val="auto"/>
        </w:rPr>
      </w:pPr>
    </w:p>
    <w:p>
      <w:pPr>
        <w:ind w:left="1620" w:hanging="316"/>
        <w:spacing w:after="0"/>
        <w:tabs>
          <w:tab w:leader="none" w:pos="162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PREFERRED STOCK</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Preferred Stock may be issued from time to time in one or more series, each of such series to have such terms as stated or expressed herein and in the resolution or resolutions providing for the issue of such series adopted by the Board of Directors as hereinafter provided.</w:t>
      </w:r>
    </w:p>
    <w:p>
      <w:pPr>
        <w:spacing w:after="0" w:line="18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fullest extent now or hereafter permitted by the DGCL.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18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80" w:lineRule="exact"/>
        <w:rPr>
          <w:sz w:val="20"/>
          <w:szCs w:val="20"/>
          <w:color w:val="auto"/>
        </w:rPr>
      </w:pPr>
    </w:p>
    <w:p>
      <w:pPr>
        <w:ind w:right="60" w:firstLine="1296"/>
        <w:spacing w:after="0" w:line="256" w:lineRule="auto"/>
        <w:rPr>
          <w:sz w:val="20"/>
          <w:szCs w:val="20"/>
          <w:color w:val="auto"/>
        </w:rPr>
      </w:pPr>
      <w:r>
        <w:rPr>
          <w:rFonts w:ascii="Arial" w:cs="Arial" w:eastAsia="Arial" w:hAnsi="Arial"/>
          <w:sz w:val="22"/>
          <w:szCs w:val="22"/>
          <w:b w:val="1"/>
          <w:bCs w:val="1"/>
          <w:u w:val="single" w:color="auto"/>
          <w:color w:val="auto"/>
        </w:rPr>
        <w:t>SIXTH:</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Stockholders of the Corporation may not take any action by written consent in lieu of a meeting.</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other provisions of law, this Amended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Restated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SIXTH.</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b w:val="1"/>
          <w:bCs w:val="1"/>
          <w:u w:val="single" w:color="auto"/>
          <w:color w:val="auto"/>
        </w:rPr>
        <w:t>SEVENTH:</w:t>
      </w:r>
      <w:r>
        <w:rPr>
          <w:rFonts w:ascii="Arial" w:cs="Arial" w:eastAsia="Arial" w:hAnsi="Arial"/>
          <w:sz w:val="21"/>
          <w:szCs w:val="21"/>
          <w:b w:val="1"/>
          <w:bCs w:val="1"/>
          <w:color w:val="auto"/>
        </w:rPr>
        <w:t xml:space="preserve"> </w:t>
      </w:r>
      <w:r>
        <w:rPr>
          <w:rFonts w:ascii="Arial" w:cs="Arial" w:eastAsia="Arial" w:hAnsi="Arial"/>
          <w:sz w:val="21"/>
          <w:szCs w:val="21"/>
          <w:color w:val="auto"/>
        </w:rPr>
        <w:t>Special meetings of stockholders for any purpose or purposes may be called at any time only by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of Directors, the chairperson of the Board of Directors, the chief executive officer or the president (in the absence of a chief executive officer), and may not be called by any other person or persons. Business transacted at any special meeting of stockholders shall be limited to the purpose or purposes stated in the notice of meeting. Notwithstanding any other provisions of law, this Amended and Restated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SEVENTH.</w:t>
      </w:r>
    </w:p>
    <w:p>
      <w:pPr>
        <w:spacing w:after="0" w:line="17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b w:val="1"/>
          <w:bCs w:val="1"/>
          <w:u w:val="single" w:color="auto"/>
          <w:color w:val="auto"/>
        </w:rPr>
        <w:t>EIGHTH</w:t>
      </w:r>
      <w:r>
        <w:rPr>
          <w:rFonts w:ascii="Arial" w:cs="Arial" w:eastAsia="Arial" w:hAnsi="Arial"/>
          <w:sz w:val="19"/>
          <w:szCs w:val="19"/>
          <w:b w:val="1"/>
          <w:bCs w:val="1"/>
          <w:color w:val="auto"/>
        </w:rPr>
        <w:t xml:space="preserve">: </w:t>
      </w:r>
      <w:r>
        <w:rPr>
          <w:rFonts w:ascii="Arial" w:cs="Arial" w:eastAsia="Arial" w:hAnsi="Arial"/>
          <w:sz w:val="19"/>
          <w:szCs w:val="19"/>
          <w:color w:val="auto"/>
        </w:rPr>
        <w:t>The personal liability of the directors of the Corporation, to the Corporation or its stockholders for</w:t>
      </w:r>
      <w:r>
        <w:rPr>
          <w:rFonts w:ascii="Arial" w:cs="Arial" w:eastAsia="Arial" w:hAnsi="Arial"/>
          <w:sz w:val="19"/>
          <w:szCs w:val="19"/>
          <w:b w:val="1"/>
          <w:bCs w:val="1"/>
          <w:color w:val="auto"/>
        </w:rPr>
        <w:t xml:space="preserve"> </w:t>
      </w:r>
      <w:r>
        <w:rPr>
          <w:rFonts w:ascii="Arial" w:cs="Arial" w:eastAsia="Arial" w:hAnsi="Arial"/>
          <w:sz w:val="19"/>
          <w:szCs w:val="19"/>
          <w:color w:val="auto"/>
        </w:rPr>
        <w:t>monetary damages for breach of his or her fiduciary duty as director, is hereby eliminated to the fullest extent permitted by the DGCL, as the same may be amended and supplemented. Any amendment, repeal or modification of this Article EIGHTH, or the adoption of any provision of the Amended and Restated Certificate of Incorporation inconsistent with this Article EIGHTH, shall not adversely affect any right or protection of a director of the Corporation existing immediately prior to such amendment, repeal or modification. If the DGCL is amended after approval by the stockholders of this Article EIGHTH to authorize corporate action further eliminating or limiting the personal liability of directors, then the liability of a director of the Corporation shall be eliminated or limited to the fullest extent permitted by the DGCL as so amended.</w:t>
      </w:r>
    </w:p>
    <w:p>
      <w:pPr>
        <w:spacing w:after="0" w:line="150"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9"/>
          <w:szCs w:val="19"/>
          <w:b w:val="1"/>
          <w:bCs w:val="1"/>
          <w:u w:val="single" w:color="auto"/>
          <w:color w:val="auto"/>
        </w:rPr>
        <w:t>NINTH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shall, through the Bylaws or otherwise, to the fullest extent permitted by the DGCL,</w:t>
      </w:r>
      <w:r>
        <w:rPr>
          <w:rFonts w:ascii="Arial" w:cs="Arial" w:eastAsia="Arial" w:hAnsi="Arial"/>
          <w:sz w:val="19"/>
          <w:szCs w:val="19"/>
          <w:b w:val="1"/>
          <w:bCs w:val="1"/>
          <w:color w:val="auto"/>
        </w:rPr>
        <w:t xml:space="preserve"> </w:t>
      </w:r>
      <w:r>
        <w:rPr>
          <w:rFonts w:ascii="Arial" w:cs="Arial" w:eastAsia="Arial" w:hAnsi="Arial"/>
          <w:sz w:val="19"/>
          <w:szCs w:val="19"/>
          <w:color w:val="auto"/>
        </w:rPr>
        <w:t>as the same exists or may hereafter be amended and supplemented, indemnify, advance expenses and hold harmless any person who was or is a director or officer of the Corporation or its subsidiaries. The Corporation may, by action of the Board of Directors, provide rights to indemnification and to advancement of expenses to such other employees or agents of the Corporation or its subsidiaries to such extent and to such effect as the Board of Directors shall determine to be appropriate and authorized by the DGCL. Any amendment, repeal or modification of this Article NINTH shall not adversely affect any rights or protection existing hereunder immediately prior to such repeal or modification.</w:t>
      </w:r>
    </w:p>
    <w:p>
      <w:pPr>
        <w:spacing w:after="0" w:line="145"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u w:val="single" w:color="auto"/>
          <w:color w:val="auto"/>
        </w:rPr>
        <w:t>TENTH</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Corporation consents in writing to the selection of an alternative forum, the Court of</w:t>
      </w:r>
      <w:r>
        <w:rPr>
          <w:rFonts w:ascii="Arial" w:cs="Arial" w:eastAsia="Arial" w:hAnsi="Arial"/>
          <w:sz w:val="22"/>
          <w:szCs w:val="22"/>
          <w:b w:val="1"/>
          <w:bCs w:val="1"/>
          <w:color w:val="auto"/>
        </w:rPr>
        <w:t xml:space="preserve"> </w:t>
      </w:r>
      <w:r>
        <w:rPr>
          <w:rFonts w:ascii="Arial" w:cs="Arial" w:eastAsia="Arial" w:hAnsi="Arial"/>
          <w:sz w:val="22"/>
          <w:szCs w:val="22"/>
          <w:color w:val="auto"/>
        </w:rPr>
        <w:t>Chancery of the State of Delaware shall, to the fullest extent permitted by law, be the sole and exclusive forum for (a) any derivative action or proceeding brought on behalf of the Corporation, (b) any action asserting a claim of breach of fiduciary duty owed by any director, officer, employee or agent of the Corporation to the Corporation or the Corporation’s stockholders, (c) any action asserting a claim against the Corporation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pursuant to any provision of the General Corporation Law of the State of Delaware or this Amended and Restated Certificate of Incorporation or the Bylaws of the Corporation, or as to which the DGCL confers jurisdiction to the Court of Chancery of the State of Delaware, or (d) any action asserting a claim against the Corporation governed by the internal affairs doctrine, in each case subject to said Court of Chancery having personal jurisdiction over the indispensable parties named as defendants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and only if the Court of Chancery of the State of Delaware dismisses any such action for lack of subject matter jurisdiction, such action may be brought in another state or federal court sitting in the State of Delaware. Unless the Corporation consents in writing to the selection of an alternative forum, the federal district courts of the United States of America shall be the exclusive forum for the resolution of any complaint asserting a cause of action against the Corporation or any director, officer, employee or agent of the Corporation and arising under the Securities Act of 1933, as amended. Notwithstanding anything to the contrary in this Amended and Restated Certificate of Incorporation or the Bylaws of the Corporation, the provisions of this Article TENTH will not apply to suits brought to enforce any liability or duty created by the Securities Exchange Act of 1934, as amended, or any other claim for which the federal courts have exclusive jurisdiction. To the fullest extent permitted by applicable law, any person or entity purchasing or otherwise acquiring or holding any interest in shares of capital stock of the Corporation shall be deemed to have notice of and consented to the provisions of this Article TENTH. Notwithstanding any other provisions of law, this Amended and Restated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TENTH. If any provision or provisions of this Article TENTH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TENTH (including, without limitation, each portion of any sentence of this Article TENTH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b w:val="1"/>
          <w:bCs w:val="1"/>
          <w:u w:val="single" w:color="auto"/>
          <w:color w:val="auto"/>
        </w:rPr>
        <w:t>ELEVENTH</w:t>
      </w:r>
      <w:r>
        <w:rPr>
          <w:rFonts w:ascii="Arial" w:cs="Arial" w:eastAsia="Arial" w:hAnsi="Arial"/>
          <w:sz w:val="21"/>
          <w:szCs w:val="21"/>
          <w:b w:val="1"/>
          <w:bCs w:val="1"/>
          <w:color w:val="auto"/>
        </w:rPr>
        <w:t xml:space="preserve">: </w:t>
      </w:r>
      <w:r>
        <w:rPr>
          <w:rFonts w:ascii="Arial" w:cs="Arial" w:eastAsia="Arial" w:hAnsi="Arial"/>
          <w:sz w:val="21"/>
          <w:szCs w:val="21"/>
          <w:color w:val="auto"/>
        </w:rPr>
        <w:t>In furtherance and not in limitation of the rights, powers, privileges and discretionary authority</w:t>
      </w:r>
      <w:r>
        <w:rPr>
          <w:rFonts w:ascii="Arial" w:cs="Arial" w:eastAsia="Arial" w:hAnsi="Arial"/>
          <w:sz w:val="21"/>
          <w:szCs w:val="21"/>
          <w:b w:val="1"/>
          <w:bCs w:val="1"/>
          <w:color w:val="auto"/>
        </w:rPr>
        <w:t xml:space="preserve"> </w:t>
      </w:r>
      <w:r>
        <w:rPr>
          <w:rFonts w:ascii="Arial" w:cs="Arial" w:eastAsia="Arial" w:hAnsi="Arial"/>
          <w:sz w:val="21"/>
          <w:szCs w:val="21"/>
          <w:color w:val="auto"/>
        </w:rPr>
        <w:t>granted or conferred by the DGCL or other statutes or laws of the State of Delaware, the Board of Directors is expressly authorized to make, alter, amend or repeal the Bylaws, without any action on the part of the stockholders.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two-thirds in voting power of the outstanding shares of capital stock of the Corporation entitled to vote thereon.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9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of capital stock of the Corporation entitled to vote thereon shall be required to amend or repeal, or to adopt any provision inconsistent with, this Article ELEVENTH.</w:t>
      </w:r>
    </w:p>
    <w:p>
      <w:pPr>
        <w:spacing w:after="0" w:line="169" w:lineRule="exact"/>
        <w:rPr>
          <w:sz w:val="20"/>
          <w:szCs w:val="20"/>
          <w:color w:val="auto"/>
        </w:rPr>
      </w:pPr>
    </w:p>
    <w:p>
      <w:pPr>
        <w:ind w:firstLine="1296"/>
        <w:spacing w:after="0" w:line="256" w:lineRule="auto"/>
        <w:rPr>
          <w:sz w:val="20"/>
          <w:szCs w:val="20"/>
          <w:color w:val="auto"/>
        </w:rPr>
      </w:pPr>
      <w:r>
        <w:rPr>
          <w:rFonts w:ascii="Arial" w:cs="Arial" w:eastAsia="Arial" w:hAnsi="Arial"/>
          <w:sz w:val="22"/>
          <w:szCs w:val="22"/>
          <w:b w:val="1"/>
          <w:bCs w:val="1"/>
          <w:u w:val="single" w:color="auto"/>
          <w:color w:val="auto"/>
        </w:rPr>
        <w:t>TWELFTH:</w:t>
      </w:r>
      <w:r>
        <w:rPr>
          <w:rFonts w:ascii="Arial" w:cs="Arial" w:eastAsia="Arial" w:hAnsi="Arial"/>
          <w:sz w:val="22"/>
          <w:szCs w:val="22"/>
          <w:b w:val="1"/>
          <w:bCs w:val="1"/>
          <w:color w:val="auto"/>
        </w:rPr>
        <w:t xml:space="preserve"> </w:t>
      </w:r>
      <w:r>
        <w:rPr>
          <w:rFonts w:ascii="Arial" w:cs="Arial" w:eastAsia="Arial" w:hAnsi="Arial"/>
          <w:sz w:val="22"/>
          <w:szCs w:val="22"/>
          <w:color w:val="auto"/>
        </w:rPr>
        <w:t>This Article TWELFTH is inserted for the management of the business and for the conduct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affairs of the Corporation.</w:t>
      </w:r>
    </w:p>
    <w:p>
      <w:pPr>
        <w:spacing w:after="0" w:line="168" w:lineRule="exact"/>
        <w:rPr>
          <w:sz w:val="20"/>
          <w:szCs w:val="20"/>
          <w:color w:val="auto"/>
        </w:rPr>
      </w:pPr>
    </w:p>
    <w:p>
      <w:pPr>
        <w:ind w:firstLine="1358"/>
        <w:spacing w:after="0" w:line="250" w:lineRule="auto"/>
        <w:tabs>
          <w:tab w:leader="none" w:pos="1620" w:val="left"/>
        </w:tabs>
        <w:numPr>
          <w:ilvl w:val="1"/>
          <w:numId w:val="186"/>
        </w:numPr>
        <w:rPr>
          <w:rFonts w:ascii="Arial" w:cs="Arial" w:eastAsia="Arial" w:hAnsi="Arial"/>
          <w:sz w:val="22"/>
          <w:szCs w:val="22"/>
          <w:color w:val="auto"/>
        </w:rPr>
      </w:pPr>
      <w:r>
        <w:rPr>
          <w:rFonts w:ascii="Arial" w:cs="Arial" w:eastAsia="Arial" w:hAnsi="Arial"/>
          <w:sz w:val="22"/>
          <w:szCs w:val="22"/>
          <w:u w:val="single" w:color="auto"/>
          <w:color w:val="auto"/>
        </w:rPr>
        <w:t>General Powers</w:t>
      </w:r>
      <w:r>
        <w:rPr>
          <w:rFonts w:ascii="Arial" w:cs="Arial" w:eastAsia="Arial" w:hAnsi="Arial"/>
          <w:sz w:val="22"/>
          <w:szCs w:val="22"/>
          <w:color w:val="auto"/>
        </w:rPr>
        <w:t>. The business and affairs of the Corporation shall be managed by or under the direction of the Board of Directors.</w:t>
      </w:r>
    </w:p>
    <w:p>
      <w:pPr>
        <w:spacing w:after="0" w:line="174" w:lineRule="exact"/>
        <w:rPr>
          <w:rFonts w:ascii="Arial" w:cs="Arial" w:eastAsia="Arial" w:hAnsi="Arial"/>
          <w:sz w:val="22"/>
          <w:szCs w:val="22"/>
          <w:color w:val="auto"/>
        </w:rPr>
      </w:pPr>
    </w:p>
    <w:p>
      <w:pPr>
        <w:jc w:val="both"/>
        <w:ind w:firstLine="1358"/>
        <w:spacing w:after="0" w:line="297" w:lineRule="auto"/>
        <w:tabs>
          <w:tab w:leader="none" w:pos="1620" w:val="left"/>
        </w:tabs>
        <w:numPr>
          <w:ilvl w:val="1"/>
          <w:numId w:val="186"/>
        </w:numPr>
        <w:rPr>
          <w:rFonts w:ascii="Arial" w:cs="Arial" w:eastAsia="Arial" w:hAnsi="Arial"/>
          <w:sz w:val="19"/>
          <w:szCs w:val="19"/>
          <w:color w:val="auto"/>
        </w:rPr>
      </w:pPr>
      <w:r>
        <w:rPr>
          <w:rFonts w:ascii="Arial" w:cs="Arial" w:eastAsia="Arial" w:hAnsi="Arial"/>
          <w:sz w:val="19"/>
          <w:szCs w:val="19"/>
          <w:u w:val="single" w:color="auto"/>
          <w:color w:val="auto"/>
        </w:rPr>
        <w:t>Number of Directors; Election of Directors</w:t>
      </w:r>
      <w:r>
        <w:rPr>
          <w:rFonts w:ascii="Arial" w:cs="Arial" w:eastAsia="Arial" w:hAnsi="Arial"/>
          <w:sz w:val="19"/>
          <w:szCs w:val="19"/>
          <w:color w:val="auto"/>
        </w:rPr>
        <w:t>.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w:t>
      </w:r>
    </w:p>
    <w:p>
      <w:pPr>
        <w:spacing w:after="0" w:line="133" w:lineRule="exact"/>
        <w:rPr>
          <w:rFonts w:ascii="Arial" w:cs="Arial" w:eastAsia="Arial" w:hAnsi="Arial"/>
          <w:sz w:val="19"/>
          <w:szCs w:val="19"/>
          <w:color w:val="auto"/>
        </w:rPr>
      </w:pPr>
    </w:p>
    <w:p>
      <w:pPr>
        <w:jc w:val="both"/>
        <w:ind w:firstLine="1378"/>
        <w:spacing w:after="0" w:line="287" w:lineRule="auto"/>
        <w:tabs>
          <w:tab w:leader="none" w:pos="1606" w:val="left"/>
        </w:tabs>
        <w:numPr>
          <w:ilvl w:val="2"/>
          <w:numId w:val="186"/>
        </w:numPr>
        <w:rPr>
          <w:rFonts w:ascii="Arial" w:cs="Arial" w:eastAsia="Arial" w:hAnsi="Arial"/>
          <w:sz w:val="19"/>
          <w:szCs w:val="19"/>
          <w:color w:val="auto"/>
        </w:rPr>
      </w:pPr>
      <w:r>
        <w:rPr>
          <w:rFonts w:ascii="Arial" w:cs="Arial" w:eastAsia="Arial" w:hAnsi="Arial"/>
          <w:sz w:val="19"/>
          <w:szCs w:val="19"/>
          <w:u w:val="single" w:color="auto"/>
          <w:color w:val="auto"/>
        </w:rPr>
        <w:t>Classes of Directors</w:t>
      </w:r>
      <w:r>
        <w:rPr>
          <w:rFonts w:ascii="Arial" w:cs="Arial" w:eastAsia="Arial" w:hAnsi="Arial"/>
          <w:sz w:val="19"/>
          <w:szCs w:val="19"/>
          <w:color w:val="auto"/>
        </w:rPr>
        <w:t>. Subject to the rights of holders of any series of Preferred Stock to elect directors, the Board of Directors shall be and is divided into three classes, designated as Class I, Class II and Class III. Each class shall consist, as nearly as may be possible, of one-third of the total number of directors constituting the entire Board of Directors. The Board of Directors is authorized to assign members of the Board of Directors to Class I, Class II or Class III.</w:t>
      </w:r>
    </w:p>
    <w:p>
      <w:pPr>
        <w:spacing w:after="0" w:line="142" w:lineRule="exact"/>
        <w:rPr>
          <w:rFonts w:ascii="Arial" w:cs="Arial" w:eastAsia="Arial" w:hAnsi="Arial"/>
          <w:sz w:val="19"/>
          <w:szCs w:val="19"/>
          <w:color w:val="auto"/>
        </w:rPr>
      </w:pPr>
    </w:p>
    <w:p>
      <w:pPr>
        <w:jc w:val="both"/>
        <w:ind w:firstLine="1385"/>
        <w:spacing w:after="0" w:line="245" w:lineRule="auto"/>
        <w:tabs>
          <w:tab w:leader="none" w:pos="1701" w:val="left"/>
        </w:tabs>
        <w:numPr>
          <w:ilvl w:val="2"/>
          <w:numId w:val="186"/>
        </w:numPr>
        <w:rPr>
          <w:rFonts w:ascii="Arial" w:cs="Arial" w:eastAsia="Arial" w:hAnsi="Arial"/>
          <w:sz w:val="21"/>
          <w:szCs w:val="21"/>
          <w:color w:val="auto"/>
        </w:rPr>
      </w:pPr>
      <w:r>
        <w:rPr>
          <w:rFonts w:ascii="Arial" w:cs="Arial" w:eastAsia="Arial" w:hAnsi="Arial"/>
          <w:sz w:val="21"/>
          <w:szCs w:val="21"/>
          <w:u w:val="single" w:color="auto"/>
          <w:color w:val="auto"/>
        </w:rPr>
        <w:t>Terms of Office</w:t>
      </w:r>
      <w:r>
        <w:rPr>
          <w:rFonts w:ascii="Arial" w:cs="Arial" w:eastAsia="Arial" w:hAnsi="Arial"/>
          <w:sz w:val="21"/>
          <w:szCs w:val="21"/>
          <w:color w:val="auto"/>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director initially assigned to Class I shall serve for a term expiring at the Corporation’s first annual meeting of stockholders held after the effectiveness of this Amended and Restated Certificate of Incorporation; each director initially assigned to Class II shall serve for a term expiring at the Corporation’s second annual meeting of stockholders held after the effectiveness of this Amended and Restated Certificate of Incorporation; and each director initially assigned to Class III shall serve for a term expiring at the Corporation’s third annual meeting of stockholders held after the effectiveness of this Amended and Restated Certificate of Incorporation;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the term of each director shall continue until the election and qualification of his or her successor and be subject to his or her earlier death, resignation or removal.</w:t>
      </w:r>
    </w:p>
    <w:p>
      <w:pPr>
        <w:spacing w:after="0" w:line="180" w:lineRule="exact"/>
        <w:rPr>
          <w:rFonts w:ascii="Arial" w:cs="Arial" w:eastAsia="Arial" w:hAnsi="Arial"/>
          <w:sz w:val="21"/>
          <w:szCs w:val="21"/>
          <w:color w:val="auto"/>
        </w:rPr>
      </w:pPr>
    </w:p>
    <w:p>
      <w:pPr>
        <w:jc w:val="both"/>
        <w:ind w:firstLine="1304"/>
        <w:spacing w:after="0" w:line="287" w:lineRule="auto"/>
        <w:tabs>
          <w:tab w:leader="none" w:pos="1512"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Quorum</w:t>
      </w:r>
      <w:r>
        <w:rPr>
          <w:rFonts w:ascii="Arial" w:cs="Arial" w:eastAsia="Arial" w:hAnsi="Arial"/>
          <w:sz w:val="19"/>
          <w:szCs w:val="19"/>
          <w:color w:val="auto"/>
        </w:rPr>
        <w:t>. The greater of (a) a majority of the directors at any time in office and (b) one-third of the number of directors fixed pursuant to Section 2 of this Article TWELFTH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42" w:lineRule="exact"/>
        <w:rPr>
          <w:rFonts w:ascii="Arial" w:cs="Arial" w:eastAsia="Arial" w:hAnsi="Arial"/>
          <w:sz w:val="19"/>
          <w:szCs w:val="19"/>
          <w:color w:val="auto"/>
        </w:rPr>
      </w:pPr>
    </w:p>
    <w:p>
      <w:pPr>
        <w:jc w:val="both"/>
        <w:ind w:firstLine="1358"/>
        <w:spacing w:after="0"/>
        <w:tabs>
          <w:tab w:leader="none" w:pos="1566" w:val="left"/>
        </w:tabs>
        <w:numPr>
          <w:ilvl w:val="1"/>
          <w:numId w:val="187"/>
        </w:numPr>
        <w:rPr>
          <w:rFonts w:ascii="Arial" w:cs="Arial" w:eastAsia="Arial" w:hAnsi="Arial"/>
          <w:sz w:val="22"/>
          <w:szCs w:val="22"/>
          <w:color w:val="auto"/>
        </w:rPr>
      </w:pPr>
      <w:r>
        <w:rPr>
          <w:rFonts w:ascii="Arial" w:cs="Arial" w:eastAsia="Arial" w:hAnsi="Arial"/>
          <w:sz w:val="22"/>
          <w:szCs w:val="22"/>
          <w:u w:val="single" w:color="auto"/>
          <w:color w:val="auto"/>
        </w:rPr>
        <w:t>Action at Meeting</w:t>
      </w:r>
      <w:r>
        <w:rPr>
          <w:rFonts w:ascii="Arial" w:cs="Arial" w:eastAsia="Arial" w:hAnsi="Arial"/>
          <w:sz w:val="22"/>
          <w:szCs w:val="22"/>
          <w:color w:val="auto"/>
        </w:rPr>
        <w:t>. Every act or decision done or made by a majority of the directors present at a meeting duly held at which a quorum is present shall be regarded as the act of the Board of Directors unless a greater number is required by law or by this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91" w:lineRule="exact"/>
        <w:rPr>
          <w:sz w:val="20"/>
          <w:szCs w:val="20"/>
          <w:color w:val="auto"/>
        </w:rPr>
      </w:pPr>
    </w:p>
    <w:p>
      <w:pPr>
        <w:jc w:val="both"/>
        <w:ind w:firstLine="1358"/>
        <w:spacing w:after="0"/>
        <w:tabs>
          <w:tab w:leader="none" w:pos="1566"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Removal</w:t>
      </w:r>
      <w:r>
        <w:rPr>
          <w:rFonts w:ascii="Arial" w:cs="Arial" w:eastAsia="Arial" w:hAnsi="Arial"/>
          <w:sz w:val="22"/>
          <w:szCs w:val="22"/>
          <w:color w:val="auto"/>
        </w:rPr>
        <w:t>. Subject to the rights of holders of any series of Preferred Stock, directors of the Corporation may be removed only for cause and only by the affirmative vote of the holders of at least two-thirds in voting power of the outstanding shares of capital stock of the Corporation entitled to vote thereon.</w:t>
      </w:r>
    </w:p>
    <w:p>
      <w:pPr>
        <w:spacing w:after="0" w:line="186" w:lineRule="exact"/>
        <w:rPr>
          <w:rFonts w:ascii="Arial" w:cs="Arial" w:eastAsia="Arial" w:hAnsi="Arial"/>
          <w:sz w:val="22"/>
          <w:szCs w:val="22"/>
          <w:color w:val="auto"/>
        </w:rPr>
      </w:pPr>
    </w:p>
    <w:p>
      <w:pPr>
        <w:jc w:val="both"/>
        <w:ind w:firstLine="1378"/>
        <w:spacing w:after="0" w:line="279" w:lineRule="auto"/>
        <w:tabs>
          <w:tab w:leader="none" w:pos="1606" w:val="left"/>
        </w:tabs>
        <w:numPr>
          <w:ilvl w:val="1"/>
          <w:numId w:val="188"/>
        </w:numPr>
        <w:rPr>
          <w:rFonts w:ascii="Arial" w:cs="Arial" w:eastAsia="Arial" w:hAnsi="Arial"/>
          <w:sz w:val="19"/>
          <w:szCs w:val="19"/>
          <w:color w:val="auto"/>
        </w:rPr>
      </w:pPr>
      <w:r>
        <w:rPr>
          <w:rFonts w:ascii="Arial" w:cs="Arial" w:eastAsia="Arial" w:hAnsi="Arial"/>
          <w:sz w:val="19"/>
          <w:szCs w:val="19"/>
          <w:u w:val="single" w:color="auto"/>
          <w:color w:val="auto"/>
        </w:rPr>
        <w:t>Vacancies</w:t>
      </w:r>
      <w:r>
        <w:rPr>
          <w:rFonts w:ascii="Arial" w:cs="Arial" w:eastAsia="Arial" w:hAnsi="Arial"/>
          <w:sz w:val="19"/>
          <w:szCs w:val="19"/>
          <w:color w:val="auto"/>
        </w:rPr>
        <w:t>.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unless the Board of Directors determines by resolution that any such vacancy or newly created directorship shall be filled by the stockholders. A director elected to fill a vacancy shall hold office until the next election of the class for which such director shall have been chosen, subject to the election and qualification of a successor and to such director’s earlier death, resignation or removal.</w:t>
      </w:r>
    </w:p>
    <w:p>
      <w:pPr>
        <w:spacing w:after="0" w:line="150" w:lineRule="exact"/>
        <w:rPr>
          <w:rFonts w:ascii="Arial" w:cs="Arial" w:eastAsia="Arial" w:hAnsi="Arial"/>
          <w:sz w:val="19"/>
          <w:szCs w:val="19"/>
          <w:color w:val="auto"/>
        </w:rPr>
      </w:pPr>
    </w:p>
    <w:p>
      <w:pPr>
        <w:jc w:val="both"/>
        <w:ind w:firstLine="1371"/>
        <w:spacing w:after="0"/>
        <w:tabs>
          <w:tab w:leader="none" w:pos="1660" w:val="left"/>
        </w:tabs>
        <w:numPr>
          <w:ilvl w:val="1"/>
          <w:numId w:val="188"/>
        </w:numPr>
        <w:rPr>
          <w:rFonts w:ascii="Arial" w:cs="Arial" w:eastAsia="Arial" w:hAnsi="Arial"/>
          <w:sz w:val="22"/>
          <w:szCs w:val="22"/>
          <w:color w:val="auto"/>
        </w:rPr>
      </w:pPr>
      <w:r>
        <w:rPr>
          <w:rFonts w:ascii="Arial" w:cs="Arial" w:eastAsia="Arial" w:hAnsi="Arial"/>
          <w:sz w:val="22"/>
          <w:szCs w:val="22"/>
          <w:u w:val="single" w:color="auto"/>
          <w:color w:val="auto"/>
        </w:rPr>
        <w:t>Stockholder Nominations and Introduction of Business, Etc</w:t>
      </w:r>
      <w:r>
        <w:rPr>
          <w:rFonts w:ascii="Arial" w:cs="Arial" w:eastAsia="Arial" w:hAnsi="Arial"/>
          <w:sz w:val="22"/>
          <w:szCs w:val="22"/>
          <w:color w:val="auto"/>
        </w:rPr>
        <w:t>. Advance notice of stockholder nominations for election of directors and other business to be brought by stockholders before a meeting of stockholders shall be given in the manner provided by the Bylaws of the Corporation.</w:t>
      </w:r>
    </w:p>
    <w:p>
      <w:pPr>
        <w:spacing w:after="0" w:line="186" w:lineRule="exact"/>
        <w:rPr>
          <w:sz w:val="20"/>
          <w:szCs w:val="20"/>
          <w:color w:val="auto"/>
        </w:rPr>
      </w:pPr>
    </w:p>
    <w:p>
      <w:pPr>
        <w:jc w:val="both"/>
        <w:ind w:firstLine="1358"/>
        <w:spacing w:after="0" w:line="271" w:lineRule="auto"/>
        <w:tabs>
          <w:tab w:leader="none" w:pos="1728"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Amendments to Article</w:t>
      </w:r>
      <w:r>
        <w:rPr>
          <w:rFonts w:ascii="Arial" w:cs="Arial" w:eastAsia="Arial" w:hAnsi="Arial"/>
          <w:sz w:val="19"/>
          <w:szCs w:val="19"/>
          <w:color w:val="auto"/>
        </w:rPr>
        <w:t>. Notwithstanding any other provisions of law, this Amended and Restated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TWELFTH.</w:t>
      </w:r>
    </w:p>
    <w:p>
      <w:pPr>
        <w:spacing w:after="0" w:line="18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b w:val="1"/>
          <w:bCs w:val="1"/>
          <w:u w:val="single" w:color="auto"/>
          <w:color w:val="auto"/>
        </w:rPr>
        <w:t>THIRTEENTH</w:t>
      </w:r>
      <w:r>
        <w:rPr>
          <w:rFonts w:ascii="Arial" w:cs="Arial" w:eastAsia="Arial" w:hAnsi="Arial"/>
          <w:sz w:val="19"/>
          <w:szCs w:val="19"/>
          <w:color w:val="auto"/>
        </w:rPr>
        <w:t>: If any provision or provisions of this Amended and Restated Certificate of Incorporation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AMENDED AND RESTATED BYLAWS</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OF</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PROCEPT BIOROBOTICS CORPORATION</w:t>
      </w:r>
    </w:p>
    <w:p>
      <w:pPr>
        <w:spacing w:after="0" w:line="17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 Delaware corporation)</w:t>
      </w:r>
    </w:p>
    <w:p>
      <w:pPr>
        <w:sectPr>
          <w:pgSz w:w="11900" w:h="16838" w:orient="portrait"/>
          <w:cols w:equalWidth="0" w:num="1">
            <w:col w:w="10120"/>
          </w:cols>
          <w:pgMar w:left="1440" w:top="121" w:right="339" w:bottom="1440" w:gutter="0" w:footer="0" w:header="0"/>
        </w:sectPr>
      </w:pPr>
    </w:p>
    <w:bookmarkStart w:id="284" w:name="page285"/>
    <w:bookmarkEnd w:id="284"/>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6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22"/>
                <w:szCs w:val="22"/>
                <w:b w:val="1"/>
                <w:bCs w:val="1"/>
                <w:color w:val="auto"/>
              </w:rPr>
              <w:t>Page</w:t>
            </w:r>
          </w:p>
        </w:tc>
      </w:tr>
      <w:tr>
        <w:trPr>
          <w:trHeight w:val="391"/>
        </w:trPr>
        <w:tc>
          <w:tcPr>
            <w:tcW w:w="10500" w:type="dxa"/>
            <w:vAlign w:val="bottom"/>
            <w:gridSpan w:val="2"/>
          </w:tcPr>
          <w:p>
            <w:pPr>
              <w:spacing w:after="0"/>
              <w:rPr>
                <w:sz w:val="20"/>
                <w:szCs w:val="20"/>
                <w:color w:val="auto"/>
              </w:rPr>
            </w:pPr>
            <w:r>
              <w:rPr>
                <w:rFonts w:ascii="Arial" w:cs="Arial" w:eastAsia="Arial" w:hAnsi="Arial"/>
                <w:sz w:val="20"/>
                <w:szCs w:val="20"/>
                <w:color w:val="auto"/>
              </w:rPr>
              <w:t>ARTICLE I - CORPORATE OFFICES</w:t>
            </w: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24"/>
        </w:trPr>
        <w:tc>
          <w:tcPr>
            <w:tcW w:w="1600" w:type="dxa"/>
            <w:vAlign w:val="bottom"/>
          </w:tcPr>
          <w:p>
            <w:pPr>
              <w:ind w:left="960"/>
              <w:spacing w:after="0"/>
              <w:rPr>
                <w:sz w:val="20"/>
                <w:szCs w:val="20"/>
                <w:color w:val="auto"/>
              </w:rPr>
            </w:pPr>
            <w:r>
              <w:rPr>
                <w:rFonts w:ascii="Arial" w:cs="Arial" w:eastAsia="Arial" w:hAnsi="Arial"/>
                <w:sz w:val="20"/>
                <w:szCs w:val="20"/>
                <w:color w:val="auto"/>
              </w:rPr>
              <w:t>1.1</w:t>
            </w:r>
          </w:p>
        </w:tc>
        <w:tc>
          <w:tcPr>
            <w:tcW w:w="8900" w:type="dxa"/>
            <w:vAlign w:val="bottom"/>
          </w:tcPr>
          <w:p>
            <w:pPr>
              <w:ind w:left="300"/>
              <w:spacing w:after="0"/>
              <w:rPr>
                <w:sz w:val="20"/>
                <w:szCs w:val="20"/>
                <w:color w:val="auto"/>
              </w:rPr>
            </w:pPr>
            <w:r>
              <w:rPr>
                <w:rFonts w:ascii="Arial" w:cs="Arial" w:eastAsia="Arial" w:hAnsi="Arial"/>
                <w:sz w:val="20"/>
                <w:szCs w:val="20"/>
                <w:color w:val="auto"/>
              </w:rPr>
              <w:t>REGISTERED OFFICE</w:t>
            </w: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1.2</w:t>
            </w:r>
          </w:p>
        </w:tc>
        <w:tc>
          <w:tcPr>
            <w:tcW w:w="8900" w:type="dxa"/>
            <w:vAlign w:val="bottom"/>
          </w:tcPr>
          <w:p>
            <w:pPr>
              <w:ind w:left="300"/>
              <w:spacing w:after="0"/>
              <w:rPr>
                <w:sz w:val="20"/>
                <w:szCs w:val="20"/>
                <w:color w:val="auto"/>
              </w:rPr>
            </w:pPr>
            <w:r>
              <w:rPr>
                <w:rFonts w:ascii="Arial" w:cs="Arial" w:eastAsia="Arial" w:hAnsi="Arial"/>
                <w:sz w:val="20"/>
                <w:szCs w:val="20"/>
                <w:color w:val="auto"/>
              </w:rPr>
              <w:t>OTHER OFFICES</w:t>
            </w: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24"/>
        </w:trPr>
        <w:tc>
          <w:tcPr>
            <w:tcW w:w="10500" w:type="dxa"/>
            <w:vAlign w:val="bottom"/>
            <w:gridSpan w:val="2"/>
          </w:tcPr>
          <w:p>
            <w:pPr>
              <w:spacing w:after="0"/>
              <w:rPr>
                <w:sz w:val="20"/>
                <w:szCs w:val="20"/>
                <w:color w:val="auto"/>
              </w:rPr>
            </w:pPr>
            <w:r>
              <w:rPr>
                <w:rFonts w:ascii="Arial" w:cs="Arial" w:eastAsia="Arial" w:hAnsi="Arial"/>
                <w:sz w:val="20"/>
                <w:szCs w:val="20"/>
                <w:color w:val="auto"/>
              </w:rPr>
              <w:t>ARTICLE II - MEETINGS OF STOCKHOLDERS</w:t>
            </w: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24"/>
        </w:trPr>
        <w:tc>
          <w:tcPr>
            <w:tcW w:w="1600" w:type="dxa"/>
            <w:vAlign w:val="bottom"/>
          </w:tcPr>
          <w:p>
            <w:pPr>
              <w:ind w:left="960"/>
              <w:spacing w:after="0"/>
              <w:rPr>
                <w:sz w:val="20"/>
                <w:szCs w:val="20"/>
                <w:color w:val="auto"/>
              </w:rPr>
            </w:pPr>
            <w:r>
              <w:rPr>
                <w:rFonts w:ascii="Arial" w:cs="Arial" w:eastAsia="Arial" w:hAnsi="Arial"/>
                <w:sz w:val="20"/>
                <w:szCs w:val="20"/>
                <w:color w:val="auto"/>
              </w:rPr>
              <w:t>2.1</w:t>
            </w:r>
          </w:p>
        </w:tc>
        <w:tc>
          <w:tcPr>
            <w:tcW w:w="8900" w:type="dxa"/>
            <w:vAlign w:val="bottom"/>
          </w:tcPr>
          <w:p>
            <w:pPr>
              <w:ind w:left="300"/>
              <w:spacing w:after="0"/>
              <w:rPr>
                <w:sz w:val="20"/>
                <w:szCs w:val="20"/>
                <w:color w:val="auto"/>
              </w:rPr>
            </w:pPr>
            <w:r>
              <w:rPr>
                <w:rFonts w:ascii="Arial" w:cs="Arial" w:eastAsia="Arial" w:hAnsi="Arial"/>
                <w:sz w:val="20"/>
                <w:szCs w:val="20"/>
                <w:color w:val="auto"/>
              </w:rPr>
              <w:t>PLACE OF MEETINGS</w:t>
            </w: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2.2</w:t>
            </w:r>
          </w:p>
        </w:tc>
        <w:tc>
          <w:tcPr>
            <w:tcW w:w="8900" w:type="dxa"/>
            <w:vAlign w:val="bottom"/>
          </w:tcPr>
          <w:p>
            <w:pPr>
              <w:ind w:left="300"/>
              <w:spacing w:after="0"/>
              <w:rPr>
                <w:sz w:val="20"/>
                <w:szCs w:val="20"/>
                <w:color w:val="auto"/>
              </w:rPr>
            </w:pPr>
            <w:r>
              <w:rPr>
                <w:rFonts w:ascii="Arial" w:cs="Arial" w:eastAsia="Arial" w:hAnsi="Arial"/>
                <w:sz w:val="20"/>
                <w:szCs w:val="20"/>
                <w:color w:val="auto"/>
              </w:rPr>
              <w:t>ANNUAL MEETING</w:t>
            </w: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2.3</w:t>
            </w:r>
          </w:p>
        </w:tc>
        <w:tc>
          <w:tcPr>
            <w:tcW w:w="8900" w:type="dxa"/>
            <w:vAlign w:val="bottom"/>
          </w:tcPr>
          <w:p>
            <w:pPr>
              <w:ind w:left="300"/>
              <w:spacing w:after="0"/>
              <w:rPr>
                <w:sz w:val="20"/>
                <w:szCs w:val="20"/>
                <w:color w:val="auto"/>
              </w:rPr>
            </w:pPr>
            <w:r>
              <w:rPr>
                <w:rFonts w:ascii="Arial" w:cs="Arial" w:eastAsia="Arial" w:hAnsi="Arial"/>
                <w:sz w:val="20"/>
                <w:szCs w:val="20"/>
                <w:color w:val="auto"/>
              </w:rPr>
              <w:t>SPECIAL MEETING</w:t>
            </w: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2.4</w:t>
            </w:r>
          </w:p>
        </w:tc>
        <w:tc>
          <w:tcPr>
            <w:tcW w:w="8900" w:type="dxa"/>
            <w:vAlign w:val="bottom"/>
          </w:tcPr>
          <w:p>
            <w:pPr>
              <w:ind w:left="300"/>
              <w:spacing w:after="0"/>
              <w:rPr>
                <w:sz w:val="20"/>
                <w:szCs w:val="20"/>
                <w:color w:val="auto"/>
              </w:rPr>
            </w:pPr>
            <w:r>
              <w:rPr>
                <w:rFonts w:ascii="Arial" w:cs="Arial" w:eastAsia="Arial" w:hAnsi="Arial"/>
                <w:sz w:val="20"/>
                <w:szCs w:val="20"/>
                <w:color w:val="auto"/>
              </w:rPr>
              <w:t>ADVANCE NOTICE PROCEDURES FOR BUSINESS BROUGHT BEFORE A MEETING</w:t>
            </w: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2.5</w:t>
            </w:r>
          </w:p>
        </w:tc>
        <w:tc>
          <w:tcPr>
            <w:tcW w:w="8900" w:type="dxa"/>
            <w:vAlign w:val="bottom"/>
          </w:tcPr>
          <w:p>
            <w:pPr>
              <w:ind w:left="300"/>
              <w:spacing w:after="0"/>
              <w:rPr>
                <w:sz w:val="20"/>
                <w:szCs w:val="20"/>
                <w:color w:val="auto"/>
              </w:rPr>
            </w:pPr>
            <w:r>
              <w:rPr>
                <w:rFonts w:ascii="Arial" w:cs="Arial" w:eastAsia="Arial" w:hAnsi="Arial"/>
                <w:sz w:val="20"/>
                <w:szCs w:val="20"/>
                <w:color w:val="auto"/>
              </w:rPr>
              <w:t>ADVANCE NOTICE PROCEDURES FOR NOMINATIONS OF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6"/>
        </w:trPr>
        <w:tc>
          <w:tcPr>
            <w:tcW w:w="1600" w:type="dxa"/>
            <w:vAlign w:val="bottom"/>
          </w:tcPr>
          <w:p>
            <w:pPr>
              <w:ind w:left="960"/>
              <w:spacing w:after="0"/>
              <w:rPr>
                <w:sz w:val="20"/>
                <w:szCs w:val="20"/>
                <w:color w:val="auto"/>
              </w:rPr>
            </w:pPr>
            <w:r>
              <w:rPr>
                <w:rFonts w:ascii="Arial" w:cs="Arial" w:eastAsia="Arial" w:hAnsi="Arial"/>
                <w:sz w:val="20"/>
                <w:szCs w:val="20"/>
                <w:color w:val="auto"/>
              </w:rPr>
              <w:t>2.6</w:t>
            </w:r>
          </w:p>
        </w:tc>
        <w:tc>
          <w:tcPr>
            <w:tcW w:w="8900" w:type="dxa"/>
            <w:vAlign w:val="bottom"/>
          </w:tcPr>
          <w:p>
            <w:pPr>
              <w:ind w:left="300"/>
              <w:spacing w:after="0"/>
              <w:rPr>
                <w:sz w:val="20"/>
                <w:szCs w:val="20"/>
                <w:color w:val="auto"/>
              </w:rPr>
            </w:pPr>
            <w:r>
              <w:rPr>
                <w:rFonts w:ascii="Arial" w:cs="Arial" w:eastAsia="Arial" w:hAnsi="Arial"/>
                <w:sz w:val="20"/>
                <w:szCs w:val="20"/>
                <w:color w:val="auto"/>
              </w:rPr>
              <w:t>ADDITIONAL REQUIREMENTS FOR VALID NOMINATION OF CANDIDATES TO SERVE AS</w:t>
            </w:r>
          </w:p>
        </w:tc>
        <w:tc>
          <w:tcPr>
            <w:tcW w:w="720" w:type="dxa"/>
            <w:vAlign w:val="bottom"/>
          </w:tcPr>
          <w:p>
            <w:pPr>
              <w:spacing w:after="0"/>
              <w:rPr>
                <w:sz w:val="20"/>
                <w:szCs w:val="20"/>
                <w:color w:val="auto"/>
              </w:rPr>
            </w:pPr>
          </w:p>
        </w:tc>
      </w:tr>
      <w:tr>
        <w:trPr>
          <w:trHeight w:val="250"/>
        </w:trPr>
        <w:tc>
          <w:tcPr>
            <w:tcW w:w="1600" w:type="dxa"/>
            <w:vAlign w:val="bottom"/>
          </w:tcPr>
          <w:p>
            <w:pPr>
              <w:spacing w:after="0"/>
              <w:rPr>
                <w:sz w:val="21"/>
                <w:szCs w:val="21"/>
                <w:color w:val="auto"/>
              </w:rPr>
            </w:pPr>
          </w:p>
        </w:tc>
        <w:tc>
          <w:tcPr>
            <w:tcW w:w="8900" w:type="dxa"/>
            <w:vAlign w:val="bottom"/>
          </w:tcPr>
          <w:p>
            <w:pPr>
              <w:ind w:left="300"/>
              <w:spacing w:after="0"/>
              <w:rPr>
                <w:sz w:val="20"/>
                <w:szCs w:val="20"/>
                <w:color w:val="auto"/>
              </w:rPr>
            </w:pPr>
            <w:r>
              <w:rPr>
                <w:rFonts w:ascii="Arial" w:cs="Arial" w:eastAsia="Arial" w:hAnsi="Arial"/>
                <w:sz w:val="20"/>
                <w:szCs w:val="20"/>
                <w:color w:val="auto"/>
              </w:rPr>
              <w:t>DIRECTOR AND, IF ELECTED, TO BE SEATED AS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2.7</w:t>
            </w:r>
          </w:p>
        </w:tc>
        <w:tc>
          <w:tcPr>
            <w:tcW w:w="8900" w:type="dxa"/>
            <w:vAlign w:val="bottom"/>
          </w:tcPr>
          <w:p>
            <w:pPr>
              <w:ind w:left="300"/>
              <w:spacing w:after="0"/>
              <w:rPr>
                <w:sz w:val="20"/>
                <w:szCs w:val="20"/>
                <w:color w:val="auto"/>
              </w:rPr>
            </w:pPr>
            <w:r>
              <w:rPr>
                <w:rFonts w:ascii="Arial" w:cs="Arial" w:eastAsia="Arial" w:hAnsi="Arial"/>
                <w:sz w:val="20"/>
                <w:szCs w:val="20"/>
                <w:color w:val="auto"/>
              </w:rPr>
              <w:t>NOTICE OF STOCKHOLDERS’ MEETINGS</w:t>
            </w:r>
          </w:p>
        </w:tc>
        <w:tc>
          <w:tcPr>
            <w:tcW w:w="7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2.8</w:t>
            </w:r>
          </w:p>
        </w:tc>
        <w:tc>
          <w:tcPr>
            <w:tcW w:w="8900" w:type="dxa"/>
            <w:vAlign w:val="bottom"/>
          </w:tcPr>
          <w:p>
            <w:pPr>
              <w:ind w:left="300"/>
              <w:spacing w:after="0"/>
              <w:rPr>
                <w:sz w:val="20"/>
                <w:szCs w:val="20"/>
                <w:color w:val="auto"/>
              </w:rPr>
            </w:pPr>
            <w:r>
              <w:rPr>
                <w:rFonts w:ascii="Arial" w:cs="Arial" w:eastAsia="Arial" w:hAnsi="Arial"/>
                <w:sz w:val="20"/>
                <w:szCs w:val="20"/>
                <w:color w:val="auto"/>
              </w:rPr>
              <w:t>MANNER OF GIVING NOTICE; AFFIDAVIT OF NOTICE</w:t>
            </w:r>
          </w:p>
        </w:tc>
        <w:tc>
          <w:tcPr>
            <w:tcW w:w="7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2.9</w:t>
            </w:r>
          </w:p>
        </w:tc>
        <w:tc>
          <w:tcPr>
            <w:tcW w:w="8900" w:type="dxa"/>
            <w:vAlign w:val="bottom"/>
          </w:tcPr>
          <w:p>
            <w:pPr>
              <w:ind w:left="300"/>
              <w:spacing w:after="0"/>
              <w:rPr>
                <w:sz w:val="20"/>
                <w:szCs w:val="20"/>
                <w:color w:val="auto"/>
              </w:rPr>
            </w:pPr>
            <w:r>
              <w:rPr>
                <w:rFonts w:ascii="Arial" w:cs="Arial" w:eastAsia="Arial" w:hAnsi="Arial"/>
                <w:sz w:val="20"/>
                <w:szCs w:val="20"/>
                <w:color w:val="auto"/>
              </w:rPr>
              <w:t>QUORUM</w:t>
            </w:r>
          </w:p>
        </w:tc>
        <w:tc>
          <w:tcPr>
            <w:tcW w:w="7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2.10</w:t>
            </w:r>
          </w:p>
        </w:tc>
        <w:tc>
          <w:tcPr>
            <w:tcW w:w="8900" w:type="dxa"/>
            <w:vAlign w:val="bottom"/>
          </w:tcPr>
          <w:p>
            <w:pPr>
              <w:ind w:left="300"/>
              <w:spacing w:after="0"/>
              <w:rPr>
                <w:sz w:val="20"/>
                <w:szCs w:val="20"/>
                <w:color w:val="auto"/>
              </w:rPr>
            </w:pPr>
            <w:r>
              <w:rPr>
                <w:rFonts w:ascii="Arial" w:cs="Arial" w:eastAsia="Arial" w:hAnsi="Arial"/>
                <w:sz w:val="20"/>
                <w:szCs w:val="20"/>
                <w:color w:val="auto"/>
              </w:rPr>
              <w:t>ADJOURNED MEETING; NOTICE</w:t>
            </w:r>
          </w:p>
        </w:tc>
        <w:tc>
          <w:tcPr>
            <w:tcW w:w="7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2.11</w:t>
            </w:r>
          </w:p>
        </w:tc>
        <w:tc>
          <w:tcPr>
            <w:tcW w:w="8900" w:type="dxa"/>
            <w:vAlign w:val="bottom"/>
          </w:tcPr>
          <w:p>
            <w:pPr>
              <w:ind w:left="300"/>
              <w:spacing w:after="0"/>
              <w:rPr>
                <w:sz w:val="20"/>
                <w:szCs w:val="20"/>
                <w:color w:val="auto"/>
              </w:rPr>
            </w:pPr>
            <w:r>
              <w:rPr>
                <w:rFonts w:ascii="Arial" w:cs="Arial" w:eastAsia="Arial" w:hAnsi="Arial"/>
                <w:sz w:val="20"/>
                <w:szCs w:val="20"/>
                <w:color w:val="auto"/>
              </w:rPr>
              <w:t>CONDUCT OF BUSINESS</w:t>
            </w:r>
          </w:p>
        </w:tc>
        <w:tc>
          <w:tcPr>
            <w:tcW w:w="7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2.12</w:t>
            </w:r>
          </w:p>
        </w:tc>
        <w:tc>
          <w:tcPr>
            <w:tcW w:w="8900" w:type="dxa"/>
            <w:vAlign w:val="bottom"/>
          </w:tcPr>
          <w:p>
            <w:pPr>
              <w:ind w:left="300"/>
              <w:spacing w:after="0"/>
              <w:rPr>
                <w:sz w:val="20"/>
                <w:szCs w:val="20"/>
                <w:color w:val="auto"/>
              </w:rPr>
            </w:pPr>
            <w:r>
              <w:rPr>
                <w:rFonts w:ascii="Arial" w:cs="Arial" w:eastAsia="Arial" w:hAnsi="Arial"/>
                <w:sz w:val="20"/>
                <w:szCs w:val="20"/>
                <w:color w:val="auto"/>
              </w:rPr>
              <w:t>VOTING</w:t>
            </w:r>
          </w:p>
        </w:tc>
        <w:tc>
          <w:tcPr>
            <w:tcW w:w="7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2.13</w:t>
            </w:r>
          </w:p>
        </w:tc>
        <w:tc>
          <w:tcPr>
            <w:tcW w:w="8900" w:type="dxa"/>
            <w:vAlign w:val="bottom"/>
          </w:tcPr>
          <w:p>
            <w:pPr>
              <w:ind w:left="300"/>
              <w:spacing w:after="0"/>
              <w:rPr>
                <w:sz w:val="20"/>
                <w:szCs w:val="20"/>
                <w:color w:val="auto"/>
              </w:rPr>
            </w:pPr>
            <w:r>
              <w:rPr>
                <w:rFonts w:ascii="Arial" w:cs="Arial" w:eastAsia="Arial" w:hAnsi="Arial"/>
                <w:sz w:val="20"/>
                <w:szCs w:val="20"/>
                <w:color w:val="auto"/>
              </w:rPr>
              <w:t>STOCKHOLDER ACTION BY WRITTEN CONSENT WITHOUT A MEETING</w:t>
            </w:r>
          </w:p>
        </w:tc>
        <w:tc>
          <w:tcPr>
            <w:tcW w:w="7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2.14</w:t>
            </w:r>
          </w:p>
        </w:tc>
        <w:tc>
          <w:tcPr>
            <w:tcW w:w="8900" w:type="dxa"/>
            <w:vAlign w:val="bottom"/>
          </w:tcPr>
          <w:p>
            <w:pPr>
              <w:ind w:left="300"/>
              <w:spacing w:after="0"/>
              <w:rPr>
                <w:sz w:val="20"/>
                <w:szCs w:val="20"/>
                <w:color w:val="auto"/>
              </w:rPr>
            </w:pPr>
            <w:r>
              <w:rPr>
                <w:rFonts w:ascii="Arial" w:cs="Arial" w:eastAsia="Arial" w:hAnsi="Arial"/>
                <w:sz w:val="20"/>
                <w:szCs w:val="20"/>
                <w:color w:val="auto"/>
              </w:rPr>
              <w:t>RECORD DATE FOR STOCKHOLDER NOTICE; VOTING</w:t>
            </w:r>
          </w:p>
        </w:tc>
        <w:tc>
          <w:tcPr>
            <w:tcW w:w="7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2.15</w:t>
            </w:r>
          </w:p>
        </w:tc>
        <w:tc>
          <w:tcPr>
            <w:tcW w:w="8900" w:type="dxa"/>
            <w:vAlign w:val="bottom"/>
          </w:tcPr>
          <w:p>
            <w:pPr>
              <w:ind w:left="300"/>
              <w:spacing w:after="0"/>
              <w:rPr>
                <w:sz w:val="20"/>
                <w:szCs w:val="20"/>
                <w:color w:val="auto"/>
              </w:rPr>
            </w:pPr>
            <w:r>
              <w:rPr>
                <w:rFonts w:ascii="Arial" w:cs="Arial" w:eastAsia="Arial" w:hAnsi="Arial"/>
                <w:sz w:val="20"/>
                <w:szCs w:val="20"/>
                <w:color w:val="auto"/>
              </w:rPr>
              <w:t>PROXIES</w:t>
            </w:r>
          </w:p>
        </w:tc>
        <w:tc>
          <w:tcPr>
            <w:tcW w:w="7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2.16</w:t>
            </w:r>
          </w:p>
        </w:tc>
        <w:tc>
          <w:tcPr>
            <w:tcW w:w="8900" w:type="dxa"/>
            <w:vAlign w:val="bottom"/>
          </w:tcPr>
          <w:p>
            <w:pPr>
              <w:ind w:left="300"/>
              <w:spacing w:after="0"/>
              <w:rPr>
                <w:sz w:val="20"/>
                <w:szCs w:val="20"/>
                <w:color w:val="auto"/>
              </w:rPr>
            </w:pPr>
            <w:r>
              <w:rPr>
                <w:rFonts w:ascii="Arial" w:cs="Arial" w:eastAsia="Arial" w:hAnsi="Arial"/>
                <w:sz w:val="20"/>
                <w:szCs w:val="20"/>
                <w:color w:val="auto"/>
              </w:rPr>
              <w:t>LIST OF STOCKHOLDERS ENTITLED TO VOTE</w:t>
            </w:r>
          </w:p>
        </w:tc>
        <w:tc>
          <w:tcPr>
            <w:tcW w:w="7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2.17</w:t>
            </w:r>
          </w:p>
        </w:tc>
        <w:tc>
          <w:tcPr>
            <w:tcW w:w="8900" w:type="dxa"/>
            <w:vAlign w:val="bottom"/>
          </w:tcPr>
          <w:p>
            <w:pPr>
              <w:ind w:left="300"/>
              <w:spacing w:after="0"/>
              <w:rPr>
                <w:sz w:val="20"/>
                <w:szCs w:val="20"/>
                <w:color w:val="auto"/>
              </w:rPr>
            </w:pPr>
            <w:r>
              <w:rPr>
                <w:rFonts w:ascii="Arial" w:cs="Arial" w:eastAsia="Arial" w:hAnsi="Arial"/>
                <w:sz w:val="20"/>
                <w:szCs w:val="20"/>
                <w:color w:val="auto"/>
              </w:rPr>
              <w:t>POSTPONEMENT AND CANCELLATION OF MEETING.</w:t>
            </w:r>
          </w:p>
        </w:tc>
        <w:tc>
          <w:tcPr>
            <w:tcW w:w="7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2.18</w:t>
            </w:r>
          </w:p>
        </w:tc>
        <w:tc>
          <w:tcPr>
            <w:tcW w:w="8900" w:type="dxa"/>
            <w:vAlign w:val="bottom"/>
          </w:tcPr>
          <w:p>
            <w:pPr>
              <w:ind w:left="300"/>
              <w:spacing w:after="0"/>
              <w:rPr>
                <w:sz w:val="20"/>
                <w:szCs w:val="20"/>
                <w:color w:val="auto"/>
              </w:rPr>
            </w:pPr>
            <w:r>
              <w:rPr>
                <w:rFonts w:ascii="Arial" w:cs="Arial" w:eastAsia="Arial" w:hAnsi="Arial"/>
                <w:sz w:val="20"/>
                <w:szCs w:val="20"/>
                <w:color w:val="auto"/>
              </w:rPr>
              <w:t>INSPECTORS OF ELECTION</w:t>
            </w:r>
          </w:p>
        </w:tc>
        <w:tc>
          <w:tcPr>
            <w:tcW w:w="7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324"/>
        </w:trPr>
        <w:tc>
          <w:tcPr>
            <w:tcW w:w="10500" w:type="dxa"/>
            <w:vAlign w:val="bottom"/>
            <w:gridSpan w:val="2"/>
          </w:tcPr>
          <w:p>
            <w:pPr>
              <w:spacing w:after="0"/>
              <w:rPr>
                <w:sz w:val="20"/>
                <w:szCs w:val="20"/>
                <w:color w:val="auto"/>
              </w:rPr>
            </w:pPr>
            <w:r>
              <w:rPr>
                <w:rFonts w:ascii="Arial" w:cs="Arial" w:eastAsia="Arial" w:hAnsi="Arial"/>
                <w:sz w:val="20"/>
                <w:szCs w:val="20"/>
                <w:color w:val="auto"/>
              </w:rPr>
              <w:t>ARTICLE III -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324"/>
        </w:trPr>
        <w:tc>
          <w:tcPr>
            <w:tcW w:w="1600" w:type="dxa"/>
            <w:vAlign w:val="bottom"/>
          </w:tcPr>
          <w:p>
            <w:pPr>
              <w:ind w:left="960"/>
              <w:spacing w:after="0"/>
              <w:rPr>
                <w:sz w:val="20"/>
                <w:szCs w:val="20"/>
                <w:color w:val="auto"/>
              </w:rPr>
            </w:pPr>
            <w:r>
              <w:rPr>
                <w:rFonts w:ascii="Arial" w:cs="Arial" w:eastAsia="Arial" w:hAnsi="Arial"/>
                <w:sz w:val="20"/>
                <w:szCs w:val="20"/>
                <w:color w:val="auto"/>
              </w:rPr>
              <w:t>3.1</w:t>
            </w:r>
          </w:p>
        </w:tc>
        <w:tc>
          <w:tcPr>
            <w:tcW w:w="8900" w:type="dxa"/>
            <w:vAlign w:val="bottom"/>
          </w:tcPr>
          <w:p>
            <w:pPr>
              <w:ind w:left="300"/>
              <w:spacing w:after="0"/>
              <w:rPr>
                <w:sz w:val="20"/>
                <w:szCs w:val="20"/>
                <w:color w:val="auto"/>
              </w:rPr>
            </w:pPr>
            <w:r>
              <w:rPr>
                <w:rFonts w:ascii="Arial" w:cs="Arial" w:eastAsia="Arial" w:hAnsi="Arial"/>
                <w:sz w:val="20"/>
                <w:szCs w:val="20"/>
                <w:color w:val="auto"/>
              </w:rPr>
              <w:t>POWERS</w:t>
            </w:r>
          </w:p>
        </w:tc>
        <w:tc>
          <w:tcPr>
            <w:tcW w:w="7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3.2</w:t>
            </w:r>
          </w:p>
        </w:tc>
        <w:tc>
          <w:tcPr>
            <w:tcW w:w="8900" w:type="dxa"/>
            <w:vAlign w:val="bottom"/>
          </w:tcPr>
          <w:p>
            <w:pPr>
              <w:ind w:left="300"/>
              <w:spacing w:after="0"/>
              <w:rPr>
                <w:sz w:val="20"/>
                <w:szCs w:val="20"/>
                <w:color w:val="auto"/>
              </w:rPr>
            </w:pPr>
            <w:r>
              <w:rPr>
                <w:rFonts w:ascii="Arial" w:cs="Arial" w:eastAsia="Arial" w:hAnsi="Arial"/>
                <w:sz w:val="20"/>
                <w:szCs w:val="20"/>
                <w:color w:val="auto"/>
              </w:rPr>
              <w:t>NUMBER OF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3.3</w:t>
            </w:r>
          </w:p>
        </w:tc>
        <w:tc>
          <w:tcPr>
            <w:tcW w:w="8900" w:type="dxa"/>
            <w:vAlign w:val="bottom"/>
          </w:tcPr>
          <w:p>
            <w:pPr>
              <w:ind w:left="300"/>
              <w:spacing w:after="0"/>
              <w:rPr>
                <w:sz w:val="20"/>
                <w:szCs w:val="20"/>
                <w:color w:val="auto"/>
              </w:rPr>
            </w:pPr>
            <w:r>
              <w:rPr>
                <w:rFonts w:ascii="Arial" w:cs="Arial" w:eastAsia="Arial" w:hAnsi="Arial"/>
                <w:sz w:val="20"/>
                <w:szCs w:val="20"/>
                <w:color w:val="auto"/>
              </w:rPr>
              <w:t>ELECTION, QUALIFICATION AND TERM OF OFFICE OF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3.4</w:t>
            </w:r>
          </w:p>
        </w:tc>
        <w:tc>
          <w:tcPr>
            <w:tcW w:w="8900" w:type="dxa"/>
            <w:vAlign w:val="bottom"/>
          </w:tcPr>
          <w:p>
            <w:pPr>
              <w:ind w:left="300"/>
              <w:spacing w:after="0"/>
              <w:rPr>
                <w:sz w:val="20"/>
                <w:szCs w:val="20"/>
                <w:color w:val="auto"/>
              </w:rPr>
            </w:pPr>
            <w:r>
              <w:rPr>
                <w:rFonts w:ascii="Arial" w:cs="Arial" w:eastAsia="Arial" w:hAnsi="Arial"/>
                <w:sz w:val="20"/>
                <w:szCs w:val="20"/>
                <w:color w:val="auto"/>
              </w:rPr>
              <w:t>RESIGNATION AND VACANCIES</w:t>
            </w:r>
          </w:p>
        </w:tc>
        <w:tc>
          <w:tcPr>
            <w:tcW w:w="7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3.5</w:t>
            </w:r>
          </w:p>
        </w:tc>
        <w:tc>
          <w:tcPr>
            <w:tcW w:w="8900" w:type="dxa"/>
            <w:vAlign w:val="bottom"/>
          </w:tcPr>
          <w:p>
            <w:pPr>
              <w:ind w:left="300"/>
              <w:spacing w:after="0"/>
              <w:rPr>
                <w:sz w:val="20"/>
                <w:szCs w:val="20"/>
                <w:color w:val="auto"/>
              </w:rPr>
            </w:pPr>
            <w:r>
              <w:rPr>
                <w:rFonts w:ascii="Arial" w:cs="Arial" w:eastAsia="Arial" w:hAnsi="Arial"/>
                <w:sz w:val="20"/>
                <w:szCs w:val="20"/>
                <w:color w:val="auto"/>
              </w:rPr>
              <w:t>PLACE OF MEETINGS; MEETINGS BY TELEPHONE</w:t>
            </w:r>
          </w:p>
        </w:tc>
        <w:tc>
          <w:tcPr>
            <w:tcW w:w="7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3.6</w:t>
            </w:r>
          </w:p>
        </w:tc>
        <w:tc>
          <w:tcPr>
            <w:tcW w:w="8900" w:type="dxa"/>
            <w:vAlign w:val="bottom"/>
          </w:tcPr>
          <w:p>
            <w:pPr>
              <w:ind w:left="300"/>
              <w:spacing w:after="0"/>
              <w:rPr>
                <w:sz w:val="20"/>
                <w:szCs w:val="20"/>
                <w:color w:val="auto"/>
              </w:rPr>
            </w:pPr>
            <w:r>
              <w:rPr>
                <w:rFonts w:ascii="Arial" w:cs="Arial" w:eastAsia="Arial" w:hAnsi="Arial"/>
                <w:sz w:val="20"/>
                <w:szCs w:val="20"/>
                <w:color w:val="auto"/>
              </w:rPr>
              <w:t>REGULAR MEETINGS</w:t>
            </w:r>
          </w:p>
        </w:tc>
        <w:tc>
          <w:tcPr>
            <w:tcW w:w="7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3.7</w:t>
            </w:r>
          </w:p>
        </w:tc>
        <w:tc>
          <w:tcPr>
            <w:tcW w:w="8900" w:type="dxa"/>
            <w:vAlign w:val="bottom"/>
          </w:tcPr>
          <w:p>
            <w:pPr>
              <w:ind w:left="300"/>
              <w:spacing w:after="0"/>
              <w:rPr>
                <w:sz w:val="20"/>
                <w:szCs w:val="20"/>
                <w:color w:val="auto"/>
              </w:rPr>
            </w:pPr>
            <w:r>
              <w:rPr>
                <w:rFonts w:ascii="Arial" w:cs="Arial" w:eastAsia="Arial" w:hAnsi="Arial"/>
                <w:sz w:val="20"/>
                <w:szCs w:val="20"/>
                <w:color w:val="auto"/>
              </w:rPr>
              <w:t>SPECIAL MEETINGS; NOTICE</w:t>
            </w:r>
          </w:p>
        </w:tc>
        <w:tc>
          <w:tcPr>
            <w:tcW w:w="7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3.8</w:t>
            </w:r>
          </w:p>
        </w:tc>
        <w:tc>
          <w:tcPr>
            <w:tcW w:w="8900" w:type="dxa"/>
            <w:vAlign w:val="bottom"/>
          </w:tcPr>
          <w:p>
            <w:pPr>
              <w:ind w:left="300"/>
              <w:spacing w:after="0"/>
              <w:rPr>
                <w:sz w:val="20"/>
                <w:szCs w:val="20"/>
                <w:color w:val="auto"/>
              </w:rPr>
            </w:pPr>
            <w:r>
              <w:rPr>
                <w:rFonts w:ascii="Arial" w:cs="Arial" w:eastAsia="Arial" w:hAnsi="Arial"/>
                <w:sz w:val="20"/>
                <w:szCs w:val="20"/>
                <w:color w:val="auto"/>
              </w:rPr>
              <w:t>QUORUM</w:t>
            </w:r>
          </w:p>
        </w:tc>
        <w:tc>
          <w:tcPr>
            <w:tcW w:w="7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3.9</w:t>
            </w:r>
          </w:p>
        </w:tc>
        <w:tc>
          <w:tcPr>
            <w:tcW w:w="8900" w:type="dxa"/>
            <w:vAlign w:val="bottom"/>
          </w:tcPr>
          <w:p>
            <w:pPr>
              <w:ind w:left="300"/>
              <w:spacing w:after="0"/>
              <w:rPr>
                <w:sz w:val="20"/>
                <w:szCs w:val="20"/>
                <w:color w:val="auto"/>
              </w:rPr>
            </w:pPr>
            <w:r>
              <w:rPr>
                <w:rFonts w:ascii="Arial" w:cs="Arial" w:eastAsia="Arial" w:hAnsi="Arial"/>
                <w:sz w:val="20"/>
                <w:szCs w:val="20"/>
                <w:color w:val="auto"/>
              </w:rPr>
              <w:t>BOARD ACTION BY CONSENT WITHOUT A MEETING</w:t>
            </w:r>
          </w:p>
        </w:tc>
        <w:tc>
          <w:tcPr>
            <w:tcW w:w="7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3.10</w:t>
            </w:r>
          </w:p>
        </w:tc>
        <w:tc>
          <w:tcPr>
            <w:tcW w:w="8900" w:type="dxa"/>
            <w:vAlign w:val="bottom"/>
          </w:tcPr>
          <w:p>
            <w:pPr>
              <w:ind w:left="300"/>
              <w:spacing w:after="0"/>
              <w:rPr>
                <w:sz w:val="20"/>
                <w:szCs w:val="20"/>
                <w:color w:val="auto"/>
              </w:rPr>
            </w:pPr>
            <w:r>
              <w:rPr>
                <w:rFonts w:ascii="Arial" w:cs="Arial" w:eastAsia="Arial" w:hAnsi="Arial"/>
                <w:sz w:val="20"/>
                <w:szCs w:val="20"/>
                <w:color w:val="auto"/>
              </w:rPr>
              <w:t>FEES AND COMPENSATION OF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3.11</w:t>
            </w:r>
          </w:p>
        </w:tc>
        <w:tc>
          <w:tcPr>
            <w:tcW w:w="8900" w:type="dxa"/>
            <w:vAlign w:val="bottom"/>
          </w:tcPr>
          <w:p>
            <w:pPr>
              <w:ind w:left="300"/>
              <w:spacing w:after="0"/>
              <w:rPr>
                <w:sz w:val="20"/>
                <w:szCs w:val="20"/>
                <w:color w:val="auto"/>
              </w:rPr>
            </w:pPr>
            <w:r>
              <w:rPr>
                <w:rFonts w:ascii="Arial" w:cs="Arial" w:eastAsia="Arial" w:hAnsi="Arial"/>
                <w:sz w:val="20"/>
                <w:szCs w:val="20"/>
                <w:color w:val="auto"/>
              </w:rPr>
              <w:t>REMOVAL OF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324"/>
        </w:trPr>
        <w:tc>
          <w:tcPr>
            <w:tcW w:w="10500" w:type="dxa"/>
            <w:vAlign w:val="bottom"/>
            <w:gridSpan w:val="2"/>
          </w:tcPr>
          <w:p>
            <w:pPr>
              <w:spacing w:after="0"/>
              <w:rPr>
                <w:sz w:val="20"/>
                <w:szCs w:val="20"/>
                <w:color w:val="auto"/>
              </w:rPr>
            </w:pPr>
            <w:r>
              <w:rPr>
                <w:rFonts w:ascii="Arial" w:cs="Arial" w:eastAsia="Arial" w:hAnsi="Arial"/>
                <w:sz w:val="20"/>
                <w:szCs w:val="20"/>
                <w:color w:val="auto"/>
              </w:rPr>
              <w:t>ARTICLE IV - COMMITTEES</w:t>
            </w:r>
          </w:p>
        </w:tc>
        <w:tc>
          <w:tcPr>
            <w:tcW w:w="7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324"/>
        </w:trPr>
        <w:tc>
          <w:tcPr>
            <w:tcW w:w="1600" w:type="dxa"/>
            <w:vAlign w:val="bottom"/>
          </w:tcPr>
          <w:p>
            <w:pPr>
              <w:ind w:left="960"/>
              <w:spacing w:after="0"/>
              <w:rPr>
                <w:sz w:val="20"/>
                <w:szCs w:val="20"/>
                <w:color w:val="auto"/>
              </w:rPr>
            </w:pPr>
            <w:r>
              <w:rPr>
                <w:rFonts w:ascii="Arial" w:cs="Arial" w:eastAsia="Arial" w:hAnsi="Arial"/>
                <w:sz w:val="20"/>
                <w:szCs w:val="20"/>
                <w:color w:val="auto"/>
              </w:rPr>
              <w:t>4.1</w:t>
            </w:r>
          </w:p>
        </w:tc>
        <w:tc>
          <w:tcPr>
            <w:tcW w:w="8900" w:type="dxa"/>
            <w:vAlign w:val="bottom"/>
          </w:tcPr>
          <w:p>
            <w:pPr>
              <w:ind w:left="300"/>
              <w:spacing w:after="0"/>
              <w:rPr>
                <w:sz w:val="20"/>
                <w:szCs w:val="20"/>
                <w:color w:val="auto"/>
              </w:rPr>
            </w:pPr>
            <w:r>
              <w:rPr>
                <w:rFonts w:ascii="Arial" w:cs="Arial" w:eastAsia="Arial" w:hAnsi="Arial"/>
                <w:sz w:val="20"/>
                <w:szCs w:val="20"/>
                <w:color w:val="auto"/>
              </w:rPr>
              <w:t>COMMITTEES OF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4.2</w:t>
            </w:r>
          </w:p>
        </w:tc>
        <w:tc>
          <w:tcPr>
            <w:tcW w:w="8900" w:type="dxa"/>
            <w:vAlign w:val="bottom"/>
          </w:tcPr>
          <w:p>
            <w:pPr>
              <w:ind w:left="300"/>
              <w:spacing w:after="0"/>
              <w:rPr>
                <w:sz w:val="20"/>
                <w:szCs w:val="20"/>
                <w:color w:val="auto"/>
              </w:rPr>
            </w:pPr>
            <w:r>
              <w:rPr>
                <w:rFonts w:ascii="Arial" w:cs="Arial" w:eastAsia="Arial" w:hAnsi="Arial"/>
                <w:sz w:val="20"/>
                <w:szCs w:val="20"/>
                <w:color w:val="auto"/>
              </w:rPr>
              <w:t>COMMITTEE MINUTES</w:t>
            </w:r>
          </w:p>
        </w:tc>
        <w:tc>
          <w:tcPr>
            <w:tcW w:w="720" w:type="dxa"/>
            <w:vAlign w:val="bottom"/>
          </w:tcPr>
          <w:p>
            <w:pPr>
              <w:jc w:val="right"/>
              <w:spacing w:after="0"/>
              <w:rPr>
                <w:sz w:val="20"/>
                <w:szCs w:val="20"/>
                <w:color w:val="auto"/>
              </w:rPr>
            </w:pPr>
            <w:r>
              <w:rPr>
                <w:rFonts w:ascii="Arial" w:cs="Arial" w:eastAsia="Arial" w:hAnsi="Arial"/>
                <w:sz w:val="20"/>
                <w:szCs w:val="20"/>
                <w:color w:val="auto"/>
              </w:rPr>
              <w:t>15</w:t>
            </w:r>
          </w:p>
        </w:tc>
      </w:tr>
    </w:tbl>
    <w:p>
      <w:pPr>
        <w:spacing w:after="0" w:line="200" w:lineRule="exact"/>
        <w:rPr>
          <w:sz w:val="20"/>
          <w:szCs w:val="20"/>
          <w:color w:val="auto"/>
        </w:rPr>
      </w:pPr>
    </w:p>
    <w:p>
      <w:pPr>
        <w:sectPr>
          <w:pgSz w:w="11900" w:h="16838" w:orient="portrait"/>
          <w:cols w:equalWidth="0" w:num="1">
            <w:col w:w="11220"/>
          </w:cols>
          <w:pgMar w:left="34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20"/>
          </w:cols>
          <w:pgMar w:left="340" w:top="126" w:right="339" w:bottom="1440" w:gutter="0" w:footer="0" w:header="0"/>
          <w:type w:val="continuous"/>
        </w:sectPr>
      </w:pPr>
    </w:p>
    <w:bookmarkStart w:id="285" w:name="page286"/>
    <w:bookmarkEnd w:id="285"/>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6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22"/>
                <w:szCs w:val="22"/>
                <w:b w:val="1"/>
                <w:bCs w:val="1"/>
                <w:color w:val="auto"/>
              </w:rPr>
              <w:t>Page</w:t>
            </w:r>
          </w:p>
        </w:tc>
      </w:tr>
      <w:tr>
        <w:trPr>
          <w:trHeight w:val="391"/>
        </w:trPr>
        <w:tc>
          <w:tcPr>
            <w:tcW w:w="1600" w:type="dxa"/>
            <w:vAlign w:val="bottom"/>
          </w:tcPr>
          <w:p>
            <w:pPr>
              <w:ind w:left="960"/>
              <w:spacing w:after="0"/>
              <w:rPr>
                <w:sz w:val="20"/>
                <w:szCs w:val="20"/>
                <w:color w:val="auto"/>
              </w:rPr>
            </w:pPr>
            <w:r>
              <w:rPr>
                <w:rFonts w:ascii="Arial" w:cs="Arial" w:eastAsia="Arial" w:hAnsi="Arial"/>
                <w:sz w:val="20"/>
                <w:szCs w:val="20"/>
                <w:color w:val="auto"/>
              </w:rPr>
              <w:t>4.3</w:t>
            </w:r>
          </w:p>
        </w:tc>
        <w:tc>
          <w:tcPr>
            <w:tcW w:w="8900" w:type="dxa"/>
            <w:vAlign w:val="bottom"/>
          </w:tcPr>
          <w:p>
            <w:pPr>
              <w:ind w:left="300"/>
              <w:spacing w:after="0"/>
              <w:rPr>
                <w:sz w:val="20"/>
                <w:szCs w:val="20"/>
                <w:color w:val="auto"/>
              </w:rPr>
            </w:pPr>
            <w:r>
              <w:rPr>
                <w:rFonts w:ascii="Arial" w:cs="Arial" w:eastAsia="Arial" w:hAnsi="Arial"/>
                <w:sz w:val="20"/>
                <w:szCs w:val="20"/>
                <w:color w:val="auto"/>
              </w:rPr>
              <w:t>MEETINGS AND ACTION OF COMMITTEES</w:t>
            </w:r>
          </w:p>
        </w:tc>
        <w:tc>
          <w:tcPr>
            <w:tcW w:w="7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324"/>
        </w:trPr>
        <w:tc>
          <w:tcPr>
            <w:tcW w:w="10500" w:type="dxa"/>
            <w:vAlign w:val="bottom"/>
            <w:gridSpan w:val="2"/>
          </w:tcPr>
          <w:p>
            <w:pPr>
              <w:spacing w:after="0"/>
              <w:rPr>
                <w:sz w:val="20"/>
                <w:szCs w:val="20"/>
                <w:color w:val="auto"/>
              </w:rPr>
            </w:pPr>
            <w:r>
              <w:rPr>
                <w:rFonts w:ascii="Arial" w:cs="Arial" w:eastAsia="Arial" w:hAnsi="Arial"/>
                <w:sz w:val="20"/>
                <w:szCs w:val="20"/>
                <w:color w:val="auto"/>
              </w:rPr>
              <w:t>ARTICLE V - OFFICERS</w:t>
            </w:r>
          </w:p>
        </w:tc>
        <w:tc>
          <w:tcPr>
            <w:tcW w:w="7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324"/>
        </w:trPr>
        <w:tc>
          <w:tcPr>
            <w:tcW w:w="1600" w:type="dxa"/>
            <w:vAlign w:val="bottom"/>
          </w:tcPr>
          <w:p>
            <w:pPr>
              <w:ind w:left="960"/>
              <w:spacing w:after="0"/>
              <w:rPr>
                <w:sz w:val="20"/>
                <w:szCs w:val="20"/>
                <w:color w:val="auto"/>
              </w:rPr>
            </w:pPr>
            <w:r>
              <w:rPr>
                <w:rFonts w:ascii="Arial" w:cs="Arial" w:eastAsia="Arial" w:hAnsi="Arial"/>
                <w:sz w:val="20"/>
                <w:szCs w:val="20"/>
                <w:color w:val="auto"/>
              </w:rPr>
              <w:t>5.1</w:t>
            </w:r>
          </w:p>
        </w:tc>
        <w:tc>
          <w:tcPr>
            <w:tcW w:w="8900" w:type="dxa"/>
            <w:vAlign w:val="bottom"/>
          </w:tcPr>
          <w:p>
            <w:pPr>
              <w:ind w:left="300"/>
              <w:spacing w:after="0"/>
              <w:rPr>
                <w:sz w:val="20"/>
                <w:szCs w:val="20"/>
                <w:color w:val="auto"/>
              </w:rPr>
            </w:pPr>
            <w:r>
              <w:rPr>
                <w:rFonts w:ascii="Arial" w:cs="Arial" w:eastAsia="Arial" w:hAnsi="Arial"/>
                <w:sz w:val="20"/>
                <w:szCs w:val="20"/>
                <w:color w:val="auto"/>
              </w:rPr>
              <w:t>OFFICERS</w:t>
            </w:r>
          </w:p>
        </w:tc>
        <w:tc>
          <w:tcPr>
            <w:tcW w:w="7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5.2</w:t>
            </w:r>
          </w:p>
        </w:tc>
        <w:tc>
          <w:tcPr>
            <w:tcW w:w="8900" w:type="dxa"/>
            <w:vAlign w:val="bottom"/>
          </w:tcPr>
          <w:p>
            <w:pPr>
              <w:ind w:left="300"/>
              <w:spacing w:after="0"/>
              <w:rPr>
                <w:sz w:val="20"/>
                <w:szCs w:val="20"/>
                <w:color w:val="auto"/>
              </w:rPr>
            </w:pPr>
            <w:r>
              <w:rPr>
                <w:rFonts w:ascii="Arial" w:cs="Arial" w:eastAsia="Arial" w:hAnsi="Arial"/>
                <w:sz w:val="20"/>
                <w:szCs w:val="20"/>
                <w:color w:val="auto"/>
              </w:rPr>
              <w:t>APPOINTMENT OF OFFICERS</w:t>
            </w:r>
          </w:p>
        </w:tc>
        <w:tc>
          <w:tcPr>
            <w:tcW w:w="7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5.3</w:t>
            </w:r>
          </w:p>
        </w:tc>
        <w:tc>
          <w:tcPr>
            <w:tcW w:w="8900" w:type="dxa"/>
            <w:vAlign w:val="bottom"/>
          </w:tcPr>
          <w:p>
            <w:pPr>
              <w:ind w:left="300"/>
              <w:spacing w:after="0"/>
              <w:rPr>
                <w:sz w:val="20"/>
                <w:szCs w:val="20"/>
                <w:color w:val="auto"/>
              </w:rPr>
            </w:pPr>
            <w:r>
              <w:rPr>
                <w:rFonts w:ascii="Arial" w:cs="Arial" w:eastAsia="Arial" w:hAnsi="Arial"/>
                <w:sz w:val="20"/>
                <w:szCs w:val="20"/>
                <w:color w:val="auto"/>
              </w:rPr>
              <w:t>SUBORDINATE OFFICERS</w:t>
            </w:r>
          </w:p>
        </w:tc>
        <w:tc>
          <w:tcPr>
            <w:tcW w:w="7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5.4</w:t>
            </w:r>
          </w:p>
        </w:tc>
        <w:tc>
          <w:tcPr>
            <w:tcW w:w="8900" w:type="dxa"/>
            <w:vAlign w:val="bottom"/>
          </w:tcPr>
          <w:p>
            <w:pPr>
              <w:ind w:left="300"/>
              <w:spacing w:after="0"/>
              <w:rPr>
                <w:sz w:val="20"/>
                <w:szCs w:val="20"/>
                <w:color w:val="auto"/>
              </w:rPr>
            </w:pPr>
            <w:r>
              <w:rPr>
                <w:rFonts w:ascii="Arial" w:cs="Arial" w:eastAsia="Arial" w:hAnsi="Arial"/>
                <w:sz w:val="20"/>
                <w:szCs w:val="20"/>
                <w:color w:val="auto"/>
              </w:rPr>
              <w:t>REMOVAL AND RESIGNATION OF OFFICERS</w:t>
            </w:r>
          </w:p>
        </w:tc>
        <w:tc>
          <w:tcPr>
            <w:tcW w:w="7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5.5</w:t>
            </w:r>
          </w:p>
        </w:tc>
        <w:tc>
          <w:tcPr>
            <w:tcW w:w="8900" w:type="dxa"/>
            <w:vAlign w:val="bottom"/>
          </w:tcPr>
          <w:p>
            <w:pPr>
              <w:ind w:left="300"/>
              <w:spacing w:after="0"/>
              <w:rPr>
                <w:sz w:val="20"/>
                <w:szCs w:val="20"/>
                <w:color w:val="auto"/>
              </w:rPr>
            </w:pPr>
            <w:r>
              <w:rPr>
                <w:rFonts w:ascii="Arial" w:cs="Arial" w:eastAsia="Arial" w:hAnsi="Arial"/>
                <w:sz w:val="20"/>
                <w:szCs w:val="20"/>
                <w:color w:val="auto"/>
              </w:rPr>
              <w:t>VACANCIES IN OFFICES</w:t>
            </w:r>
          </w:p>
        </w:tc>
        <w:tc>
          <w:tcPr>
            <w:tcW w:w="7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5.6</w:t>
            </w:r>
          </w:p>
        </w:tc>
        <w:tc>
          <w:tcPr>
            <w:tcW w:w="8900" w:type="dxa"/>
            <w:vAlign w:val="bottom"/>
          </w:tcPr>
          <w:p>
            <w:pPr>
              <w:ind w:left="300"/>
              <w:spacing w:after="0"/>
              <w:rPr>
                <w:sz w:val="20"/>
                <w:szCs w:val="20"/>
                <w:color w:val="auto"/>
              </w:rPr>
            </w:pPr>
            <w:r>
              <w:rPr>
                <w:rFonts w:ascii="Arial" w:cs="Arial" w:eastAsia="Arial" w:hAnsi="Arial"/>
                <w:sz w:val="20"/>
                <w:szCs w:val="20"/>
                <w:color w:val="auto"/>
              </w:rPr>
              <w:t>REPRESENTATION OF SHARES OF OTHER CORPORATIONS</w:t>
            </w: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5.7</w:t>
            </w:r>
          </w:p>
        </w:tc>
        <w:tc>
          <w:tcPr>
            <w:tcW w:w="8900" w:type="dxa"/>
            <w:vAlign w:val="bottom"/>
          </w:tcPr>
          <w:p>
            <w:pPr>
              <w:ind w:left="300"/>
              <w:spacing w:after="0"/>
              <w:rPr>
                <w:sz w:val="20"/>
                <w:szCs w:val="20"/>
                <w:color w:val="auto"/>
              </w:rPr>
            </w:pPr>
            <w:r>
              <w:rPr>
                <w:rFonts w:ascii="Arial" w:cs="Arial" w:eastAsia="Arial" w:hAnsi="Arial"/>
                <w:sz w:val="20"/>
                <w:szCs w:val="20"/>
                <w:color w:val="auto"/>
              </w:rPr>
              <w:t>AUTHORITY AND DUTIES OF OFFICERS</w:t>
            </w: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24"/>
        </w:trPr>
        <w:tc>
          <w:tcPr>
            <w:tcW w:w="10500" w:type="dxa"/>
            <w:vAlign w:val="bottom"/>
            <w:gridSpan w:val="2"/>
          </w:tcPr>
          <w:p>
            <w:pPr>
              <w:spacing w:after="0"/>
              <w:rPr>
                <w:sz w:val="20"/>
                <w:szCs w:val="20"/>
                <w:color w:val="auto"/>
              </w:rPr>
            </w:pPr>
            <w:r>
              <w:rPr>
                <w:rFonts w:ascii="Arial" w:cs="Arial" w:eastAsia="Arial" w:hAnsi="Arial"/>
                <w:sz w:val="20"/>
                <w:szCs w:val="20"/>
                <w:color w:val="auto"/>
              </w:rPr>
              <w:t>ARTICLE VI - RECORDS AND REPORTS</w:t>
            </w: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24"/>
        </w:trPr>
        <w:tc>
          <w:tcPr>
            <w:tcW w:w="1600" w:type="dxa"/>
            <w:vAlign w:val="bottom"/>
          </w:tcPr>
          <w:p>
            <w:pPr>
              <w:ind w:left="960"/>
              <w:spacing w:after="0"/>
              <w:rPr>
                <w:sz w:val="20"/>
                <w:szCs w:val="20"/>
                <w:color w:val="auto"/>
              </w:rPr>
            </w:pPr>
            <w:r>
              <w:rPr>
                <w:rFonts w:ascii="Arial" w:cs="Arial" w:eastAsia="Arial" w:hAnsi="Arial"/>
                <w:sz w:val="20"/>
                <w:szCs w:val="20"/>
                <w:color w:val="auto"/>
              </w:rPr>
              <w:t>6.1</w:t>
            </w:r>
          </w:p>
        </w:tc>
        <w:tc>
          <w:tcPr>
            <w:tcW w:w="8900" w:type="dxa"/>
            <w:vAlign w:val="bottom"/>
          </w:tcPr>
          <w:p>
            <w:pPr>
              <w:ind w:left="300"/>
              <w:spacing w:after="0"/>
              <w:rPr>
                <w:sz w:val="20"/>
                <w:szCs w:val="20"/>
                <w:color w:val="auto"/>
              </w:rPr>
            </w:pPr>
            <w:r>
              <w:rPr>
                <w:rFonts w:ascii="Arial" w:cs="Arial" w:eastAsia="Arial" w:hAnsi="Arial"/>
                <w:sz w:val="20"/>
                <w:szCs w:val="20"/>
                <w:color w:val="auto"/>
              </w:rPr>
              <w:t>MAINTENANCE OF RECORDS</w:t>
            </w: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24"/>
        </w:trPr>
        <w:tc>
          <w:tcPr>
            <w:tcW w:w="10500" w:type="dxa"/>
            <w:vAlign w:val="bottom"/>
            <w:gridSpan w:val="2"/>
          </w:tcPr>
          <w:p>
            <w:pPr>
              <w:spacing w:after="0"/>
              <w:rPr>
                <w:sz w:val="20"/>
                <w:szCs w:val="20"/>
                <w:color w:val="auto"/>
              </w:rPr>
            </w:pPr>
            <w:r>
              <w:rPr>
                <w:rFonts w:ascii="Arial" w:cs="Arial" w:eastAsia="Arial" w:hAnsi="Arial"/>
                <w:sz w:val="20"/>
                <w:szCs w:val="20"/>
                <w:color w:val="auto"/>
              </w:rPr>
              <w:t>ARTICLE VII - GENERAL MATTERS</w:t>
            </w: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24"/>
        </w:trPr>
        <w:tc>
          <w:tcPr>
            <w:tcW w:w="1600" w:type="dxa"/>
            <w:vAlign w:val="bottom"/>
          </w:tcPr>
          <w:p>
            <w:pPr>
              <w:ind w:left="960"/>
              <w:spacing w:after="0"/>
              <w:rPr>
                <w:sz w:val="20"/>
                <w:szCs w:val="20"/>
                <w:color w:val="auto"/>
              </w:rPr>
            </w:pPr>
            <w:r>
              <w:rPr>
                <w:rFonts w:ascii="Arial" w:cs="Arial" w:eastAsia="Arial" w:hAnsi="Arial"/>
                <w:sz w:val="20"/>
                <w:szCs w:val="20"/>
                <w:color w:val="auto"/>
              </w:rPr>
              <w:t>7.1</w:t>
            </w:r>
          </w:p>
        </w:tc>
        <w:tc>
          <w:tcPr>
            <w:tcW w:w="8900" w:type="dxa"/>
            <w:vAlign w:val="bottom"/>
          </w:tcPr>
          <w:p>
            <w:pPr>
              <w:ind w:left="300"/>
              <w:spacing w:after="0"/>
              <w:rPr>
                <w:sz w:val="20"/>
                <w:szCs w:val="20"/>
                <w:color w:val="auto"/>
              </w:rPr>
            </w:pPr>
            <w:r>
              <w:rPr>
                <w:rFonts w:ascii="Arial" w:cs="Arial" w:eastAsia="Arial" w:hAnsi="Arial"/>
                <w:sz w:val="20"/>
                <w:szCs w:val="20"/>
                <w:color w:val="auto"/>
              </w:rPr>
              <w:t>EXECUTION OF CORPORATE CONTRACTS AND INSTRUMENTS</w:t>
            </w: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7.2</w:t>
            </w:r>
          </w:p>
        </w:tc>
        <w:tc>
          <w:tcPr>
            <w:tcW w:w="8900" w:type="dxa"/>
            <w:vAlign w:val="bottom"/>
          </w:tcPr>
          <w:p>
            <w:pPr>
              <w:ind w:left="300"/>
              <w:spacing w:after="0"/>
              <w:rPr>
                <w:sz w:val="20"/>
                <w:szCs w:val="20"/>
                <w:color w:val="auto"/>
              </w:rPr>
            </w:pPr>
            <w:r>
              <w:rPr>
                <w:rFonts w:ascii="Arial" w:cs="Arial" w:eastAsia="Arial" w:hAnsi="Arial"/>
                <w:sz w:val="20"/>
                <w:szCs w:val="20"/>
                <w:color w:val="auto"/>
              </w:rPr>
              <w:t>CERTIFICATED AND UNCERTIFICATED STOCK; PARTLY PAID SHARES</w:t>
            </w: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7.3</w:t>
            </w:r>
          </w:p>
        </w:tc>
        <w:tc>
          <w:tcPr>
            <w:tcW w:w="8900" w:type="dxa"/>
            <w:vAlign w:val="bottom"/>
          </w:tcPr>
          <w:p>
            <w:pPr>
              <w:ind w:left="300"/>
              <w:spacing w:after="0"/>
              <w:rPr>
                <w:sz w:val="20"/>
                <w:szCs w:val="20"/>
                <w:color w:val="auto"/>
              </w:rPr>
            </w:pPr>
            <w:r>
              <w:rPr>
                <w:rFonts w:ascii="Arial" w:cs="Arial" w:eastAsia="Arial" w:hAnsi="Arial"/>
                <w:sz w:val="20"/>
                <w:szCs w:val="20"/>
                <w:color w:val="auto"/>
              </w:rPr>
              <w:t>SPECIAL DESIGNATION ON CERTIFICATES</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7.4</w:t>
            </w:r>
          </w:p>
        </w:tc>
        <w:tc>
          <w:tcPr>
            <w:tcW w:w="8900" w:type="dxa"/>
            <w:vAlign w:val="bottom"/>
          </w:tcPr>
          <w:p>
            <w:pPr>
              <w:ind w:left="300"/>
              <w:spacing w:after="0"/>
              <w:rPr>
                <w:sz w:val="20"/>
                <w:szCs w:val="20"/>
                <w:color w:val="auto"/>
              </w:rPr>
            </w:pPr>
            <w:r>
              <w:rPr>
                <w:rFonts w:ascii="Arial" w:cs="Arial" w:eastAsia="Arial" w:hAnsi="Arial"/>
                <w:sz w:val="20"/>
                <w:szCs w:val="20"/>
                <w:color w:val="auto"/>
              </w:rPr>
              <w:t>LOST CERTIFICATES</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7.5</w:t>
            </w:r>
          </w:p>
        </w:tc>
        <w:tc>
          <w:tcPr>
            <w:tcW w:w="8900" w:type="dxa"/>
            <w:vAlign w:val="bottom"/>
          </w:tcPr>
          <w:p>
            <w:pPr>
              <w:ind w:left="300"/>
              <w:spacing w:after="0"/>
              <w:rPr>
                <w:sz w:val="20"/>
                <w:szCs w:val="20"/>
                <w:color w:val="auto"/>
              </w:rPr>
            </w:pPr>
            <w:r>
              <w:rPr>
                <w:rFonts w:ascii="Arial" w:cs="Arial" w:eastAsia="Arial" w:hAnsi="Arial"/>
                <w:sz w:val="20"/>
                <w:szCs w:val="20"/>
                <w:color w:val="auto"/>
              </w:rPr>
              <w:t>CONSTRUCTION; DEFINITIONS</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7.6</w:t>
            </w:r>
          </w:p>
        </w:tc>
        <w:tc>
          <w:tcPr>
            <w:tcW w:w="8900" w:type="dxa"/>
            <w:vAlign w:val="bottom"/>
          </w:tcPr>
          <w:p>
            <w:pPr>
              <w:ind w:left="300"/>
              <w:spacing w:after="0"/>
              <w:rPr>
                <w:sz w:val="20"/>
                <w:szCs w:val="20"/>
                <w:color w:val="auto"/>
              </w:rPr>
            </w:pPr>
            <w:r>
              <w:rPr>
                <w:rFonts w:ascii="Arial" w:cs="Arial" w:eastAsia="Arial" w:hAnsi="Arial"/>
                <w:sz w:val="20"/>
                <w:szCs w:val="20"/>
                <w:color w:val="auto"/>
              </w:rPr>
              <w:t>DIVIDENDS</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7.7</w:t>
            </w:r>
          </w:p>
        </w:tc>
        <w:tc>
          <w:tcPr>
            <w:tcW w:w="8900" w:type="dxa"/>
            <w:vAlign w:val="bottom"/>
          </w:tcPr>
          <w:p>
            <w:pPr>
              <w:ind w:left="300"/>
              <w:spacing w:after="0"/>
              <w:rPr>
                <w:sz w:val="20"/>
                <w:szCs w:val="20"/>
                <w:color w:val="auto"/>
              </w:rPr>
            </w:pPr>
            <w:r>
              <w:rPr>
                <w:rFonts w:ascii="Arial" w:cs="Arial" w:eastAsia="Arial" w:hAnsi="Arial"/>
                <w:sz w:val="20"/>
                <w:szCs w:val="20"/>
                <w:color w:val="auto"/>
              </w:rPr>
              <w:t>FISCAL YEAR</w:t>
            </w: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7.8</w:t>
            </w:r>
          </w:p>
        </w:tc>
        <w:tc>
          <w:tcPr>
            <w:tcW w:w="8900" w:type="dxa"/>
            <w:vAlign w:val="bottom"/>
          </w:tcPr>
          <w:p>
            <w:pPr>
              <w:ind w:left="300"/>
              <w:spacing w:after="0"/>
              <w:rPr>
                <w:sz w:val="20"/>
                <w:szCs w:val="20"/>
                <w:color w:val="auto"/>
              </w:rPr>
            </w:pPr>
            <w:r>
              <w:rPr>
                <w:rFonts w:ascii="Arial" w:cs="Arial" w:eastAsia="Arial" w:hAnsi="Arial"/>
                <w:sz w:val="20"/>
                <w:szCs w:val="20"/>
                <w:color w:val="auto"/>
              </w:rPr>
              <w:t>SEAL</w:t>
            </w: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7.9</w:t>
            </w:r>
          </w:p>
        </w:tc>
        <w:tc>
          <w:tcPr>
            <w:tcW w:w="8900" w:type="dxa"/>
            <w:vAlign w:val="bottom"/>
          </w:tcPr>
          <w:p>
            <w:pPr>
              <w:ind w:left="300"/>
              <w:spacing w:after="0"/>
              <w:rPr>
                <w:sz w:val="20"/>
                <w:szCs w:val="20"/>
                <w:color w:val="auto"/>
              </w:rPr>
            </w:pPr>
            <w:r>
              <w:rPr>
                <w:rFonts w:ascii="Arial" w:cs="Arial" w:eastAsia="Arial" w:hAnsi="Arial"/>
                <w:sz w:val="20"/>
                <w:szCs w:val="20"/>
                <w:color w:val="auto"/>
              </w:rPr>
              <w:t>TRANSFER OF STOCK</w:t>
            </w: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7.10</w:t>
            </w:r>
          </w:p>
        </w:tc>
        <w:tc>
          <w:tcPr>
            <w:tcW w:w="8900" w:type="dxa"/>
            <w:vAlign w:val="bottom"/>
          </w:tcPr>
          <w:p>
            <w:pPr>
              <w:ind w:left="300"/>
              <w:spacing w:after="0"/>
              <w:rPr>
                <w:sz w:val="20"/>
                <w:szCs w:val="20"/>
                <w:color w:val="auto"/>
              </w:rPr>
            </w:pPr>
            <w:r>
              <w:rPr>
                <w:rFonts w:ascii="Arial" w:cs="Arial" w:eastAsia="Arial" w:hAnsi="Arial"/>
                <w:sz w:val="20"/>
                <w:szCs w:val="20"/>
                <w:color w:val="auto"/>
              </w:rPr>
              <w:t>STOCK TRANSFER AGREEMENTS</w:t>
            </w: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7.11</w:t>
            </w:r>
          </w:p>
        </w:tc>
        <w:tc>
          <w:tcPr>
            <w:tcW w:w="8900" w:type="dxa"/>
            <w:vAlign w:val="bottom"/>
          </w:tcPr>
          <w:p>
            <w:pPr>
              <w:ind w:left="300"/>
              <w:spacing w:after="0"/>
              <w:rPr>
                <w:sz w:val="20"/>
                <w:szCs w:val="20"/>
                <w:color w:val="auto"/>
              </w:rPr>
            </w:pPr>
            <w:r>
              <w:rPr>
                <w:rFonts w:ascii="Arial" w:cs="Arial" w:eastAsia="Arial" w:hAnsi="Arial"/>
                <w:sz w:val="20"/>
                <w:szCs w:val="20"/>
                <w:color w:val="auto"/>
              </w:rPr>
              <w:t>REGISTERED STOCKHOLDERS</w:t>
            </w: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7.12</w:t>
            </w:r>
          </w:p>
        </w:tc>
        <w:tc>
          <w:tcPr>
            <w:tcW w:w="8900" w:type="dxa"/>
            <w:vAlign w:val="bottom"/>
          </w:tcPr>
          <w:p>
            <w:pPr>
              <w:ind w:left="300"/>
              <w:spacing w:after="0"/>
              <w:rPr>
                <w:sz w:val="20"/>
                <w:szCs w:val="20"/>
                <w:color w:val="auto"/>
              </w:rPr>
            </w:pPr>
            <w:r>
              <w:rPr>
                <w:rFonts w:ascii="Arial" w:cs="Arial" w:eastAsia="Arial" w:hAnsi="Arial"/>
                <w:sz w:val="20"/>
                <w:szCs w:val="20"/>
                <w:color w:val="auto"/>
              </w:rPr>
              <w:t>WAIVER OF NOTICE</w:t>
            </w: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24"/>
        </w:trPr>
        <w:tc>
          <w:tcPr>
            <w:tcW w:w="10500" w:type="dxa"/>
            <w:vAlign w:val="bottom"/>
            <w:gridSpan w:val="2"/>
          </w:tcPr>
          <w:p>
            <w:pPr>
              <w:spacing w:after="0"/>
              <w:rPr>
                <w:sz w:val="20"/>
                <w:szCs w:val="20"/>
                <w:color w:val="auto"/>
              </w:rPr>
            </w:pPr>
            <w:r>
              <w:rPr>
                <w:rFonts w:ascii="Arial" w:cs="Arial" w:eastAsia="Arial" w:hAnsi="Arial"/>
                <w:sz w:val="20"/>
                <w:szCs w:val="20"/>
                <w:color w:val="auto"/>
              </w:rPr>
              <w:t>ARTICLE VIII - NOTICE BY ELECTRONIC TRANSMISSION</w:t>
            </w: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324"/>
        </w:trPr>
        <w:tc>
          <w:tcPr>
            <w:tcW w:w="1600" w:type="dxa"/>
            <w:vAlign w:val="bottom"/>
          </w:tcPr>
          <w:p>
            <w:pPr>
              <w:ind w:left="960"/>
              <w:spacing w:after="0"/>
              <w:rPr>
                <w:sz w:val="20"/>
                <w:szCs w:val="20"/>
                <w:color w:val="auto"/>
              </w:rPr>
            </w:pPr>
            <w:r>
              <w:rPr>
                <w:rFonts w:ascii="Arial" w:cs="Arial" w:eastAsia="Arial" w:hAnsi="Arial"/>
                <w:sz w:val="20"/>
                <w:szCs w:val="20"/>
                <w:color w:val="auto"/>
              </w:rPr>
              <w:t>8.1</w:t>
            </w:r>
          </w:p>
        </w:tc>
        <w:tc>
          <w:tcPr>
            <w:tcW w:w="8900" w:type="dxa"/>
            <w:vAlign w:val="bottom"/>
          </w:tcPr>
          <w:p>
            <w:pPr>
              <w:ind w:left="300"/>
              <w:spacing w:after="0"/>
              <w:rPr>
                <w:sz w:val="20"/>
                <w:szCs w:val="20"/>
                <w:color w:val="auto"/>
              </w:rPr>
            </w:pPr>
            <w:r>
              <w:rPr>
                <w:rFonts w:ascii="Arial" w:cs="Arial" w:eastAsia="Arial" w:hAnsi="Arial"/>
                <w:sz w:val="20"/>
                <w:szCs w:val="20"/>
                <w:color w:val="auto"/>
              </w:rPr>
              <w:t>NOTICE BY ELECTRONIC TRANSMISSION</w:t>
            </w: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8.2</w:t>
            </w:r>
          </w:p>
        </w:tc>
        <w:tc>
          <w:tcPr>
            <w:tcW w:w="8900" w:type="dxa"/>
            <w:vAlign w:val="bottom"/>
          </w:tcPr>
          <w:p>
            <w:pPr>
              <w:ind w:left="300"/>
              <w:spacing w:after="0"/>
              <w:rPr>
                <w:sz w:val="20"/>
                <w:szCs w:val="20"/>
                <w:color w:val="auto"/>
              </w:rPr>
            </w:pPr>
            <w:r>
              <w:rPr>
                <w:rFonts w:ascii="Arial" w:cs="Arial" w:eastAsia="Arial" w:hAnsi="Arial"/>
                <w:sz w:val="20"/>
                <w:szCs w:val="20"/>
                <w:color w:val="auto"/>
              </w:rPr>
              <w:t>DEFINITION OF ELECTRONIC TRANSMISSION</w:t>
            </w: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324"/>
        </w:trPr>
        <w:tc>
          <w:tcPr>
            <w:tcW w:w="10500" w:type="dxa"/>
            <w:vAlign w:val="bottom"/>
            <w:gridSpan w:val="2"/>
          </w:tcPr>
          <w:p>
            <w:pPr>
              <w:spacing w:after="0"/>
              <w:rPr>
                <w:sz w:val="20"/>
                <w:szCs w:val="20"/>
                <w:color w:val="auto"/>
              </w:rPr>
            </w:pPr>
            <w:r>
              <w:rPr>
                <w:rFonts w:ascii="Arial" w:cs="Arial" w:eastAsia="Arial" w:hAnsi="Arial"/>
                <w:sz w:val="20"/>
                <w:szCs w:val="20"/>
                <w:color w:val="auto"/>
              </w:rPr>
              <w:t>ARTICLE IX - INDEMNIFICATION</w:t>
            </w:r>
          </w:p>
        </w:tc>
        <w:tc>
          <w:tcPr>
            <w:tcW w:w="7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24"/>
        </w:trPr>
        <w:tc>
          <w:tcPr>
            <w:tcW w:w="1600" w:type="dxa"/>
            <w:vAlign w:val="bottom"/>
          </w:tcPr>
          <w:p>
            <w:pPr>
              <w:ind w:left="960"/>
              <w:spacing w:after="0"/>
              <w:rPr>
                <w:sz w:val="20"/>
                <w:szCs w:val="20"/>
                <w:color w:val="auto"/>
              </w:rPr>
            </w:pPr>
            <w:r>
              <w:rPr>
                <w:rFonts w:ascii="Arial" w:cs="Arial" w:eastAsia="Arial" w:hAnsi="Arial"/>
                <w:sz w:val="20"/>
                <w:szCs w:val="20"/>
                <w:color w:val="auto"/>
              </w:rPr>
              <w:t>9.1</w:t>
            </w:r>
          </w:p>
        </w:tc>
        <w:tc>
          <w:tcPr>
            <w:tcW w:w="8900" w:type="dxa"/>
            <w:vAlign w:val="bottom"/>
          </w:tcPr>
          <w:p>
            <w:pPr>
              <w:ind w:left="300"/>
              <w:spacing w:after="0"/>
              <w:rPr>
                <w:sz w:val="20"/>
                <w:szCs w:val="20"/>
                <w:color w:val="auto"/>
              </w:rPr>
            </w:pPr>
            <w:r>
              <w:rPr>
                <w:rFonts w:ascii="Arial" w:cs="Arial" w:eastAsia="Arial" w:hAnsi="Arial"/>
                <w:sz w:val="20"/>
                <w:szCs w:val="20"/>
                <w:color w:val="auto"/>
              </w:rPr>
              <w:t>INDEMNIFICATION OF DIRECTORS AND OFFICERS.</w:t>
            </w:r>
          </w:p>
        </w:tc>
        <w:tc>
          <w:tcPr>
            <w:tcW w:w="7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9.2</w:t>
            </w:r>
          </w:p>
        </w:tc>
        <w:tc>
          <w:tcPr>
            <w:tcW w:w="8900" w:type="dxa"/>
            <w:vAlign w:val="bottom"/>
          </w:tcPr>
          <w:p>
            <w:pPr>
              <w:ind w:left="300"/>
              <w:spacing w:after="0"/>
              <w:rPr>
                <w:sz w:val="20"/>
                <w:szCs w:val="20"/>
                <w:color w:val="auto"/>
              </w:rPr>
            </w:pPr>
            <w:r>
              <w:rPr>
                <w:rFonts w:ascii="Arial" w:cs="Arial" w:eastAsia="Arial" w:hAnsi="Arial"/>
                <w:sz w:val="20"/>
                <w:szCs w:val="20"/>
                <w:color w:val="auto"/>
              </w:rPr>
              <w:t>INDEMNIFICATION OF OTHERS.</w:t>
            </w:r>
          </w:p>
        </w:tc>
        <w:tc>
          <w:tcPr>
            <w:tcW w:w="7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9.3</w:t>
            </w:r>
          </w:p>
        </w:tc>
        <w:tc>
          <w:tcPr>
            <w:tcW w:w="8900" w:type="dxa"/>
            <w:vAlign w:val="bottom"/>
          </w:tcPr>
          <w:p>
            <w:pPr>
              <w:ind w:left="300"/>
              <w:spacing w:after="0"/>
              <w:rPr>
                <w:sz w:val="20"/>
                <w:szCs w:val="20"/>
                <w:color w:val="auto"/>
              </w:rPr>
            </w:pPr>
            <w:r>
              <w:rPr>
                <w:rFonts w:ascii="Arial" w:cs="Arial" w:eastAsia="Arial" w:hAnsi="Arial"/>
                <w:sz w:val="20"/>
                <w:szCs w:val="20"/>
                <w:color w:val="auto"/>
              </w:rPr>
              <w:t>PREPAYMENT OF EXPENSES.</w:t>
            </w:r>
          </w:p>
        </w:tc>
        <w:tc>
          <w:tcPr>
            <w:tcW w:w="7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9.4</w:t>
            </w:r>
          </w:p>
        </w:tc>
        <w:tc>
          <w:tcPr>
            <w:tcW w:w="8900" w:type="dxa"/>
            <w:vAlign w:val="bottom"/>
          </w:tcPr>
          <w:p>
            <w:pPr>
              <w:ind w:left="300"/>
              <w:spacing w:after="0"/>
              <w:rPr>
                <w:sz w:val="20"/>
                <w:szCs w:val="20"/>
                <w:color w:val="auto"/>
              </w:rPr>
            </w:pPr>
            <w:r>
              <w:rPr>
                <w:rFonts w:ascii="Arial" w:cs="Arial" w:eastAsia="Arial" w:hAnsi="Arial"/>
                <w:sz w:val="20"/>
                <w:szCs w:val="20"/>
                <w:color w:val="auto"/>
              </w:rPr>
              <w:t>DETERMINATION; CLAIM.</w:t>
            </w:r>
          </w:p>
        </w:tc>
        <w:tc>
          <w:tcPr>
            <w:tcW w:w="7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9.5</w:t>
            </w:r>
          </w:p>
        </w:tc>
        <w:tc>
          <w:tcPr>
            <w:tcW w:w="8900" w:type="dxa"/>
            <w:vAlign w:val="bottom"/>
          </w:tcPr>
          <w:p>
            <w:pPr>
              <w:ind w:left="300"/>
              <w:spacing w:after="0"/>
              <w:rPr>
                <w:sz w:val="20"/>
                <w:szCs w:val="20"/>
                <w:color w:val="auto"/>
              </w:rPr>
            </w:pPr>
            <w:r>
              <w:rPr>
                <w:rFonts w:ascii="Arial" w:cs="Arial" w:eastAsia="Arial" w:hAnsi="Arial"/>
                <w:sz w:val="20"/>
                <w:szCs w:val="20"/>
                <w:color w:val="auto"/>
              </w:rPr>
              <w:t>NON-EXCLUSIVITY OF RIGHTS.</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9.6</w:t>
            </w:r>
          </w:p>
        </w:tc>
        <w:tc>
          <w:tcPr>
            <w:tcW w:w="8900" w:type="dxa"/>
            <w:vAlign w:val="bottom"/>
          </w:tcPr>
          <w:p>
            <w:pPr>
              <w:ind w:left="300"/>
              <w:spacing w:after="0"/>
              <w:rPr>
                <w:sz w:val="20"/>
                <w:szCs w:val="20"/>
                <w:color w:val="auto"/>
              </w:rPr>
            </w:pPr>
            <w:r>
              <w:rPr>
                <w:rFonts w:ascii="Arial" w:cs="Arial" w:eastAsia="Arial" w:hAnsi="Arial"/>
                <w:sz w:val="20"/>
                <w:szCs w:val="20"/>
                <w:color w:val="auto"/>
              </w:rPr>
              <w:t>INSURANCE.</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9.7</w:t>
            </w:r>
          </w:p>
        </w:tc>
        <w:tc>
          <w:tcPr>
            <w:tcW w:w="8900" w:type="dxa"/>
            <w:vAlign w:val="bottom"/>
          </w:tcPr>
          <w:p>
            <w:pPr>
              <w:ind w:left="300"/>
              <w:spacing w:after="0"/>
              <w:rPr>
                <w:sz w:val="20"/>
                <w:szCs w:val="20"/>
                <w:color w:val="auto"/>
              </w:rPr>
            </w:pPr>
            <w:r>
              <w:rPr>
                <w:rFonts w:ascii="Arial" w:cs="Arial" w:eastAsia="Arial" w:hAnsi="Arial"/>
                <w:sz w:val="20"/>
                <w:szCs w:val="20"/>
                <w:color w:val="auto"/>
              </w:rPr>
              <w:t>OTHER INDEMNIFICATION.</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9.8</w:t>
            </w:r>
          </w:p>
        </w:tc>
        <w:tc>
          <w:tcPr>
            <w:tcW w:w="8900" w:type="dxa"/>
            <w:vAlign w:val="bottom"/>
          </w:tcPr>
          <w:p>
            <w:pPr>
              <w:ind w:left="300"/>
              <w:spacing w:after="0"/>
              <w:rPr>
                <w:sz w:val="20"/>
                <w:szCs w:val="20"/>
                <w:color w:val="auto"/>
              </w:rPr>
            </w:pPr>
            <w:r>
              <w:rPr>
                <w:rFonts w:ascii="Arial" w:cs="Arial" w:eastAsia="Arial" w:hAnsi="Arial"/>
                <w:sz w:val="20"/>
                <w:szCs w:val="20"/>
                <w:color w:val="auto"/>
              </w:rPr>
              <w:t>AMENDMENT OR REPEAL; INTERPRETATION.</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70"/>
        </w:trPr>
        <w:tc>
          <w:tcPr>
            <w:tcW w:w="1600" w:type="dxa"/>
            <w:vAlign w:val="bottom"/>
          </w:tcPr>
          <w:p>
            <w:pPr>
              <w:ind w:left="960"/>
              <w:spacing w:after="0"/>
              <w:rPr>
                <w:sz w:val="20"/>
                <w:szCs w:val="20"/>
                <w:color w:val="auto"/>
              </w:rPr>
            </w:pPr>
            <w:r>
              <w:rPr>
                <w:rFonts w:ascii="Arial" w:cs="Arial" w:eastAsia="Arial" w:hAnsi="Arial"/>
                <w:sz w:val="20"/>
                <w:szCs w:val="20"/>
                <w:color w:val="auto"/>
              </w:rPr>
              <w:t>9.9</w:t>
            </w:r>
          </w:p>
        </w:tc>
        <w:tc>
          <w:tcPr>
            <w:tcW w:w="8900" w:type="dxa"/>
            <w:vAlign w:val="bottom"/>
          </w:tcPr>
          <w:p>
            <w:pPr>
              <w:ind w:left="300"/>
              <w:spacing w:after="0"/>
              <w:rPr>
                <w:sz w:val="20"/>
                <w:szCs w:val="20"/>
                <w:color w:val="auto"/>
              </w:rPr>
            </w:pPr>
            <w:r>
              <w:rPr>
                <w:rFonts w:ascii="Arial" w:cs="Arial" w:eastAsia="Arial" w:hAnsi="Arial"/>
                <w:sz w:val="20"/>
                <w:szCs w:val="20"/>
                <w:color w:val="auto"/>
              </w:rPr>
              <w:t>DEFINITIONS.</w:t>
            </w:r>
          </w:p>
        </w:tc>
        <w:tc>
          <w:tcPr>
            <w:tcW w:w="7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24"/>
        </w:trPr>
        <w:tc>
          <w:tcPr>
            <w:tcW w:w="10500" w:type="dxa"/>
            <w:vAlign w:val="bottom"/>
            <w:gridSpan w:val="2"/>
          </w:tcPr>
          <w:p>
            <w:pPr>
              <w:spacing w:after="0"/>
              <w:rPr>
                <w:sz w:val="20"/>
                <w:szCs w:val="20"/>
                <w:color w:val="auto"/>
              </w:rPr>
            </w:pPr>
            <w:r>
              <w:rPr>
                <w:rFonts w:ascii="Arial" w:cs="Arial" w:eastAsia="Arial" w:hAnsi="Arial"/>
                <w:sz w:val="20"/>
                <w:szCs w:val="20"/>
                <w:color w:val="auto"/>
              </w:rPr>
              <w:t>ARTICLE X - AMENDMENTS</w:t>
            </w:r>
          </w:p>
        </w:tc>
        <w:tc>
          <w:tcPr>
            <w:tcW w:w="720" w:type="dxa"/>
            <w:vAlign w:val="bottom"/>
          </w:tcPr>
          <w:p>
            <w:pPr>
              <w:jc w:val="right"/>
              <w:spacing w:after="0"/>
              <w:rPr>
                <w:sz w:val="20"/>
                <w:szCs w:val="20"/>
                <w:color w:val="auto"/>
              </w:rPr>
            </w:pPr>
            <w:r>
              <w:rPr>
                <w:rFonts w:ascii="Arial" w:cs="Arial" w:eastAsia="Arial" w:hAnsi="Arial"/>
                <w:sz w:val="20"/>
                <w:szCs w:val="20"/>
                <w:color w:val="auto"/>
              </w:rPr>
              <w:t>23</w:t>
            </w:r>
          </w:p>
        </w:tc>
      </w:tr>
    </w:tbl>
    <w:p>
      <w:pPr>
        <w:spacing w:after="0" w:line="200" w:lineRule="exact"/>
        <w:rPr>
          <w:sz w:val="20"/>
          <w:szCs w:val="20"/>
          <w:color w:val="auto"/>
        </w:rPr>
      </w:pPr>
    </w:p>
    <w:p>
      <w:pPr>
        <w:sectPr>
          <w:pgSz w:w="11900" w:h="16838" w:orient="portrait"/>
          <w:cols w:equalWidth="0" w:num="1">
            <w:col w:w="11220"/>
          </w:cols>
          <w:pgMar w:left="34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20"/>
          </w:cols>
          <w:pgMar w:left="340" w:top="116" w:right="339" w:bottom="1440" w:gutter="0" w:footer="0" w:header="0"/>
          <w:type w:val="continuous"/>
        </w:sectPr>
      </w:pPr>
    </w:p>
    <w:bookmarkStart w:id="286" w:name="page287"/>
    <w:bookmarkEnd w:id="286"/>
    <w:p>
      <w:pPr>
        <w:jc w:val="center"/>
        <w:spacing w:after="0"/>
        <w:rPr>
          <w:sz w:val="20"/>
          <w:szCs w:val="20"/>
          <w:color w:val="auto"/>
        </w:rPr>
      </w:pPr>
      <w:r>
        <w:rPr>
          <w:rFonts w:ascii="Arial" w:cs="Arial" w:eastAsia="Arial" w:hAnsi="Arial"/>
          <w:sz w:val="20"/>
          <w:szCs w:val="20"/>
          <w:b w:val="1"/>
          <w:bCs w:val="1"/>
          <w:color w:val="auto"/>
        </w:rPr>
        <w:t>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PROCEPT BIOROBOTICS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137160</wp:posOffset>
            </wp:positionV>
            <wp:extent cx="27343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273431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163195</wp:posOffset>
            </wp:positionV>
            <wp:extent cx="27343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 - CORPORATE OFFICES</w:t>
      </w:r>
    </w:p>
    <w:p>
      <w:pPr>
        <w:spacing w:after="0" w:line="168"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REGISTERED OFFICE.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registered office of PROCEPT BioRobotics Corporation (the “</w:t>
      </w:r>
      <w:r>
        <w:rPr>
          <w:rFonts w:ascii="Arial" w:cs="Arial" w:eastAsia="Arial" w:hAnsi="Arial"/>
          <w:sz w:val="20"/>
          <w:szCs w:val="20"/>
          <w:u w:val="single" w:color="auto"/>
          <w:color w:val="auto"/>
        </w:rPr>
        <w:t>Corporation</w:t>
      </w:r>
      <w:r>
        <w:rPr>
          <w:rFonts w:ascii="Arial" w:cs="Arial" w:eastAsia="Arial" w:hAnsi="Arial"/>
          <w:sz w:val="20"/>
          <w:szCs w:val="20"/>
          <w:color w:val="auto"/>
        </w:rPr>
        <w:t>”) in the State of Delaware, and the name of its registered agent at such address, shall be as set forth in the Corporation’s certificate of incorporation, as the same may be amended and/or restated from time to time (the “</w:t>
      </w:r>
      <w:r>
        <w:rPr>
          <w:rFonts w:ascii="Arial" w:cs="Arial" w:eastAsia="Arial" w:hAnsi="Arial"/>
          <w:sz w:val="20"/>
          <w:szCs w:val="20"/>
          <w:u w:val="single" w:color="auto"/>
          <w:color w:val="auto"/>
        </w:rPr>
        <w:t>Certificate of Incorporation</w:t>
      </w:r>
      <w:r>
        <w:rPr>
          <w:rFonts w:ascii="Arial" w:cs="Arial" w:eastAsia="Arial" w:hAnsi="Arial"/>
          <w:sz w:val="20"/>
          <w:szCs w:val="20"/>
          <w:color w:val="auto"/>
        </w:rPr>
        <w:t>”).</w:t>
      </w:r>
    </w:p>
    <w:p>
      <w:pPr>
        <w:spacing w:after="0" w:line="13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OTHER OFFICES.</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Corporation’s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may at any time establish other offices at any place or places where the Corporation is qualified to do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 - MEETINGS OF STOCKHOLDERS</w:t>
      </w:r>
    </w:p>
    <w:p>
      <w:pPr>
        <w:spacing w:after="0" w:line="168"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PLACE OF MEETINGS.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In the absence of any such designation or determination, stockholders’ meetings shall be held at the Corporation’s principal executive office.</w:t>
      </w:r>
    </w:p>
    <w:p>
      <w:pPr>
        <w:spacing w:after="0" w:line="107"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color w:val="auto"/>
        </w:rPr>
        <w:t>ANNUAL MEETING.</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The Board shall designate the date and time of the annual meeting. At the annual meeting, directors shall be elected and other proper business properly brought before the meeting in accordance with Section 2.4 of these bylaws may be transacted.</w:t>
      </w:r>
    </w:p>
    <w:p>
      <w:pPr>
        <w:spacing w:after="0" w:line="98"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SPECIAL MEETING.</w:t>
      </w:r>
    </w:p>
    <w:p>
      <w:pPr>
        <w:spacing w:after="0" w:line="1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A special meeting of the stockholders may be called at any time by the Board, chairperson of the Board, chief executive officer or president (in the absence of a chief executive officer), but such special meetings may not be called by any other person or persons.</w:t>
      </w:r>
    </w:p>
    <w:p>
      <w:pPr>
        <w:spacing w:after="0" w:line="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w:t>
      </w:r>
    </w:p>
    <w:p>
      <w:pPr>
        <w:spacing w:after="0" w:line="13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ADVANCE NOTICE PROCEDURES FOR BUSINESS BROUGHT BEFORE A MEETING.</w:t>
      </w:r>
    </w:p>
    <w:p>
      <w:pPr>
        <w:spacing w:after="0" w:line="162" w:lineRule="exact"/>
        <w:rPr>
          <w:sz w:val="20"/>
          <w:szCs w:val="20"/>
          <w:color w:val="auto"/>
        </w:rPr>
      </w:pPr>
    </w:p>
    <w:p>
      <w:pPr>
        <w:jc w:val="both"/>
        <w:ind w:firstLine="1304"/>
        <w:spacing w:after="0" w:line="250" w:lineRule="auto"/>
        <w:tabs>
          <w:tab w:leader="none" w:pos="1757"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(ii)</w:t>
      </w:r>
    </w:p>
    <w:p>
      <w:pPr>
        <w:sectPr>
          <w:pgSz w:w="11900" w:h="16838" w:orient="portrait"/>
          <w:cols w:equalWidth="0" w:num="1">
            <w:col w:w="11240"/>
          </w:cols>
          <w:pgMar w:left="320" w:top="1413" w:right="339" w:bottom="1440" w:gutter="0" w:footer="0" w:header="0"/>
        </w:sectPr>
      </w:pPr>
    </w:p>
    <w:bookmarkStart w:id="287" w:name="page288"/>
    <w:bookmarkEnd w:id="287"/>
    <w:p>
      <w:pPr>
        <w:jc w:val="both"/>
        <w:spacing w:after="0" w:line="269" w:lineRule="auto"/>
        <w:rPr>
          <w:sz w:val="20"/>
          <w:szCs w:val="20"/>
          <w:color w:val="auto"/>
        </w:rPr>
      </w:pPr>
      <w:r>
        <w:rPr>
          <w:rFonts w:ascii="Arial" w:cs="Arial" w:eastAsia="Arial" w:hAnsi="Arial"/>
          <w:sz w:val="18"/>
          <w:szCs w:val="18"/>
          <w:color w:val="auto"/>
        </w:rPr>
        <w:t>if not specified in a notice of meeting, otherwise brought before the meeting by the Board or the chairperson of the Board or (iii) otherwise properly brought before the meeting by a stockholder present in person who (A) (1) was a record owner of shares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and stockholders shall not be permitted to propose business to be brought before a special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Section 2.5 and this Section 2.4 shall not be applicable to nominations except as expressly provided in Section 2.5 of these bylaws.</w:t>
      </w:r>
    </w:p>
    <w:p>
      <w:pPr>
        <w:spacing w:after="0" w:line="122" w:lineRule="exact"/>
        <w:rPr>
          <w:sz w:val="20"/>
          <w:szCs w:val="20"/>
          <w:color w:val="auto"/>
        </w:rPr>
      </w:pPr>
    </w:p>
    <w:p>
      <w:pPr>
        <w:jc w:val="both"/>
        <w:ind w:firstLine="1304"/>
        <w:spacing w:after="0" w:line="255" w:lineRule="auto"/>
        <w:tabs>
          <w:tab w:leader="none" w:pos="176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Arial" w:cs="Arial" w:eastAsia="Arial" w:hAnsi="Arial"/>
          <w:sz w:val="23"/>
          <w:szCs w:val="23"/>
          <w:color w:val="auto"/>
          <w:vertAlign w:val="superscript"/>
        </w:rPr>
        <w:t>th</w:t>
      </w:r>
      <w:r>
        <w:rPr>
          <w:rFonts w:ascii="Arial" w:cs="Arial" w:eastAsia="Arial" w:hAnsi="Arial"/>
          <w:sz w:val="18"/>
          <w:szCs w:val="18"/>
          <w:color w:val="auto"/>
        </w:rPr>
        <w:t>) day prior to such annual meeting or, if later, the tenth (10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day on which public disclosure of the date of such annual meeting was first made by the Corporation (such notice within such time periods, “</w:t>
      </w:r>
      <w:r>
        <w:rPr>
          <w:rFonts w:ascii="Arial" w:cs="Arial" w:eastAsia="Arial" w:hAnsi="Arial"/>
          <w:sz w:val="18"/>
          <w:szCs w:val="18"/>
          <w:u w:val="single" w:color="auto"/>
          <w:color w:val="auto"/>
        </w:rPr>
        <w:t>Timely Notice</w:t>
      </w:r>
      <w:r>
        <w:rPr>
          <w:rFonts w:ascii="Arial" w:cs="Arial" w:eastAsia="Arial" w:hAnsi="Arial"/>
          <w:sz w:val="18"/>
          <w:szCs w:val="18"/>
          <w:color w:val="auto"/>
        </w:rPr>
        <w:t>”). In no event shall any adjournment or postponement of an annual meeting or the announcement thereof commence a new time period for the giving of Timely Notice as described above.</w:t>
      </w:r>
    </w:p>
    <w:p>
      <w:pPr>
        <w:spacing w:after="0" w:line="135" w:lineRule="exact"/>
        <w:rPr>
          <w:rFonts w:ascii="Arial" w:cs="Arial" w:eastAsia="Arial" w:hAnsi="Arial"/>
          <w:sz w:val="18"/>
          <w:szCs w:val="18"/>
          <w:color w:val="auto"/>
        </w:rPr>
      </w:pPr>
    </w:p>
    <w:p>
      <w:pPr>
        <w:ind w:left="1720" w:hanging="416"/>
        <w:spacing w:after="0"/>
        <w:tabs>
          <w:tab w:leader="none" w:pos="17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2.4, a stockholder’s notice to the secretary of the Corporation shall set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forth:</w:t>
      </w:r>
    </w:p>
    <w:p>
      <w:pPr>
        <w:spacing w:after="0" w:line="145" w:lineRule="exact"/>
        <w:rPr>
          <w:rFonts w:ascii="Arial" w:cs="Arial" w:eastAsia="Arial" w:hAnsi="Arial"/>
          <w:sz w:val="18"/>
          <w:szCs w:val="18"/>
          <w:color w:val="auto"/>
        </w:rPr>
      </w:pPr>
    </w:p>
    <w:p>
      <w:pPr>
        <w:jc w:val="both"/>
        <w:ind w:left="1300" w:firstLine="652"/>
        <w:spacing w:after="0" w:line="259" w:lineRule="auto"/>
        <w:tabs>
          <w:tab w:leader="none" w:pos="2324" w:val="left"/>
        </w:tabs>
        <w:numPr>
          <w:ilvl w:val="1"/>
          <w:numId w:val="191"/>
        </w:numPr>
        <w:rPr>
          <w:rFonts w:ascii="Arial" w:cs="Arial" w:eastAsia="Arial" w:hAnsi="Arial"/>
          <w:sz w:val="19"/>
          <w:szCs w:val="19"/>
          <w:color w:val="auto"/>
        </w:rPr>
      </w:pPr>
      <w:r>
        <w:rPr>
          <w:rFonts w:ascii="Arial" w:cs="Arial" w:eastAsia="Arial" w:hAnsi="Arial"/>
          <w:sz w:val="19"/>
          <w:szCs w:val="19"/>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288" w:name="page289"/>
    <w:bookmarkEnd w:id="288"/>
    <w:p>
      <w:pPr>
        <w:ind w:left="180"/>
        <w:spacing w:after="0"/>
        <w:rPr>
          <w:sz w:val="20"/>
          <w:szCs w:val="20"/>
          <w:color w:val="auto"/>
        </w:rPr>
      </w:pPr>
      <w:r>
        <w:rPr>
          <w:rFonts w:ascii="Arial" w:cs="Arial" w:eastAsia="Arial" w:hAnsi="Arial"/>
          <w:sz w:val="19"/>
          <w:szCs w:val="19"/>
          <w:color w:val="auto"/>
        </w:rPr>
        <w:t>disclosures to be made pursuant to the foregoing clauses (A) and (B) are referred to as “</w:t>
      </w:r>
      <w:r>
        <w:rPr>
          <w:rFonts w:ascii="Arial" w:cs="Arial" w:eastAsia="Arial" w:hAnsi="Arial"/>
          <w:sz w:val="19"/>
          <w:szCs w:val="19"/>
          <w:u w:val="single" w:color="auto"/>
          <w:color w:val="auto"/>
        </w:rPr>
        <w:t>Stockholder Information</w:t>
      </w:r>
      <w:r>
        <w:rPr>
          <w:rFonts w:ascii="Arial" w:cs="Arial" w:eastAsia="Arial" w:hAnsi="Arial"/>
          <w:sz w:val="19"/>
          <w:szCs w:val="19"/>
          <w:color w:val="auto"/>
        </w:rPr>
        <w:t>”);</w:t>
      </w:r>
    </w:p>
    <w:p>
      <w:pPr>
        <w:spacing w:after="0" w:line="167" w:lineRule="exact"/>
        <w:rPr>
          <w:sz w:val="20"/>
          <w:szCs w:val="20"/>
          <w:color w:val="auto"/>
        </w:rPr>
      </w:pPr>
    </w:p>
    <w:p>
      <w:pPr>
        <w:jc w:val="both"/>
        <w:ind w:left="180" w:firstLine="652"/>
        <w:spacing w:after="0" w:line="268" w:lineRule="auto"/>
        <w:tabs>
          <w:tab w:leader="none" w:pos="127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As to each Proposing Person, </w:t>
      </w:r>
      <w:r>
        <w:rPr>
          <w:rFonts w:ascii="Arial" w:cs="Arial" w:eastAsia="Arial" w:hAnsi="Arial"/>
          <w:sz w:val="18"/>
          <w:szCs w:val="18"/>
          <w:b w:val="1"/>
          <w:bCs w:val="1"/>
          <w:color w:val="auto"/>
        </w:rPr>
        <w:t>(</w:t>
      </w:r>
      <w:r>
        <w:rPr>
          <w:rFonts w:ascii="Arial" w:cs="Arial" w:eastAsia="Arial" w:hAnsi="Arial"/>
          <w:sz w:val="18"/>
          <w:szCs w:val="18"/>
          <w:color w:val="auto"/>
        </w:rPr>
        <w:t>A</w:t>
      </w:r>
      <w:r>
        <w:rPr>
          <w:rFonts w:ascii="Arial" w:cs="Arial" w:eastAsia="Arial" w:hAnsi="Arial"/>
          <w:sz w:val="18"/>
          <w:szCs w:val="18"/>
          <w:b w:val="1"/>
          <w:bCs w:val="1"/>
          <w:color w:val="auto"/>
        </w:rPr>
        <w:t>)</w:t>
      </w:r>
      <w:r>
        <w:rPr>
          <w:rFonts w:ascii="Arial" w:cs="Arial" w:eastAsia="Arial" w:hAnsi="Arial"/>
          <w:sz w:val="18"/>
          <w:szCs w:val="18"/>
          <w:color w:val="auto"/>
        </w:rPr>
        <w:t xml:space="preserve">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8"/>
          <w:szCs w:val="18"/>
          <w:u w:val="single" w:color="auto"/>
          <w:color w:val="auto"/>
        </w:rPr>
        <w:t>Synthetic Equity Position</w:t>
      </w:r>
      <w:r>
        <w:rPr>
          <w:rFonts w:ascii="Arial" w:cs="Arial" w:eastAsia="Arial" w:hAnsi="Arial"/>
          <w:sz w:val="18"/>
          <w:szCs w:val="18"/>
          <w:color w:val="auto"/>
        </w:rPr>
        <w:t>”) and that is, directly or indirectly, held or maintained by such Proposing Person with respect to any shares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w:t>
      </w:r>
    </w:p>
    <w:p>
      <w:pPr>
        <w:spacing w:after="0" w:line="2" w:lineRule="exact"/>
        <w:rPr>
          <w:rFonts w:ascii="Arial" w:cs="Arial" w:eastAsia="Arial" w:hAnsi="Arial"/>
          <w:sz w:val="18"/>
          <w:szCs w:val="18"/>
          <w:color w:val="auto"/>
        </w:rPr>
      </w:pPr>
    </w:p>
    <w:p>
      <w:pPr>
        <w:jc w:val="both"/>
        <w:ind w:left="180"/>
        <w:spacing w:after="0" w:line="303" w:lineRule="auto"/>
        <w:rPr>
          <w:rFonts w:ascii="Arial" w:cs="Arial" w:eastAsia="Arial" w:hAnsi="Arial"/>
          <w:sz w:val="18"/>
          <w:szCs w:val="18"/>
          <w:color w:val="auto"/>
        </w:rPr>
      </w:pPr>
      <w:r>
        <w:rPr>
          <w:rFonts w:ascii="Arial" w:cs="Arial" w:eastAsia="Arial" w:hAnsi="Arial"/>
          <w:sz w:val="16"/>
          <w:szCs w:val="16"/>
          <w:color w:val="auto"/>
        </w:rPr>
        <w:t>(1)(ii)(E))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material pending or threatened legal proceeding in which such Proposing Person is a party or material participant involving the Corporation or any of its officers or directors, or any affiliate of the Corporation, (C) any other material relationship between such Proposing Person, on the one hand, and the Corporation, any affiliate of the Corporation, on the other hand, (D) any direct or indirect material interest in any material contract or agreement of such Proposing Person with the Corporation or any affiliate of the Corporation (including, in any such case, any employment agreement, collective bargaining agreement or consulting agreement), (E)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(F)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(F) are referred to as “</w:t>
      </w:r>
      <w:r>
        <w:rPr>
          <w:rFonts w:ascii="Arial" w:cs="Arial" w:eastAsia="Arial" w:hAnsi="Arial"/>
          <w:sz w:val="16"/>
          <w:szCs w:val="16"/>
          <w:u w:val="single" w:color="auto"/>
          <w:color w:val="auto"/>
        </w:rPr>
        <w:t>Disclosable 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00" w:lineRule="exact"/>
        <w:rPr>
          <w:rFonts w:ascii="Arial" w:cs="Arial" w:eastAsia="Arial" w:hAnsi="Arial"/>
          <w:sz w:val="18"/>
          <w:szCs w:val="18"/>
          <w:color w:val="auto"/>
        </w:rPr>
      </w:pPr>
    </w:p>
    <w:p>
      <w:pPr>
        <w:spacing w:after="0" w:line="360" w:lineRule="exact"/>
        <w:rPr>
          <w:rFonts w:ascii="Arial" w:cs="Arial" w:eastAsia="Arial" w:hAnsi="Arial"/>
          <w:sz w:val="18"/>
          <w:szCs w:val="18"/>
          <w:color w:val="auto"/>
        </w:rPr>
      </w:pPr>
    </w:p>
    <w:p>
      <w:pPr>
        <w:ind w:left="180" w:firstLine="652"/>
        <w:spacing w:after="0" w:line="260" w:lineRule="auto"/>
        <w:tabs>
          <w:tab w:leader="none" w:pos="141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As to each item of business that the stockholder proposes to bring before the annual meeting, (A) a brief description of the business desired to be brought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20"/>
          </w:cols>
          <w:pgMar w:left="1440" w:top="1419" w:right="339" w:bottom="1440" w:gutter="0" w:footer="0" w:header="0"/>
        </w:sectPr>
      </w:pPr>
    </w:p>
    <w:bookmarkStart w:id="289" w:name="page290"/>
    <w:bookmarkEnd w:id="289"/>
    <w:p>
      <w:pPr>
        <w:jc w:val="both"/>
        <w:ind w:left="1300"/>
        <w:spacing w:after="0" w:line="270" w:lineRule="auto"/>
        <w:rPr>
          <w:sz w:val="20"/>
          <w:szCs w:val="20"/>
          <w:color w:val="auto"/>
        </w:rPr>
      </w:pPr>
      <w:r>
        <w:rPr>
          <w:rFonts w:ascii="Arial" w:cs="Arial" w:eastAsia="Arial" w:hAnsi="Arial"/>
          <w:sz w:val="18"/>
          <w:szCs w:val="18"/>
          <w:color w:val="auto"/>
        </w:rPr>
        <w:t xml:space="preserve">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and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2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For purposes of this Section 2.4, the term “</w:t>
      </w:r>
      <w:r>
        <w:rPr>
          <w:rFonts w:ascii="Arial" w:cs="Arial" w:eastAsia="Arial" w:hAnsi="Arial"/>
          <w:sz w:val="20"/>
          <w:szCs w:val="20"/>
          <w:u w:val="single" w:color="auto"/>
          <w:color w:val="auto"/>
        </w:rPr>
        <w:t>Proposing Person</w:t>
      </w:r>
      <w:r>
        <w:rPr>
          <w:rFonts w:ascii="Arial" w:cs="Arial" w:eastAsia="Arial" w:hAnsi="Arial"/>
          <w:sz w:val="20"/>
          <w:szCs w:val="20"/>
          <w:i w:val="1"/>
          <w:iCs w:val="1"/>
          <w:color w:val="auto"/>
        </w:rPr>
        <w:t>”</w:t>
      </w:r>
      <w:r>
        <w:rPr>
          <w:rFonts w:ascii="Arial" w:cs="Arial" w:eastAsia="Arial" w:hAnsi="Arial"/>
          <w:sz w:val="20"/>
          <w:szCs w:val="20"/>
          <w:color w:val="auto"/>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37" w:lineRule="exact"/>
        <w:rPr>
          <w:sz w:val="20"/>
          <w:szCs w:val="20"/>
          <w:color w:val="auto"/>
        </w:rPr>
      </w:pPr>
    </w:p>
    <w:p>
      <w:pPr>
        <w:jc w:val="both"/>
        <w:ind w:firstLine="1304"/>
        <w:spacing w:after="0" w:line="302" w:lineRule="auto"/>
        <w:tabs>
          <w:tab w:leader="none" w:pos="178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w:t>
      </w:r>
    </w:p>
    <w:p>
      <w:pPr>
        <w:spacing w:after="0" w:line="3" w:lineRule="exact"/>
        <w:rPr>
          <w:rFonts w:ascii="Arial" w:cs="Arial" w:eastAsia="Arial" w:hAnsi="Arial"/>
          <w:sz w:val="16"/>
          <w:szCs w:val="16"/>
          <w:color w:val="auto"/>
        </w:rPr>
      </w:pPr>
    </w:p>
    <w:p>
      <w:pPr>
        <w:jc w:val="both"/>
        <w:ind w:firstLine="8"/>
        <w:spacing w:after="0"/>
        <w:tabs>
          <w:tab w:leader="none" w:pos="285" w:val="left"/>
        </w:tabs>
        <w:numPr>
          <w:ilvl w:val="0"/>
          <w:numId w:val="194"/>
        </w:numPr>
        <w:rPr>
          <w:rFonts w:ascii="Arial" w:cs="Arial" w:eastAsia="Arial" w:hAnsi="Arial"/>
          <w:sz w:val="20"/>
          <w:szCs w:val="20"/>
          <w:color w:val="auto"/>
        </w:rPr>
      </w:pPr>
      <w:r>
        <w:rPr>
          <w:rFonts w:ascii="Arial" w:cs="Arial" w:eastAsia="Arial" w:hAnsi="Arial"/>
          <w:sz w:val="20"/>
          <w:szCs w:val="20"/>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42" w:lineRule="exact"/>
        <w:rPr>
          <w:rFonts w:ascii="Arial" w:cs="Arial" w:eastAsia="Arial" w:hAnsi="Arial"/>
          <w:sz w:val="20"/>
          <w:szCs w:val="20"/>
          <w:color w:val="auto"/>
        </w:rPr>
      </w:pPr>
    </w:p>
    <w:p>
      <w:pPr>
        <w:jc w:val="both"/>
        <w:ind w:firstLine="1304"/>
        <w:spacing w:after="0" w:line="282" w:lineRule="auto"/>
        <w:tabs>
          <w:tab w:leader="none" w:pos="175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290" w:name="page291"/>
    <w:bookmarkEnd w:id="290"/>
    <w:p>
      <w:pPr>
        <w:jc w:val="both"/>
        <w:ind w:left="-20" w:firstLine="1304"/>
        <w:spacing w:after="0" w:line="243" w:lineRule="auto"/>
        <w:tabs>
          <w:tab w:leader="none" w:pos="174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41" w:lineRule="exact"/>
        <w:rPr>
          <w:rFonts w:ascii="Arial" w:cs="Arial" w:eastAsia="Arial" w:hAnsi="Arial"/>
          <w:sz w:val="20"/>
          <w:szCs w:val="20"/>
          <w:color w:val="auto"/>
        </w:rPr>
      </w:pPr>
    </w:p>
    <w:p>
      <w:pPr>
        <w:jc w:val="both"/>
        <w:ind w:left="-20" w:firstLine="1304"/>
        <w:spacing w:after="0" w:line="250" w:lineRule="auto"/>
        <w:tabs>
          <w:tab w:leader="none" w:pos="1735" w:val="left"/>
        </w:tabs>
        <w:numPr>
          <w:ilvl w:val="0"/>
          <w:numId w:val="195"/>
        </w:numPr>
        <w:rPr>
          <w:rFonts w:ascii="Arial" w:cs="Arial" w:eastAsia="Arial" w:hAnsi="Arial"/>
          <w:sz w:val="20"/>
          <w:szCs w:val="20"/>
          <w:color w:val="auto"/>
        </w:rPr>
      </w:pPr>
      <w:r>
        <w:rPr>
          <w:rFonts w:ascii="Arial" w:cs="Arial" w:eastAsia="Arial" w:hAnsi="Arial"/>
          <w:sz w:val="20"/>
          <w:szCs w:val="20"/>
          <w:color w:val="auto"/>
        </w:rPr>
        <w:t>For purposes of these bylaws, “</w:t>
      </w:r>
      <w:r>
        <w:rPr>
          <w:rFonts w:ascii="Arial" w:cs="Arial" w:eastAsia="Arial" w:hAnsi="Arial"/>
          <w:sz w:val="20"/>
          <w:szCs w:val="20"/>
          <w:u w:val="single" w:color="auto"/>
          <w:color w:val="auto"/>
        </w:rPr>
        <w:t>public disclosure</w:t>
      </w:r>
      <w:r>
        <w:rPr>
          <w:rFonts w:ascii="Arial" w:cs="Arial" w:eastAsia="Arial" w:hAnsi="Arial"/>
          <w:sz w:val="20"/>
          <w:szCs w:val="20"/>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32" w:lineRule="exact"/>
        <w:rPr>
          <w:sz w:val="20"/>
          <w:szCs w:val="20"/>
          <w:color w:val="auto"/>
        </w:rPr>
      </w:pPr>
    </w:p>
    <w:p>
      <w:pPr>
        <w:ind w:left="880"/>
        <w:spacing w:after="0"/>
        <w:tabs>
          <w:tab w:leader="none" w:pos="13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color w:val="auto"/>
        </w:rPr>
        <w:t>ADVANCE NOTICE PROCEDURES FOR NOMINATIONS OF DIRECTORS.</w:t>
      </w:r>
    </w:p>
    <w:p>
      <w:pPr>
        <w:spacing w:after="0" w:line="162" w:lineRule="exact"/>
        <w:rPr>
          <w:sz w:val="20"/>
          <w:szCs w:val="20"/>
          <w:color w:val="auto"/>
        </w:rPr>
      </w:pPr>
    </w:p>
    <w:p>
      <w:pPr>
        <w:jc w:val="both"/>
        <w:ind w:left="-20" w:firstLine="1304"/>
        <w:spacing w:after="0" w:line="270" w:lineRule="auto"/>
        <w:tabs>
          <w:tab w:leader="none" w:pos="179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(A) who was a record owner of shares of the Corporation both at the time of giving the notice provided for in this Section 2.5 and at the time of the meeting, (B) is entitled to vote at the meeting and (C) has complied with this Section 2.5 as to such notice and nomination. For purposes of this Section 2.5, “</w:t>
      </w:r>
      <w:r>
        <w:rPr>
          <w:rFonts w:ascii="Arial" w:cs="Arial" w:eastAsia="Arial" w:hAnsi="Arial"/>
          <w:sz w:val="18"/>
          <w:szCs w:val="18"/>
          <w:u w:val="single" w:color="auto"/>
          <w:color w:val="auto"/>
        </w:rPr>
        <w:t>present in person</w:t>
      </w:r>
      <w:r>
        <w:rPr>
          <w:rFonts w:ascii="Arial" w:cs="Arial" w:eastAsia="Arial" w:hAnsi="Arial"/>
          <w:sz w:val="18"/>
          <w:szCs w:val="18"/>
          <w:color w:val="auto"/>
        </w:rPr>
        <w:t>” shall mean that the stockholder proposing that the business be brought before the meeting of the Corporation, or a qualified representative of such stockholder, appear at such meeting. A “</w:t>
      </w:r>
      <w:r>
        <w:rPr>
          <w:rFonts w:ascii="Arial" w:cs="Arial" w:eastAsia="Arial" w:hAnsi="Arial"/>
          <w:sz w:val="18"/>
          <w:szCs w:val="18"/>
          <w:u w:val="single" w:color="auto"/>
          <w:color w:val="auto"/>
        </w:rPr>
        <w:t>qualified representative</w:t>
      </w:r>
      <w:r>
        <w:rPr>
          <w:rFonts w:ascii="Arial" w:cs="Arial" w:eastAsia="Arial" w:hAnsi="Arial"/>
          <w:sz w:val="18"/>
          <w:szCs w:val="18"/>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at an annual meeting or special meeting.</w:t>
      </w:r>
    </w:p>
    <w:p>
      <w:pPr>
        <w:spacing w:after="0" w:line="121" w:lineRule="exact"/>
        <w:rPr>
          <w:rFonts w:ascii="Arial" w:cs="Arial" w:eastAsia="Arial" w:hAnsi="Arial"/>
          <w:sz w:val="18"/>
          <w:szCs w:val="18"/>
          <w:color w:val="auto"/>
        </w:rPr>
      </w:pPr>
    </w:p>
    <w:p>
      <w:pPr>
        <w:jc w:val="both"/>
        <w:ind w:left="-20" w:firstLine="1304"/>
        <w:spacing w:after="0" w:line="244" w:lineRule="auto"/>
        <w:tabs>
          <w:tab w:leader="none" w:pos="171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 Without qualification, for a stockholder to make any nomination of a person or persons for election to the Board at an annual meeting, the stockholder must (1) provide Timely Notice (as defined in Section 2.4(b) of these bylaws) thereof in writing and in proper form to the secretary of the Corporation, (2) provide the information, agreements and questionnaires with respect to such stockholder and its candidate for nomination as required to be set forth by this Section 2.5 and (3) provide any updates or supplements to such notice at the times and in the forms required by this Section 2.5.</w:t>
      </w:r>
    </w:p>
    <w:p>
      <w:pPr>
        <w:spacing w:after="0" w:line="140" w:lineRule="exact"/>
        <w:rPr>
          <w:rFonts w:ascii="Arial" w:cs="Arial" w:eastAsia="Arial" w:hAnsi="Arial"/>
          <w:sz w:val="20"/>
          <w:szCs w:val="20"/>
          <w:color w:val="auto"/>
        </w:rPr>
      </w:pPr>
    </w:p>
    <w:p>
      <w:pPr>
        <w:jc w:val="both"/>
        <w:ind w:left="-20" w:firstLine="1952"/>
        <w:spacing w:after="0" w:line="260" w:lineRule="auto"/>
        <w:tabs>
          <w:tab w:leader="none" w:pos="2362" w:val="left"/>
        </w:tabs>
        <w:numPr>
          <w:ilvl w:val="1"/>
          <w:numId w:val="196"/>
        </w:numPr>
        <w:rPr>
          <w:rFonts w:ascii="Arial" w:cs="Arial" w:eastAsia="Arial" w:hAnsi="Arial"/>
          <w:sz w:val="19"/>
          <w:szCs w:val="19"/>
          <w:color w:val="auto"/>
        </w:rPr>
      </w:pPr>
      <w:r>
        <w:rPr>
          <w:rFonts w:ascii="Arial" w:cs="Arial" w:eastAsia="Arial" w:hAnsi="Arial"/>
          <w:sz w:val="19"/>
          <w:szCs w:val="19"/>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Section 2.5 and (iii)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w:t>
      </w:r>
      <w:r>
        <w:rPr>
          <w:rFonts w:ascii="Arial" w:cs="Arial" w:eastAsia="Arial" w:hAnsi="Arial"/>
          <w:sz w:val="24"/>
          <w:szCs w:val="24"/>
          <w:color w:val="auto"/>
          <w:vertAlign w:val="superscript"/>
        </w:rPr>
        <w:t>th</w:t>
      </w:r>
      <w:r>
        <w:rPr>
          <w:rFonts w:ascii="Arial" w:cs="Arial" w:eastAsia="Arial" w:hAnsi="Arial"/>
          <w:sz w:val="19"/>
          <w:szCs w:val="19"/>
          <w:color w:val="auto"/>
        </w:rPr>
        <w:t>) day prior to such special meeting and not later than the ninetieth (90</w:t>
      </w:r>
      <w:r>
        <w:rPr>
          <w:rFonts w:ascii="Arial" w:cs="Arial" w:eastAsia="Arial" w:hAnsi="Arial"/>
          <w:sz w:val="24"/>
          <w:szCs w:val="24"/>
          <w:color w:val="auto"/>
          <w:vertAlign w:val="superscript"/>
        </w:rPr>
        <w:t>th</w:t>
      </w:r>
      <w:r>
        <w:rPr>
          <w:rFonts w:ascii="Arial" w:cs="Arial" w:eastAsia="Arial" w:hAnsi="Arial"/>
          <w:sz w:val="19"/>
          <w:szCs w:val="19"/>
          <w:color w:val="auto"/>
        </w:rPr>
        <w:t>) day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40" w:top="1419" w:right="339" w:bottom="1440" w:gutter="0" w:footer="0" w:header="0"/>
        </w:sectPr>
      </w:pPr>
    </w:p>
    <w:bookmarkStart w:id="291" w:name="page292"/>
    <w:bookmarkEnd w:id="291"/>
    <w:p>
      <w:pPr>
        <w:spacing w:after="0" w:line="222" w:lineRule="auto"/>
        <w:rPr>
          <w:sz w:val="20"/>
          <w:szCs w:val="20"/>
          <w:color w:val="auto"/>
        </w:rPr>
      </w:pPr>
      <w:r>
        <w:rPr>
          <w:rFonts w:ascii="Arial" w:cs="Arial" w:eastAsia="Arial" w:hAnsi="Arial"/>
          <w:sz w:val="20"/>
          <w:szCs w:val="20"/>
          <w:color w:val="auto"/>
        </w:rPr>
        <w:t>special meeting or, if later, the tenth (10</w:t>
      </w:r>
      <w:r>
        <w:rPr>
          <w:rFonts w:ascii="Arial" w:cs="Arial" w:eastAsia="Arial" w:hAnsi="Arial"/>
          <w:sz w:val="25"/>
          <w:szCs w:val="25"/>
          <w:color w:val="auto"/>
          <w:vertAlign w:val="superscript"/>
        </w:rPr>
        <w:t>th</w:t>
      </w:r>
      <w:r>
        <w:rPr>
          <w:rFonts w:ascii="Arial" w:cs="Arial" w:eastAsia="Arial" w:hAnsi="Arial"/>
          <w:sz w:val="20"/>
          <w:szCs w:val="20"/>
          <w:color w:val="auto"/>
        </w:rPr>
        <w:t>) day following the day on which public disclosure (as defined in Section 2.4(g) of these bylaws) of the date of such special meeting was first made.</w:t>
      </w:r>
    </w:p>
    <w:p>
      <w:pPr>
        <w:spacing w:after="0" w:line="142" w:lineRule="exact"/>
        <w:rPr>
          <w:sz w:val="20"/>
          <w:szCs w:val="20"/>
          <w:color w:val="auto"/>
        </w:rPr>
      </w:pPr>
    </w:p>
    <w:p>
      <w:pPr>
        <w:ind w:firstLine="1952"/>
        <w:spacing w:after="0" w:line="260" w:lineRule="auto"/>
        <w:tabs>
          <w:tab w:leader="none" w:pos="2638" w:val="left"/>
        </w:tabs>
        <w:numPr>
          <w:ilvl w:val="1"/>
          <w:numId w:val="197"/>
        </w:numPr>
        <w:rPr>
          <w:rFonts w:ascii="Arial" w:cs="Arial" w:eastAsia="Arial" w:hAnsi="Arial"/>
          <w:sz w:val="20"/>
          <w:szCs w:val="20"/>
          <w:color w:val="auto"/>
        </w:rPr>
      </w:pPr>
      <w:r>
        <w:rPr>
          <w:rFonts w:ascii="Arial" w:cs="Arial" w:eastAsia="Arial" w:hAnsi="Arial"/>
          <w:sz w:val="20"/>
          <w:szCs w:val="20"/>
          <w:color w:val="auto"/>
        </w:rPr>
        <w:t>In no event shall any adjournment or postponement of an annual meeting or special meeting or the announcement thereof commence a new time period for the giving of a stockholder’s notice as described above.</w:t>
      </w:r>
    </w:p>
    <w:p>
      <w:pPr>
        <w:spacing w:after="0" w:line="122" w:lineRule="exact"/>
        <w:rPr>
          <w:rFonts w:ascii="Arial" w:cs="Arial" w:eastAsia="Arial" w:hAnsi="Arial"/>
          <w:sz w:val="20"/>
          <w:szCs w:val="20"/>
          <w:color w:val="auto"/>
        </w:rPr>
      </w:pPr>
    </w:p>
    <w:p>
      <w:pPr>
        <w:jc w:val="both"/>
        <w:ind w:firstLine="1952"/>
        <w:spacing w:after="0" w:line="244" w:lineRule="auto"/>
        <w:tabs>
          <w:tab w:leader="none" w:pos="2518" w:val="left"/>
        </w:tabs>
        <w:numPr>
          <w:ilvl w:val="1"/>
          <w:numId w:val="197"/>
        </w:numPr>
        <w:rPr>
          <w:rFonts w:ascii="Arial" w:cs="Arial" w:eastAsia="Arial" w:hAnsi="Arial"/>
          <w:sz w:val="20"/>
          <w:szCs w:val="20"/>
          <w:color w:val="auto"/>
        </w:rPr>
      </w:pPr>
      <w:r>
        <w:rPr>
          <w:rFonts w:ascii="Arial" w:cs="Arial" w:eastAsia="Arial" w:hAnsi="Arial"/>
          <w:sz w:val="20"/>
          <w:szCs w:val="20"/>
          <w:color w:val="auto"/>
        </w:rPr>
        <w:t>In no event may a Nominating Person provide Timely Notice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(ii) the date set forth in Section 2.5(b)(ii) or (iii) the tenth day following the date of public disclosure (as defined in Section 2.4(g) of these bylaws) of such increase.</w:t>
      </w:r>
    </w:p>
    <w:p>
      <w:pPr>
        <w:spacing w:after="0" w:line="140" w:lineRule="exact"/>
        <w:rPr>
          <w:rFonts w:ascii="Arial" w:cs="Arial" w:eastAsia="Arial" w:hAnsi="Arial"/>
          <w:sz w:val="20"/>
          <w:szCs w:val="20"/>
          <w:color w:val="auto"/>
        </w:rPr>
      </w:pPr>
    </w:p>
    <w:p>
      <w:pPr>
        <w:ind w:left="1720" w:hanging="416"/>
        <w:spacing w:after="0"/>
        <w:tabs>
          <w:tab w:leader="none" w:pos="17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2.5, a stockholder’s notice to the secretary of the Corporation shall set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forth:</w:t>
      </w:r>
    </w:p>
    <w:p>
      <w:pPr>
        <w:spacing w:after="0" w:line="145" w:lineRule="exact"/>
        <w:rPr>
          <w:rFonts w:ascii="Arial" w:cs="Arial" w:eastAsia="Arial" w:hAnsi="Arial"/>
          <w:sz w:val="18"/>
          <w:szCs w:val="18"/>
          <w:color w:val="auto"/>
        </w:rPr>
      </w:pPr>
    </w:p>
    <w:p>
      <w:pPr>
        <w:jc w:val="both"/>
        <w:ind w:left="1300" w:firstLine="652"/>
        <w:spacing w:after="0" w:line="250" w:lineRule="auto"/>
        <w:tabs>
          <w:tab w:leader="none" w:pos="2353" w:val="left"/>
        </w:tabs>
        <w:numPr>
          <w:ilvl w:val="1"/>
          <w:numId w:val="198"/>
        </w:numPr>
        <w:rPr>
          <w:rFonts w:ascii="Arial" w:cs="Arial" w:eastAsia="Arial" w:hAnsi="Arial"/>
          <w:sz w:val="20"/>
          <w:szCs w:val="20"/>
          <w:color w:val="auto"/>
        </w:rPr>
      </w:pPr>
      <w:r>
        <w:rPr>
          <w:rFonts w:ascii="Arial" w:cs="Arial" w:eastAsia="Arial" w:hAnsi="Arial"/>
          <w:sz w:val="20"/>
          <w:szCs w:val="20"/>
          <w:color w:val="auto"/>
        </w:rPr>
        <w:t>As to each Nominating Person (as defined below), the Stockholder Information (as defined in Section 2.4(c)(i) of these bylaws) except that for purposes of this Section 2.5, the term “Nominating Person” shall be substituted for the term “Proposing Person” in all places it appears in Section 2.4(c)(i);</w:t>
      </w:r>
    </w:p>
    <w:p>
      <w:pPr>
        <w:spacing w:after="0" w:line="131" w:lineRule="exact"/>
        <w:rPr>
          <w:rFonts w:ascii="Arial" w:cs="Arial" w:eastAsia="Arial" w:hAnsi="Arial"/>
          <w:sz w:val="20"/>
          <w:szCs w:val="20"/>
          <w:color w:val="auto"/>
        </w:rPr>
      </w:pPr>
    </w:p>
    <w:p>
      <w:pPr>
        <w:jc w:val="both"/>
        <w:ind w:left="1300" w:firstLine="652"/>
        <w:spacing w:after="0" w:line="263" w:lineRule="auto"/>
        <w:tabs>
          <w:tab w:leader="none" w:pos="2502" w:val="left"/>
        </w:tabs>
        <w:numPr>
          <w:ilvl w:val="1"/>
          <w:numId w:val="198"/>
        </w:numPr>
        <w:rPr>
          <w:rFonts w:ascii="Arial" w:cs="Arial" w:eastAsia="Arial" w:hAnsi="Arial"/>
          <w:sz w:val="19"/>
          <w:szCs w:val="19"/>
          <w:color w:val="auto"/>
        </w:rPr>
      </w:pPr>
      <w:r>
        <w:rPr>
          <w:rFonts w:ascii="Arial" w:cs="Arial" w:eastAsia="Arial" w:hAnsi="Arial"/>
          <w:sz w:val="19"/>
          <w:szCs w:val="19"/>
          <w:color w:val="auto"/>
        </w:rPr>
        <w:t>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election of directors at the meeting); and</w:t>
      </w:r>
    </w:p>
    <w:p>
      <w:pPr>
        <w:spacing w:after="0" w:line="122" w:lineRule="exact"/>
        <w:rPr>
          <w:rFonts w:ascii="Arial" w:cs="Arial" w:eastAsia="Arial" w:hAnsi="Arial"/>
          <w:sz w:val="19"/>
          <w:szCs w:val="19"/>
          <w:color w:val="auto"/>
        </w:rPr>
      </w:pPr>
    </w:p>
    <w:p>
      <w:pPr>
        <w:jc w:val="both"/>
        <w:ind w:left="1300" w:firstLine="652"/>
        <w:spacing w:after="0" w:line="307" w:lineRule="auto"/>
        <w:tabs>
          <w:tab w:leader="none" w:pos="25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As to each candidate whom a Nominating Person proposes to nominate for election as a director, (A) all information with respect to such candidate for nomination that would be required to be set forth in a stockholder’s notice pursuant to this Section 2.5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6"/>
          <w:szCs w:val="16"/>
          <w:u w:val="single" w:color="auto"/>
          <w:color w:val="auto"/>
        </w:rPr>
        <w:t>Nominee Information</w:t>
      </w:r>
      <w:r>
        <w:rPr>
          <w:rFonts w:ascii="Arial" w:cs="Arial" w:eastAsia="Arial" w:hAnsi="Arial"/>
          <w:sz w:val="16"/>
          <w:szCs w:val="16"/>
          <w:color w:val="auto"/>
        </w:rPr>
        <w:t>”) and</w:t>
      </w:r>
    </w:p>
    <w:p>
      <w:pPr>
        <w:spacing w:after="0" w:line="18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0"/>
          <w:szCs w:val="20"/>
          <w:color w:val="auto"/>
        </w:rPr>
        <w:t>(D) a completed and signed questionnaire, representation and agreement as provided in Section 2.5(g).</w:t>
      </w:r>
    </w:p>
    <w:p>
      <w:pPr>
        <w:spacing w:after="0" w:line="14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purposes of this Section 2.5, the term “</w:t>
      </w:r>
      <w:r>
        <w:rPr>
          <w:rFonts w:ascii="Arial" w:cs="Arial" w:eastAsia="Arial" w:hAnsi="Arial"/>
          <w:sz w:val="20"/>
          <w:szCs w:val="20"/>
          <w:u w:val="single" w:color="auto"/>
          <w:color w:val="auto"/>
        </w:rPr>
        <w:t>Nominating Person</w:t>
      </w:r>
      <w:r>
        <w:rPr>
          <w:rFonts w:ascii="Arial" w:cs="Arial" w:eastAsia="Arial" w:hAnsi="Arial"/>
          <w:sz w:val="20"/>
          <w:szCs w:val="20"/>
          <w:color w:val="auto"/>
        </w:rPr>
        <w:t>” shall mean (i) the stockholder providing the notice of the nomination proposed to be made at the meeting, (ii) the beneficial owner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292" w:name="page293"/>
    <w:bookmarkEnd w:id="292"/>
    <w:p>
      <w:pPr>
        <w:ind w:right="20"/>
        <w:spacing w:after="0" w:line="260" w:lineRule="auto"/>
        <w:rPr>
          <w:sz w:val="20"/>
          <w:szCs w:val="20"/>
          <w:color w:val="auto"/>
        </w:rPr>
      </w:pPr>
      <w:r>
        <w:rPr>
          <w:rFonts w:ascii="Arial" w:cs="Arial" w:eastAsia="Arial" w:hAnsi="Arial"/>
          <w:sz w:val="20"/>
          <w:szCs w:val="20"/>
          <w:color w:val="auto"/>
        </w:rPr>
        <w:t>beneficial owners, if different, on whose behalf the notice of the nomination proposed to be made at the meeting is made and (iii) any other participant in such solicitation.</w:t>
      </w:r>
    </w:p>
    <w:p>
      <w:pPr>
        <w:spacing w:after="0" w:line="123" w:lineRule="exact"/>
        <w:rPr>
          <w:sz w:val="20"/>
          <w:szCs w:val="20"/>
          <w:color w:val="auto"/>
        </w:rPr>
      </w:pPr>
    </w:p>
    <w:p>
      <w:pPr>
        <w:jc w:val="both"/>
        <w:ind w:firstLine="1304"/>
        <w:spacing w:after="0" w:line="270" w:lineRule="auto"/>
        <w:tabs>
          <w:tab w:leader="none" w:pos="188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18" w:lineRule="exact"/>
        <w:rPr>
          <w:rFonts w:ascii="Arial" w:cs="Arial" w:eastAsia="Arial" w:hAnsi="Arial"/>
          <w:sz w:val="18"/>
          <w:szCs w:val="18"/>
          <w:color w:val="auto"/>
        </w:rPr>
      </w:pPr>
    </w:p>
    <w:p>
      <w:pPr>
        <w:ind w:firstLine="1304"/>
        <w:spacing w:after="0" w:line="316" w:lineRule="auto"/>
        <w:tabs>
          <w:tab w:leader="none" w:pos="176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76"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Additional Requirements For Valid Nomination of Candidates to Serve as Director and, If Elected, to Be Seated as Directors.</w:t>
      </w:r>
    </w:p>
    <w:p>
      <w:pPr>
        <w:spacing w:after="0" w:line="162" w:lineRule="exact"/>
        <w:rPr>
          <w:sz w:val="20"/>
          <w:szCs w:val="20"/>
          <w:color w:val="auto"/>
        </w:rPr>
      </w:pPr>
    </w:p>
    <w:p>
      <w:pPr>
        <w:jc w:val="both"/>
        <w:ind w:firstLine="1304"/>
        <w:spacing w:after="0" w:line="269" w:lineRule="auto"/>
        <w:tabs>
          <w:tab w:leader="none" w:pos="17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be eligible to be a candidate for election as a director of the Corporation at an annual or special meeting, a candidate must be nominated in the manner prescribed in Section 2.5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(i) a completed written questionnaire (in a form provided by the Corporation) with respect to the background, qualifications, stock ownership and independence of such proposed nominee and (ii) a written representation and agreement (in form provided by the Corporation)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8"/>
          <w:szCs w:val="18"/>
          <w:i w:val="1"/>
          <w:iCs w:val="1"/>
          <w:color w:val="auto"/>
        </w:rPr>
        <w:t>Voting Commitment</w:t>
      </w:r>
      <w:r>
        <w:rPr>
          <w:rFonts w:ascii="Arial" w:cs="Arial" w:eastAsia="Arial" w:hAnsi="Arial"/>
          <w:sz w:val="18"/>
          <w:szCs w:val="18"/>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and (C</w:t>
      </w:r>
      <w:r>
        <w:rPr>
          <w:rFonts w:ascii="Arial" w:cs="Arial" w:eastAsia="Arial" w:hAnsi="Arial"/>
          <w:sz w:val="18"/>
          <w:szCs w:val="18"/>
          <w:b w:val="1"/>
          <w:bCs w:val="1"/>
          <w:color w:val="auto"/>
        </w:rPr>
        <w:t>)</w:t>
      </w:r>
      <w:r>
        <w:rPr>
          <w:rFonts w:ascii="Arial" w:cs="Arial" w:eastAsia="Arial" w:hAnsi="Arial"/>
          <w:sz w:val="18"/>
          <w:szCs w:val="18"/>
          <w:color w:val="auto"/>
        </w:rPr>
        <w:t xml:space="preserve">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director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293" w:name="page294"/>
    <w:bookmarkEnd w:id="293"/>
    <w:p>
      <w:pPr>
        <w:spacing w:after="0"/>
        <w:rPr>
          <w:sz w:val="20"/>
          <w:szCs w:val="20"/>
          <w:color w:val="auto"/>
        </w:rPr>
      </w:pPr>
      <w:r>
        <w:rPr>
          <w:rFonts w:ascii="Arial" w:cs="Arial" w:eastAsia="Arial" w:hAnsi="Arial"/>
          <w:sz w:val="20"/>
          <w:szCs w:val="20"/>
          <w:color w:val="auto"/>
        </w:rPr>
        <w:t>Corporation, intends to serve the entire term until the next meeting at which such candidate would face re-election.</w:t>
      </w:r>
    </w:p>
    <w:p>
      <w:pPr>
        <w:spacing w:after="0" w:line="162" w:lineRule="exact"/>
        <w:rPr>
          <w:sz w:val="20"/>
          <w:szCs w:val="20"/>
          <w:color w:val="auto"/>
        </w:rPr>
      </w:pPr>
    </w:p>
    <w:p>
      <w:pPr>
        <w:jc w:val="both"/>
        <w:ind w:firstLine="1304"/>
        <w:spacing w:after="0" w:line="263" w:lineRule="auto"/>
        <w:tabs>
          <w:tab w:leader="none" w:pos="1795"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in accordance with the Corporation’s Corporate Governance Guidelines.</w:t>
      </w:r>
    </w:p>
    <w:p>
      <w:pPr>
        <w:spacing w:after="0" w:line="122" w:lineRule="exact"/>
        <w:rPr>
          <w:rFonts w:ascii="Arial" w:cs="Arial" w:eastAsia="Arial" w:hAnsi="Arial"/>
          <w:sz w:val="19"/>
          <w:szCs w:val="19"/>
          <w:color w:val="auto"/>
        </w:rPr>
      </w:pPr>
    </w:p>
    <w:p>
      <w:pPr>
        <w:jc w:val="both"/>
        <w:ind w:firstLine="1304"/>
        <w:spacing w:after="0" w:line="269" w:lineRule="auto"/>
        <w:tabs>
          <w:tab w:leader="none" w:pos="176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27" w:lineRule="exact"/>
        <w:rPr>
          <w:rFonts w:ascii="Arial" w:cs="Arial" w:eastAsia="Arial" w:hAnsi="Arial"/>
          <w:sz w:val="18"/>
          <w:szCs w:val="18"/>
          <w:color w:val="auto"/>
        </w:rPr>
      </w:pPr>
    </w:p>
    <w:p>
      <w:pPr>
        <w:jc w:val="both"/>
        <w:ind w:firstLine="1304"/>
        <w:spacing w:after="0" w:line="259" w:lineRule="auto"/>
        <w:tabs>
          <w:tab w:leader="none" w:pos="1737" w:val="left"/>
        </w:tabs>
        <w:numPr>
          <w:ilvl w:val="0"/>
          <w:numId w:val="201"/>
        </w:numPr>
        <w:rPr>
          <w:rFonts w:ascii="Arial" w:cs="Arial" w:eastAsia="Arial" w:hAnsi="Arial"/>
          <w:sz w:val="19"/>
          <w:szCs w:val="19"/>
          <w:color w:val="auto"/>
        </w:rPr>
      </w:pPr>
      <w:r>
        <w:rPr>
          <w:rFonts w:ascii="Arial" w:cs="Arial" w:eastAsia="Arial" w:hAnsi="Arial"/>
          <w:sz w:val="19"/>
          <w:szCs w:val="19"/>
          <w:color w:val="auto"/>
        </w:rPr>
        <w:t>No candidate shall be eligible for nomination as a director of the Corporation unless such candidate for nomination and the Nominating Person seeking to place such candidate’s name in nomination has complied with Section 2.3, as applicable. The presiding officer at the meeting shall, if the facts warrant, determine that a nomination was not properly made in accordance with Section 2,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24" w:lineRule="exact"/>
        <w:rPr>
          <w:rFonts w:ascii="Arial" w:cs="Arial" w:eastAsia="Arial" w:hAnsi="Arial"/>
          <w:sz w:val="19"/>
          <w:szCs w:val="19"/>
          <w:color w:val="auto"/>
        </w:rPr>
      </w:pPr>
    </w:p>
    <w:p>
      <w:pPr>
        <w:ind w:right="20" w:firstLine="1304"/>
        <w:spacing w:after="0" w:line="260" w:lineRule="auto"/>
        <w:tabs>
          <w:tab w:leader="none" w:pos="1716" w:val="left"/>
        </w:tabs>
        <w:numPr>
          <w:ilvl w:val="0"/>
          <w:numId w:val="201"/>
        </w:numPr>
        <w:rPr>
          <w:rFonts w:ascii="Arial" w:cs="Arial" w:eastAsia="Arial" w:hAnsi="Arial"/>
          <w:sz w:val="20"/>
          <w:szCs w:val="20"/>
          <w:color w:val="auto"/>
        </w:rPr>
      </w:pPr>
      <w:r>
        <w:rPr>
          <w:rFonts w:ascii="Arial" w:cs="Arial" w:eastAsia="Arial" w:hAnsi="Arial"/>
          <w:sz w:val="20"/>
          <w:szCs w:val="20"/>
          <w:color w:val="auto"/>
        </w:rPr>
        <w:t>Notwithstanding anything in these bylaws to the contrary, no candidate for nomination shall be eligible to be seated as a director of the Corporation unless nominated and elected in accordance with Section 2.</w:t>
      </w:r>
    </w:p>
    <w:p>
      <w:pPr>
        <w:spacing w:after="0" w:line="123"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NOTICE OF STOCKHOLDERS’ MEETINGS.</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Unless otherwise provided by law, the Certificate of Incorporation or these bylaws, the notice of any meeting of stockholders shall be sent or otherwise given in accordance with either Section 2.8 or Section 8.1 of these bylaws not less than ten (10) nor more than sixty (60) days before the date of the meeting to each stockholder entitled to vote at such meeting. The notice shall specify the place, if any, date and hour of the meeting, the record date for determining the stockholders entitled to vote at the meeting (if such date is different from the record date for stockholders entitled to notice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294" w:name="page295"/>
    <w:bookmarkEnd w:id="294"/>
    <w:p>
      <w:pPr>
        <w:spacing w:after="0" w:line="260" w:lineRule="auto"/>
        <w:rPr>
          <w:sz w:val="20"/>
          <w:szCs w:val="20"/>
          <w:color w:val="auto"/>
        </w:rPr>
      </w:pPr>
      <w:r>
        <w:rPr>
          <w:rFonts w:ascii="Arial" w:cs="Arial" w:eastAsia="Arial" w:hAnsi="Arial"/>
          <w:sz w:val="20"/>
          <w:szCs w:val="20"/>
          <w:color w:val="auto"/>
        </w:rPr>
        <w:t>the means of remote communication, if any, by which stockholders and proxy holders may be deemed to be present in person and vote at such meeting, and, in the case of a special meeting, the purpose or purposes for which the meeting is called.</w:t>
      </w:r>
    </w:p>
    <w:p>
      <w:pPr>
        <w:spacing w:after="0" w:line="123"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color w:val="auto"/>
        </w:rPr>
        <w:t>MANNER OF GIVING NOTICE; AFFIDAVIT OF NOTICE.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Notice of any meeting of stockholders shall be deemed given:</w:t>
      </w:r>
    </w:p>
    <w:p>
      <w:pPr>
        <w:spacing w:after="0" w:line="162" w:lineRule="exact"/>
        <w:rPr>
          <w:sz w:val="20"/>
          <w:szCs w:val="20"/>
          <w:color w:val="auto"/>
        </w:rPr>
      </w:pPr>
    </w:p>
    <w:p>
      <w:pPr>
        <w:ind w:firstLine="1304"/>
        <w:spacing w:after="0" w:line="260" w:lineRule="auto"/>
        <w:tabs>
          <w:tab w:leader="none" w:pos="175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if mailed, when deposited in the United States mail, postage prepaid, directed to the stockholder at such stockholder’s address as it appears on the Corporation’s records; or</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if electronically transmitted, as provided in Section 8.1 of these bylaws.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3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9"/>
          <w:szCs w:val="19"/>
          <w:color w:val="auto"/>
        </w:rPr>
        <w:t>QUORUM.</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 (b) a majority in voting power of the stockholders entitled to vote thereon, present in person, or by remote communication, if applicable, or represented by proxy, shall have the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130"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9"/>
          <w:szCs w:val="19"/>
          <w:color w:val="auto"/>
        </w:rPr>
        <w:t>ADJOURNED MEETING; NOTICE.</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spacing w:after="0" w:line="114"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color w:val="auto"/>
        </w:rPr>
        <w:t>CONDUCT OF BUSINESS.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295" w:name="page296"/>
    <w:bookmarkEnd w:id="295"/>
    <w:p>
      <w:pPr>
        <w:jc w:val="both"/>
        <w:spacing w:after="0" w:line="269" w:lineRule="auto"/>
        <w:rPr>
          <w:sz w:val="20"/>
          <w:szCs w:val="20"/>
          <w:color w:val="auto"/>
        </w:rPr>
      </w:pPr>
      <w:r>
        <w:rPr>
          <w:rFonts w:ascii="Arial" w:cs="Arial" w:eastAsia="Arial" w:hAnsi="Arial"/>
          <w:sz w:val="18"/>
          <w:szCs w:val="18"/>
          <w:color w:val="auto"/>
        </w:rPr>
        <w:t>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22"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color w:val="auto"/>
        </w:rPr>
        <w:t>VOTING.</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Except as may be otherwise provided in the Certificate of Incorporation or these bylaws, each stockholder shall be entitled to one (1) vote for each share of capital stock held by such stockholder.</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all other elections and questions presented to the stockholders at a duly called or convened meeting at which a quorum is present shall be decided by the affirmative vote of the holders of a majority in voting power of the votes cast affirmatively or negatively (excluding abstentions and broker non votes) by the holders entitled to vote on such election or question.</w:t>
      </w:r>
    </w:p>
    <w:p>
      <w:pPr>
        <w:spacing w:after="0" w:line="139"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color w:val="auto"/>
        </w:rPr>
        <w:t>STOCKHOLDER ACTION BY WRITTEN CONSENT WITHOUT A MEETING.</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296" w:name="page297"/>
    <w:bookmarkEnd w:id="296"/>
    <w:p>
      <w:pPr>
        <w:ind w:left="900"/>
        <w:spacing w:after="0"/>
        <w:tabs>
          <w:tab w:leader="none" w:pos="14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color w:val="auto"/>
        </w:rPr>
        <w:t>RECORD DATE FOR STOCKHOLDER NOTICE; VOTING.</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may fix a new record date for determination of stockholders entitled to vote at the adjourned meeting, and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40"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color w:val="auto"/>
        </w:rPr>
        <w:t>PROXIES.</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11"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9"/>
          <w:szCs w:val="19"/>
          <w:color w:val="auto"/>
        </w:rPr>
        <w:t>LIST OF STOCKHOLDERS ENTITLED TO VOTE.</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officer who has charge of the stock ledger of the Corporation shall prepare and make, at least ten (10) days before every meeting of stockholders, a complete list of the stockholders entitled to vote at the meeting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information required to gain access to such list is provided with the notice of the meeting, or (b) during ordinary business hours, at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297" w:name="page298"/>
    <w:bookmarkEnd w:id="297"/>
    <w:p>
      <w:pPr>
        <w:jc w:val="both"/>
        <w:spacing w:after="0" w:line="273" w:lineRule="auto"/>
        <w:rPr>
          <w:sz w:val="20"/>
          <w:szCs w:val="20"/>
          <w:color w:val="auto"/>
        </w:rPr>
      </w:pPr>
      <w:r>
        <w:rPr>
          <w:rFonts w:ascii="Arial" w:cs="Arial" w:eastAsia="Arial" w:hAnsi="Arial"/>
          <w:sz w:val="18"/>
          <w:szCs w:val="18"/>
          <w:color w:val="auto"/>
        </w:rPr>
        <w:t>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spacing w:after="0" w:line="114"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9"/>
          <w:szCs w:val="19"/>
          <w:color w:val="auto"/>
        </w:rPr>
        <w:t>POSTPONEMENT AND CANCELLATION OF MEETING.</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previously scheduled annual or special meeting of the stockholders may be postponed, and any previously scheduled annual or special meeting of the stockholders may be canceled, by resolution of the Board upon public notice given prior to the time previously scheduled for such meeting.</w:t>
      </w:r>
    </w:p>
    <w:p>
      <w:pPr>
        <w:spacing w:after="0" w:line="132"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8"/>
          <w:szCs w:val="18"/>
          <w:color w:val="auto"/>
        </w:rPr>
        <w:t>INSPECTORS OF ELECTION.</w:t>
      </w:r>
    </w:p>
    <w:p>
      <w:pPr>
        <w:spacing w:after="0" w:line="1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Unless otherwise required by law, inspectors may be officers, employees or agents of the Corporation. Such inspectors shall have the duties prescribed by law and shall take charge of the polls and, when the vote is completed, shall make a certificate of the result of the vote taken and of such other facts as may be required by law. The inspectors of election shall perform their duties impartially, in good faith, to the best of their ability and as expeditiously as is practical. If there are three</w:t>
      </w:r>
    </w:p>
    <w:p>
      <w:pPr>
        <w:spacing w:after="0" w:line="2" w:lineRule="exact"/>
        <w:rPr>
          <w:sz w:val="20"/>
          <w:szCs w:val="20"/>
          <w:color w:val="auto"/>
        </w:rPr>
      </w:pPr>
    </w:p>
    <w:p>
      <w:pPr>
        <w:ind w:firstLine="8"/>
        <w:spacing w:after="0" w:line="244" w:lineRule="auto"/>
        <w:tabs>
          <w:tab w:leader="none" w:pos="288" w:val="left"/>
        </w:tabs>
        <w:numPr>
          <w:ilvl w:val="0"/>
          <w:numId w:val="203"/>
        </w:numPr>
        <w:rPr>
          <w:rFonts w:ascii="Arial" w:cs="Arial" w:eastAsia="Arial" w:hAnsi="Arial"/>
          <w:sz w:val="20"/>
          <w:szCs w:val="20"/>
          <w:color w:val="auto"/>
        </w:rPr>
      </w:pPr>
      <w:r>
        <w:rPr>
          <w:rFonts w:ascii="Arial" w:cs="Arial" w:eastAsia="Arial" w:hAnsi="Arial"/>
          <w:sz w:val="20"/>
          <w:szCs w:val="20"/>
          <w:color w:val="auto"/>
        </w:rPr>
        <w:t>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 - DIRECTORS</w:t>
      </w:r>
    </w:p>
    <w:p>
      <w:pPr>
        <w:spacing w:after="0" w:line="168"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POWERS.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the provisions of the DGCL and any limitations in the Certificate of Incorporation relating to action required to be approved by the stockholders or by the outstanding shares, the business and affairs of the Corporation shall be managed and all corporate powers shall be exercised by or under the direction of the Board.</w:t>
      </w:r>
    </w:p>
    <w:p>
      <w:pPr>
        <w:spacing w:after="0" w:line="13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NUMBER OF DIRECTORS.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298" w:name="page299"/>
    <w:bookmarkEnd w:id="298"/>
    <w:p>
      <w:pPr>
        <w:ind w:left="900"/>
        <w:spacing w:after="0"/>
        <w:tabs>
          <w:tab w:leader="none" w:pos="13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ELECTION, QUALIFICATION AND TERM OF OFFICE OF DIRECTORS.</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Except as provided in Section 3.4 of these bylaws, each director, including, without limitation, a director elected to fill a vacancy or newly created directorships, shall hold office until the expiration of the term of the class, if any,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so provided in the Certificate of Incorporation, the directors of the Corporation shall be divided into three (3) classes.</w:t>
      </w:r>
    </w:p>
    <w:p>
      <w:pPr>
        <w:spacing w:after="0" w:line="16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color w:val="auto"/>
        </w:rPr>
        <w:t>RESIGNATION AND VACANCIES.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Any director may resign at any time upon notice given in writing or by electronic transmission to the Corporation at its principal office or to the chairperson of the Board, the chief executive officer, the president or the secretary. The registration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3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class, if any,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spacing w:after="0" w:line="139"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9"/>
          <w:szCs w:val="19"/>
          <w:color w:val="auto"/>
        </w:rPr>
        <w:t>PLACE OF MEETINGS; MEETINGS BY TELEPHONE.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Board may hold meetings, both regular and special, either within or outside the State of Delaware.</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37"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9"/>
          <w:szCs w:val="19"/>
          <w:color w:val="auto"/>
        </w:rPr>
        <w:t>REGULAR MEETINGS.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Regular meetings of the Board may be held without notice at such time and at such place as shall from time to time be determined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director who is absent when such determination is made shall be given notice of the determination. A regular meeting of the Board may be held without notice immediately after and at the same place as the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299" w:name="page300"/>
    <w:bookmarkEnd w:id="299"/>
    <w:p>
      <w:pPr>
        <w:ind w:left="900"/>
        <w:spacing w:after="0"/>
        <w:tabs>
          <w:tab w:leader="none" w:pos="132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9"/>
          <w:szCs w:val="19"/>
          <w:color w:val="auto"/>
        </w:rPr>
        <w:t>SPECIAL MEETINGS; NOTICE.</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Special meetings of the Board for any purpose or purposes may be called at any time by the chairperson of the Board, the chief executive officer, the president, the secretary or a majority of the authorized number of directors.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Notice of the time and place of special meetings shall be:</w:t>
      </w:r>
    </w:p>
    <w:p>
      <w:pPr>
        <w:spacing w:after="0" w:line="162" w:lineRule="exact"/>
        <w:rPr>
          <w:sz w:val="20"/>
          <w:szCs w:val="20"/>
          <w:color w:val="auto"/>
        </w:rPr>
      </w:pPr>
    </w:p>
    <w:p>
      <w:pPr>
        <w:ind w:left="1720" w:hanging="416"/>
        <w:spacing w:after="0"/>
        <w:tabs>
          <w:tab w:leader="none" w:pos="172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delivered personally by hand, by courier or by telephone;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sent by United States first-class mail, postage prepaid;</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sent by facsimile or electronic mail; or</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sent by other means of electronic transmission,</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directed to each director at that director’s address, telephone number, facsimile number or electronic mail address, or other address for electronic transmission, as the case may be, as shown on the Corporation’s records.</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the notice is (a) delivered personally by hand, by courier or by telephone, (b) sent by facsimile or (c) sent by electronic mail,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4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9"/>
          <w:szCs w:val="19"/>
          <w:color w:val="auto"/>
        </w:rPr>
        <w:t>QUORUM.</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greater of (a) a majority of the directors at any time in office and (b) 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11"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9"/>
          <w:szCs w:val="19"/>
          <w:color w:val="auto"/>
        </w:rPr>
        <w:t>BOARD ACTION BY CONSENT WITHOUT A MEETING.</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40"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8"/>
          <w:szCs w:val="18"/>
          <w:color w:val="auto"/>
        </w:rPr>
        <w:t>FEES AND COMPENSATION OF DIRECTORS.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restricted by the Certificate of Incorporation or these bylaws, the Board shall have the authority to fix the compensation, including fees and reimbursement of expenses,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300" w:name="page301"/>
    <w:bookmarkEnd w:id="300"/>
    <w:p>
      <w:pPr>
        <w:ind w:left="900"/>
        <w:spacing w:after="0"/>
        <w:tabs>
          <w:tab w:leader="none" w:pos="142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color w:val="auto"/>
        </w:rPr>
        <w:t>REMOVAL OF DIRECTORS.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the rights of the holders of the shares of any series of Preferred Stock, the Board or any individual director may be removed from office only for cause and only by the affirmative vote of the holders of at least two-thirds in voting power of the outstanding shares of capital stock of the Corporation entitled to vote thereon.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 - COMMITTEES</w:t>
      </w:r>
    </w:p>
    <w:p>
      <w:pPr>
        <w:spacing w:after="0" w:line="168"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COMMITTEES OF DIRECTORS.</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w:t>
      </w:r>
    </w:p>
    <w:p>
      <w:pPr>
        <w:spacing w:after="0" w:line="12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COMMITTEE MINUTES.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committee shall keep regular minutes of its meetings and report the same to the Board when required.</w:t>
      </w:r>
    </w:p>
    <w:p>
      <w:pPr>
        <w:spacing w:after="0" w:line="16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color w:val="auto"/>
        </w:rPr>
        <w:t>MEETINGS AND ACTION OF COMMITTEES.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Meetings and actions of committees shall be governed by, and held and taken in accordance with, the provisions of:</w:t>
      </w:r>
    </w:p>
    <w:p>
      <w:pPr>
        <w:spacing w:after="0" w:line="162" w:lineRule="exact"/>
        <w:rPr>
          <w:sz w:val="20"/>
          <w:szCs w:val="20"/>
          <w:color w:val="auto"/>
        </w:rPr>
      </w:pPr>
    </w:p>
    <w:p>
      <w:pPr>
        <w:ind w:left="1720" w:hanging="416"/>
        <w:spacing w:after="0"/>
        <w:tabs>
          <w:tab w:leader="none" w:pos="172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Section 3.5 of these bylaws (place of meetings and meetings by telephone);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Section 3.6 of these bylaws (regular meetings);</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Section 3.7 of these bylaws (special meetings and notice);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Section 3.8 of these bylaws (quorum);</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Section 3.9 of these bylaws (action without a meeting); and</w:t>
      </w:r>
    </w:p>
    <w:p>
      <w:pPr>
        <w:spacing w:after="0" w:line="161" w:lineRule="exact"/>
        <w:rPr>
          <w:rFonts w:ascii="Arial" w:cs="Arial" w:eastAsia="Arial" w:hAnsi="Arial"/>
          <w:sz w:val="20"/>
          <w:szCs w:val="20"/>
          <w:color w:val="auto"/>
        </w:rPr>
      </w:pPr>
    </w:p>
    <w:p>
      <w:pPr>
        <w:ind w:left="1700" w:hanging="396"/>
        <w:spacing w:after="0"/>
        <w:tabs>
          <w:tab w:leader="none" w:pos="170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Section 7.12 of these bylaws (waiver of notice),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with such changes in the context of those bylaws as are necessary to substitute the committee and its members for the Board and its members.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However</w:t>
      </w:r>
      <w:r>
        <w:rPr>
          <w:rFonts w:ascii="Arial" w:cs="Arial" w:eastAsia="Arial" w:hAnsi="Arial"/>
          <w:sz w:val="20"/>
          <w:szCs w:val="20"/>
          <w:color w:val="auto"/>
        </w:rPr>
        <w:t>:</w:t>
      </w:r>
    </w:p>
    <w:p>
      <w:pPr>
        <w:spacing w:after="0" w:line="146" w:lineRule="exact"/>
        <w:rPr>
          <w:sz w:val="20"/>
          <w:szCs w:val="20"/>
          <w:color w:val="auto"/>
        </w:rPr>
      </w:pPr>
    </w:p>
    <w:p>
      <w:pPr>
        <w:ind w:left="1300" w:firstLine="652"/>
        <w:spacing w:after="0" w:line="260" w:lineRule="auto"/>
        <w:tabs>
          <w:tab w:leader="none" w:pos="2333" w:val="left"/>
        </w:tabs>
        <w:numPr>
          <w:ilvl w:val="0"/>
          <w:numId w:val="206"/>
        </w:numPr>
        <w:rPr>
          <w:rFonts w:ascii="Arial" w:cs="Arial" w:eastAsia="Arial" w:hAnsi="Arial"/>
          <w:sz w:val="20"/>
          <w:szCs w:val="20"/>
          <w:color w:val="auto"/>
        </w:rPr>
      </w:pPr>
      <w:r>
        <w:rPr>
          <w:rFonts w:ascii="Arial" w:cs="Arial" w:eastAsia="Arial" w:hAnsi="Arial"/>
          <w:sz w:val="20"/>
          <w:szCs w:val="20"/>
          <w:color w:val="auto"/>
        </w:rPr>
        <w:t>the time of regular meetings of committees may be determined either by resolution of the Board or by resolution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301" w:name="page302"/>
    <w:bookmarkEnd w:id="301"/>
    <w:p>
      <w:pPr>
        <w:ind w:left="1300" w:firstLine="652"/>
        <w:spacing w:after="0" w:line="260" w:lineRule="auto"/>
        <w:tabs>
          <w:tab w:leader="none" w:pos="252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special meetings of committees may also be called by resolution of the Board or the chairperson of the applicable committee; and</w:t>
      </w:r>
    </w:p>
    <w:p>
      <w:pPr>
        <w:spacing w:after="0" w:line="122" w:lineRule="exact"/>
        <w:rPr>
          <w:rFonts w:ascii="Arial" w:cs="Arial" w:eastAsia="Arial" w:hAnsi="Arial"/>
          <w:sz w:val="20"/>
          <w:szCs w:val="20"/>
          <w:color w:val="auto"/>
        </w:rPr>
      </w:pPr>
    </w:p>
    <w:p>
      <w:pPr>
        <w:jc w:val="both"/>
        <w:ind w:left="1300" w:firstLine="652"/>
        <w:spacing w:after="0" w:line="250" w:lineRule="auto"/>
        <w:tabs>
          <w:tab w:leader="none" w:pos="259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 - OFFICERS</w:t>
      </w:r>
    </w:p>
    <w:p>
      <w:pPr>
        <w:spacing w:after="0" w:line="168"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color w:val="auto"/>
        </w:rPr>
        <w:t>OFFICERS.</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officers of the Corporation shall include a president and a secretary. The Corporation may also have, at the discretion of the Board, a chairperson of the Board, a vice chairperson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4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APPOINTMENT OF OFFICERS.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Board shall appoint the officers of the Corporation, except such officers as may be appointed in accordance with the provisions of Section 5.3 of these bylaws, subject to the rights, if any, of an officer under any contract of employment.</w:t>
      </w:r>
    </w:p>
    <w:p>
      <w:pPr>
        <w:spacing w:after="0" w:line="123"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color w:val="auto"/>
        </w:rPr>
        <w:t>SUBORDINATE OFFICERS.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98"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color w:val="auto"/>
        </w:rPr>
        <w:t>REMOVAL AND RESIGNATION OF OFFICERS.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37"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color w:val="auto"/>
        </w:rPr>
        <w:t>VACANCIES IN OFFICES.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or as provided in Section 5.3 of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302" w:name="page303"/>
    <w:bookmarkEnd w:id="302"/>
    <w:p>
      <w:pPr>
        <w:ind w:left="900"/>
        <w:spacing w:after="0"/>
        <w:tabs>
          <w:tab w:leader="none" w:pos="13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color w:val="auto"/>
        </w:rPr>
        <w:t>REPRESENTATION OF SHARES OF OTHER CORPORATIONS.</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chairperson of the Board, the chief executive officer, the president, any vice president, the treasurer, the secretary or assistant secretary of this Corporation, or any other person authorized by the Board or the chief executive officer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11"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9"/>
          <w:szCs w:val="19"/>
          <w:color w:val="auto"/>
        </w:rPr>
        <w:t>AUTHORITY AND DUTIES OF OFFICERS.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126" w:lineRule="exact"/>
        <w:rPr>
          <w:sz w:val="20"/>
          <w:szCs w:val="20"/>
          <w:color w:val="auto"/>
        </w:rPr>
      </w:pPr>
    </w:p>
    <w:p>
      <w:pPr>
        <w:ind w:left="900" w:right="3740" w:firstLine="2849"/>
        <w:spacing w:after="0" w:line="411" w:lineRule="auto"/>
        <w:rPr>
          <w:sz w:val="20"/>
          <w:szCs w:val="20"/>
          <w:color w:val="auto"/>
        </w:rPr>
      </w:pPr>
      <w:r>
        <w:rPr>
          <w:rFonts w:ascii="Arial" w:cs="Arial" w:eastAsia="Arial" w:hAnsi="Arial"/>
          <w:sz w:val="20"/>
          <w:szCs w:val="20"/>
          <w:b w:val="1"/>
          <w:bCs w:val="1"/>
          <w:color w:val="auto"/>
        </w:rPr>
        <w:t xml:space="preserve">ARTICLE VI - RECORDS AND REPORTS </w:t>
      </w:r>
      <w:r>
        <w:rPr>
          <w:rFonts w:ascii="Arial" w:cs="Arial" w:eastAsia="Arial" w:hAnsi="Arial"/>
          <w:sz w:val="20"/>
          <w:szCs w:val="20"/>
          <w:color w:val="auto"/>
        </w:rPr>
        <w:t>6.1 MAINTENANCE OF RECORDS.</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26" w:lineRule="exact"/>
        <w:rPr>
          <w:sz w:val="20"/>
          <w:szCs w:val="20"/>
          <w:color w:val="auto"/>
        </w:rPr>
      </w:pPr>
    </w:p>
    <w:p>
      <w:pPr>
        <w:ind w:left="900" w:right="3920" w:firstLine="3026"/>
        <w:spacing w:after="0" w:line="433" w:lineRule="auto"/>
        <w:rPr>
          <w:sz w:val="20"/>
          <w:szCs w:val="20"/>
          <w:color w:val="auto"/>
        </w:rPr>
      </w:pPr>
      <w:r>
        <w:rPr>
          <w:rFonts w:ascii="Arial" w:cs="Arial" w:eastAsia="Arial" w:hAnsi="Arial"/>
          <w:sz w:val="19"/>
          <w:szCs w:val="19"/>
          <w:b w:val="1"/>
          <w:bCs w:val="1"/>
          <w:color w:val="auto"/>
        </w:rPr>
        <w:t xml:space="preserve">ARTICLE VII - GENERAL MATTERS </w:t>
      </w:r>
      <w:r>
        <w:rPr>
          <w:rFonts w:ascii="Arial" w:cs="Arial" w:eastAsia="Arial" w:hAnsi="Arial"/>
          <w:sz w:val="19"/>
          <w:szCs w:val="19"/>
          <w:color w:val="auto"/>
        </w:rPr>
        <w:t>7.1 EXECUTION OF CORPORATE CONTRACTS AND INSTRUMENTS.</w:t>
      </w:r>
    </w:p>
    <w:p>
      <w:pPr>
        <w:spacing w:after="0" w:line="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color w:val="auto"/>
        </w:rPr>
        <w:t>CERTIFICATED AND UNCERTIFICATED STOCK; PARTLY PAID SHARES.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shares of the Corporation shall be represented by certificates or shall be uncertificated. The Corporation may adopt a system of issuance, recordation and transfer of its shares of stock by electronic or other means not involving the issuance of certificates, provided the use of such system by the Corporation is permitted in accordance with applicable law. Certificates for the shares of stock, if any, shall be in such form as is consistent with the Certificate of Incorporation and applicable law. Every holder of stock represented by a certificate shall be entitled to have a certificate signed by, or in the name of the Corporation by the chairperson or vice-chairperson of the Board, or the president or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303" w:name="page304"/>
    <w:bookmarkEnd w:id="303"/>
    <w:p>
      <w:pPr>
        <w:jc w:val="both"/>
        <w:ind w:firstLine="648"/>
        <w:spacing w:after="0" w:line="278"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11"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SPECIAL DESIGNATION ON CERTIFICATES.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14"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color w:val="auto"/>
        </w:rPr>
        <w:t>LOST CERTIFICATES.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24"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9"/>
          <w:szCs w:val="19"/>
          <w:color w:val="auto"/>
        </w:rPr>
        <w:t>CONSTRUCTION; DEFINITIONS.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3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9"/>
          <w:szCs w:val="19"/>
          <w:color w:val="auto"/>
        </w:rPr>
        <w:t>DIVIDENDS.</w:t>
      </w:r>
    </w:p>
    <w:p>
      <w:pPr>
        <w:spacing w:after="0" w:line="1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304" w:name="page305"/>
    <w:bookmarkEnd w:id="304"/>
    <w:p>
      <w:pPr>
        <w:ind w:left="900"/>
        <w:spacing w:after="0"/>
        <w:tabs>
          <w:tab w:leader="none" w:pos="132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9"/>
          <w:szCs w:val="19"/>
          <w:color w:val="auto"/>
        </w:rPr>
        <w:t>FISCAL YEAR.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fiscal year of the Corporation shall be fixed by resolution of the Board and may be changed by the Board.</w:t>
      </w:r>
    </w:p>
    <w:p>
      <w:pPr>
        <w:spacing w:after="0" w:line="16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9"/>
          <w:szCs w:val="19"/>
          <w:color w:val="auto"/>
        </w:rPr>
        <w:t>SEAL.</w:t>
      </w:r>
    </w:p>
    <w:p>
      <w:pPr>
        <w:spacing w:after="0" w:line="16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76"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8"/>
          <w:szCs w:val="18"/>
          <w:color w:val="auto"/>
        </w:rPr>
        <w:t>TRANSFER OF STOCK.</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14"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8"/>
          <w:szCs w:val="18"/>
          <w:color w:val="auto"/>
        </w:rPr>
        <w:t>STOCK TRANSFER AGREEMENTS.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32"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8"/>
          <w:szCs w:val="18"/>
          <w:color w:val="auto"/>
        </w:rPr>
        <w:t>REGISTERED STOCKHOLDERS.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Corporation:</w:t>
      </w:r>
    </w:p>
    <w:p>
      <w:pPr>
        <w:spacing w:after="0" w:line="162" w:lineRule="exact"/>
        <w:rPr>
          <w:sz w:val="20"/>
          <w:szCs w:val="20"/>
          <w:color w:val="auto"/>
        </w:rPr>
      </w:pPr>
    </w:p>
    <w:p>
      <w:pPr>
        <w:ind w:firstLine="1304"/>
        <w:spacing w:after="0" w:line="260" w:lineRule="auto"/>
        <w:tabs>
          <w:tab w:leader="none" w:pos="1767" w:val="left"/>
        </w:tabs>
        <w:numPr>
          <w:ilvl w:val="0"/>
          <w:numId w:val="208"/>
        </w:numPr>
        <w:rPr>
          <w:rFonts w:ascii="Arial" w:cs="Arial" w:eastAsia="Arial" w:hAnsi="Arial"/>
          <w:sz w:val="20"/>
          <w:szCs w:val="20"/>
          <w:color w:val="auto"/>
        </w:rPr>
      </w:pPr>
      <w:r>
        <w:rPr>
          <w:rFonts w:ascii="Arial" w:cs="Arial" w:eastAsia="Arial" w:hAnsi="Arial"/>
          <w:sz w:val="20"/>
          <w:szCs w:val="20"/>
          <w:color w:val="auto"/>
        </w:rPr>
        <w:t>shall be entitled to recognize the exclusive right of a person registered on its books as the owner of shares to receive dividends and to vote as such owner;</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184" w:lineRule="exact"/>
        <w:rPr>
          <w:rFonts w:ascii="Arial" w:cs="Arial" w:eastAsia="Arial" w:hAnsi="Arial"/>
          <w:sz w:val="18"/>
          <w:szCs w:val="18"/>
          <w:color w:val="auto"/>
        </w:rPr>
      </w:pPr>
    </w:p>
    <w:p>
      <w:pPr>
        <w:ind w:firstLine="1304"/>
        <w:spacing w:after="0" w:line="287" w:lineRule="auto"/>
        <w:tabs>
          <w:tab w:leader="none" w:pos="1731" w:val="left"/>
        </w:tabs>
        <w:numPr>
          <w:ilvl w:val="0"/>
          <w:numId w:val="208"/>
        </w:numPr>
        <w:rPr>
          <w:rFonts w:ascii="Arial" w:cs="Arial" w:eastAsia="Arial" w:hAnsi="Arial"/>
          <w:sz w:val="19"/>
          <w:szCs w:val="19"/>
          <w:color w:val="auto"/>
        </w:rPr>
      </w:pPr>
      <w:r>
        <w:rPr>
          <w:rFonts w:ascii="Arial" w:cs="Arial" w:eastAsia="Arial" w:hAnsi="Arial"/>
          <w:sz w:val="19"/>
          <w:szCs w:val="19"/>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98"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9"/>
          <w:szCs w:val="19"/>
          <w:color w:val="auto"/>
        </w:rPr>
        <w:t>WAIVER OF NOTICE.</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305" w:name="page306"/>
    <w:bookmarkEnd w:id="305"/>
    <w:p>
      <w:pPr>
        <w:jc w:val="both"/>
        <w:spacing w:after="0" w:line="250" w:lineRule="auto"/>
        <w:rPr>
          <w:sz w:val="20"/>
          <w:szCs w:val="20"/>
          <w:color w:val="auto"/>
        </w:rPr>
      </w:pPr>
      <w:r>
        <w:rPr>
          <w:rFonts w:ascii="Arial" w:cs="Arial" w:eastAsia="Arial" w:hAnsi="Arial"/>
          <w:sz w:val="20"/>
          <w:szCs w:val="20"/>
          <w:color w:val="auto"/>
        </w:rPr>
        <w:t>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26" w:lineRule="exact"/>
        <w:rPr>
          <w:sz w:val="20"/>
          <w:szCs w:val="20"/>
          <w:color w:val="auto"/>
        </w:rPr>
      </w:pPr>
    </w:p>
    <w:p>
      <w:pPr>
        <w:ind w:left="900" w:right="2840" w:firstLine="1952"/>
        <w:spacing w:after="0" w:line="411" w:lineRule="auto"/>
        <w:rPr>
          <w:sz w:val="20"/>
          <w:szCs w:val="20"/>
          <w:color w:val="auto"/>
        </w:rPr>
      </w:pPr>
      <w:r>
        <w:rPr>
          <w:rFonts w:ascii="Arial" w:cs="Arial" w:eastAsia="Arial" w:hAnsi="Arial"/>
          <w:sz w:val="20"/>
          <w:szCs w:val="20"/>
          <w:b w:val="1"/>
          <w:bCs w:val="1"/>
          <w:color w:val="auto"/>
        </w:rPr>
        <w:t xml:space="preserve">ARTICLE VIII - NOTICE BY ELECTRONIC TRANSMISSION </w:t>
      </w:r>
      <w:r>
        <w:rPr>
          <w:rFonts w:ascii="Arial" w:cs="Arial" w:eastAsia="Arial" w:hAnsi="Arial"/>
          <w:sz w:val="20"/>
          <w:szCs w:val="20"/>
          <w:color w:val="auto"/>
        </w:rPr>
        <w:t>8.1 NOTICE BY ELECTRONIC TRANSMISSION.</w:t>
      </w:r>
    </w:p>
    <w:p>
      <w:pPr>
        <w:spacing w:after="0" w:line="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40" w:lineRule="exact"/>
        <w:rPr>
          <w:sz w:val="20"/>
          <w:szCs w:val="20"/>
          <w:color w:val="auto"/>
        </w:rPr>
      </w:pPr>
    </w:p>
    <w:p>
      <w:pPr>
        <w:ind w:firstLine="1304"/>
        <w:spacing w:after="0" w:line="260" w:lineRule="auto"/>
        <w:tabs>
          <w:tab w:leader="none" w:pos="1737" w:val="left"/>
        </w:tabs>
        <w:numPr>
          <w:ilvl w:val="0"/>
          <w:numId w:val="209"/>
        </w:numPr>
        <w:rPr>
          <w:rFonts w:ascii="Arial" w:cs="Arial" w:eastAsia="Arial" w:hAnsi="Arial"/>
          <w:sz w:val="20"/>
          <w:szCs w:val="20"/>
          <w:color w:val="auto"/>
        </w:rPr>
      </w:pPr>
      <w:r>
        <w:rPr>
          <w:rFonts w:ascii="Arial" w:cs="Arial" w:eastAsia="Arial" w:hAnsi="Arial"/>
          <w:sz w:val="20"/>
          <w:szCs w:val="20"/>
          <w:color w:val="auto"/>
        </w:rPr>
        <w:t>the Corporation is unable to deliver by electronic transmission two (2) consecutive notices given by the Corporation in accordance with such consent; and</w:t>
      </w:r>
    </w:p>
    <w:p>
      <w:pPr>
        <w:spacing w:after="0" w:line="122" w:lineRule="exact"/>
        <w:rPr>
          <w:rFonts w:ascii="Arial" w:cs="Arial" w:eastAsia="Arial" w:hAnsi="Arial"/>
          <w:sz w:val="20"/>
          <w:szCs w:val="20"/>
          <w:color w:val="auto"/>
        </w:rPr>
      </w:pPr>
    </w:p>
    <w:p>
      <w:pPr>
        <w:ind w:firstLine="1304"/>
        <w:spacing w:after="0" w:line="260" w:lineRule="auto"/>
        <w:tabs>
          <w:tab w:leader="none" w:pos="1776" w:val="left"/>
        </w:tabs>
        <w:numPr>
          <w:ilvl w:val="0"/>
          <w:numId w:val="209"/>
        </w:numPr>
        <w:rPr>
          <w:rFonts w:ascii="Arial" w:cs="Arial" w:eastAsia="Arial" w:hAnsi="Arial"/>
          <w:sz w:val="20"/>
          <w:szCs w:val="20"/>
          <w:color w:val="auto"/>
        </w:rPr>
      </w:pPr>
      <w:r>
        <w:rPr>
          <w:rFonts w:ascii="Arial" w:cs="Arial" w:eastAsia="Arial" w:hAnsi="Arial"/>
          <w:sz w:val="20"/>
          <w:szCs w:val="20"/>
          <w:color w:val="auto"/>
        </w:rPr>
        <w:t>such inability becomes known to the secretary or an assistant secretary of the Corporation or to the transfer agent, or other person responsible for the giving of notice.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However, the inadvertent failure to treat such inability as a revocation shall not invalidate any meeting or other action.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notice given pursuant to the preceding paragraph shall be deemed given:</w:t>
      </w:r>
    </w:p>
    <w:p>
      <w:pPr>
        <w:spacing w:after="0" w:line="162" w:lineRule="exact"/>
        <w:rPr>
          <w:sz w:val="20"/>
          <w:szCs w:val="20"/>
          <w:color w:val="auto"/>
        </w:rPr>
      </w:pPr>
    </w:p>
    <w:p>
      <w:pPr>
        <w:ind w:left="1720" w:hanging="416"/>
        <w:spacing w:after="0"/>
        <w:tabs>
          <w:tab w:leader="none" w:pos="17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84" w:lineRule="exact"/>
        <w:rPr>
          <w:rFonts w:ascii="Arial" w:cs="Arial" w:eastAsia="Arial" w:hAnsi="Arial"/>
          <w:sz w:val="18"/>
          <w:szCs w:val="18"/>
          <w:color w:val="auto"/>
        </w:rPr>
      </w:pPr>
    </w:p>
    <w:p>
      <w:pPr>
        <w:ind w:left="1960" w:hanging="656"/>
        <w:spacing w:after="0" w:line="260" w:lineRule="auto"/>
        <w:tabs>
          <w:tab w:leader="none" w:pos="1814" w:val="left"/>
        </w:tabs>
        <w:numPr>
          <w:ilvl w:val="0"/>
          <w:numId w:val="210"/>
        </w:numPr>
        <w:rPr>
          <w:rFonts w:ascii="Arial" w:cs="Arial" w:eastAsia="Arial" w:hAnsi="Arial"/>
          <w:sz w:val="20"/>
          <w:szCs w:val="20"/>
          <w:color w:val="auto"/>
        </w:rPr>
      </w:pPr>
      <w:r>
        <w:rPr>
          <w:rFonts w:ascii="Arial" w:cs="Arial" w:eastAsia="Arial" w:hAnsi="Arial"/>
          <w:sz w:val="20"/>
          <w:szCs w:val="20"/>
          <w:color w:val="auto"/>
        </w:rPr>
        <w:t>if by electronic mail, when directed to an electronic mail address at which the stockholder has consented to receive notice;</w:t>
      </w:r>
    </w:p>
    <w:p>
      <w:pPr>
        <w:spacing w:after="0" w:line="122" w:lineRule="exact"/>
        <w:rPr>
          <w:rFonts w:ascii="Arial" w:cs="Arial" w:eastAsia="Arial" w:hAnsi="Arial"/>
          <w:sz w:val="20"/>
          <w:szCs w:val="20"/>
          <w:color w:val="auto"/>
        </w:rPr>
      </w:pPr>
    </w:p>
    <w:p>
      <w:pPr>
        <w:ind w:left="1960" w:hanging="656"/>
        <w:spacing w:after="0" w:line="260" w:lineRule="auto"/>
        <w:tabs>
          <w:tab w:leader="none" w:pos="1755" w:val="left"/>
        </w:tabs>
        <w:numPr>
          <w:ilvl w:val="0"/>
          <w:numId w:val="210"/>
        </w:numPr>
        <w:rPr>
          <w:rFonts w:ascii="Arial" w:cs="Arial" w:eastAsia="Arial" w:hAnsi="Arial"/>
          <w:sz w:val="20"/>
          <w:szCs w:val="20"/>
          <w:color w:val="auto"/>
        </w:rPr>
      </w:pPr>
      <w:r>
        <w:rPr>
          <w:rFonts w:ascii="Arial" w:cs="Arial" w:eastAsia="Arial" w:hAnsi="Arial"/>
          <w:sz w:val="20"/>
          <w:szCs w:val="20"/>
          <w:color w:val="auto"/>
        </w:rPr>
        <w:t>if by a posting on an electronic network together with separate notice to the stockholder of such specific posting, upon the later of (i) such posting and (ii) the giving of such separate notice; and</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if by any other form of electronic transmission, when directed to the stockholder.</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3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DEFINITION OF ELECTRONIC TRANSMISSION.</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For the purposes of these bylaws,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306" w:name="page307"/>
    <w:bookmarkEnd w:id="306"/>
    <w:p>
      <w:pPr>
        <w:ind w:left="900" w:right="4020" w:firstLine="3123"/>
        <w:spacing w:after="0" w:line="411" w:lineRule="auto"/>
        <w:rPr>
          <w:sz w:val="20"/>
          <w:szCs w:val="20"/>
          <w:color w:val="auto"/>
        </w:rPr>
      </w:pPr>
      <w:r>
        <w:rPr>
          <w:rFonts w:ascii="Arial" w:cs="Arial" w:eastAsia="Arial" w:hAnsi="Arial"/>
          <w:sz w:val="20"/>
          <w:szCs w:val="20"/>
          <w:b w:val="1"/>
          <w:bCs w:val="1"/>
          <w:color w:val="auto"/>
        </w:rPr>
        <w:t xml:space="preserve">ARTICLE IX - INDEMNIFICATION </w:t>
      </w:r>
      <w:r>
        <w:rPr>
          <w:rFonts w:ascii="Arial" w:cs="Arial" w:eastAsia="Arial" w:hAnsi="Arial"/>
          <w:sz w:val="20"/>
          <w:szCs w:val="20"/>
          <w:color w:val="auto"/>
        </w:rPr>
        <w:t>9.1 INDEMNIFICATION OF DIRECTORS AND OFFICERS.</w:t>
      </w:r>
    </w:p>
    <w:p>
      <w:pPr>
        <w:spacing w:after="0" w:line="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12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color w:val="auto"/>
        </w:rPr>
        <w:t>INDEMNIFICATION OF OTHERS.</w:t>
      </w:r>
    </w:p>
    <w:p>
      <w:pPr>
        <w:spacing w:after="0" w:line="1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86"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color w:val="auto"/>
        </w:rPr>
        <w:t>PREPAYMENT OF EXPENSES.</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The Corporation shall to the fullest extent not prohibited by applicable law pay the expenses (including attorneys’ fees) incurred by any officer or director of the Corporation, and may pay the expenses incurred by any employee or agent of the Corporation, in defending any Proceeding in advance of its final disposition;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11"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9"/>
          <w:szCs w:val="19"/>
          <w:color w:val="auto"/>
        </w:rPr>
        <w:t>DETERMINATION; CLAIM.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claim for indemnification (following the final disposition of such Proceeding) under this Article IX is not paid in full within sixty</w:t>
      </w:r>
    </w:p>
    <w:p>
      <w:pPr>
        <w:spacing w:after="0" w:line="39" w:lineRule="exact"/>
        <w:rPr>
          <w:sz w:val="20"/>
          <w:szCs w:val="20"/>
          <w:color w:val="auto"/>
        </w:rPr>
      </w:pPr>
    </w:p>
    <w:p>
      <w:pPr>
        <w:jc w:val="both"/>
        <w:ind w:firstLine="8"/>
        <w:spacing w:after="0"/>
        <w:tabs>
          <w:tab w:leader="none" w:pos="404" w:val="left"/>
        </w:tabs>
        <w:numPr>
          <w:ilvl w:val="0"/>
          <w:numId w:val="211"/>
        </w:numPr>
        <w:rPr>
          <w:rFonts w:ascii="Arial" w:cs="Arial" w:eastAsia="Arial" w:hAnsi="Arial"/>
          <w:sz w:val="20"/>
          <w:szCs w:val="20"/>
          <w:color w:val="auto"/>
        </w:rPr>
      </w:pPr>
      <w:r>
        <w:rPr>
          <w:rFonts w:ascii="Arial" w:cs="Arial" w:eastAsia="Arial" w:hAnsi="Arial"/>
          <w:sz w:val="20"/>
          <w:szCs w:val="20"/>
          <w:color w:val="auto"/>
        </w:rPr>
        <w:t>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3" w:right="339" w:bottom="1440" w:gutter="0" w:footer="0" w:header="0"/>
        </w:sectPr>
      </w:pPr>
    </w:p>
    <w:bookmarkStart w:id="307" w:name="page308"/>
    <w:bookmarkEnd w:id="307"/>
    <w:p>
      <w:pPr>
        <w:ind w:left="900"/>
        <w:spacing w:after="0"/>
        <w:tabs>
          <w:tab w:leader="none" w:pos="132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9"/>
          <w:szCs w:val="19"/>
          <w:color w:val="auto"/>
        </w:rPr>
        <w:t>NON-EXCLUSIVITY OF RIGHTS.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32"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9"/>
          <w:szCs w:val="19"/>
          <w:color w:val="auto"/>
        </w:rPr>
        <w:t>INSURANCE.</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4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9"/>
          <w:szCs w:val="19"/>
          <w:color w:val="auto"/>
        </w:rPr>
        <w:t>OTHER INDEMNIFICATION.</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37"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9"/>
          <w:szCs w:val="19"/>
          <w:color w:val="auto"/>
        </w:rPr>
        <w:t>AMENDMENT OR REPEAL; INTERPRETATION.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Any reference to an officer of the Corporation in this Article IX shall be deemed to refer exclusively to the chairperson of the Board, a vice chairperson of the Board, a chief executive officer, a chief financial officer, a treasurer appointed pursuant to Article V of these bylaws, and to any vice president, assistant secretary, assistant treasurer,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308" w:name="page309"/>
    <w:bookmarkEnd w:id="308"/>
    <w:p>
      <w:pPr>
        <w:jc w:val="both"/>
        <w:spacing w:after="0" w:line="276" w:lineRule="auto"/>
        <w:rPr>
          <w:sz w:val="20"/>
          <w:szCs w:val="20"/>
          <w:color w:val="auto"/>
        </w:rPr>
      </w:pPr>
      <w:r>
        <w:rPr>
          <w:rFonts w:ascii="Arial" w:cs="Arial" w:eastAsia="Arial" w:hAnsi="Arial"/>
          <w:sz w:val="18"/>
          <w:szCs w:val="18"/>
          <w:color w:val="auto"/>
        </w:rPr>
        <w:t>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111"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9"/>
          <w:szCs w:val="19"/>
          <w:color w:val="auto"/>
        </w:rPr>
        <w:t>DEFINITIONS.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Terms used in this Article IX and defined in Section 145(h) and Section 145(i) of the DGCL shall have the respective meanings assigned to such terms in such Section 145(h) and Section 145(i).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 - AMENDMENTS</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The Board is expressly empowered to adopt, amend or repeal the bylaws of the Corporation. The stockholders also shall have power to adopt, amend or repeal the bylaws of the Corporation;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addition to any vote of the holders of any class or series of stock of the Corporation required by law or by the Certificate of Incorporation, such action by stockholders shall require the affirmative vote of the holders of at least two-thirds (2/3) in voting power of the outstanding shares of capital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309" w:name="page310"/>
    <w:bookmarkEnd w:id="309"/>
    <w:p>
      <w:pPr>
        <w:jc w:val="center"/>
        <w:ind w:right="-19"/>
        <w:spacing w:after="0"/>
        <w:rPr>
          <w:sz w:val="20"/>
          <w:szCs w:val="20"/>
          <w:color w:val="auto"/>
        </w:rPr>
      </w:pPr>
      <w:r>
        <w:rPr>
          <w:rFonts w:ascii="Arial" w:cs="Arial" w:eastAsia="Arial" w:hAnsi="Arial"/>
          <w:sz w:val="20"/>
          <w:szCs w:val="20"/>
          <w:b w:val="1"/>
          <w:bCs w:val="1"/>
          <w:color w:val="auto"/>
        </w:rPr>
        <w:t>PROCEPT BioRobotics Corporation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Certificate of Amendment and Restatement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151130</wp:posOffset>
            </wp:positionV>
            <wp:extent cx="27343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273431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177165</wp:posOffset>
            </wp:positionV>
            <wp:extent cx="27343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certifies that he is the duly elected, qualified, and acting Secretary of PROCEPT BioRobotics Corporation, a</w:t>
      </w:r>
    </w:p>
    <w:p>
      <w:pPr>
        <w:spacing w:after="0" w:line="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Delaware corporation (the “</w:t>
      </w:r>
      <w:r>
        <w:rPr>
          <w:rFonts w:ascii="Arial" w:cs="Arial" w:eastAsia="Arial" w:hAnsi="Arial"/>
          <w:sz w:val="20"/>
          <w:szCs w:val="20"/>
          <w:u w:val="single" w:color="auto"/>
          <w:color w:val="auto"/>
        </w:rPr>
        <w:t>Corporation</w:t>
      </w:r>
      <w:r>
        <w:rPr>
          <w:rFonts w:ascii="Arial" w:cs="Arial" w:eastAsia="Arial" w:hAnsi="Arial"/>
          <w:sz w:val="20"/>
          <w:szCs w:val="20"/>
          <w:color w:val="auto"/>
        </w:rPr>
        <w:t>”), and that the foregoing bylaws were approved on , 2021, effective as of , 2021 by the Corporation’s board of directors.</w:t>
      </w:r>
    </w:p>
    <w:p>
      <w:pPr>
        <w:spacing w:after="0" w:line="137" w:lineRule="exact"/>
        <w:rPr>
          <w:sz w:val="20"/>
          <w:szCs w:val="20"/>
          <w:color w:val="auto"/>
        </w:rPr>
      </w:pPr>
    </w:p>
    <w:p>
      <w:pPr>
        <w:ind w:left="660"/>
        <w:spacing w:after="0"/>
        <w:tabs>
          <w:tab w:leader="none" w:pos="6860" w:val="left"/>
          <w:tab w:leader="none" w:pos="7660" w:val="left"/>
        </w:tabs>
        <w:rPr>
          <w:sz w:val="20"/>
          <w:szCs w:val="20"/>
          <w:color w:val="auto"/>
        </w:rPr>
      </w:pPr>
      <w:r>
        <w:rPr>
          <w:rFonts w:ascii="Arial" w:cs="Arial" w:eastAsia="Arial" w:hAnsi="Arial"/>
          <w:sz w:val="20"/>
          <w:szCs w:val="20"/>
          <w:color w:val="auto"/>
        </w:rPr>
        <w:t>IN WITNESS WHEREOF, the undersigned has hereunto set his hand this</w:t>
      </w:r>
      <w:r>
        <w:rPr>
          <w:sz w:val="20"/>
          <w:szCs w:val="20"/>
          <w:color w:val="auto"/>
        </w:rPr>
        <w:tab/>
      </w:r>
      <w:r>
        <w:rPr>
          <w:rFonts w:ascii="Arial" w:cs="Arial" w:eastAsia="Arial" w:hAnsi="Arial"/>
          <w:sz w:val="20"/>
          <w:szCs w:val="20"/>
          <w:color w:val="auto"/>
        </w:rPr>
        <w:t>day of</w:t>
      </w:r>
      <w:r>
        <w:rPr>
          <w:sz w:val="20"/>
          <w:szCs w:val="20"/>
          <w:color w:val="auto"/>
        </w:rPr>
        <w:tab/>
      </w:r>
      <w:r>
        <w:rPr>
          <w:rFonts w:ascii="Arial" w:cs="Arial" w:eastAsia="Arial" w:hAnsi="Arial"/>
          <w:sz w:val="16"/>
          <w:szCs w:val="16"/>
          <w:color w:val="auto"/>
        </w:rPr>
        <w:t>, 2021.</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 Alaleh Nouri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Alaleh Nouri</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3"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5.1</w:t>
      </w:r>
    </w:p>
    <w:p>
      <w:pPr>
        <w:spacing w:after="0" w:line="102"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650 Town Center Drive, 20th Floor</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Costa Mesa, California 92626-1925</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Tel: +1.714.540.1235 Fax: +1.714.755.8290</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140335</wp:posOffset>
            </wp:positionV>
            <wp:extent cx="245173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2451735" cy="171450"/>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p>
      <w:pPr>
        <w:spacing w:after="0" w:line="242" w:lineRule="exact"/>
        <w:rPr>
          <w:sz w:val="20"/>
          <w:szCs w:val="20"/>
          <w:color w:val="auto"/>
        </w:rPr>
      </w:pPr>
    </w:p>
    <w:p>
      <w:pPr>
        <w:ind w:left="8000"/>
        <w:spacing w:after="0"/>
        <w:rPr>
          <w:sz w:val="20"/>
          <w:szCs w:val="20"/>
          <w:color w:val="auto"/>
        </w:rPr>
      </w:pPr>
      <w:r>
        <w:rPr>
          <w:rFonts w:ascii="Arial" w:cs="Arial" w:eastAsia="Arial" w:hAnsi="Arial"/>
          <w:sz w:val="12"/>
          <w:szCs w:val="12"/>
          <w:color w:val="6D6D6D"/>
        </w:rPr>
        <w:t>FIRM / AFFILIATE OFFICES</w:t>
      </w:r>
    </w:p>
    <w:p>
      <w:pPr>
        <w:spacing w:after="0" w:line="65"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Beijing</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Boston</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Brussels</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Century City</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Chicago</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Dubai</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Düsseldorf</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Frankfort</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Hamburg</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Hong Kong</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Houston</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London</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Los Angeles</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Madrid</w:t>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3"/>
          <w:szCs w:val="13"/>
          <w:color w:val="6D6D6D"/>
        </w:rPr>
        <w:t>Milan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6D6D6D"/>
        </w:rPr>
        <w:t>Moscow</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Munich</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New York</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Orange County</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Paris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Riyadh</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San Diego</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San Francisco</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Seoul</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Shanghai</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Silicon Valley</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Singapore</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6D6D6D"/>
        </w:rPr>
        <w:t>Tokyo</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6D6D6D"/>
        </w:rPr>
        <w:t>Washington D.C.</w:t>
      </w:r>
    </w:p>
    <w:p>
      <w:pPr>
        <w:spacing w:after="0" w:line="333" w:lineRule="exact"/>
        <w:rPr>
          <w:sz w:val="20"/>
          <w:szCs w:val="20"/>
          <w:color w:val="auto"/>
        </w:rPr>
      </w:pPr>
    </w:p>
    <w:p>
      <w:pPr>
        <w:sectPr>
          <w:pgSz w:w="11900" w:h="16838" w:orient="portrait"/>
          <w:cols w:equalWidth="0" w:num="2">
            <w:col w:w="9620" w:space="200"/>
            <w:col w:w="1420"/>
          </w:cols>
          <w:pgMar w:left="320" w:top="148" w:right="339" w:bottom="1440" w:gutter="0" w:footer="0" w:header="0"/>
          <w:type w:val="continuous"/>
        </w:sectPr>
      </w:pPr>
    </w:p>
    <w:p>
      <w:pPr>
        <w:spacing w:after="0"/>
        <w:rPr>
          <w:sz w:val="20"/>
          <w:szCs w:val="20"/>
          <w:color w:val="auto"/>
        </w:rPr>
      </w:pPr>
      <w:r>
        <w:rPr>
          <w:rFonts w:ascii="Arial" w:cs="Arial" w:eastAsia="Arial" w:hAnsi="Arial"/>
          <w:sz w:val="22"/>
          <w:szCs w:val="22"/>
          <w:color w:val="auto"/>
        </w:rPr>
        <w:t>September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PROCEPT BioRobotics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900 Island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Redwood City, CA 94065</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Re: Form S-1 Registration Statement File No. 333-258898;</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Initial Public Offering of up to 6,325,000 Shares of Common Stock of PROCEPT BioRobotics Corporation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20" w:firstLine="648"/>
        <w:spacing w:after="0" w:line="289" w:lineRule="auto"/>
        <w:rPr>
          <w:sz w:val="20"/>
          <w:szCs w:val="20"/>
          <w:color w:val="auto"/>
        </w:rPr>
      </w:pPr>
      <w:r>
        <w:rPr>
          <w:rFonts w:ascii="Arial" w:cs="Arial" w:eastAsia="Arial" w:hAnsi="Arial"/>
          <w:sz w:val="19"/>
          <w:szCs w:val="19"/>
          <w:color w:val="auto"/>
        </w:rPr>
        <w:t>We have acted as special counsel to PROCEPT BioRobotics Corporation,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proposed issuance of up to 6,325,000 shares of common stock, $0.00001 par value per share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The Shares are included in a registration statement on Form S-1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filed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August 18, 2021 (Registration No. 333-258898) (as amended,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other than as expressly stated herein with respect to the issue of the Shares.</w:t>
      </w:r>
    </w:p>
    <w:p>
      <w:pPr>
        <w:spacing w:after="0" w:line="157" w:lineRule="exact"/>
        <w:rPr>
          <w:sz w:val="20"/>
          <w:szCs w:val="20"/>
          <w:color w:val="auto"/>
        </w:rPr>
      </w:pPr>
    </w:p>
    <w:p>
      <w:pPr>
        <w:ind w:right="240" w:firstLine="648"/>
        <w:spacing w:after="0" w:line="302"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and we express no opinion with respect to any other laws.</w:t>
      </w:r>
    </w:p>
    <w:p>
      <w:pPr>
        <w:spacing w:after="0" w:line="142"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in the circumstances contemplated by the form of underwriting agreement most recently filed as an exhibit to the Registration Statement, the issue and sale of the Shares will have been duly authorized by all necessary corporate action of the</w:t>
      </w:r>
    </w:p>
    <w:p>
      <w:pPr>
        <w:sectPr>
          <w:pgSz w:w="11900" w:h="16838" w:orient="portrait"/>
          <w:cols w:equalWidth="0" w:num="1">
            <w:col w:w="11240"/>
          </w:cols>
          <w:pgMar w:left="320" w:top="148" w:right="339" w:bottom="1440" w:gutter="0" w:footer="0" w:header="0"/>
          <w:type w:val="continuous"/>
        </w:sectPr>
      </w:pPr>
    </w:p>
    <w:bookmarkStart w:id="311" w:name="page312"/>
    <w:bookmarkEnd w:id="311"/>
    <w:p>
      <w:pPr>
        <w:spacing w:after="0"/>
        <w:rPr>
          <w:sz w:val="20"/>
          <w:szCs w:val="20"/>
          <w:color w:val="auto"/>
        </w:rPr>
      </w:pPr>
      <w:r>
        <w:rPr>
          <w:rFonts w:ascii="Arial" w:cs="Arial" w:eastAsia="Arial" w:hAnsi="Arial"/>
          <w:sz w:val="14"/>
          <w:szCs w:val="14"/>
          <w:color w:val="auto"/>
        </w:rPr>
        <w:t>September 8, 2021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388745" cy="85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13887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85"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Very truly yours,</w:t>
      </w:r>
    </w:p>
    <w:p>
      <w:pPr>
        <w:spacing w:after="0" w:line="32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24130</wp:posOffset>
            </wp:positionV>
            <wp:extent cx="3514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PROCEPT BIOROBOTICS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2008 STOCK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July 20, 2020</w:t>
      </w:r>
    </w:p>
    <w:p>
      <w:pPr>
        <w:spacing w:after="0" w:line="166" w:lineRule="exact"/>
        <w:rPr>
          <w:sz w:val="20"/>
          <w:szCs w:val="20"/>
          <w:color w:val="auto"/>
        </w:rPr>
      </w:pPr>
    </w:p>
    <w:p>
      <w:pPr>
        <w:ind w:right="80" w:firstLine="656"/>
        <w:spacing w:after="0" w:line="248" w:lineRule="auto"/>
        <w:tabs>
          <w:tab w:leader="none" w:pos="1026" w:val="left"/>
        </w:tabs>
        <w:numPr>
          <w:ilvl w:val="0"/>
          <w:numId w:val="212"/>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Purposes of the Plan</w:t>
      </w:r>
      <w:r>
        <w:rPr>
          <w:rFonts w:ascii="Arial" w:cs="Arial" w:eastAsia="Arial" w:hAnsi="Arial"/>
          <w:sz w:val="22"/>
          <w:szCs w:val="22"/>
          <w:color w:val="auto"/>
        </w:rPr>
        <w:t>. The purposes of this Amended and Restated 2008 Stock Plan are to attract and retain the best</w:t>
      </w:r>
      <w:r>
        <w:rPr>
          <w:rFonts w:ascii="Arial" w:cs="Arial" w:eastAsia="Arial" w:hAnsi="Arial"/>
          <w:sz w:val="22"/>
          <w:szCs w:val="22"/>
          <w:b w:val="1"/>
          <w:bCs w:val="1"/>
          <w:color w:val="auto"/>
        </w:rPr>
        <w:t xml:space="preserve"> </w:t>
      </w:r>
      <w:r>
        <w:rPr>
          <w:rFonts w:ascii="Arial" w:cs="Arial" w:eastAsia="Arial" w:hAnsi="Arial"/>
          <w:sz w:val="22"/>
          <w:szCs w:val="22"/>
          <w:color w:val="auto"/>
        </w:rPr>
        <w:t>available personnel for positions of substantial responsibility, to 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and interpretations promulgated thereunder. Stock purchase rights may also be granted under the Plan.</w:t>
      </w:r>
    </w:p>
    <w:p>
      <w:pPr>
        <w:spacing w:after="0" w:line="132" w:lineRule="exact"/>
        <w:rPr>
          <w:rFonts w:ascii="Arial" w:cs="Arial" w:eastAsia="Arial" w:hAnsi="Arial"/>
          <w:sz w:val="22"/>
          <w:szCs w:val="22"/>
          <w:color w:val="auto"/>
        </w:rPr>
      </w:pPr>
    </w:p>
    <w:p>
      <w:pPr>
        <w:ind w:left="1040" w:hanging="384"/>
        <w:spacing w:after="0"/>
        <w:tabs>
          <w:tab w:leader="none" w:pos="1040" w:val="left"/>
        </w:tabs>
        <w:numPr>
          <w:ilvl w:val="0"/>
          <w:numId w:val="212"/>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herein, the following definitions shall apply:</w:t>
      </w:r>
    </w:p>
    <w:p>
      <w:pPr>
        <w:spacing w:after="0" w:line="165" w:lineRule="exact"/>
        <w:rPr>
          <w:rFonts w:ascii="Arial" w:cs="Arial" w:eastAsia="Arial" w:hAnsi="Arial"/>
          <w:sz w:val="22"/>
          <w:szCs w:val="22"/>
          <w:color w:val="auto"/>
        </w:rPr>
      </w:pPr>
    </w:p>
    <w:p>
      <w:pPr>
        <w:ind w:left="1760" w:hanging="456"/>
        <w:spacing w:after="0"/>
        <w:tabs>
          <w:tab w:leader="none" w:pos="1760" w:val="left"/>
        </w:tabs>
        <w:numPr>
          <w:ilvl w:val="1"/>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Administrator</w:t>
      </w:r>
      <w:r>
        <w:rPr>
          <w:rFonts w:ascii="Arial" w:cs="Arial" w:eastAsia="Arial" w:hAnsi="Arial"/>
          <w:sz w:val="22"/>
          <w:szCs w:val="22"/>
          <w:color w:val="auto"/>
        </w:rPr>
        <w:t>” means the Board or its Committee appointed pursuant to Section 4 of the Plan.</w:t>
      </w:r>
    </w:p>
    <w:p>
      <w:pPr>
        <w:spacing w:after="0" w:line="165" w:lineRule="exact"/>
        <w:rPr>
          <w:rFonts w:ascii="Arial" w:cs="Arial" w:eastAsia="Arial" w:hAnsi="Arial"/>
          <w:sz w:val="22"/>
          <w:szCs w:val="22"/>
          <w:color w:val="auto"/>
        </w:rPr>
      </w:pPr>
    </w:p>
    <w:p>
      <w:pPr>
        <w:ind w:right="420" w:firstLine="1304"/>
        <w:spacing w:after="0" w:line="269" w:lineRule="auto"/>
        <w:tabs>
          <w:tab w:leader="none" w:pos="1764" w:val="left"/>
        </w:tabs>
        <w:numPr>
          <w:ilvl w:val="1"/>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means an entity other than a Subsidiary which, together with the Company, is under common control of a third person or entity.</w:t>
      </w:r>
    </w:p>
    <w:p>
      <w:pPr>
        <w:spacing w:after="0" w:line="107" w:lineRule="exact"/>
        <w:rPr>
          <w:rFonts w:ascii="Arial" w:cs="Arial" w:eastAsia="Arial" w:hAnsi="Arial"/>
          <w:sz w:val="22"/>
          <w:szCs w:val="22"/>
          <w:color w:val="auto"/>
        </w:rPr>
      </w:pPr>
    </w:p>
    <w:p>
      <w:pPr>
        <w:ind w:right="40" w:firstLine="1304"/>
        <w:spacing w:after="0" w:line="264" w:lineRule="auto"/>
        <w:tabs>
          <w:tab w:leader="none" w:pos="1752" w:val="left"/>
        </w:tabs>
        <w:numPr>
          <w:ilvl w:val="1"/>
          <w:numId w:val="2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Applicable Laws</w:t>
      </w:r>
      <w:r>
        <w:rPr>
          <w:rFonts w:ascii="Arial" w:cs="Arial" w:eastAsia="Arial" w:hAnsi="Arial"/>
          <w:sz w:val="21"/>
          <w:szCs w:val="21"/>
          <w:color w:val="auto"/>
        </w:rPr>
        <w:t>” means the legal requirements relating to the administration of stock option and restricted stock purchase plans, including under applicable U.S. state corporate laws, U.S. federal and applicable state securities laws, other U.S. federal and state laws, the Code, any Stock Exchange rules or regulations and the applicable laws, rules and regulations of any other country or jurisdiction where Options or Stock Purchase Rights are granted under the Plan, as such laws, rules, regulations and requirements shall be in place from time to time.</w:t>
      </w:r>
    </w:p>
    <w:p>
      <w:pPr>
        <w:spacing w:after="0" w:line="116" w:lineRule="exact"/>
        <w:rPr>
          <w:rFonts w:ascii="Arial" w:cs="Arial" w:eastAsia="Arial" w:hAnsi="Arial"/>
          <w:sz w:val="21"/>
          <w:szCs w:val="21"/>
          <w:color w:val="auto"/>
        </w:rPr>
      </w:pPr>
    </w:p>
    <w:p>
      <w:pPr>
        <w:ind w:left="1780" w:hanging="476"/>
        <w:spacing w:after="0"/>
        <w:tabs>
          <w:tab w:leader="none" w:pos="1780" w:val="left"/>
        </w:tabs>
        <w:numPr>
          <w:ilvl w:val="1"/>
          <w:numId w:val="2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Award</w:t>
      </w:r>
      <w:r>
        <w:rPr>
          <w:rFonts w:ascii="Arial" w:cs="Arial" w:eastAsia="Arial" w:hAnsi="Arial"/>
          <w:sz w:val="19"/>
          <w:szCs w:val="19"/>
          <w:color w:val="auto"/>
        </w:rPr>
        <w:t>” means an Option or a Stock Purchase Right granted in accordance with the terms of the Plan.</w:t>
      </w:r>
    </w:p>
    <w:p>
      <w:pPr>
        <w:spacing w:after="0" w:line="200" w:lineRule="exact"/>
        <w:rPr>
          <w:rFonts w:ascii="Arial" w:cs="Arial" w:eastAsia="Arial" w:hAnsi="Arial"/>
          <w:sz w:val="19"/>
          <w:szCs w:val="19"/>
          <w:color w:val="auto"/>
        </w:rPr>
      </w:pPr>
    </w:p>
    <w:p>
      <w:pPr>
        <w:ind w:left="1760" w:hanging="456"/>
        <w:spacing w:after="0"/>
        <w:tabs>
          <w:tab w:leader="none" w:pos="1760" w:val="left"/>
        </w:tabs>
        <w:numPr>
          <w:ilvl w:val="1"/>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Award Agreement</w:t>
      </w:r>
      <w:r>
        <w:rPr>
          <w:rFonts w:ascii="Arial" w:cs="Arial" w:eastAsia="Arial" w:hAnsi="Arial"/>
          <w:sz w:val="22"/>
          <w:szCs w:val="22"/>
          <w:color w:val="auto"/>
        </w:rPr>
        <w:t>” means a Restricted Stock Purchase Agreement and/or Option Agreement.</w:t>
      </w:r>
    </w:p>
    <w:p>
      <w:pPr>
        <w:spacing w:after="0" w:line="165" w:lineRule="exact"/>
        <w:rPr>
          <w:rFonts w:ascii="Arial" w:cs="Arial" w:eastAsia="Arial" w:hAnsi="Arial"/>
          <w:sz w:val="22"/>
          <w:szCs w:val="22"/>
          <w:color w:val="auto"/>
        </w:rPr>
      </w:pPr>
    </w:p>
    <w:p>
      <w:pPr>
        <w:ind w:left="1740" w:hanging="436"/>
        <w:spacing w:after="0"/>
        <w:tabs>
          <w:tab w:leader="none" w:pos="1740" w:val="left"/>
        </w:tabs>
        <w:numPr>
          <w:ilvl w:val="1"/>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means the Board of Directors of the Company.</w:t>
      </w:r>
    </w:p>
    <w:p>
      <w:pPr>
        <w:spacing w:after="0" w:line="165" w:lineRule="exact"/>
        <w:rPr>
          <w:rFonts w:ascii="Arial" w:cs="Arial" w:eastAsia="Arial" w:hAnsi="Arial"/>
          <w:sz w:val="22"/>
          <w:szCs w:val="22"/>
          <w:color w:val="auto"/>
        </w:rPr>
      </w:pPr>
    </w:p>
    <w:p>
      <w:pPr>
        <w:ind w:right="40" w:firstLine="1304"/>
        <w:spacing w:after="0" w:line="260" w:lineRule="auto"/>
        <w:tabs>
          <w:tab w:leader="none" w:pos="1764" w:val="left"/>
        </w:tabs>
        <w:numPr>
          <w:ilvl w:val="1"/>
          <w:numId w:val="2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Cause</w:t>
      </w:r>
      <w:r>
        <w:rPr>
          <w:rFonts w:ascii="Arial" w:cs="Arial" w:eastAsia="Arial" w:hAnsi="Arial"/>
          <w:sz w:val="21"/>
          <w:szCs w:val="21"/>
          <w:color w:val="auto"/>
        </w:rPr>
        <w:t>” for termination of a Participant’s Continuous Service Status will exist if the Participant is terminated by the Company for any of the following reasons: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 (iii) unauthorized use or disclosure by Participant of any proprietary information or trade secrets of the Company or any other party to whom the Participant owes an obligation of nondisclosure as a result of his or her relationship with the Company; or (iv) Participant’s willful breach of any of his or her obligations under any written agreement or covenant with the Company. The determination as to</w:t>
      </w:r>
    </w:p>
    <w:p>
      <w:pPr>
        <w:sectPr>
          <w:pgSz w:w="11900" w:h="16838" w:orient="portrait"/>
          <w:cols w:equalWidth="0" w:num="1">
            <w:col w:w="11240"/>
          </w:cols>
          <w:pgMar w:left="320" w:top="121" w:right="339" w:bottom="1440" w:gutter="0" w:footer="0" w:header="0"/>
        </w:sectPr>
      </w:pPr>
    </w:p>
    <w:bookmarkStart w:id="313" w:name="page314"/>
    <w:bookmarkEnd w:id="313"/>
    <w:p>
      <w:pPr>
        <w:spacing w:after="0" w:line="250" w:lineRule="auto"/>
        <w:rPr>
          <w:sz w:val="20"/>
          <w:szCs w:val="20"/>
          <w:color w:val="auto"/>
        </w:rPr>
      </w:pPr>
      <w:r>
        <w:rPr>
          <w:rFonts w:ascii="Arial" w:cs="Arial" w:eastAsia="Arial" w:hAnsi="Arial"/>
          <w:sz w:val="22"/>
          <w:szCs w:val="22"/>
          <w:color w:val="auto"/>
        </w:rPr>
        <w:t>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will be interpreted to include any Subsidiary, Parent or Affiliate, as appropriate.</w:t>
      </w:r>
    </w:p>
    <w:p>
      <w:pPr>
        <w:spacing w:after="0" w:line="128" w:lineRule="exact"/>
        <w:rPr>
          <w:sz w:val="20"/>
          <w:szCs w:val="20"/>
          <w:color w:val="auto"/>
        </w:rPr>
      </w:pPr>
    </w:p>
    <w:p>
      <w:pPr>
        <w:ind w:right="20" w:firstLine="1304"/>
        <w:spacing w:after="0" w:line="286" w:lineRule="auto"/>
        <w:tabs>
          <w:tab w:leader="none" w:pos="1764" w:val="left"/>
        </w:tabs>
        <w:numPr>
          <w:ilvl w:val="0"/>
          <w:numId w:val="2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Change of Control</w:t>
      </w:r>
      <w:r>
        <w:rPr>
          <w:rFonts w:ascii="Arial" w:cs="Arial" w:eastAsia="Arial" w:hAnsi="Arial"/>
          <w:sz w:val="19"/>
          <w:szCs w:val="19"/>
          <w:color w:val="auto"/>
        </w:rPr>
        <w:t>” means (1) a sale of all or substantially all of the Company’s assets, (2) any merger, consolidation or other business combination transaction of the Company with or into another corporation, entity or person, other than a transaction in which the holders of at least a majority of the shares of voting capital stock of the Company outstanding immediately prior to such transaction continue to hold (either by such shares remaining outstanding or by their being converted into shares of voting capital stock of the surviving entity) a majority of the total voting power represented by the shares of voting capital stock of the Company (or the surviving entity) outstanding immediately after such transaction, (3)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w:t>
      </w:r>
      <w:r>
        <w:rPr>
          <w:rFonts w:ascii="Arial" w:cs="Arial" w:eastAsia="Arial" w:hAnsi="Arial"/>
          <w:sz w:val="19"/>
          <w:szCs w:val="19"/>
          <w:b w:val="1"/>
          <w:bCs w:val="1"/>
          <w:color w:val="auto"/>
        </w:rPr>
        <w:t>,</w:t>
      </w:r>
      <w:r>
        <w:rPr>
          <w:rFonts w:ascii="Arial" w:cs="Arial" w:eastAsia="Arial" w:hAnsi="Arial"/>
          <w:sz w:val="19"/>
          <w:szCs w:val="19"/>
          <w:color w:val="auto"/>
        </w:rPr>
        <w:t xml:space="preserve"> (4) any other transaction or series of related transactions deemed to be a “Liquidation Transaction” (as defined in the Company’s Articles of Incorporation, as amended from time to time) or (5) a contested election of Directors, as a result of which or in connection with which the persons who were Directors before such election or their nominees (the “</w:t>
      </w:r>
      <w:r>
        <w:rPr>
          <w:rFonts w:ascii="Arial" w:cs="Arial" w:eastAsia="Arial" w:hAnsi="Arial"/>
          <w:sz w:val="19"/>
          <w:szCs w:val="19"/>
          <w:b w:val="1"/>
          <w:bCs w:val="1"/>
          <w:u w:val="single" w:color="auto"/>
          <w:color w:val="auto"/>
        </w:rPr>
        <w:t>Incumbent Directors</w:t>
      </w:r>
      <w:r>
        <w:rPr>
          <w:rFonts w:ascii="Arial" w:cs="Arial" w:eastAsia="Arial" w:hAnsi="Arial"/>
          <w:sz w:val="19"/>
          <w:szCs w:val="19"/>
          <w:color w:val="auto"/>
        </w:rPr>
        <w:t>”) cease to constitute a majority of the Board; provided however that if the election or nomination for election by the Company’s shareholders, of any new Director was approved by a vote of at least 50% of the Incumbent Directors, such new Director shall be considered as an Incumbent Director.</w:t>
      </w:r>
    </w:p>
    <w:p>
      <w:pPr>
        <w:spacing w:after="0" w:line="107" w:lineRule="exact"/>
        <w:rPr>
          <w:rFonts w:ascii="Arial" w:cs="Arial" w:eastAsia="Arial" w:hAnsi="Arial"/>
          <w:sz w:val="19"/>
          <w:szCs w:val="19"/>
          <w:color w:val="auto"/>
        </w:rPr>
      </w:pPr>
    </w:p>
    <w:p>
      <w:pPr>
        <w:ind w:left="1720" w:hanging="416"/>
        <w:spacing w:after="0"/>
        <w:tabs>
          <w:tab w:leader="none" w:pos="172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means the Internal Revenue Code of 1986, as amended.</w:t>
      </w:r>
    </w:p>
    <w:p>
      <w:pPr>
        <w:spacing w:after="0" w:line="165" w:lineRule="exact"/>
        <w:rPr>
          <w:rFonts w:ascii="Arial" w:cs="Arial" w:eastAsia="Arial" w:hAnsi="Arial"/>
          <w:sz w:val="22"/>
          <w:szCs w:val="22"/>
          <w:color w:val="auto"/>
        </w:rPr>
      </w:pPr>
    </w:p>
    <w:p>
      <w:pPr>
        <w:ind w:right="500" w:firstLine="1304"/>
        <w:spacing w:after="0" w:line="269" w:lineRule="auto"/>
        <w:tabs>
          <w:tab w:leader="none" w:pos="171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Committee</w:t>
      </w:r>
      <w:r>
        <w:rPr>
          <w:rFonts w:ascii="Arial" w:cs="Arial" w:eastAsia="Arial" w:hAnsi="Arial"/>
          <w:sz w:val="22"/>
          <w:szCs w:val="22"/>
          <w:color w:val="auto"/>
        </w:rPr>
        <w:t>” means one or more committees or subcommittees of the Board appointed by the Board to administer the Plan in accordance with Section 4 below.</w:t>
      </w:r>
    </w:p>
    <w:p>
      <w:pPr>
        <w:spacing w:after="0" w:line="107" w:lineRule="exact"/>
        <w:rPr>
          <w:rFonts w:ascii="Arial" w:cs="Arial" w:eastAsia="Arial" w:hAnsi="Arial"/>
          <w:sz w:val="22"/>
          <w:szCs w:val="22"/>
          <w:color w:val="auto"/>
        </w:rPr>
      </w:pPr>
    </w:p>
    <w:p>
      <w:pPr>
        <w:ind w:left="1780" w:hanging="476"/>
        <w:spacing w:after="0"/>
        <w:tabs>
          <w:tab w:leader="none" w:pos="17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Common Stock</w:t>
      </w:r>
      <w:r>
        <w:rPr>
          <w:rFonts w:ascii="Arial" w:cs="Arial" w:eastAsia="Arial" w:hAnsi="Arial"/>
          <w:sz w:val="22"/>
          <w:szCs w:val="22"/>
          <w:color w:val="auto"/>
        </w:rPr>
        <w:t>” means the Common Stock of the Company.</w:t>
      </w:r>
    </w:p>
    <w:p>
      <w:pPr>
        <w:spacing w:after="0" w:line="165" w:lineRule="exact"/>
        <w:rPr>
          <w:rFonts w:ascii="Arial" w:cs="Arial" w:eastAsia="Arial" w:hAnsi="Arial"/>
          <w:sz w:val="22"/>
          <w:szCs w:val="22"/>
          <w:color w:val="auto"/>
        </w:rPr>
      </w:pPr>
    </w:p>
    <w:p>
      <w:pPr>
        <w:ind w:left="1720" w:hanging="416"/>
        <w:spacing w:after="0"/>
        <w:tabs>
          <w:tab w:leader="none" w:pos="172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means Procept BioRobotics Corporation, a California corporation.</w:t>
      </w:r>
    </w:p>
    <w:p>
      <w:pPr>
        <w:spacing w:after="0" w:line="165" w:lineRule="exact"/>
        <w:rPr>
          <w:rFonts w:ascii="Arial" w:cs="Arial" w:eastAsia="Arial" w:hAnsi="Arial"/>
          <w:sz w:val="22"/>
          <w:szCs w:val="22"/>
          <w:color w:val="auto"/>
        </w:rPr>
      </w:pPr>
    </w:p>
    <w:p>
      <w:pPr>
        <w:ind w:right="500" w:firstLine="1304"/>
        <w:spacing w:after="0" w:line="256" w:lineRule="auto"/>
        <w:tabs>
          <w:tab w:leader="none" w:pos="1824"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Consultant</w:t>
      </w:r>
      <w:r>
        <w:rPr>
          <w:rFonts w:ascii="Arial" w:cs="Arial" w:eastAsia="Arial" w:hAnsi="Arial"/>
          <w:sz w:val="22"/>
          <w:szCs w:val="22"/>
          <w:color w:val="auto"/>
        </w:rPr>
        <w:t>” means any person, including an advisor, who is engaged by the Company or any Parent, Subsidiary or Affiliate to render services and is compensated for such services, and any director of the Company whether compensated for such services or not.</w:t>
      </w:r>
    </w:p>
    <w:p>
      <w:pPr>
        <w:spacing w:after="0" w:line="122" w:lineRule="exact"/>
        <w:rPr>
          <w:rFonts w:ascii="Arial" w:cs="Arial" w:eastAsia="Arial" w:hAnsi="Arial"/>
          <w:sz w:val="22"/>
          <w:szCs w:val="22"/>
          <w:color w:val="auto"/>
        </w:rPr>
      </w:pPr>
    </w:p>
    <w:p>
      <w:pPr>
        <w:ind w:right="60" w:firstLine="1304"/>
        <w:spacing w:after="0" w:line="248" w:lineRule="auto"/>
        <w:tabs>
          <w:tab w:leader="none" w:pos="1764"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Continuous Service Status</w:t>
      </w:r>
      <w:r>
        <w:rPr>
          <w:rFonts w:ascii="Arial" w:cs="Arial" w:eastAsia="Arial" w:hAnsi="Arial"/>
          <w:sz w:val="22"/>
          <w:szCs w:val="22"/>
          <w:color w:val="auto"/>
        </w:rPr>
        <w:t>” means the absence of any interruption or termination of service as an Employee or Consultant. Continuous Service Status as an Employee or Consultant shall not be considered interrupted in the case of: (i) sick leave; (ii) military leave; (iii) any other leave of absence approved by the Administrator, provided that such leave is for a period of not more than ninety (90) days, unless reemployment upon the expiration of such leave is guaranteed by contract or statute, or unless provided otherwise pursuant to Company policy adopted from time to time; or (iv) transfers between locations of the Company or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28" w:right="379" w:bottom="1440" w:gutter="0" w:footer="0" w:header="0"/>
        </w:sectPr>
      </w:pPr>
    </w:p>
    <w:bookmarkStart w:id="314" w:name="page315"/>
    <w:bookmarkEnd w:id="314"/>
    <w:p>
      <w:pPr>
        <w:spacing w:after="0" w:line="294" w:lineRule="auto"/>
        <w:rPr>
          <w:sz w:val="20"/>
          <w:szCs w:val="20"/>
          <w:color w:val="auto"/>
        </w:rPr>
      </w:pPr>
      <w:r>
        <w:rPr>
          <w:rFonts w:ascii="Arial" w:cs="Arial" w:eastAsia="Arial" w:hAnsi="Arial"/>
          <w:sz w:val="19"/>
          <w:szCs w:val="19"/>
          <w:color w:val="auto"/>
        </w:rPr>
        <w:t>Company, its Parents, Subsidiaries, Affiliates or their respective successors. A change in status from an Employee to a Consultant or from a Consultant to an Employee will not constitute an interruption of Continuous Service Status. However, for Incentive Stock Option purposes, termination of Continuous Service Status will occur when the Employee ceases to be an employee (as determined in accordance with Section 3401(c) of the Code and the regulations promulgated thereunder) of the Company or one of its Subsidiaries. The Administrator shall determine whether any corporate transaction, such as a sale or spin-off of a division or business unit, or a joint venture, shall be deemed to result in a termination of Continuous Service Status.</w:t>
      </w:r>
    </w:p>
    <w:p>
      <w:pPr>
        <w:spacing w:after="0" w:line="89" w:lineRule="exact"/>
        <w:rPr>
          <w:sz w:val="20"/>
          <w:szCs w:val="20"/>
          <w:color w:val="auto"/>
        </w:rPr>
      </w:pPr>
    </w:p>
    <w:p>
      <w:pPr>
        <w:ind w:right="80" w:firstLine="1304"/>
        <w:spacing w:after="0" w:line="264" w:lineRule="auto"/>
        <w:tabs>
          <w:tab w:leader="none" w:pos="1764" w:val="left"/>
        </w:tabs>
        <w:numPr>
          <w:ilvl w:val="0"/>
          <w:numId w:val="2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Corporate Transaction</w:t>
      </w:r>
      <w:r>
        <w:rPr>
          <w:rFonts w:ascii="Arial" w:cs="Arial" w:eastAsia="Arial" w:hAnsi="Arial"/>
          <w:sz w:val="21"/>
          <w:szCs w:val="21"/>
          <w:color w:val="auto"/>
        </w:rPr>
        <w:t>” means a sale of all or substantially all of the Company’s assets, or a merger, consolidation or other capital reorganization or business combination transaction of the Company with or into another corporation, entity or person,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w:t>
      </w:r>
    </w:p>
    <w:p>
      <w:pPr>
        <w:spacing w:after="0" w:line="116" w:lineRule="exact"/>
        <w:rPr>
          <w:rFonts w:ascii="Arial" w:cs="Arial" w:eastAsia="Arial" w:hAnsi="Arial"/>
          <w:sz w:val="21"/>
          <w:szCs w:val="21"/>
          <w:color w:val="auto"/>
        </w:rPr>
      </w:pPr>
    </w:p>
    <w:p>
      <w:pPr>
        <w:ind w:left="1780" w:hanging="476"/>
        <w:spacing w:after="0"/>
        <w:tabs>
          <w:tab w:leader="none" w:pos="178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Director</w:t>
      </w:r>
      <w:r>
        <w:rPr>
          <w:rFonts w:ascii="Arial" w:cs="Arial" w:eastAsia="Arial" w:hAnsi="Arial"/>
          <w:sz w:val="22"/>
          <w:szCs w:val="22"/>
          <w:color w:val="auto"/>
        </w:rPr>
        <w:t>” means a member of the Board.</w:t>
      </w:r>
    </w:p>
    <w:p>
      <w:pPr>
        <w:spacing w:after="0" w:line="165" w:lineRule="exact"/>
        <w:rPr>
          <w:rFonts w:ascii="Arial" w:cs="Arial" w:eastAsia="Arial" w:hAnsi="Arial"/>
          <w:sz w:val="22"/>
          <w:szCs w:val="22"/>
          <w:color w:val="auto"/>
        </w:rPr>
      </w:pPr>
    </w:p>
    <w:p>
      <w:pPr>
        <w:ind w:right="120" w:firstLine="1304"/>
        <w:spacing w:after="0" w:line="252" w:lineRule="auto"/>
        <w:tabs>
          <w:tab w:leader="none" w:pos="1764"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means any person employed by the Company or any Parent or Subsidiary, with the status of employment determined based upon such factors as are deemed appropriate by the Administrator in its discretion, subject to any requirements of the Code or the Applicable Laws. The payment by the Company of a director’s fee to a Director shall not be sufficient to constitute “employment” of such Director by the Company.</w:t>
      </w:r>
    </w:p>
    <w:p>
      <w:pPr>
        <w:spacing w:after="0" w:line="125" w:lineRule="exact"/>
        <w:rPr>
          <w:rFonts w:ascii="Arial" w:cs="Arial" w:eastAsia="Arial" w:hAnsi="Arial"/>
          <w:sz w:val="22"/>
          <w:szCs w:val="22"/>
          <w:color w:val="auto"/>
        </w:rPr>
      </w:pPr>
    </w:p>
    <w:p>
      <w:pPr>
        <w:ind w:left="1740" w:hanging="436"/>
        <w:spacing w:after="0"/>
        <w:tabs>
          <w:tab w:leader="none" w:pos="174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Exchange Act</w:t>
      </w:r>
      <w:r>
        <w:rPr>
          <w:rFonts w:ascii="Arial" w:cs="Arial" w:eastAsia="Arial" w:hAnsi="Arial"/>
          <w:sz w:val="22"/>
          <w:szCs w:val="22"/>
          <w:color w:val="auto"/>
        </w:rPr>
        <w:t>” means the Securities Exchange Act of 1934, as amended.</w:t>
      </w:r>
    </w:p>
    <w:p>
      <w:pPr>
        <w:spacing w:after="0" w:line="165" w:lineRule="exact"/>
        <w:rPr>
          <w:rFonts w:ascii="Arial" w:cs="Arial" w:eastAsia="Arial" w:hAnsi="Arial"/>
          <w:sz w:val="22"/>
          <w:szCs w:val="22"/>
          <w:color w:val="auto"/>
        </w:rPr>
      </w:pPr>
    </w:p>
    <w:p>
      <w:pPr>
        <w:ind w:right="480" w:firstLine="1304"/>
        <w:spacing w:after="0" w:line="256" w:lineRule="auto"/>
        <w:tabs>
          <w:tab w:leader="none" w:pos="174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Fair Market Value</w:t>
      </w:r>
      <w:r>
        <w:rPr>
          <w:rFonts w:ascii="Arial" w:cs="Arial" w:eastAsia="Arial" w:hAnsi="Arial"/>
          <w:sz w:val="22"/>
          <w:szCs w:val="22"/>
          <w:color w:val="auto"/>
        </w:rPr>
        <w:t>” means, as of any date, the value of a share of Common Stock or other property as determined by the Administrator, in its discretion, or by the Company, in its discretion, if such determination is expressly allocated to the Company herein, subject to the following:</w:t>
      </w:r>
    </w:p>
    <w:p>
      <w:pPr>
        <w:spacing w:after="0" w:line="128" w:lineRule="exact"/>
        <w:rPr>
          <w:rFonts w:ascii="Arial" w:cs="Arial" w:eastAsia="Arial" w:hAnsi="Arial"/>
          <w:sz w:val="22"/>
          <w:szCs w:val="22"/>
          <w:color w:val="auto"/>
        </w:rPr>
      </w:pPr>
    </w:p>
    <w:p>
      <w:pPr>
        <w:ind w:right="180" w:firstLine="1952"/>
        <w:spacing w:after="0" w:line="290" w:lineRule="auto"/>
        <w:tabs>
          <w:tab w:leader="none" w:pos="2364" w:val="left"/>
        </w:tabs>
        <w:numPr>
          <w:ilvl w:val="1"/>
          <w:numId w:val="214"/>
        </w:numPr>
        <w:rPr>
          <w:rFonts w:ascii="Arial" w:cs="Arial" w:eastAsia="Arial" w:hAnsi="Arial"/>
          <w:sz w:val="19"/>
          <w:szCs w:val="19"/>
          <w:color w:val="auto"/>
        </w:rPr>
      </w:pPr>
      <w:r>
        <w:rPr>
          <w:rFonts w:ascii="Arial" w:cs="Arial" w:eastAsia="Arial" w:hAnsi="Arial"/>
          <w:sz w:val="19"/>
          <w:szCs w:val="19"/>
          <w:color w:val="auto"/>
        </w:rPr>
        <w:t xml:space="preserve">If, on such date, the Common Stock is listed on a national or regional securities exchange or market system, including without limitation the Nasdaq Global Market, the Fair Market Value of a share of Common Stock shall be the closing price on such date of a share of Common Stock (or the mean of the closing bid and asked prices of a share of Common Stock if the stock is so quoted instead) as quoted on such exchange or market system constituting the primary market for the Common Stock, as reported in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or such other source as the Administrator deems reliable. If the relevant date does not fall on a day on which the Common Stock has traded on such securities exchange or market system, the date on which the Fair Market Value shall be established shall be the last day on which the Common Stock was so traded prior to the relevant date, or such other appropriate day as shall be determined by the Administrator, in its discretion.</w:t>
      </w:r>
    </w:p>
    <w:p>
      <w:pPr>
        <w:spacing w:after="0" w:line="101" w:lineRule="exact"/>
        <w:rPr>
          <w:rFonts w:ascii="Arial" w:cs="Arial" w:eastAsia="Arial" w:hAnsi="Arial"/>
          <w:sz w:val="19"/>
          <w:szCs w:val="19"/>
          <w:color w:val="auto"/>
        </w:rPr>
      </w:pPr>
    </w:p>
    <w:p>
      <w:pPr>
        <w:jc w:val="both"/>
        <w:ind w:right="440" w:firstLine="1952"/>
        <w:spacing w:after="0" w:line="253" w:lineRule="auto"/>
        <w:tabs>
          <w:tab w:leader="none" w:pos="2424" w:val="left"/>
        </w:tabs>
        <w:numPr>
          <w:ilvl w:val="1"/>
          <w:numId w:val="214"/>
        </w:numPr>
        <w:rPr>
          <w:rFonts w:ascii="Arial" w:cs="Arial" w:eastAsia="Arial" w:hAnsi="Arial"/>
          <w:sz w:val="22"/>
          <w:szCs w:val="22"/>
          <w:color w:val="auto"/>
        </w:rPr>
      </w:pPr>
      <w:r>
        <w:rPr>
          <w:rFonts w:ascii="Arial" w:cs="Arial" w:eastAsia="Arial" w:hAnsi="Arial"/>
          <w:sz w:val="22"/>
          <w:szCs w:val="22"/>
          <w:color w:val="auto"/>
        </w:rPr>
        <w:t>If, on such date, the Common Stock is not listed on a national or regional securities exchange or market system, the Fair Market Value of a share of Common Stock shall be as determined by the Administrator in good faith using a reasonable application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8" w:right="359" w:bottom="1440" w:gutter="0" w:footer="0" w:header="0"/>
        </w:sectPr>
      </w:pPr>
    </w:p>
    <w:bookmarkStart w:id="315" w:name="page316"/>
    <w:bookmarkEnd w:id="315"/>
    <w:p>
      <w:pPr>
        <w:spacing w:after="0"/>
        <w:rPr>
          <w:sz w:val="20"/>
          <w:szCs w:val="20"/>
          <w:color w:val="auto"/>
        </w:rPr>
      </w:pPr>
      <w:r>
        <w:rPr>
          <w:rFonts w:ascii="Arial" w:cs="Arial" w:eastAsia="Arial" w:hAnsi="Arial"/>
          <w:sz w:val="19"/>
          <w:szCs w:val="19"/>
          <w:color w:val="auto"/>
        </w:rPr>
        <w:t>a reasonable valuation method without regard to any restriction other than a restriction which, by its terms, will never lapse.</w:t>
      </w:r>
    </w:p>
    <w:p>
      <w:pPr>
        <w:spacing w:after="0" w:line="194" w:lineRule="exact"/>
        <w:rPr>
          <w:sz w:val="20"/>
          <w:szCs w:val="20"/>
          <w:color w:val="auto"/>
        </w:rPr>
      </w:pPr>
    </w:p>
    <w:p>
      <w:pPr>
        <w:ind w:right="600" w:firstLine="1304"/>
        <w:spacing w:after="0" w:line="269" w:lineRule="auto"/>
        <w:tabs>
          <w:tab w:leader="none" w:pos="171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Incentive Stock Option</w:t>
      </w:r>
      <w:r>
        <w:rPr>
          <w:rFonts w:ascii="Arial" w:cs="Arial" w:eastAsia="Arial" w:hAnsi="Arial"/>
          <w:sz w:val="22"/>
          <w:szCs w:val="22"/>
          <w:color w:val="auto"/>
        </w:rPr>
        <w:t>” means an Option intended to qualify as an incentive stock option within the meaning of Section 422 of the Code, as designated in the applicable Option Agreement.</w:t>
      </w:r>
    </w:p>
    <w:p>
      <w:pPr>
        <w:spacing w:after="0" w:line="107" w:lineRule="exact"/>
        <w:rPr>
          <w:rFonts w:ascii="Arial" w:cs="Arial" w:eastAsia="Arial" w:hAnsi="Arial"/>
          <w:sz w:val="22"/>
          <w:szCs w:val="22"/>
          <w:color w:val="auto"/>
        </w:rPr>
      </w:pPr>
    </w:p>
    <w:p>
      <w:pPr>
        <w:ind w:right="320" w:firstLine="1304"/>
        <w:spacing w:after="0" w:line="256" w:lineRule="auto"/>
        <w:tabs>
          <w:tab w:leader="none" w:pos="1764"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Listed Security</w:t>
      </w:r>
      <w:r>
        <w:rPr>
          <w:rFonts w:ascii="Arial" w:cs="Arial" w:eastAsia="Arial" w:hAnsi="Arial"/>
          <w:sz w:val="22"/>
          <w:szCs w:val="22"/>
          <w:color w:val="auto"/>
        </w:rPr>
        <w:t>” means any security of the Company that is listed or approved for listing on a national securities exchange or designated or approved for designation as a national market system security on an interdealer quotation system by the Financial Industry Regulatory Authority.</w:t>
      </w:r>
    </w:p>
    <w:p>
      <w:pPr>
        <w:spacing w:after="0" w:line="122" w:lineRule="exact"/>
        <w:rPr>
          <w:rFonts w:ascii="Arial" w:cs="Arial" w:eastAsia="Arial" w:hAnsi="Arial"/>
          <w:sz w:val="22"/>
          <w:szCs w:val="22"/>
          <w:color w:val="auto"/>
        </w:rPr>
      </w:pPr>
    </w:p>
    <w:p>
      <w:pPr>
        <w:ind w:right="380" w:firstLine="1304"/>
        <w:spacing w:after="0" w:line="269" w:lineRule="auto"/>
        <w:tabs>
          <w:tab w:leader="none" w:pos="1764"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Nonstatutory Stock Option</w:t>
      </w:r>
      <w:r>
        <w:rPr>
          <w:rFonts w:ascii="Arial" w:cs="Arial" w:eastAsia="Arial" w:hAnsi="Arial"/>
          <w:sz w:val="22"/>
          <w:szCs w:val="22"/>
          <w:color w:val="auto"/>
        </w:rPr>
        <w:t>” means an Option not intended to qualify as an Incentive Stock Option, as designated in the applicable Option Agreement.</w:t>
      </w:r>
    </w:p>
    <w:p>
      <w:pPr>
        <w:spacing w:after="0" w:line="107" w:lineRule="exact"/>
        <w:rPr>
          <w:rFonts w:ascii="Arial" w:cs="Arial" w:eastAsia="Arial" w:hAnsi="Arial"/>
          <w:sz w:val="22"/>
          <w:szCs w:val="22"/>
          <w:color w:val="auto"/>
        </w:rPr>
      </w:pPr>
    </w:p>
    <w:p>
      <w:pPr>
        <w:ind w:left="1820" w:hanging="516"/>
        <w:spacing w:after="0"/>
        <w:tabs>
          <w:tab w:leader="none" w:pos="18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Officer</w:t>
      </w:r>
      <w:r>
        <w:rPr>
          <w:rFonts w:ascii="Arial" w:cs="Arial" w:eastAsia="Arial" w:hAnsi="Arial"/>
          <w:sz w:val="22"/>
          <w:szCs w:val="22"/>
          <w:color w:val="auto"/>
        </w:rPr>
        <w:t>” means any person designated by the Company as an officer.</w:t>
      </w:r>
    </w:p>
    <w:p>
      <w:pPr>
        <w:spacing w:after="0" w:line="165" w:lineRule="exact"/>
        <w:rPr>
          <w:rFonts w:ascii="Arial" w:cs="Arial" w:eastAsia="Arial" w:hAnsi="Arial"/>
          <w:sz w:val="22"/>
          <w:szCs w:val="22"/>
          <w:color w:val="auto"/>
        </w:rPr>
      </w:pPr>
    </w:p>
    <w:p>
      <w:pPr>
        <w:ind w:left="1780" w:hanging="476"/>
        <w:spacing w:after="0"/>
        <w:tabs>
          <w:tab w:leader="none" w:pos="17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w:t>
      </w:r>
      <w:r>
        <w:rPr>
          <w:rFonts w:ascii="Arial" w:cs="Arial" w:eastAsia="Arial" w:hAnsi="Arial"/>
          <w:sz w:val="22"/>
          <w:szCs w:val="22"/>
          <w:color w:val="auto"/>
        </w:rPr>
        <w:t>” means a stock option granted pursuant to the Plan.</w:t>
      </w:r>
    </w:p>
    <w:p>
      <w:pPr>
        <w:spacing w:after="0" w:line="165" w:lineRule="exact"/>
        <w:rPr>
          <w:rFonts w:ascii="Arial" w:cs="Arial" w:eastAsia="Arial" w:hAnsi="Arial"/>
          <w:sz w:val="22"/>
          <w:szCs w:val="22"/>
          <w:color w:val="auto"/>
        </w:rPr>
      </w:pPr>
    </w:p>
    <w:p>
      <w:pPr>
        <w:ind w:right="180" w:firstLine="1304"/>
        <w:spacing w:after="0" w:line="252" w:lineRule="auto"/>
        <w:tabs>
          <w:tab w:leader="none" w:pos="1764"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Agreement</w:t>
      </w:r>
      <w:r>
        <w:rPr>
          <w:rFonts w:ascii="Arial" w:cs="Arial" w:eastAsia="Arial" w:hAnsi="Arial"/>
          <w:sz w:val="22"/>
          <w:szCs w:val="22"/>
          <w:color w:val="auto"/>
        </w:rPr>
        <w:t>” means a written document, the form(s) of which shall be approved from time to time by the Administrator, reflecting the terms of an Option granted under the Plan and includes any documents attached to or incorporated into such Option Agreement, including, but not limited to, a notice of stock option grant and a form of exercise notice.</w:t>
      </w:r>
    </w:p>
    <w:p>
      <w:pPr>
        <w:spacing w:after="0" w:line="125" w:lineRule="exact"/>
        <w:rPr>
          <w:rFonts w:ascii="Arial" w:cs="Arial" w:eastAsia="Arial" w:hAnsi="Arial"/>
          <w:sz w:val="22"/>
          <w:szCs w:val="22"/>
          <w:color w:val="auto"/>
        </w:rPr>
      </w:pPr>
    </w:p>
    <w:p>
      <w:pPr>
        <w:ind w:right="540" w:firstLine="1304"/>
        <w:spacing w:after="0" w:line="256" w:lineRule="auto"/>
        <w:tabs>
          <w:tab w:leader="none" w:pos="175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Exchange Program</w:t>
      </w:r>
      <w:r>
        <w:rPr>
          <w:rFonts w:ascii="Arial" w:cs="Arial" w:eastAsia="Arial" w:hAnsi="Arial"/>
          <w:sz w:val="22"/>
          <w:szCs w:val="22"/>
          <w:color w:val="auto"/>
        </w:rPr>
        <w:t>” means a program approved by the Administrator whereby outstanding Options are exchanged for Options with a lower exercise price or are amended to decrease the exercise price as a result of a decline in the Fair Market Value of the Common Stock.</w:t>
      </w:r>
    </w:p>
    <w:p>
      <w:pPr>
        <w:spacing w:after="0" w:line="122" w:lineRule="exact"/>
        <w:rPr>
          <w:sz w:val="20"/>
          <w:szCs w:val="20"/>
          <w:color w:val="auto"/>
        </w:rPr>
      </w:pPr>
    </w:p>
    <w:p>
      <w:pPr>
        <w:ind w:left="1860" w:hanging="556"/>
        <w:spacing w:after="0"/>
        <w:tabs>
          <w:tab w:leader="none" w:pos="186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Optioned Stock</w:t>
      </w:r>
      <w:r>
        <w:rPr>
          <w:rFonts w:ascii="Arial" w:cs="Arial" w:eastAsia="Arial" w:hAnsi="Arial"/>
          <w:sz w:val="22"/>
          <w:szCs w:val="22"/>
          <w:color w:val="auto"/>
        </w:rPr>
        <w:t>” means the Common Stock subject to an Option.</w:t>
      </w:r>
    </w:p>
    <w:p>
      <w:pPr>
        <w:spacing w:after="0" w:line="165" w:lineRule="exact"/>
        <w:rPr>
          <w:rFonts w:ascii="Arial" w:cs="Arial" w:eastAsia="Arial" w:hAnsi="Arial"/>
          <w:sz w:val="22"/>
          <w:szCs w:val="22"/>
          <w:color w:val="auto"/>
        </w:rPr>
      </w:pPr>
    </w:p>
    <w:p>
      <w:pPr>
        <w:ind w:left="1880" w:hanging="576"/>
        <w:spacing w:after="0"/>
        <w:tabs>
          <w:tab w:leader="none" w:pos="18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Optionee</w:t>
      </w:r>
      <w:r>
        <w:rPr>
          <w:rFonts w:ascii="Arial" w:cs="Arial" w:eastAsia="Arial" w:hAnsi="Arial"/>
          <w:sz w:val="22"/>
          <w:szCs w:val="22"/>
          <w:color w:val="auto"/>
        </w:rPr>
        <w:t>” means an Employee or Consultant who receives an Option.</w:t>
      </w:r>
    </w:p>
    <w:p>
      <w:pPr>
        <w:spacing w:after="0" w:line="165" w:lineRule="exact"/>
        <w:rPr>
          <w:rFonts w:ascii="Arial" w:cs="Arial" w:eastAsia="Arial" w:hAnsi="Arial"/>
          <w:sz w:val="22"/>
          <w:szCs w:val="22"/>
          <w:color w:val="auto"/>
        </w:rPr>
      </w:pPr>
    </w:p>
    <w:p>
      <w:pPr>
        <w:ind w:right="180" w:firstLine="1304"/>
        <w:spacing w:after="0" w:line="269" w:lineRule="auto"/>
        <w:tabs>
          <w:tab w:leader="none" w:pos="1848" w:val="left"/>
        </w:tabs>
        <w:numPr>
          <w:ilvl w:val="0"/>
          <w:numId w:val="2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Parent</w:t>
      </w:r>
      <w:r>
        <w:rPr>
          <w:rFonts w:ascii="Arial" w:cs="Arial" w:eastAsia="Arial" w:hAnsi="Arial"/>
          <w:sz w:val="22"/>
          <w:szCs w:val="22"/>
          <w:color w:val="auto"/>
        </w:rPr>
        <w:t>” means a “parent corporation,” whether now or hereafter existing, as defined in Section 424(e) of the Code, or any successor provision.</w:t>
      </w:r>
    </w:p>
    <w:p>
      <w:pPr>
        <w:spacing w:after="0" w:line="107" w:lineRule="exact"/>
        <w:rPr>
          <w:rFonts w:ascii="Arial" w:cs="Arial" w:eastAsia="Arial" w:hAnsi="Arial"/>
          <w:sz w:val="22"/>
          <w:szCs w:val="22"/>
          <w:color w:val="auto"/>
        </w:rPr>
      </w:pPr>
    </w:p>
    <w:p>
      <w:pPr>
        <w:ind w:firstLine="1304"/>
        <w:spacing w:after="0" w:line="269" w:lineRule="auto"/>
        <w:tabs>
          <w:tab w:leader="none" w:pos="1872" w:val="left"/>
        </w:tabs>
        <w:numPr>
          <w:ilvl w:val="0"/>
          <w:numId w:val="2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means any holder of one or more Options or Stock Purchase Rights, or the Shares issuable or issued upon exercise of such awards, under the Plan.</w:t>
      </w:r>
    </w:p>
    <w:p>
      <w:pPr>
        <w:spacing w:after="0" w:line="107" w:lineRule="exact"/>
        <w:rPr>
          <w:rFonts w:ascii="Arial" w:cs="Arial" w:eastAsia="Arial" w:hAnsi="Arial"/>
          <w:sz w:val="22"/>
          <w:szCs w:val="22"/>
          <w:color w:val="auto"/>
        </w:rPr>
      </w:pPr>
    </w:p>
    <w:p>
      <w:pPr>
        <w:ind w:left="1860" w:hanging="556"/>
        <w:spacing w:after="0"/>
        <w:tabs>
          <w:tab w:leader="none" w:pos="186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means this Amended and Restated 2008 Stock Plan.</w:t>
      </w:r>
    </w:p>
    <w:p>
      <w:pPr>
        <w:spacing w:after="0" w:line="165" w:lineRule="exact"/>
        <w:rPr>
          <w:rFonts w:ascii="Arial" w:cs="Arial" w:eastAsia="Arial" w:hAnsi="Arial"/>
          <w:sz w:val="22"/>
          <w:szCs w:val="22"/>
          <w:color w:val="auto"/>
        </w:rPr>
      </w:pPr>
    </w:p>
    <w:p>
      <w:pPr>
        <w:ind w:right="60" w:firstLine="1304"/>
        <w:spacing w:after="0" w:line="269" w:lineRule="auto"/>
        <w:tabs>
          <w:tab w:leader="none" w:pos="179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Restricted Stock</w:t>
      </w:r>
      <w:r>
        <w:rPr>
          <w:rFonts w:ascii="Arial" w:cs="Arial" w:eastAsia="Arial" w:hAnsi="Arial"/>
          <w:sz w:val="22"/>
          <w:szCs w:val="22"/>
          <w:color w:val="auto"/>
        </w:rPr>
        <w:t>” means Shares of Common Stock acquired pursuant to a grant of a Stock Purchase Right under Section 10 below.</w:t>
      </w:r>
    </w:p>
    <w:p>
      <w:pPr>
        <w:spacing w:after="0" w:line="107" w:lineRule="exact"/>
        <w:rPr>
          <w:rFonts w:ascii="Arial" w:cs="Arial" w:eastAsia="Arial" w:hAnsi="Arial"/>
          <w:sz w:val="22"/>
          <w:szCs w:val="22"/>
          <w:color w:val="auto"/>
        </w:rPr>
      </w:pPr>
    </w:p>
    <w:p>
      <w:pPr>
        <w:ind w:right="540" w:firstLine="1304"/>
        <w:spacing w:after="0" w:line="256" w:lineRule="auto"/>
        <w:tabs>
          <w:tab w:leader="none" w:pos="1872" w:val="left"/>
        </w:tabs>
        <w:numPr>
          <w:ilvl w:val="0"/>
          <w:numId w:val="2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Restricted Stock Purchase Agreement</w:t>
      </w:r>
      <w:r>
        <w:rPr>
          <w:rFonts w:ascii="Arial" w:cs="Arial" w:eastAsia="Arial" w:hAnsi="Arial"/>
          <w:sz w:val="22"/>
          <w:szCs w:val="22"/>
          <w:color w:val="auto"/>
        </w:rPr>
        <w:t>” means a written document, the form(s) of which shall be approved from time to time by the Administrator, reflecting the terms of a Stock Purchase Right granted under the Plan and includes any documents attached to such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316" w:name="page317"/>
    <w:bookmarkEnd w:id="316"/>
    <w:p>
      <w:pPr>
        <w:ind w:right="260" w:firstLine="1304"/>
        <w:spacing w:after="0" w:line="269" w:lineRule="auto"/>
        <w:tabs>
          <w:tab w:leader="none" w:pos="1872" w:val="left"/>
        </w:tabs>
        <w:numPr>
          <w:ilvl w:val="0"/>
          <w:numId w:val="2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Rule 16b-3</w:t>
      </w:r>
      <w:r>
        <w:rPr>
          <w:rFonts w:ascii="Arial" w:cs="Arial" w:eastAsia="Arial" w:hAnsi="Arial"/>
          <w:sz w:val="22"/>
          <w:szCs w:val="22"/>
          <w:color w:val="auto"/>
        </w:rPr>
        <w:t>” means Rule 16b-3 promulgated under the Exchange Act, as amended from time to time, or any successor provision.</w:t>
      </w:r>
    </w:p>
    <w:p>
      <w:pPr>
        <w:spacing w:after="0" w:line="107" w:lineRule="exact"/>
        <w:rPr>
          <w:rFonts w:ascii="Arial" w:cs="Arial" w:eastAsia="Arial" w:hAnsi="Arial"/>
          <w:sz w:val="22"/>
          <w:szCs w:val="22"/>
          <w:color w:val="auto"/>
        </w:rPr>
      </w:pPr>
    </w:p>
    <w:p>
      <w:pPr>
        <w:ind w:left="1780" w:hanging="476"/>
        <w:spacing w:after="0"/>
        <w:tabs>
          <w:tab w:leader="none" w:pos="178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Share</w:t>
      </w:r>
      <w:r>
        <w:rPr>
          <w:rFonts w:ascii="Arial" w:cs="Arial" w:eastAsia="Arial" w:hAnsi="Arial"/>
          <w:sz w:val="21"/>
          <w:szCs w:val="21"/>
          <w:color w:val="auto"/>
        </w:rPr>
        <w:t>” means a share of the Common Stock, as adjusted in accordance with Section 13 of the Plan.</w:t>
      </w:r>
    </w:p>
    <w:p>
      <w:pPr>
        <w:spacing w:after="0" w:line="177" w:lineRule="exact"/>
        <w:rPr>
          <w:rFonts w:ascii="Arial" w:cs="Arial" w:eastAsia="Arial" w:hAnsi="Arial"/>
          <w:sz w:val="21"/>
          <w:szCs w:val="21"/>
          <w:color w:val="auto"/>
        </w:rPr>
      </w:pPr>
    </w:p>
    <w:p>
      <w:pPr>
        <w:ind w:right="120" w:firstLine="1304"/>
        <w:spacing w:after="0" w:line="269" w:lineRule="auto"/>
        <w:tabs>
          <w:tab w:leader="none" w:pos="1776" w:val="left"/>
        </w:tabs>
        <w:numPr>
          <w:ilvl w:val="0"/>
          <w:numId w:val="2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Stock Exchange</w:t>
      </w:r>
      <w:r>
        <w:rPr>
          <w:rFonts w:ascii="Arial" w:cs="Arial" w:eastAsia="Arial" w:hAnsi="Arial"/>
          <w:sz w:val="22"/>
          <w:szCs w:val="22"/>
          <w:color w:val="auto"/>
        </w:rPr>
        <w:t>” means any stock exchange or consolidated stock price reporting system on which prices for the Common Stock are quoted at any given time.</w:t>
      </w:r>
    </w:p>
    <w:p>
      <w:pPr>
        <w:spacing w:after="0" w:line="107" w:lineRule="exact"/>
        <w:rPr>
          <w:rFonts w:ascii="Arial" w:cs="Arial" w:eastAsia="Arial" w:hAnsi="Arial"/>
          <w:sz w:val="22"/>
          <w:szCs w:val="22"/>
          <w:color w:val="auto"/>
        </w:rPr>
      </w:pPr>
    </w:p>
    <w:p>
      <w:pPr>
        <w:ind w:left="1880" w:hanging="576"/>
        <w:spacing w:after="0"/>
        <w:tabs>
          <w:tab w:leader="none" w:pos="188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Stock Purchase Right</w:t>
      </w:r>
      <w:r>
        <w:rPr>
          <w:rFonts w:ascii="Arial" w:cs="Arial" w:eastAsia="Arial" w:hAnsi="Arial"/>
          <w:sz w:val="19"/>
          <w:szCs w:val="19"/>
          <w:color w:val="auto"/>
        </w:rPr>
        <w:t>” means the right to purchase or otherwise acquire Common Stock pursuant to</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10 below.</w:t>
      </w:r>
    </w:p>
    <w:p>
      <w:pPr>
        <w:spacing w:after="0" w:line="141" w:lineRule="exact"/>
        <w:rPr>
          <w:rFonts w:ascii="Arial" w:cs="Arial" w:eastAsia="Arial" w:hAnsi="Arial"/>
          <w:sz w:val="19"/>
          <w:szCs w:val="19"/>
          <w:color w:val="auto"/>
        </w:rPr>
      </w:pPr>
    </w:p>
    <w:p>
      <w:pPr>
        <w:ind w:left="1780" w:hanging="476"/>
        <w:spacing w:after="0"/>
        <w:tabs>
          <w:tab w:leader="none" w:pos="17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Subsidiary</w:t>
      </w:r>
      <w:r>
        <w:rPr>
          <w:rFonts w:ascii="Arial" w:cs="Arial" w:eastAsia="Arial" w:hAnsi="Arial"/>
          <w:sz w:val="22"/>
          <w:szCs w:val="22"/>
          <w:color w:val="auto"/>
        </w:rPr>
        <w:t>” means a “subsidiary corporation,” whether now or hereafter existing, as defined in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Section 424(f) of the Code, or any successor provision.</w:t>
      </w:r>
    </w:p>
    <w:p>
      <w:pPr>
        <w:spacing w:after="0" w:line="142" w:lineRule="exact"/>
        <w:rPr>
          <w:sz w:val="20"/>
          <w:szCs w:val="20"/>
          <w:color w:val="auto"/>
        </w:rPr>
      </w:pPr>
    </w:p>
    <w:p>
      <w:pPr>
        <w:ind w:right="200" w:firstLine="1304"/>
        <w:spacing w:after="0" w:line="269" w:lineRule="auto"/>
        <w:tabs>
          <w:tab w:leader="none" w:pos="1992" w:val="left"/>
        </w:tabs>
        <w:numPr>
          <w:ilvl w:val="1"/>
          <w:numId w:val="2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Ten Percent Holder</w:t>
      </w:r>
      <w:r>
        <w:rPr>
          <w:rFonts w:ascii="Arial" w:cs="Arial" w:eastAsia="Arial" w:hAnsi="Arial"/>
          <w:sz w:val="22"/>
          <w:szCs w:val="22"/>
          <w:color w:val="auto"/>
        </w:rPr>
        <w:t>” means a person who owns stock representing more than ten percent (10%) of the voting power of all classes of stock of the Company or any Parent or Subsidiary.</w:t>
      </w:r>
    </w:p>
    <w:p>
      <w:pPr>
        <w:spacing w:after="0" w:line="107" w:lineRule="exact"/>
        <w:rPr>
          <w:rFonts w:ascii="Arial" w:cs="Arial" w:eastAsia="Arial" w:hAnsi="Arial"/>
          <w:sz w:val="22"/>
          <w:szCs w:val="22"/>
          <w:color w:val="auto"/>
        </w:rPr>
      </w:pPr>
    </w:p>
    <w:p>
      <w:pPr>
        <w:ind w:firstLine="656"/>
        <w:spacing w:after="0" w:line="290" w:lineRule="auto"/>
        <w:tabs>
          <w:tab w:leader="none" w:pos="1026" w:val="left"/>
        </w:tabs>
        <w:numPr>
          <w:ilvl w:val="0"/>
          <w:numId w:val="219"/>
        </w:numPr>
        <w:rPr>
          <w:rFonts w:ascii="Arial" w:cs="Arial" w:eastAsia="Arial" w:hAnsi="Arial"/>
          <w:sz w:val="19"/>
          <w:szCs w:val="19"/>
          <w:color w:val="auto"/>
        </w:rPr>
      </w:pPr>
      <w:r>
        <w:rPr>
          <w:rFonts w:ascii="Arial" w:cs="Arial" w:eastAsia="Arial" w:hAnsi="Arial"/>
          <w:sz w:val="19"/>
          <w:szCs w:val="19"/>
          <w:b w:val="1"/>
          <w:bCs w:val="1"/>
          <w:u w:val="single" w:color="auto"/>
          <w:color w:val="auto"/>
        </w:rPr>
        <w:t>Stock Subject to the Plan</w:t>
      </w:r>
      <w:r>
        <w:rPr>
          <w:rFonts w:ascii="Arial" w:cs="Arial" w:eastAsia="Arial" w:hAnsi="Arial"/>
          <w:sz w:val="19"/>
          <w:szCs w:val="19"/>
          <w:color w:val="auto"/>
        </w:rPr>
        <w:t>. Subject to the provisions of Section 13 of the Plan, the maximum aggregate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that may be sold under the Plan is 45,471,170 Shares of Common Stock. The Shares may be authorized, but unissued, or reacquired Common Stock.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of Common Stock which are retained by the Company upon exercise of an Award in order to satisfy the exercise or purchase price for such award or any withholding taxes due with respect to such exercise or purchase shall be treated as not issued and shall continue to be available under the Plan. Shares issued under the Plan and later forfeited to the Company or repurchased by the Company pursuant to any repurchase right which the Company may have shall be available for future grant under the Plan.</w:t>
      </w:r>
    </w:p>
    <w:p>
      <w:pPr>
        <w:spacing w:after="0" w:line="94" w:lineRule="exact"/>
        <w:rPr>
          <w:rFonts w:ascii="Arial" w:cs="Arial" w:eastAsia="Arial" w:hAnsi="Arial"/>
          <w:sz w:val="19"/>
          <w:szCs w:val="19"/>
          <w:color w:val="auto"/>
        </w:rPr>
      </w:pPr>
    </w:p>
    <w:p>
      <w:pPr>
        <w:ind w:left="1040" w:hanging="384"/>
        <w:spacing w:after="0"/>
        <w:tabs>
          <w:tab w:leader="none" w:pos="1040" w:val="left"/>
        </w:tabs>
        <w:numPr>
          <w:ilvl w:val="0"/>
          <w:numId w:val="219"/>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 of the Plan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300" w:firstLine="1304"/>
        <w:spacing w:after="0" w:line="256" w:lineRule="auto"/>
        <w:tabs>
          <w:tab w:leader="none" w:pos="1752" w:val="left"/>
        </w:tabs>
        <w:numPr>
          <w:ilvl w:val="1"/>
          <w:numId w:val="219"/>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 The Plan shall be administered by the Board or a Committee or an Officer,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as determined by the Board. The Plan may be administered by different administrative bodies with respect to different classes of Participants.</w:t>
      </w:r>
    </w:p>
    <w:p>
      <w:pPr>
        <w:spacing w:after="0" w:line="122" w:lineRule="exact"/>
        <w:rPr>
          <w:rFonts w:ascii="Arial" w:cs="Arial" w:eastAsia="Arial" w:hAnsi="Arial"/>
          <w:sz w:val="22"/>
          <w:szCs w:val="22"/>
          <w:color w:val="auto"/>
        </w:rPr>
      </w:pPr>
    </w:p>
    <w:p>
      <w:pPr>
        <w:ind w:right="20" w:firstLine="1304"/>
        <w:spacing w:after="0" w:line="293" w:lineRule="auto"/>
        <w:tabs>
          <w:tab w:leader="none" w:pos="1764" w:val="left"/>
        </w:tabs>
        <w:numPr>
          <w:ilvl w:val="1"/>
          <w:numId w:val="219"/>
        </w:numPr>
        <w:rPr>
          <w:rFonts w:ascii="Arial" w:cs="Arial" w:eastAsia="Arial" w:hAnsi="Arial"/>
          <w:sz w:val="19"/>
          <w:szCs w:val="19"/>
          <w:color w:val="auto"/>
        </w:rPr>
      </w:pPr>
      <w:r>
        <w:rPr>
          <w:rFonts w:ascii="Arial" w:cs="Arial" w:eastAsia="Arial" w:hAnsi="Arial"/>
          <w:sz w:val="19"/>
          <w:szCs w:val="19"/>
          <w:b w:val="1"/>
          <w:bCs w:val="1"/>
          <w:u w:val="single" w:color="auto"/>
          <w:color w:val="auto"/>
        </w:rPr>
        <w:t>Delegation to a Committee</w:t>
      </w:r>
      <w:r>
        <w:rPr>
          <w:rFonts w:ascii="Arial" w:cs="Arial" w:eastAsia="Arial" w:hAnsi="Arial"/>
          <w:sz w:val="19"/>
          <w:szCs w:val="19"/>
          <w:color w:val="auto"/>
        </w:rPr>
        <w:t>. If a Committee has been appointed pursuant to this Section 4, such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continue to serve in its designated capacity until otherwise directed by the Board. From time to time the Board may increase the size of any Committee and appoint additional members thereof, remove members (with or without cause) and appoint new members in substitution therefor, fill vacancies (however caused) and remove all members of a Committee and thereafter directly administer the Plan, all to the extent permitted by the Applicable Laws and, in the case of a Committee administering the Plan in accordance with the requirements of Rule 16b-3 or Section 162(m) of the Code, to the extent permitted or required by such provisions. The Committee shall in all events conform to any requirements of the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2" w:right="359" w:bottom="1440" w:gutter="0" w:footer="0" w:header="0"/>
        </w:sectPr>
      </w:pPr>
    </w:p>
    <w:bookmarkStart w:id="317" w:name="page318"/>
    <w:bookmarkEnd w:id="317"/>
    <w:p>
      <w:pPr>
        <w:ind w:firstLine="1304"/>
        <w:spacing w:after="0" w:line="289" w:lineRule="auto"/>
        <w:tabs>
          <w:tab w:leader="none" w:pos="1752" w:val="left"/>
        </w:tabs>
        <w:numPr>
          <w:ilvl w:val="0"/>
          <w:numId w:val="220"/>
        </w:numPr>
        <w:rPr>
          <w:rFonts w:ascii="Arial" w:cs="Arial" w:eastAsia="Arial" w:hAnsi="Arial"/>
          <w:sz w:val="19"/>
          <w:szCs w:val="19"/>
          <w:color w:val="auto"/>
        </w:rPr>
      </w:pPr>
      <w:r>
        <w:rPr>
          <w:rFonts w:ascii="Arial" w:cs="Arial" w:eastAsia="Arial" w:hAnsi="Arial"/>
          <w:sz w:val="19"/>
          <w:szCs w:val="19"/>
          <w:b w:val="1"/>
          <w:bCs w:val="1"/>
          <w:u w:val="single" w:color="auto"/>
          <w:color w:val="auto"/>
        </w:rPr>
        <w:t>Delegation to an Officer</w:t>
      </w:r>
      <w:r>
        <w:rPr>
          <w:rFonts w:ascii="Arial" w:cs="Arial" w:eastAsia="Arial" w:hAnsi="Arial"/>
          <w:sz w:val="19"/>
          <w:szCs w:val="19"/>
          <w:color w:val="auto"/>
        </w:rPr>
        <w:t>. The Board may delegate to one (1) or more Officers the authority to do one or</w:t>
      </w:r>
      <w:r>
        <w:rPr>
          <w:rFonts w:ascii="Arial" w:cs="Arial" w:eastAsia="Arial" w:hAnsi="Arial"/>
          <w:sz w:val="19"/>
          <w:szCs w:val="19"/>
          <w:b w:val="1"/>
          <w:bCs w:val="1"/>
          <w:color w:val="auto"/>
        </w:rPr>
        <w:t xml:space="preserve"> </w:t>
      </w:r>
      <w:r>
        <w:rPr>
          <w:rFonts w:ascii="Arial" w:cs="Arial" w:eastAsia="Arial" w:hAnsi="Arial"/>
          <w:sz w:val="19"/>
          <w:szCs w:val="19"/>
          <w:color w:val="auto"/>
        </w:rPr>
        <w:t>both of the following: (i) designate Employees who are not Officers or Directors to be recipients of Options (and, to the extent permitted by applicable law, Stock Purchase Rights) and, to the extent permitted by applicable law, the terms of such Options and Stock Purchase Rights, and (ii) determine the number of Shares subject to such Options and Stock Purchase Rights granted to such Employees; provided, however, that the Board resolutions regarding such delegation will specify the total number of Shares that may be subject to the Options and Stock Purchase Rights granted by such Officer and that such Officer may not grant an Option or Stock Purchase Right to himself or herself. Any such Options and Stock Purchase Rights will be granted on the form of grant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2(s) of the Plan.</w:t>
      </w:r>
    </w:p>
    <w:p>
      <w:pPr>
        <w:spacing w:after="0" w:line="96" w:lineRule="exact"/>
        <w:rPr>
          <w:rFonts w:ascii="Arial" w:cs="Arial" w:eastAsia="Arial" w:hAnsi="Arial"/>
          <w:sz w:val="19"/>
          <w:szCs w:val="19"/>
          <w:color w:val="auto"/>
        </w:rPr>
      </w:pPr>
    </w:p>
    <w:p>
      <w:pPr>
        <w:ind w:right="500" w:firstLine="1304"/>
        <w:spacing w:after="0" w:line="349" w:lineRule="auto"/>
        <w:tabs>
          <w:tab w:leader="none" w:pos="1764" w:val="left"/>
        </w:tabs>
        <w:numPr>
          <w:ilvl w:val="0"/>
          <w:numId w:val="220"/>
        </w:numPr>
        <w:rPr>
          <w:rFonts w:ascii="Arial" w:cs="Arial" w:eastAsia="Arial" w:hAnsi="Arial"/>
          <w:sz w:val="19"/>
          <w:szCs w:val="19"/>
          <w:color w:val="auto"/>
        </w:rPr>
      </w:pPr>
      <w:r>
        <w:rPr>
          <w:rFonts w:ascii="Arial" w:cs="Arial" w:eastAsia="Arial" w:hAnsi="Arial"/>
          <w:sz w:val="19"/>
          <w:szCs w:val="19"/>
          <w:b w:val="1"/>
          <w:bCs w:val="1"/>
          <w:u w:val="single" w:color="auto"/>
          <w:color w:val="auto"/>
        </w:rPr>
        <w:t>Powers of the Administrator</w:t>
      </w:r>
      <w:r>
        <w:rPr>
          <w:rFonts w:ascii="Arial" w:cs="Arial" w:eastAsia="Arial" w:hAnsi="Arial"/>
          <w:sz w:val="19"/>
          <w:szCs w:val="19"/>
          <w:color w:val="auto"/>
        </w:rPr>
        <w:t>. Subject to the provisions of the Plan and in the case of a Committee, the</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 duties delegated by the Board to such Committee, the Administrator shall have the authority, in its discretion:</w:t>
      </w:r>
    </w:p>
    <w:p>
      <w:pPr>
        <w:spacing w:after="0" w:line="45" w:lineRule="exact"/>
        <w:rPr>
          <w:rFonts w:ascii="Arial" w:cs="Arial" w:eastAsia="Arial" w:hAnsi="Arial"/>
          <w:sz w:val="19"/>
          <w:szCs w:val="19"/>
          <w:color w:val="auto"/>
        </w:rPr>
      </w:pPr>
    </w:p>
    <w:p>
      <w:pPr>
        <w:ind w:firstLine="1952"/>
        <w:spacing w:after="0" w:line="287" w:lineRule="auto"/>
        <w:tabs>
          <w:tab w:leader="none" w:pos="2364" w:val="left"/>
        </w:tabs>
        <w:numPr>
          <w:ilvl w:val="1"/>
          <w:numId w:val="220"/>
        </w:numPr>
        <w:rPr>
          <w:rFonts w:ascii="Arial" w:cs="Arial" w:eastAsia="Arial" w:hAnsi="Arial"/>
          <w:sz w:val="21"/>
          <w:szCs w:val="21"/>
          <w:color w:val="auto"/>
        </w:rPr>
      </w:pPr>
      <w:r>
        <w:rPr>
          <w:rFonts w:ascii="Arial" w:cs="Arial" w:eastAsia="Arial" w:hAnsi="Arial"/>
          <w:sz w:val="21"/>
          <w:szCs w:val="21"/>
          <w:color w:val="auto"/>
        </w:rPr>
        <w:t>to determine the Fair Market Value of the Common Stock, in accordance with Section 2(s) of the Plan, provided that such determination shall be applied consistently with respect to Participants under the Plan;</w:t>
      </w:r>
    </w:p>
    <w:p>
      <w:pPr>
        <w:spacing w:after="0" w:line="97" w:lineRule="exact"/>
        <w:rPr>
          <w:rFonts w:ascii="Arial" w:cs="Arial" w:eastAsia="Arial" w:hAnsi="Arial"/>
          <w:sz w:val="21"/>
          <w:szCs w:val="21"/>
          <w:color w:val="auto"/>
        </w:rPr>
      </w:pPr>
    </w:p>
    <w:p>
      <w:pPr>
        <w:ind w:left="2440" w:hanging="488"/>
        <w:spacing w:after="0"/>
        <w:tabs>
          <w:tab w:leader="none" w:pos="2440" w:val="left"/>
        </w:tabs>
        <w:numPr>
          <w:ilvl w:val="1"/>
          <w:numId w:val="220"/>
        </w:numPr>
        <w:rPr>
          <w:rFonts w:ascii="Arial" w:cs="Arial" w:eastAsia="Arial" w:hAnsi="Arial"/>
          <w:sz w:val="19"/>
          <w:szCs w:val="19"/>
          <w:color w:val="auto"/>
        </w:rPr>
      </w:pPr>
      <w:r>
        <w:rPr>
          <w:rFonts w:ascii="Arial" w:cs="Arial" w:eastAsia="Arial" w:hAnsi="Arial"/>
          <w:sz w:val="19"/>
          <w:szCs w:val="19"/>
          <w:color w:val="auto"/>
        </w:rPr>
        <w:t>to select the Employees and Consultants to whom Plan Awards may from time to time be granted;</w:t>
      </w:r>
    </w:p>
    <w:p>
      <w:pPr>
        <w:spacing w:after="0" w:line="200" w:lineRule="exact"/>
        <w:rPr>
          <w:rFonts w:ascii="Arial" w:cs="Arial" w:eastAsia="Arial" w:hAnsi="Arial"/>
          <w:sz w:val="19"/>
          <w:szCs w:val="19"/>
          <w:color w:val="auto"/>
        </w:rPr>
      </w:pPr>
    </w:p>
    <w:p>
      <w:pPr>
        <w:ind w:left="2500" w:hanging="548"/>
        <w:spacing w:after="0"/>
        <w:tabs>
          <w:tab w:leader="none" w:pos="2500" w:val="left"/>
        </w:tabs>
        <w:numPr>
          <w:ilvl w:val="1"/>
          <w:numId w:val="220"/>
        </w:numPr>
        <w:rPr>
          <w:rFonts w:ascii="Arial" w:cs="Arial" w:eastAsia="Arial" w:hAnsi="Arial"/>
          <w:sz w:val="22"/>
          <w:szCs w:val="22"/>
          <w:color w:val="auto"/>
        </w:rPr>
      </w:pPr>
      <w:r>
        <w:rPr>
          <w:rFonts w:ascii="Arial" w:cs="Arial" w:eastAsia="Arial" w:hAnsi="Arial"/>
          <w:sz w:val="22"/>
          <w:szCs w:val="22"/>
          <w:color w:val="auto"/>
        </w:rPr>
        <w:t>to determine whether and to what extent Plan Awards are granted;</w:t>
      </w:r>
    </w:p>
    <w:p>
      <w:pPr>
        <w:spacing w:after="0" w:line="165" w:lineRule="exact"/>
        <w:rPr>
          <w:rFonts w:ascii="Arial" w:cs="Arial" w:eastAsia="Arial" w:hAnsi="Arial"/>
          <w:sz w:val="22"/>
          <w:szCs w:val="22"/>
          <w:color w:val="auto"/>
        </w:rPr>
      </w:pPr>
    </w:p>
    <w:p>
      <w:pPr>
        <w:ind w:left="2480" w:hanging="528"/>
        <w:spacing w:after="0"/>
        <w:tabs>
          <w:tab w:leader="none" w:pos="2480" w:val="left"/>
        </w:tabs>
        <w:numPr>
          <w:ilvl w:val="1"/>
          <w:numId w:val="220"/>
        </w:numPr>
        <w:rPr>
          <w:rFonts w:ascii="Arial" w:cs="Arial" w:eastAsia="Arial" w:hAnsi="Arial"/>
          <w:sz w:val="21"/>
          <w:szCs w:val="21"/>
          <w:color w:val="auto"/>
        </w:rPr>
      </w:pPr>
      <w:r>
        <w:rPr>
          <w:rFonts w:ascii="Arial" w:cs="Arial" w:eastAsia="Arial" w:hAnsi="Arial"/>
          <w:sz w:val="21"/>
          <w:szCs w:val="21"/>
          <w:color w:val="auto"/>
        </w:rPr>
        <w:t>to determine the number of Shares of Common Stock to be covered by each Award granted;</w:t>
      </w:r>
    </w:p>
    <w:p>
      <w:pPr>
        <w:spacing w:after="0" w:line="177" w:lineRule="exact"/>
        <w:rPr>
          <w:rFonts w:ascii="Arial" w:cs="Arial" w:eastAsia="Arial" w:hAnsi="Arial"/>
          <w:sz w:val="21"/>
          <w:szCs w:val="21"/>
          <w:color w:val="auto"/>
        </w:rPr>
      </w:pPr>
    </w:p>
    <w:p>
      <w:pPr>
        <w:ind w:left="2420" w:hanging="468"/>
        <w:spacing w:after="0"/>
        <w:tabs>
          <w:tab w:leader="none" w:pos="2420" w:val="left"/>
        </w:tabs>
        <w:numPr>
          <w:ilvl w:val="1"/>
          <w:numId w:val="220"/>
        </w:numPr>
        <w:rPr>
          <w:rFonts w:ascii="Arial" w:cs="Arial" w:eastAsia="Arial" w:hAnsi="Arial"/>
          <w:sz w:val="22"/>
          <w:szCs w:val="22"/>
          <w:color w:val="auto"/>
        </w:rPr>
      </w:pPr>
      <w:r>
        <w:rPr>
          <w:rFonts w:ascii="Arial" w:cs="Arial" w:eastAsia="Arial" w:hAnsi="Arial"/>
          <w:sz w:val="22"/>
          <w:szCs w:val="22"/>
          <w:color w:val="auto"/>
        </w:rPr>
        <w:t>to approve the form(s) of agreement(s) used under the Plan;</w:t>
      </w:r>
    </w:p>
    <w:p>
      <w:pPr>
        <w:spacing w:after="0" w:line="165" w:lineRule="exact"/>
        <w:rPr>
          <w:rFonts w:ascii="Arial" w:cs="Arial" w:eastAsia="Arial" w:hAnsi="Arial"/>
          <w:sz w:val="22"/>
          <w:szCs w:val="22"/>
          <w:color w:val="auto"/>
        </w:rPr>
      </w:pPr>
    </w:p>
    <w:p>
      <w:pPr>
        <w:ind w:firstLine="1952"/>
        <w:spacing w:after="0" w:line="261" w:lineRule="auto"/>
        <w:tabs>
          <w:tab w:leader="none" w:pos="2472" w:val="left"/>
        </w:tabs>
        <w:numPr>
          <w:ilvl w:val="1"/>
          <w:numId w:val="220"/>
        </w:numPr>
        <w:rPr>
          <w:rFonts w:ascii="Arial" w:cs="Arial" w:eastAsia="Arial" w:hAnsi="Arial"/>
          <w:sz w:val="21"/>
          <w:szCs w:val="21"/>
          <w:color w:val="auto"/>
        </w:rPr>
      </w:pPr>
      <w:r>
        <w:rPr>
          <w:rFonts w:ascii="Arial" w:cs="Arial" w:eastAsia="Arial" w:hAnsi="Arial"/>
          <w:sz w:val="21"/>
          <w:szCs w:val="21"/>
          <w:color w:val="auto"/>
        </w:rPr>
        <w:t>to determine the terms and conditions, not inconsistent with the terms of the Plan, of any Award granted hereunder, which terms and conditions include but are not limited to the exercise or purchase price, the time or times when Awards may be exercised (which may be based on performance criteria), any vesting acceleration or waiver of forfeiture restrictions, any pro rata adjustment to vesting as a result of a Participant’s transitioning from full- to part-time service (or vice versa), and any restriction or limitation regarding any Option, Optioned Stock, Stock Purchase Right or Restricted Stock, based in each case on such factors as the Administrator, in its sole discretion, shall determine;</w:t>
      </w:r>
    </w:p>
    <w:p>
      <w:pPr>
        <w:spacing w:after="0" w:line="125" w:lineRule="exact"/>
        <w:rPr>
          <w:rFonts w:ascii="Arial" w:cs="Arial" w:eastAsia="Arial" w:hAnsi="Arial"/>
          <w:sz w:val="21"/>
          <w:szCs w:val="21"/>
          <w:color w:val="auto"/>
        </w:rPr>
      </w:pPr>
    </w:p>
    <w:p>
      <w:pPr>
        <w:ind w:left="2540" w:hanging="588"/>
        <w:spacing w:after="0"/>
        <w:tabs>
          <w:tab w:leader="none" w:pos="2540" w:val="left"/>
        </w:tabs>
        <w:numPr>
          <w:ilvl w:val="1"/>
          <w:numId w:val="220"/>
        </w:numPr>
        <w:rPr>
          <w:rFonts w:ascii="Arial" w:cs="Arial" w:eastAsia="Arial" w:hAnsi="Arial"/>
          <w:sz w:val="21"/>
          <w:szCs w:val="21"/>
          <w:color w:val="auto"/>
        </w:rPr>
      </w:pPr>
      <w:r>
        <w:rPr>
          <w:rFonts w:ascii="Arial" w:cs="Arial" w:eastAsia="Arial" w:hAnsi="Arial"/>
          <w:sz w:val="21"/>
          <w:szCs w:val="21"/>
          <w:color w:val="auto"/>
        </w:rPr>
        <w:t>to determine whether and under what circumstances an Option may be settled in cash under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Section 9(c) instead of Common Stock;</w:t>
      </w:r>
    </w:p>
    <w:p>
      <w:pPr>
        <w:spacing w:after="0" w:line="148" w:lineRule="exact"/>
        <w:rPr>
          <w:sz w:val="20"/>
          <w:szCs w:val="20"/>
          <w:color w:val="auto"/>
        </w:rPr>
      </w:pPr>
    </w:p>
    <w:p>
      <w:pPr>
        <w:ind w:firstLine="1952"/>
        <w:spacing w:after="0" w:line="263" w:lineRule="auto"/>
        <w:tabs>
          <w:tab w:leader="none" w:pos="2592"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to implement an Option Exchange Program on such terms and conditions as the Administrator in its discretion deems appropriate, provided that no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2" w:right="339" w:bottom="1440" w:gutter="0" w:footer="0" w:header="0"/>
        </w:sectPr>
      </w:pPr>
    </w:p>
    <w:bookmarkStart w:id="318" w:name="page319"/>
    <w:bookmarkEnd w:id="318"/>
    <w:p>
      <w:pPr>
        <w:ind w:right="160"/>
        <w:spacing w:after="0" w:line="263" w:lineRule="auto"/>
        <w:rPr>
          <w:sz w:val="20"/>
          <w:szCs w:val="20"/>
          <w:color w:val="auto"/>
        </w:rPr>
      </w:pPr>
      <w:r>
        <w:rPr>
          <w:rFonts w:ascii="Arial" w:cs="Arial" w:eastAsia="Arial" w:hAnsi="Arial"/>
          <w:sz w:val="22"/>
          <w:szCs w:val="22"/>
          <w:color w:val="auto"/>
        </w:rPr>
        <w:t>or adjustment to an Option that would materially and adversely affect the rights of any Optionee shall be made without the prior written consent of the Optionee;</w:t>
      </w:r>
    </w:p>
    <w:p>
      <w:pPr>
        <w:spacing w:after="0" w:line="121" w:lineRule="exact"/>
        <w:rPr>
          <w:sz w:val="20"/>
          <w:szCs w:val="20"/>
          <w:color w:val="auto"/>
        </w:rPr>
      </w:pPr>
    </w:p>
    <w:p>
      <w:pPr>
        <w:ind w:right="260" w:firstLine="1952"/>
        <w:spacing w:after="0" w:line="263" w:lineRule="auto"/>
        <w:tabs>
          <w:tab w:leader="none" w:pos="2472" w:val="left"/>
        </w:tabs>
        <w:numPr>
          <w:ilvl w:val="2"/>
          <w:numId w:val="222"/>
        </w:numPr>
        <w:rPr>
          <w:rFonts w:ascii="Arial" w:cs="Arial" w:eastAsia="Arial" w:hAnsi="Arial"/>
          <w:sz w:val="22"/>
          <w:szCs w:val="22"/>
          <w:color w:val="auto"/>
        </w:rPr>
      </w:pPr>
      <w:r>
        <w:rPr>
          <w:rFonts w:ascii="Arial" w:cs="Arial" w:eastAsia="Arial" w:hAnsi="Arial"/>
          <w:sz w:val="22"/>
          <w:szCs w:val="22"/>
          <w:color w:val="auto"/>
        </w:rPr>
        <w:t>to adjust the vesting of an Option held by an Employee or Consultant as a result of a change in the terms or conditions under which such person is providing services to the Company;</w:t>
      </w:r>
    </w:p>
    <w:p>
      <w:pPr>
        <w:spacing w:after="0" w:line="120" w:lineRule="exact"/>
        <w:rPr>
          <w:rFonts w:ascii="Arial" w:cs="Arial" w:eastAsia="Arial" w:hAnsi="Arial"/>
          <w:sz w:val="22"/>
          <w:szCs w:val="22"/>
          <w:color w:val="auto"/>
        </w:rPr>
      </w:pPr>
    </w:p>
    <w:p>
      <w:pPr>
        <w:ind w:right="1160" w:firstLine="1952"/>
        <w:spacing w:after="0" w:line="287" w:lineRule="auto"/>
        <w:tabs>
          <w:tab w:leader="none" w:pos="2412" w:val="left"/>
        </w:tabs>
        <w:numPr>
          <w:ilvl w:val="2"/>
          <w:numId w:val="222"/>
        </w:numPr>
        <w:rPr>
          <w:rFonts w:ascii="Arial" w:cs="Arial" w:eastAsia="Arial" w:hAnsi="Arial"/>
          <w:sz w:val="21"/>
          <w:szCs w:val="21"/>
          <w:color w:val="auto"/>
        </w:rPr>
      </w:pPr>
      <w:r>
        <w:rPr>
          <w:rFonts w:ascii="Arial" w:cs="Arial" w:eastAsia="Arial" w:hAnsi="Arial"/>
          <w:sz w:val="21"/>
          <w:szCs w:val="21"/>
          <w:color w:val="auto"/>
        </w:rPr>
        <w:t>to construe and interpret the terms of the Plan and Awards granted under the Plan, which constructions, interpretations and decisions shall be final and binding on all Participants; and</w:t>
      </w:r>
    </w:p>
    <w:p>
      <w:pPr>
        <w:spacing w:after="0" w:line="97" w:lineRule="exact"/>
        <w:rPr>
          <w:rFonts w:ascii="Arial" w:cs="Arial" w:eastAsia="Arial" w:hAnsi="Arial"/>
          <w:sz w:val="21"/>
          <w:szCs w:val="21"/>
          <w:color w:val="auto"/>
        </w:rPr>
      </w:pPr>
    </w:p>
    <w:p>
      <w:pPr>
        <w:ind w:right="220" w:firstLine="1952"/>
        <w:spacing w:after="0" w:line="253" w:lineRule="auto"/>
        <w:tabs>
          <w:tab w:leader="none" w:pos="2472" w:val="left"/>
        </w:tabs>
        <w:numPr>
          <w:ilvl w:val="2"/>
          <w:numId w:val="222"/>
        </w:numPr>
        <w:rPr>
          <w:rFonts w:ascii="Arial" w:cs="Arial" w:eastAsia="Arial" w:hAnsi="Arial"/>
          <w:sz w:val="22"/>
          <w:szCs w:val="22"/>
          <w:color w:val="auto"/>
        </w:rPr>
      </w:pPr>
      <w:r>
        <w:rPr>
          <w:rFonts w:ascii="Arial" w:cs="Arial" w:eastAsia="Arial" w:hAnsi="Arial"/>
          <w:sz w:val="22"/>
          <w:szCs w:val="22"/>
          <w:color w:val="auto"/>
        </w:rPr>
        <w:t>in order to fulfill the purposes of the Plan and without amending the Plan, to modify grants of Options or Stock Purchase Rights to Participants who are foreign nationals or employed outside of the United States in order to recognize differences in local law, tax policies or customs.</w:t>
      </w:r>
    </w:p>
    <w:p>
      <w:pPr>
        <w:spacing w:after="0" w:line="125" w:lineRule="exact"/>
        <w:rPr>
          <w:rFonts w:ascii="Arial" w:cs="Arial" w:eastAsia="Arial" w:hAnsi="Arial"/>
          <w:sz w:val="22"/>
          <w:szCs w:val="22"/>
          <w:color w:val="auto"/>
        </w:rPr>
      </w:pPr>
    </w:p>
    <w:p>
      <w:pPr>
        <w:ind w:left="1040" w:hanging="384"/>
        <w:spacing w:after="0"/>
        <w:tabs>
          <w:tab w:leader="none" w:pos="1040" w:val="left"/>
        </w:tabs>
        <w:numPr>
          <w:ilvl w:val="0"/>
          <w:numId w:val="223"/>
        </w:numPr>
        <w:rPr>
          <w:rFonts w:ascii="Arial" w:cs="Arial" w:eastAsia="Arial" w:hAnsi="Arial"/>
          <w:sz w:val="22"/>
          <w:szCs w:val="22"/>
          <w:color w:val="auto"/>
        </w:rPr>
      </w:pPr>
      <w:r>
        <w:rPr>
          <w:rFonts w:ascii="Arial" w:cs="Arial" w:eastAsia="Arial" w:hAnsi="Arial"/>
          <w:sz w:val="22"/>
          <w:szCs w:val="22"/>
          <w:b w:val="1"/>
          <w:bCs w:val="1"/>
          <w:u w:val="single" w:color="auto"/>
          <w:color w:val="auto"/>
        </w:rPr>
        <w:t>Eligibility</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80" w:firstLine="1304"/>
        <w:spacing w:after="0" w:line="249" w:lineRule="auto"/>
        <w:tabs>
          <w:tab w:leader="none" w:pos="1752" w:val="left"/>
        </w:tabs>
        <w:numPr>
          <w:ilvl w:val="1"/>
          <w:numId w:val="223"/>
        </w:numPr>
        <w:rPr>
          <w:rFonts w:ascii="Arial" w:cs="Arial" w:eastAsia="Arial" w:hAnsi="Arial"/>
          <w:sz w:val="22"/>
          <w:szCs w:val="22"/>
          <w:color w:val="auto"/>
        </w:rPr>
      </w:pPr>
      <w:r>
        <w:rPr>
          <w:rFonts w:ascii="Arial" w:cs="Arial" w:eastAsia="Arial" w:hAnsi="Arial"/>
          <w:sz w:val="22"/>
          <w:szCs w:val="22"/>
          <w:b w:val="1"/>
          <w:bCs w:val="1"/>
          <w:u w:val="single" w:color="auto"/>
          <w:color w:val="auto"/>
        </w:rPr>
        <w:t>Recipients of Grants</w:t>
      </w:r>
      <w:r>
        <w:rPr>
          <w:rFonts w:ascii="Arial" w:cs="Arial" w:eastAsia="Arial" w:hAnsi="Arial"/>
          <w:sz w:val="22"/>
          <w:szCs w:val="22"/>
          <w:color w:val="auto"/>
        </w:rPr>
        <w:t>. Nonstatutory Stock Options and Stock Purchase Rights may be granted to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Consultants. Incentive Stock Options may be granted only to Employees, provided that Employees of Affiliates shall not be eligible to receive Incentive Stock Options. Notwithstanding the foregoing, Options may not be granted to Employees and Consultants who provide services only to a Parent of the Company, unless such Options comply with the distribution requirements of Section 409A of the Code.</w:t>
      </w:r>
    </w:p>
    <w:p>
      <w:pPr>
        <w:spacing w:after="0" w:line="132" w:lineRule="exact"/>
        <w:rPr>
          <w:rFonts w:ascii="Arial" w:cs="Arial" w:eastAsia="Arial" w:hAnsi="Arial"/>
          <w:sz w:val="22"/>
          <w:szCs w:val="22"/>
          <w:color w:val="auto"/>
        </w:rPr>
      </w:pPr>
    </w:p>
    <w:p>
      <w:pPr>
        <w:ind w:right="540" w:firstLine="1304"/>
        <w:spacing w:after="0" w:line="269" w:lineRule="auto"/>
        <w:tabs>
          <w:tab w:leader="none" w:pos="1764" w:val="left"/>
        </w:tabs>
        <w:numPr>
          <w:ilvl w:val="1"/>
          <w:numId w:val="223"/>
        </w:numPr>
        <w:rPr>
          <w:rFonts w:ascii="Arial" w:cs="Arial" w:eastAsia="Arial" w:hAnsi="Arial"/>
          <w:sz w:val="22"/>
          <w:szCs w:val="22"/>
          <w:color w:val="auto"/>
        </w:rPr>
      </w:pPr>
      <w:r>
        <w:rPr>
          <w:rFonts w:ascii="Arial" w:cs="Arial" w:eastAsia="Arial" w:hAnsi="Arial"/>
          <w:sz w:val="22"/>
          <w:szCs w:val="22"/>
          <w:b w:val="1"/>
          <w:bCs w:val="1"/>
          <w:u w:val="single" w:color="auto"/>
          <w:color w:val="auto"/>
        </w:rPr>
        <w:t>Type of Option</w:t>
      </w:r>
      <w:r>
        <w:rPr>
          <w:rFonts w:ascii="Arial" w:cs="Arial" w:eastAsia="Arial" w:hAnsi="Arial"/>
          <w:sz w:val="22"/>
          <w:szCs w:val="22"/>
          <w:color w:val="auto"/>
        </w:rPr>
        <w:t>. Each Option shall be designated in the Option Agreement as either an Incentive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 or a Nonstatutory Stock Option.</w:t>
      </w:r>
    </w:p>
    <w:p>
      <w:pPr>
        <w:spacing w:after="0" w:line="107" w:lineRule="exact"/>
        <w:rPr>
          <w:rFonts w:ascii="Arial" w:cs="Arial" w:eastAsia="Arial" w:hAnsi="Arial"/>
          <w:sz w:val="22"/>
          <w:szCs w:val="22"/>
          <w:color w:val="auto"/>
        </w:rPr>
      </w:pPr>
    </w:p>
    <w:p>
      <w:pPr>
        <w:ind w:right="40" w:firstLine="1304"/>
        <w:spacing w:after="0" w:line="295" w:lineRule="auto"/>
        <w:tabs>
          <w:tab w:leader="none" w:pos="1752" w:val="left"/>
        </w:tabs>
        <w:numPr>
          <w:ilvl w:val="1"/>
          <w:numId w:val="223"/>
        </w:numPr>
        <w:rPr>
          <w:rFonts w:ascii="Arial" w:cs="Arial" w:eastAsia="Arial" w:hAnsi="Arial"/>
          <w:sz w:val="19"/>
          <w:szCs w:val="19"/>
          <w:color w:val="auto"/>
        </w:rPr>
      </w:pPr>
      <w:r>
        <w:rPr>
          <w:rFonts w:ascii="Arial" w:cs="Arial" w:eastAsia="Arial" w:hAnsi="Arial"/>
          <w:sz w:val="19"/>
          <w:szCs w:val="19"/>
          <w:b w:val="1"/>
          <w:bCs w:val="1"/>
          <w:u w:val="single" w:color="auto"/>
          <w:color w:val="auto"/>
        </w:rPr>
        <w:t>ISO $100,000 Limitation</w:t>
      </w:r>
      <w:r>
        <w:rPr>
          <w:rFonts w:ascii="Arial" w:cs="Arial" w:eastAsia="Arial" w:hAnsi="Arial"/>
          <w:sz w:val="19"/>
          <w:szCs w:val="19"/>
          <w:color w:val="auto"/>
        </w:rPr>
        <w:t>. Notwithstanding any designation under Section 5(b), to the extent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Fair Market Value of 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5(c), Incentive Stock Options shall be taken into account in the order in which they were granted, and the Fair Market Value of the Shares subject to an Incentive Stock Option shall be determined as of the date of the grant of such Option.</w:t>
      </w:r>
    </w:p>
    <w:p>
      <w:pPr>
        <w:spacing w:after="0" w:line="89" w:lineRule="exact"/>
        <w:rPr>
          <w:rFonts w:ascii="Arial" w:cs="Arial" w:eastAsia="Arial" w:hAnsi="Arial"/>
          <w:sz w:val="19"/>
          <w:szCs w:val="19"/>
          <w:color w:val="auto"/>
        </w:rPr>
      </w:pPr>
    </w:p>
    <w:p>
      <w:pPr>
        <w:ind w:right="480" w:firstLine="1304"/>
        <w:spacing w:after="0" w:line="315" w:lineRule="auto"/>
        <w:tabs>
          <w:tab w:leader="none" w:pos="1764" w:val="left"/>
        </w:tabs>
        <w:numPr>
          <w:ilvl w:val="1"/>
          <w:numId w:val="223"/>
        </w:numPr>
        <w:rPr>
          <w:rFonts w:ascii="Arial" w:cs="Arial" w:eastAsia="Arial" w:hAnsi="Arial"/>
          <w:sz w:val="19"/>
          <w:szCs w:val="19"/>
          <w:color w:val="auto"/>
        </w:rPr>
      </w:pPr>
      <w:r>
        <w:rPr>
          <w:rFonts w:ascii="Arial" w:cs="Arial" w:eastAsia="Arial" w:hAnsi="Arial"/>
          <w:sz w:val="19"/>
          <w:szCs w:val="19"/>
          <w:b w:val="1"/>
          <w:bCs w:val="1"/>
          <w:u w:val="single" w:color="auto"/>
          <w:color w:val="auto"/>
        </w:rPr>
        <w:t>No Employment Rights</w:t>
      </w:r>
      <w:r>
        <w:rPr>
          <w:rFonts w:ascii="Arial" w:cs="Arial" w:eastAsia="Arial" w:hAnsi="Arial"/>
          <w:sz w:val="19"/>
          <w:szCs w:val="19"/>
          <w:color w:val="auto"/>
        </w:rPr>
        <w:t>. The Plan shall not confer upon any Participant any right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continuation of an employment or consulting relationship with the Company, nor shall it interfere in any way with such Participant’s right or the Company’s right to terminate the employment or consulting relationship at any time for any reason.</w:t>
      </w:r>
    </w:p>
    <w:p>
      <w:pPr>
        <w:spacing w:after="0" w:line="71" w:lineRule="exact"/>
        <w:rPr>
          <w:rFonts w:ascii="Arial" w:cs="Arial" w:eastAsia="Arial" w:hAnsi="Arial"/>
          <w:sz w:val="19"/>
          <w:szCs w:val="19"/>
          <w:color w:val="auto"/>
        </w:rPr>
      </w:pPr>
    </w:p>
    <w:p>
      <w:pPr>
        <w:jc w:val="both"/>
        <w:ind w:firstLine="656"/>
        <w:spacing w:after="0" w:line="315" w:lineRule="auto"/>
        <w:tabs>
          <w:tab w:leader="none" w:pos="1026" w:val="left"/>
        </w:tabs>
        <w:numPr>
          <w:ilvl w:val="0"/>
          <w:numId w:val="223"/>
        </w:numPr>
        <w:rPr>
          <w:rFonts w:ascii="Arial" w:cs="Arial" w:eastAsia="Arial" w:hAnsi="Arial"/>
          <w:sz w:val="19"/>
          <w:szCs w:val="19"/>
          <w:color w:val="auto"/>
        </w:rPr>
      </w:pPr>
      <w:r>
        <w:rPr>
          <w:rFonts w:ascii="Arial" w:cs="Arial" w:eastAsia="Arial" w:hAnsi="Arial"/>
          <w:sz w:val="19"/>
          <w:szCs w:val="19"/>
          <w:b w:val="1"/>
          <w:bCs w:val="1"/>
          <w:u w:val="single" w:color="auto"/>
          <w:color w:val="auto"/>
        </w:rPr>
        <w:t>Term of Plan</w:t>
      </w:r>
      <w:r>
        <w:rPr>
          <w:rFonts w:ascii="Arial" w:cs="Arial" w:eastAsia="Arial" w:hAnsi="Arial"/>
          <w:sz w:val="19"/>
          <w:szCs w:val="19"/>
          <w:color w:val="auto"/>
        </w:rPr>
        <w:t>. The Plan shall become effective upon its adoption by the Board of Directors (the “</w:t>
      </w:r>
      <w:r>
        <w:rPr>
          <w:rFonts w:ascii="Arial" w:cs="Arial" w:eastAsia="Arial" w:hAnsi="Arial"/>
          <w:sz w:val="19"/>
          <w:szCs w:val="19"/>
          <w:b w:val="1"/>
          <w:bCs w:val="1"/>
          <w:u w:val="single" w:color="auto"/>
          <w:color w:val="auto"/>
        </w:rPr>
        <w:t>Effective Date</w:t>
      </w:r>
      <w:r>
        <w:rPr>
          <w:rFonts w:ascii="Arial" w:cs="Arial" w:eastAsia="Arial" w:hAnsi="Arial"/>
          <w:sz w:val="19"/>
          <w:szCs w:val="19"/>
          <w:color w:val="auto"/>
        </w:rPr>
        <w:t>”). It</w:t>
      </w:r>
      <w:r>
        <w:rPr>
          <w:rFonts w:ascii="Arial" w:cs="Arial" w:eastAsia="Arial" w:hAnsi="Arial"/>
          <w:sz w:val="19"/>
          <w:szCs w:val="19"/>
          <w:b w:val="1"/>
          <w:bCs w:val="1"/>
          <w:color w:val="auto"/>
        </w:rPr>
        <w:t xml:space="preserve"> </w:t>
      </w:r>
      <w:r>
        <w:rPr>
          <w:rFonts w:ascii="Arial" w:cs="Arial" w:eastAsia="Arial" w:hAnsi="Arial"/>
          <w:sz w:val="19"/>
          <w:szCs w:val="19"/>
          <w:color w:val="auto"/>
        </w:rPr>
        <w:t>shall continue in effect for a term of ten (10) years from the later of the Effective Date or the date any amendment to add shares to the Plan is approved by shareholders of the Company unless sooner terminated under Section 15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319" w:name="page320"/>
    <w:bookmarkEnd w:id="319"/>
    <w:p>
      <w:pPr>
        <w:ind w:firstLine="656"/>
        <w:spacing w:after="0" w:line="249" w:lineRule="auto"/>
        <w:tabs>
          <w:tab w:leader="none" w:pos="1026" w:val="left"/>
        </w:tabs>
        <w:numPr>
          <w:ilvl w:val="1"/>
          <w:numId w:val="22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of Option</w:t>
      </w:r>
      <w:r>
        <w:rPr>
          <w:rFonts w:ascii="Arial" w:cs="Arial" w:eastAsia="Arial" w:hAnsi="Arial"/>
          <w:sz w:val="22"/>
          <w:szCs w:val="22"/>
          <w:color w:val="auto"/>
        </w:rPr>
        <w:t>. The term of each Option shall be the term stated in the Option Agreement; provided that the term</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no more than ten (10) years from the date of grant thereof or such shorter term as may be provided in the Option Agreement and provided further that, in the case of an Incentive Stock Option granted to a person who at the time of such grant is a Ten Percent Holder, the term of the Option shall be five (5) years from the date of grant thereof or such shorter term as may be provided in the Option Agreement.</w:t>
      </w:r>
    </w:p>
    <w:p>
      <w:pPr>
        <w:spacing w:after="0" w:line="132" w:lineRule="exact"/>
        <w:rPr>
          <w:rFonts w:ascii="Arial" w:cs="Arial" w:eastAsia="Arial" w:hAnsi="Arial"/>
          <w:sz w:val="22"/>
          <w:szCs w:val="22"/>
          <w:color w:val="auto"/>
        </w:rPr>
      </w:pPr>
    </w:p>
    <w:p>
      <w:pPr>
        <w:ind w:left="1040" w:hanging="384"/>
        <w:spacing w:after="0"/>
        <w:tabs>
          <w:tab w:leader="none" w:pos="1040" w:val="left"/>
        </w:tabs>
        <w:numPr>
          <w:ilvl w:val="1"/>
          <w:numId w:val="224"/>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Exercise Price and Consideration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right="320" w:firstLine="1304"/>
        <w:spacing w:after="0" w:line="256" w:lineRule="auto"/>
        <w:tabs>
          <w:tab w:leader="none" w:pos="1752" w:val="left"/>
        </w:tabs>
        <w:numPr>
          <w:ilvl w:val="2"/>
          <w:numId w:val="224"/>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Price</w:t>
      </w:r>
      <w:r>
        <w:rPr>
          <w:rFonts w:ascii="Arial" w:cs="Arial" w:eastAsia="Arial" w:hAnsi="Arial"/>
          <w:sz w:val="22"/>
          <w:szCs w:val="22"/>
          <w:color w:val="auto"/>
        </w:rPr>
        <w:t>. The per Share exercise price for the Shares to be issued pursuant to exercise of an Option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set forth in the Option Agreement and be such price as is determined by the Administrator, but shall be subject to the following:</w:t>
      </w:r>
    </w:p>
    <w:p>
      <w:pPr>
        <w:spacing w:after="0" w:line="128" w:lineRule="exact"/>
        <w:rPr>
          <w:rFonts w:ascii="Arial" w:cs="Arial" w:eastAsia="Arial" w:hAnsi="Arial"/>
          <w:sz w:val="22"/>
          <w:szCs w:val="22"/>
          <w:color w:val="auto"/>
        </w:rPr>
      </w:pPr>
    </w:p>
    <w:p>
      <w:pPr>
        <w:ind w:left="2380" w:hanging="428"/>
        <w:spacing w:after="0"/>
        <w:tabs>
          <w:tab w:leader="none" w:pos="2380" w:val="left"/>
        </w:tabs>
        <w:numPr>
          <w:ilvl w:val="3"/>
          <w:numId w:val="224"/>
        </w:numPr>
        <w:rPr>
          <w:rFonts w:ascii="Arial" w:cs="Arial" w:eastAsia="Arial" w:hAnsi="Arial"/>
          <w:sz w:val="22"/>
          <w:szCs w:val="22"/>
          <w:color w:val="auto"/>
        </w:rPr>
      </w:pPr>
      <w:r>
        <w:rPr>
          <w:rFonts w:ascii="Arial" w:cs="Arial" w:eastAsia="Arial" w:hAnsi="Arial"/>
          <w:sz w:val="22"/>
          <w:szCs w:val="22"/>
          <w:color w:val="auto"/>
        </w:rPr>
        <w:t>In the case of an Incentive Stock Option</w:t>
      </w:r>
    </w:p>
    <w:p>
      <w:pPr>
        <w:spacing w:after="0" w:line="165" w:lineRule="exact"/>
        <w:rPr>
          <w:rFonts w:ascii="Arial" w:cs="Arial" w:eastAsia="Arial" w:hAnsi="Arial"/>
          <w:sz w:val="22"/>
          <w:szCs w:val="22"/>
          <w:color w:val="auto"/>
        </w:rPr>
      </w:pPr>
    </w:p>
    <w:p>
      <w:pPr>
        <w:ind w:left="3120" w:hanging="520"/>
        <w:spacing w:after="0"/>
        <w:tabs>
          <w:tab w:leader="none" w:pos="3120" w:val="left"/>
        </w:tabs>
        <w:numPr>
          <w:ilvl w:val="4"/>
          <w:numId w:val="224"/>
        </w:numPr>
        <w:rPr>
          <w:rFonts w:ascii="Arial" w:cs="Arial" w:eastAsia="Arial" w:hAnsi="Arial"/>
          <w:sz w:val="19"/>
          <w:szCs w:val="19"/>
          <w:color w:val="auto"/>
        </w:rPr>
      </w:pPr>
      <w:r>
        <w:rPr>
          <w:rFonts w:ascii="Arial" w:cs="Arial" w:eastAsia="Arial" w:hAnsi="Arial"/>
          <w:sz w:val="19"/>
          <w:szCs w:val="19"/>
          <w:color w:val="auto"/>
        </w:rPr>
        <w:t>granted to an Employee who at the time of grant is a Ten Percent Holder, the per Share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exercise price shall be no less than 110% of the Fair Market Value per Share on the date of grant; or</w:t>
      </w:r>
    </w:p>
    <w:p>
      <w:pPr>
        <w:spacing w:after="0" w:line="147" w:lineRule="exact"/>
        <w:rPr>
          <w:rFonts w:ascii="Arial" w:cs="Arial" w:eastAsia="Arial" w:hAnsi="Arial"/>
          <w:sz w:val="19"/>
          <w:szCs w:val="19"/>
          <w:color w:val="auto"/>
        </w:rPr>
      </w:pPr>
    </w:p>
    <w:p>
      <w:pPr>
        <w:ind w:right="60" w:firstLine="2600"/>
        <w:spacing w:after="0" w:line="263" w:lineRule="auto"/>
        <w:tabs>
          <w:tab w:leader="none" w:pos="3096" w:val="left"/>
        </w:tabs>
        <w:numPr>
          <w:ilvl w:val="4"/>
          <w:numId w:val="224"/>
        </w:numPr>
        <w:rPr>
          <w:rFonts w:ascii="Arial" w:cs="Arial" w:eastAsia="Arial" w:hAnsi="Arial"/>
          <w:sz w:val="22"/>
          <w:szCs w:val="22"/>
          <w:color w:val="auto"/>
        </w:rPr>
      </w:pPr>
      <w:r>
        <w:rPr>
          <w:rFonts w:ascii="Arial" w:cs="Arial" w:eastAsia="Arial" w:hAnsi="Arial"/>
          <w:sz w:val="22"/>
          <w:szCs w:val="22"/>
          <w:color w:val="auto"/>
        </w:rPr>
        <w:t>granted to any other Employee, the per Share exercise price shall be no less than 100% of the Fair Market Value per Share on the date of grant.</w:t>
      </w:r>
    </w:p>
    <w:p>
      <w:pPr>
        <w:spacing w:after="0" w:line="120" w:lineRule="exact"/>
        <w:rPr>
          <w:rFonts w:ascii="Arial" w:cs="Arial" w:eastAsia="Arial" w:hAnsi="Arial"/>
          <w:sz w:val="22"/>
          <w:szCs w:val="22"/>
          <w:color w:val="auto"/>
        </w:rPr>
      </w:pPr>
    </w:p>
    <w:p>
      <w:pPr>
        <w:ind w:right="80" w:firstLine="1952"/>
        <w:spacing w:after="0" w:line="263" w:lineRule="auto"/>
        <w:tabs>
          <w:tab w:leader="none" w:pos="2424" w:val="left"/>
        </w:tabs>
        <w:numPr>
          <w:ilvl w:val="3"/>
          <w:numId w:val="224"/>
        </w:numPr>
        <w:rPr>
          <w:rFonts w:ascii="Arial" w:cs="Arial" w:eastAsia="Arial" w:hAnsi="Arial"/>
          <w:sz w:val="22"/>
          <w:szCs w:val="22"/>
          <w:color w:val="auto"/>
        </w:rPr>
      </w:pPr>
      <w:r>
        <w:rPr>
          <w:rFonts w:ascii="Arial" w:cs="Arial" w:eastAsia="Arial" w:hAnsi="Arial"/>
          <w:sz w:val="22"/>
          <w:szCs w:val="22"/>
          <w:color w:val="auto"/>
        </w:rPr>
        <w:t>Notwithstanding the foregoing, Options may be granted with a per Share exercise price other than as required above pursuant to a merger or other corporate transaction.</w:t>
      </w:r>
    </w:p>
    <w:p>
      <w:pPr>
        <w:spacing w:after="0" w:line="114" w:lineRule="exact"/>
        <w:rPr>
          <w:rFonts w:ascii="Arial" w:cs="Arial" w:eastAsia="Arial" w:hAnsi="Arial"/>
          <w:sz w:val="22"/>
          <w:szCs w:val="22"/>
          <w:color w:val="auto"/>
        </w:rPr>
      </w:pPr>
    </w:p>
    <w:p>
      <w:pPr>
        <w:ind w:firstLine="1304"/>
        <w:spacing w:after="0" w:line="283" w:lineRule="auto"/>
        <w:tabs>
          <w:tab w:leader="none" w:pos="1764" w:val="left"/>
        </w:tabs>
        <w:numPr>
          <w:ilvl w:val="2"/>
          <w:numId w:val="224"/>
        </w:numPr>
        <w:rPr>
          <w:rFonts w:ascii="Arial" w:cs="Arial" w:eastAsia="Arial" w:hAnsi="Arial"/>
          <w:sz w:val="19"/>
          <w:szCs w:val="19"/>
          <w:color w:val="auto"/>
        </w:rPr>
      </w:pPr>
      <w:r>
        <w:rPr>
          <w:rFonts w:ascii="Arial" w:cs="Arial" w:eastAsia="Arial" w:hAnsi="Arial"/>
          <w:sz w:val="19"/>
          <w:szCs w:val="19"/>
          <w:b w:val="1"/>
          <w:bCs w:val="1"/>
          <w:u w:val="single" w:color="auto"/>
          <w:color w:val="auto"/>
        </w:rPr>
        <w:t>Permissible Consideration</w:t>
      </w:r>
      <w:r>
        <w:rPr>
          <w:rFonts w:ascii="Arial" w:cs="Arial" w:eastAsia="Arial" w:hAnsi="Arial"/>
          <w:sz w:val="19"/>
          <w:szCs w:val="19"/>
          <w:color w:val="auto"/>
        </w:rPr>
        <w:t>. The consideration to be paid for the Shares to be issued upon exercise of an</w:t>
      </w:r>
      <w:r>
        <w:rPr>
          <w:rFonts w:ascii="Arial" w:cs="Arial" w:eastAsia="Arial" w:hAnsi="Arial"/>
          <w:sz w:val="19"/>
          <w:szCs w:val="19"/>
          <w:b w:val="1"/>
          <w:bCs w:val="1"/>
          <w:color w:val="auto"/>
        </w:rPr>
        <w:t xml:space="preserve"> </w:t>
      </w:r>
      <w:r>
        <w:rPr>
          <w:rFonts w:ascii="Arial" w:cs="Arial" w:eastAsia="Arial" w:hAnsi="Arial"/>
          <w:sz w:val="19"/>
          <w:szCs w:val="19"/>
          <w:color w:val="auto"/>
        </w:rPr>
        <w:t>Option, including the method of payment, shall be determined by the Administrator (and, in the case of an Incentive Stock Option, shall be determined at the time of grant) and may consist entirely of (1) cash; (2) check; (3) subject to any requirements of the Applicable Laws, delivery of Optionee’s promissory note having such recourse, interest, security and redemption provisions as the Administrator determines to be appropriate; (4) cancellation of indebtedness; (5) other Shares that have a Fair Market Value on the date of surrender equal to the aggregate exercise price of the Shares as to which the Option is exercised, provided that in the case of Shares acquired, directly or indirectly, from the Company, such Shares must have been owned by the Optionee for such period as may be required to avoid the Company’s incurring an adverse accounting charge; (6) if, as of the date of exercise of an Option the Company then is permitting employees to engage in a “same-day sale” cashless brokered exercise program involving one or more brokers, through such a program that complies with the Applicable Laws (including without limitation the requirements of Regulation T and other applicable regulations promulgated by the Federal Reserve Board) and that ensures prompt delivery to the Company of the amount required to pay the exercise price and any applicable withholding taxes;</w:t>
      </w:r>
    </w:p>
    <w:p>
      <w:pPr>
        <w:spacing w:after="0" w:line="10" w:lineRule="exact"/>
        <w:rPr>
          <w:rFonts w:ascii="Arial" w:cs="Arial" w:eastAsia="Arial" w:hAnsi="Arial"/>
          <w:sz w:val="19"/>
          <w:szCs w:val="19"/>
          <w:color w:val="auto"/>
        </w:rPr>
      </w:pPr>
    </w:p>
    <w:p>
      <w:pPr>
        <w:ind w:right="140" w:firstLine="8"/>
        <w:spacing w:after="0" w:line="259" w:lineRule="auto"/>
        <w:tabs>
          <w:tab w:leader="none" w:pos="306" w:val="left"/>
        </w:tabs>
        <w:numPr>
          <w:ilvl w:val="0"/>
          <w:numId w:val="225"/>
        </w:numPr>
        <w:rPr>
          <w:rFonts w:ascii="Arial" w:cs="Arial" w:eastAsia="Arial" w:hAnsi="Arial"/>
          <w:sz w:val="21"/>
          <w:szCs w:val="21"/>
          <w:color w:val="auto"/>
        </w:rPr>
      </w:pPr>
      <w:r>
        <w:rPr>
          <w:rFonts w:ascii="Arial" w:cs="Arial" w:eastAsia="Arial" w:hAnsi="Arial"/>
          <w:sz w:val="21"/>
          <w:szCs w:val="21"/>
          <w:color w:val="auto"/>
        </w:rPr>
        <w:t>cashless “net exercise” arrangement pursuant to which the Company will reduce the number of Shares issued upon exercise by the largest whole number of Shares having an aggregate Fair Market Value that does not exceed the aggregate exercise price; provided that the Company shall accept a cash or other payment from the Participant to the extent of any remaining balance of the exercise price not satisfied by such reduction in the number of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2" w:right="359" w:bottom="1440" w:gutter="0" w:footer="0" w:header="0"/>
        </w:sectPr>
      </w:pPr>
    </w:p>
    <w:bookmarkStart w:id="320" w:name="page321"/>
    <w:bookmarkEnd w:id="320"/>
    <w:p>
      <w:pPr>
        <w:ind w:right="200"/>
        <w:spacing w:after="0" w:line="248" w:lineRule="auto"/>
        <w:rPr>
          <w:sz w:val="20"/>
          <w:szCs w:val="20"/>
          <w:color w:val="auto"/>
        </w:rPr>
      </w:pPr>
      <w:r>
        <w:rPr>
          <w:rFonts w:ascii="Arial" w:cs="Arial" w:eastAsia="Arial" w:hAnsi="Arial"/>
          <w:sz w:val="22"/>
          <w:szCs w:val="22"/>
          <w:color w:val="auto"/>
        </w:rPr>
        <w:t>Shares to be issued; (8) any combination of the foregoing methods of payment; or (9) such other consideration and method of payment as determined by the Administrator and to the extent permitted under Applicable Laws.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132" w:lineRule="exact"/>
        <w:rPr>
          <w:sz w:val="20"/>
          <w:szCs w:val="20"/>
          <w:color w:val="auto"/>
        </w:rPr>
      </w:pPr>
    </w:p>
    <w:p>
      <w:pPr>
        <w:ind w:left="1040" w:hanging="384"/>
        <w:spacing w:after="0"/>
        <w:tabs>
          <w:tab w:leader="none" w:pos="1040" w:val="left"/>
        </w:tabs>
        <w:numPr>
          <w:ilvl w:val="0"/>
          <w:numId w:val="226"/>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1760" w:hanging="456"/>
        <w:spacing w:after="0"/>
        <w:tabs>
          <w:tab w:leader="none" w:pos="1760" w:val="left"/>
        </w:tabs>
        <w:numPr>
          <w:ilvl w:val="1"/>
          <w:numId w:val="226"/>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right="560" w:firstLine="1952"/>
        <w:spacing w:after="0" w:line="315" w:lineRule="auto"/>
        <w:tabs>
          <w:tab w:leader="none" w:pos="2364" w:val="left"/>
        </w:tabs>
        <w:numPr>
          <w:ilvl w:val="2"/>
          <w:numId w:val="226"/>
        </w:numPr>
        <w:rPr>
          <w:rFonts w:ascii="Arial" w:cs="Arial" w:eastAsia="Arial" w:hAnsi="Arial"/>
          <w:sz w:val="19"/>
          <w:szCs w:val="19"/>
          <w:color w:val="auto"/>
        </w:rPr>
      </w:pPr>
      <w:r>
        <w:rPr>
          <w:rFonts w:ascii="Arial" w:cs="Arial" w:eastAsia="Arial" w:hAnsi="Arial"/>
          <w:sz w:val="19"/>
          <w:szCs w:val="19"/>
          <w:b w:val="1"/>
          <w:bCs w:val="1"/>
          <w:u w:val="single" w:color="auto"/>
          <w:color w:val="auto"/>
        </w:rPr>
        <w:t>Exercisability</w:t>
      </w:r>
      <w:r>
        <w:rPr>
          <w:rFonts w:ascii="Arial" w:cs="Arial" w:eastAsia="Arial" w:hAnsi="Arial"/>
          <w:sz w:val="19"/>
          <w:szCs w:val="19"/>
          <w:color w:val="auto"/>
        </w:rPr>
        <w:t>. Any Option granted hereunder shall be exercisable at such times and under such</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as determined by the Administrator, consistent with the term of the Plan and reflected in the Option Agreement, including vesting requirements and/or performance criteria with respect to the Company and/or the Optionee.</w:t>
      </w:r>
    </w:p>
    <w:p>
      <w:pPr>
        <w:spacing w:after="0" w:line="71" w:lineRule="exact"/>
        <w:rPr>
          <w:rFonts w:ascii="Arial" w:cs="Arial" w:eastAsia="Arial" w:hAnsi="Arial"/>
          <w:sz w:val="19"/>
          <w:szCs w:val="19"/>
          <w:color w:val="auto"/>
        </w:rPr>
      </w:pPr>
    </w:p>
    <w:p>
      <w:pPr>
        <w:ind w:right="240" w:firstLine="1952"/>
        <w:spacing w:after="0" w:line="291" w:lineRule="auto"/>
        <w:tabs>
          <w:tab w:leader="none" w:pos="2424" w:val="left"/>
        </w:tabs>
        <w:numPr>
          <w:ilvl w:val="2"/>
          <w:numId w:val="226"/>
        </w:numPr>
        <w:rPr>
          <w:rFonts w:ascii="Arial" w:cs="Arial" w:eastAsia="Arial" w:hAnsi="Arial"/>
          <w:sz w:val="19"/>
          <w:szCs w:val="19"/>
          <w:color w:val="auto"/>
        </w:rPr>
      </w:pPr>
      <w:r>
        <w:rPr>
          <w:rFonts w:ascii="Arial" w:cs="Arial" w:eastAsia="Arial" w:hAnsi="Arial"/>
          <w:sz w:val="19"/>
          <w:szCs w:val="19"/>
          <w:b w:val="1"/>
          <w:bCs w:val="1"/>
          <w:u w:val="single" w:color="auto"/>
          <w:color w:val="auto"/>
        </w:rPr>
        <w:t>Leave of Absence</w:t>
      </w:r>
      <w:r>
        <w:rPr>
          <w:rFonts w:ascii="Arial" w:cs="Arial" w:eastAsia="Arial" w:hAnsi="Arial"/>
          <w:sz w:val="19"/>
          <w:szCs w:val="19"/>
          <w:color w:val="auto"/>
        </w:rPr>
        <w:t>. The Administrator shall have the discretion to determine whether and to what</w:t>
      </w:r>
      <w:r>
        <w:rPr>
          <w:rFonts w:ascii="Arial" w:cs="Arial" w:eastAsia="Arial" w:hAnsi="Arial"/>
          <w:sz w:val="19"/>
          <w:szCs w:val="19"/>
          <w:b w:val="1"/>
          <w:bCs w:val="1"/>
          <w:color w:val="auto"/>
        </w:rPr>
        <w:t xml:space="preserve"> </w:t>
      </w:r>
      <w:r>
        <w:rPr>
          <w:rFonts w:ascii="Arial" w:cs="Arial" w:eastAsia="Arial" w:hAnsi="Arial"/>
          <w:sz w:val="19"/>
          <w:szCs w:val="19"/>
          <w:color w:val="auto"/>
        </w:rPr>
        <w:t>extent the vesting of Options shall be tolled during any unpaid leave of absence; provided, however, that in the absence of such determination, vesting of Options shall be tolled during any such unpaid leave (unless otherwise required by the Applicable Laws). In the event of military leave, vesting shall toll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Participant continued to provide services to the Company throughout the leave on the same terms as he or she was providing services immediately prior to such leave.</w:t>
      </w:r>
    </w:p>
    <w:p>
      <w:pPr>
        <w:spacing w:after="0" w:line="94" w:lineRule="exact"/>
        <w:rPr>
          <w:rFonts w:ascii="Arial" w:cs="Arial" w:eastAsia="Arial" w:hAnsi="Arial"/>
          <w:sz w:val="19"/>
          <w:szCs w:val="19"/>
          <w:color w:val="auto"/>
        </w:rPr>
      </w:pPr>
    </w:p>
    <w:p>
      <w:pPr>
        <w:jc w:val="both"/>
        <w:ind w:right="160" w:firstLine="1952"/>
        <w:spacing w:after="0" w:line="315" w:lineRule="auto"/>
        <w:tabs>
          <w:tab w:leader="none" w:pos="2484" w:val="left"/>
        </w:tabs>
        <w:numPr>
          <w:ilvl w:val="2"/>
          <w:numId w:val="226"/>
        </w:numPr>
        <w:rPr>
          <w:rFonts w:ascii="Arial" w:cs="Arial" w:eastAsia="Arial" w:hAnsi="Arial"/>
          <w:sz w:val="19"/>
          <w:szCs w:val="19"/>
          <w:color w:val="auto"/>
        </w:rPr>
      </w:pPr>
      <w:r>
        <w:rPr>
          <w:rFonts w:ascii="Arial" w:cs="Arial" w:eastAsia="Arial" w:hAnsi="Arial"/>
          <w:sz w:val="19"/>
          <w:szCs w:val="19"/>
          <w:b w:val="1"/>
          <w:bCs w:val="1"/>
          <w:u w:val="single" w:color="auto"/>
          <w:color w:val="auto"/>
        </w:rPr>
        <w:t>Minimum Exercise Requirements</w:t>
      </w:r>
      <w:r>
        <w:rPr>
          <w:rFonts w:ascii="Arial" w:cs="Arial" w:eastAsia="Arial" w:hAnsi="Arial"/>
          <w:sz w:val="19"/>
          <w:szCs w:val="19"/>
          <w:color w:val="auto"/>
        </w:rPr>
        <w:t>. An Option may not be exercised for a fraction of a Share.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may require that an Option be exercised as to a minimum number of Shares, provided that such requirement shall not prevent an Optionee from exercising the full number of Shares as to which the Option is then exercisable.</w:t>
      </w:r>
    </w:p>
    <w:p>
      <w:pPr>
        <w:spacing w:after="0" w:line="71" w:lineRule="exact"/>
        <w:rPr>
          <w:rFonts w:ascii="Arial" w:cs="Arial" w:eastAsia="Arial" w:hAnsi="Arial"/>
          <w:sz w:val="19"/>
          <w:szCs w:val="19"/>
          <w:color w:val="auto"/>
        </w:rPr>
      </w:pPr>
    </w:p>
    <w:p>
      <w:pPr>
        <w:ind w:right="40" w:firstLine="1952"/>
        <w:spacing w:after="0" w:line="248" w:lineRule="auto"/>
        <w:tabs>
          <w:tab w:leader="none" w:pos="2472" w:val="left"/>
        </w:tabs>
        <w:numPr>
          <w:ilvl w:val="2"/>
          <w:numId w:val="226"/>
        </w:numPr>
        <w:rPr>
          <w:rFonts w:ascii="Arial" w:cs="Arial" w:eastAsia="Arial" w:hAnsi="Arial"/>
          <w:sz w:val="22"/>
          <w:szCs w:val="22"/>
          <w:color w:val="auto"/>
        </w:rPr>
      </w:pPr>
      <w:r>
        <w:rPr>
          <w:rFonts w:ascii="Arial" w:cs="Arial" w:eastAsia="Arial" w:hAnsi="Arial"/>
          <w:sz w:val="22"/>
          <w:szCs w:val="22"/>
          <w:b w:val="1"/>
          <w:bCs w:val="1"/>
          <w:u w:val="single" w:color="auto"/>
          <w:color w:val="auto"/>
        </w:rPr>
        <w:t>Procedures for and Results of Exercise</w:t>
      </w:r>
      <w:r>
        <w:rPr>
          <w:rFonts w:ascii="Arial" w:cs="Arial" w:eastAsia="Arial" w:hAnsi="Arial"/>
          <w:sz w:val="22"/>
          <w:szCs w:val="22"/>
          <w:color w:val="auto"/>
        </w:rPr>
        <w:t>. An Option shall be deemed exercised when written notice</w:t>
      </w:r>
      <w:r>
        <w:rPr>
          <w:rFonts w:ascii="Arial" w:cs="Arial" w:eastAsia="Arial" w:hAnsi="Arial"/>
          <w:sz w:val="22"/>
          <w:szCs w:val="22"/>
          <w:b w:val="1"/>
          <w:bCs w:val="1"/>
          <w:color w:val="auto"/>
        </w:rPr>
        <w:t xml:space="preserve"> </w:t>
      </w:r>
      <w:r>
        <w:rPr>
          <w:rFonts w:ascii="Arial" w:cs="Arial" w:eastAsia="Arial" w:hAnsi="Arial"/>
          <w:sz w:val="22"/>
          <w:szCs w:val="22"/>
          <w:color w:val="auto"/>
        </w:rPr>
        <w:t>of such exercise has been given to the Company in accordance with the terms of the Option by the person entitled to exercise the Option and the Company has received full payment for the Shares with respect to which the Option is exercised. Full payment may, as authorized by the Administrator, consist of any consideration and method of payment allowable under Section 8(b) of the Plan, provided that the Administrator may, in its sole discretion, refuse to accept any form of consideration at the time of any Option exercise.</w:t>
      </w:r>
    </w:p>
    <w:p>
      <w:pPr>
        <w:spacing w:after="0" w:line="139" w:lineRule="exact"/>
        <w:rPr>
          <w:sz w:val="20"/>
          <w:szCs w:val="20"/>
          <w:color w:val="auto"/>
        </w:rPr>
      </w:pPr>
    </w:p>
    <w:p>
      <w:pPr>
        <w:ind w:right="300" w:firstLine="648"/>
        <w:spacing w:after="0" w:line="343" w:lineRule="auto"/>
        <w:rPr>
          <w:sz w:val="20"/>
          <w:szCs w:val="20"/>
          <w:color w:val="auto"/>
        </w:rPr>
      </w:pPr>
      <w:r>
        <w:rPr>
          <w:rFonts w:ascii="Arial" w:cs="Arial" w:eastAsia="Arial" w:hAnsi="Arial"/>
          <w:sz w:val="19"/>
          <w:szCs w:val="19"/>
          <w:color w:val="auto"/>
        </w:rPr>
        <w:t>Exercise of an Option in any manner shall result in a decrease in the number of Shares that thereafter may be available, both for purposes of the Plan and for sale under the Option, by the number of Shares as to which the Option is exercised.</w:t>
      </w:r>
    </w:p>
    <w:p>
      <w:pPr>
        <w:spacing w:after="0" w:line="44" w:lineRule="exact"/>
        <w:rPr>
          <w:sz w:val="20"/>
          <w:szCs w:val="20"/>
          <w:color w:val="auto"/>
        </w:rPr>
      </w:pPr>
    </w:p>
    <w:p>
      <w:pPr>
        <w:ind w:firstLine="1952"/>
        <w:spacing w:after="0" w:line="256" w:lineRule="auto"/>
        <w:tabs>
          <w:tab w:leader="none" w:pos="2412" w:val="left"/>
        </w:tabs>
        <w:numPr>
          <w:ilvl w:val="0"/>
          <w:numId w:val="227"/>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as Shareholder</w:t>
      </w:r>
      <w:r>
        <w:rPr>
          <w:rFonts w:ascii="Arial" w:cs="Arial" w:eastAsia="Arial" w:hAnsi="Arial"/>
          <w:sz w:val="22"/>
          <w:szCs w:val="22"/>
          <w:color w:val="auto"/>
        </w:rPr>
        <w:t>. Until the issuance of the Shares (as evidenced by the appropriate entry on the</w:t>
      </w:r>
      <w:r>
        <w:rPr>
          <w:rFonts w:ascii="Arial" w:cs="Arial" w:eastAsia="Arial" w:hAnsi="Arial"/>
          <w:sz w:val="22"/>
          <w:szCs w:val="22"/>
          <w:b w:val="1"/>
          <w:bCs w:val="1"/>
          <w:color w:val="auto"/>
        </w:rPr>
        <w:t xml:space="preserve"> </w:t>
      </w:r>
      <w:r>
        <w:rPr>
          <w:rFonts w:ascii="Arial" w:cs="Arial" w:eastAsia="Arial" w:hAnsi="Arial"/>
          <w:sz w:val="22"/>
          <w:szCs w:val="22"/>
          <w:color w:val="auto"/>
        </w:rPr>
        <w:t>books of the Company or of a duly authorized transfer agent of the Company), no right to vote or receive dividends or any other rights as 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321" w:name="page322"/>
    <w:bookmarkEnd w:id="321"/>
    <w:p>
      <w:pPr>
        <w:ind w:right="520"/>
        <w:spacing w:after="0" w:line="253" w:lineRule="auto"/>
        <w:rPr>
          <w:sz w:val="20"/>
          <w:szCs w:val="20"/>
          <w:color w:val="auto"/>
        </w:rPr>
      </w:pPr>
      <w:r>
        <w:rPr>
          <w:rFonts w:ascii="Arial" w:cs="Arial" w:eastAsia="Arial" w:hAnsi="Arial"/>
          <w:sz w:val="22"/>
          <w:szCs w:val="22"/>
          <w:color w:val="auto"/>
        </w:rPr>
        <w:t>shall exist with respect to the Optioned Stock, notwithstanding the exercise of the Option. No adjustment will be made for a dividend or other right for which the record date is prior to the date the stock certificate is issued, except as provided in Section 13 of the Plan.</w:t>
      </w:r>
    </w:p>
    <w:p>
      <w:pPr>
        <w:spacing w:after="0" w:line="125" w:lineRule="exact"/>
        <w:rPr>
          <w:sz w:val="20"/>
          <w:szCs w:val="20"/>
          <w:color w:val="auto"/>
        </w:rPr>
      </w:pPr>
    </w:p>
    <w:p>
      <w:pPr>
        <w:ind w:left="1780" w:hanging="476"/>
        <w:spacing w:after="0"/>
        <w:tabs>
          <w:tab w:leader="none" w:pos="1780" w:val="left"/>
        </w:tabs>
        <w:numPr>
          <w:ilvl w:val="0"/>
          <w:numId w:val="228"/>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 or Consulting Relationship</w:t>
      </w:r>
      <w:r>
        <w:rPr>
          <w:rFonts w:ascii="Arial" w:cs="Arial" w:eastAsia="Arial" w:hAnsi="Arial"/>
          <w:sz w:val="22"/>
          <w:szCs w:val="22"/>
          <w:color w:val="auto"/>
        </w:rPr>
        <w:t>. Except as otherwise set forth in this</w:t>
      </w:r>
    </w:p>
    <w:p>
      <w:pPr>
        <w:spacing w:after="0" w:line="27"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Section 9(b), the Administrator shall establish and set forth in the applicable Option Agreement the terms and conditions upon which an Option shall remain exercisable, if at all, following termination of an Optionee’s Continuous Service Status, which provisions may be waived or modified by the Administrator at any time. Unless the Administrator otherwise provides in the Option Agreement, to the extent that the Optionee is not vested in Optioned Stock at the date of termination of his or her Continuous Service Status, or if the Optionee (or other person entitled to exercise the Option) does not exercise the Option to the extent so entitled within the time specified in the Option Agreement or below (as applicable), the Option shall terminate and the Optioned Stock underlying the unexercised portion of the Option shall revert to the Plan. In no event may any Option be exercised after the expiration of the Option term as set forth in the Option Agreement (and subject to Section 7).</w:t>
      </w:r>
    </w:p>
    <w:p>
      <w:pPr>
        <w:spacing w:after="0" w:line="106" w:lineRule="exact"/>
        <w:rPr>
          <w:sz w:val="20"/>
          <w:szCs w:val="20"/>
          <w:color w:val="auto"/>
        </w:rPr>
      </w:pPr>
    </w:p>
    <w:p>
      <w:pPr>
        <w:ind w:right="140" w:firstLine="1296"/>
        <w:spacing w:after="0" w:line="271" w:lineRule="auto"/>
        <w:rPr>
          <w:sz w:val="20"/>
          <w:szCs w:val="20"/>
          <w:color w:val="auto"/>
        </w:rPr>
      </w:pPr>
      <w:r>
        <w:rPr>
          <w:rFonts w:ascii="Arial" w:cs="Arial" w:eastAsia="Arial" w:hAnsi="Arial"/>
          <w:sz w:val="21"/>
          <w:szCs w:val="21"/>
          <w:color w:val="auto"/>
        </w:rPr>
        <w:t>The following provisions (1) shall apply to the extent an Option Agreement does not specify the terms and conditions upon which an Option shall terminate upon termination of an Optionee’s Continuous Service Status, and (2) establish the minimum post-termination exercise periods that may be set forth in an Option Agreement:</w:t>
      </w:r>
    </w:p>
    <w:p>
      <w:pPr>
        <w:spacing w:after="0" w:line="107" w:lineRule="exact"/>
        <w:rPr>
          <w:sz w:val="20"/>
          <w:szCs w:val="20"/>
          <w:color w:val="auto"/>
        </w:rPr>
      </w:pPr>
    </w:p>
    <w:p>
      <w:pPr>
        <w:ind w:firstLine="1952"/>
        <w:spacing w:after="0" w:line="290" w:lineRule="auto"/>
        <w:tabs>
          <w:tab w:leader="none" w:pos="2364" w:val="left"/>
        </w:tabs>
        <w:numPr>
          <w:ilvl w:val="0"/>
          <w:numId w:val="229"/>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other than Upon Disability, Death or for Cause</w:t>
      </w:r>
      <w:r>
        <w:rPr>
          <w:rFonts w:ascii="Arial" w:cs="Arial" w:eastAsia="Arial" w:hAnsi="Arial"/>
          <w:sz w:val="19"/>
          <w:szCs w:val="19"/>
          <w:color w:val="auto"/>
        </w:rPr>
        <w:t>. In the event of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Optionee’s Continuous Service Status other than under the circumstances set forth in subsections (ii) through (iv) below, such Optionee may exercise an Option until the earlier of (A) three (3) months following such termination or (B) the expiration of the term of such Option, to the extent the Optionee was vested in the Optioned Stock as of the date of such termination; provided, however, that the Administrator may in the Option Agreement specify an alternative period of time (but not beyond the expiration date of the Option) following termination of Optionee’s Continuous Service Status during which Optionee may exercise the Option as to Shares that were vested and exercisable as of the date of termination of Optionee’s Continuous Service Status. No termination shall be deemed to occur and this Section 9(b)(i) shall not apply if (i) the Optionee is a Consultant who becomes an Employee, or (ii) the Optionee is an Employee who becomes a Consultant.</w:t>
      </w:r>
    </w:p>
    <w:p>
      <w:pPr>
        <w:spacing w:after="0" w:line="94" w:lineRule="exact"/>
        <w:rPr>
          <w:rFonts w:ascii="Arial" w:cs="Arial" w:eastAsia="Arial" w:hAnsi="Arial"/>
          <w:sz w:val="19"/>
          <w:szCs w:val="19"/>
          <w:color w:val="auto"/>
        </w:rPr>
      </w:pPr>
    </w:p>
    <w:p>
      <w:pPr>
        <w:ind w:right="40" w:firstLine="1952"/>
        <w:spacing w:after="0" w:line="252" w:lineRule="auto"/>
        <w:tabs>
          <w:tab w:leader="none" w:pos="2424" w:val="left"/>
        </w:tabs>
        <w:numPr>
          <w:ilvl w:val="0"/>
          <w:numId w:val="229"/>
        </w:numPr>
        <w:rPr>
          <w:rFonts w:ascii="Arial" w:cs="Arial" w:eastAsia="Arial" w:hAnsi="Arial"/>
          <w:sz w:val="22"/>
          <w:szCs w:val="22"/>
          <w:color w:val="auto"/>
        </w:rPr>
      </w:pPr>
      <w:r>
        <w:rPr>
          <w:rFonts w:ascii="Arial" w:cs="Arial" w:eastAsia="Arial" w:hAnsi="Arial"/>
          <w:sz w:val="22"/>
          <w:szCs w:val="22"/>
          <w:b w:val="1"/>
          <w:bCs w:val="1"/>
          <w:u w:val="single" w:color="auto"/>
          <w:color w:val="auto"/>
        </w:rPr>
        <w:t>Disability of Optionee</w:t>
      </w:r>
      <w:r>
        <w:rPr>
          <w:rFonts w:ascii="Arial" w:cs="Arial" w:eastAsia="Arial" w:hAnsi="Arial"/>
          <w:sz w:val="22"/>
          <w:szCs w:val="22"/>
          <w:color w:val="auto"/>
        </w:rPr>
        <w:t>. In the event of termination of an Optionee’s Continuous Service Status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his or her disability (including a disability within the meaning of Section 22(e)(3) of the Code), such Optionee may exercise an Option at any time within twelve (12) months following such termination to the extent the Optionee was vested in the Optioned Stock as of the date of such termination.</w:t>
      </w:r>
    </w:p>
    <w:p>
      <w:pPr>
        <w:spacing w:after="0" w:line="125" w:lineRule="exact"/>
        <w:rPr>
          <w:rFonts w:ascii="Arial" w:cs="Arial" w:eastAsia="Arial" w:hAnsi="Arial"/>
          <w:sz w:val="22"/>
          <w:szCs w:val="22"/>
          <w:color w:val="auto"/>
        </w:rPr>
      </w:pPr>
    </w:p>
    <w:p>
      <w:pPr>
        <w:ind w:firstLine="1952"/>
        <w:spacing w:after="0" w:line="267" w:lineRule="auto"/>
        <w:tabs>
          <w:tab w:leader="none" w:pos="2484" w:val="left"/>
        </w:tabs>
        <w:numPr>
          <w:ilvl w:val="0"/>
          <w:numId w:val="229"/>
        </w:numPr>
        <w:rPr>
          <w:rFonts w:ascii="Arial" w:cs="Arial" w:eastAsia="Arial" w:hAnsi="Arial"/>
          <w:sz w:val="21"/>
          <w:szCs w:val="21"/>
          <w:color w:val="auto"/>
        </w:rPr>
      </w:pPr>
      <w:r>
        <w:rPr>
          <w:rFonts w:ascii="Arial" w:cs="Arial" w:eastAsia="Arial" w:hAnsi="Arial"/>
          <w:sz w:val="21"/>
          <w:szCs w:val="21"/>
          <w:b w:val="1"/>
          <w:bCs w:val="1"/>
          <w:u w:val="single" w:color="auto"/>
          <w:color w:val="auto"/>
        </w:rPr>
        <w:t>Death of Optionee</w:t>
      </w:r>
      <w:r>
        <w:rPr>
          <w:rFonts w:ascii="Arial" w:cs="Arial" w:eastAsia="Arial" w:hAnsi="Arial"/>
          <w:sz w:val="21"/>
          <w:szCs w:val="21"/>
          <w:color w:val="auto"/>
        </w:rPr>
        <w:t>. In the event of the death of an Optionee during the period of Continuous Service</w:t>
      </w:r>
      <w:r>
        <w:rPr>
          <w:rFonts w:ascii="Arial" w:cs="Arial" w:eastAsia="Arial" w:hAnsi="Arial"/>
          <w:sz w:val="21"/>
          <w:szCs w:val="21"/>
          <w:b w:val="1"/>
          <w:bCs w:val="1"/>
          <w:color w:val="auto"/>
        </w:rPr>
        <w:t xml:space="preserve"> </w:t>
      </w:r>
      <w:r>
        <w:rPr>
          <w:rFonts w:ascii="Arial" w:cs="Arial" w:eastAsia="Arial" w:hAnsi="Arial"/>
          <w:sz w:val="21"/>
          <w:szCs w:val="21"/>
          <w:color w:val="auto"/>
        </w:rPr>
        <w:t>Status since the date of grant of the Option, or within thirty (30) days following termination of Optionee’s Continuous Service Status, the Option may be exercised by Optionee’s estate or by a person who acquired the right to exercise the Option by bequest or inheritance at any time within twelve (12) months following the date of death,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322" w:name="page323"/>
    <w:bookmarkEnd w:id="322"/>
    <w:p>
      <w:pPr>
        <w:ind w:right="520"/>
        <w:spacing w:after="0" w:line="263" w:lineRule="auto"/>
        <w:rPr>
          <w:sz w:val="20"/>
          <w:szCs w:val="20"/>
          <w:color w:val="auto"/>
        </w:rPr>
      </w:pPr>
      <w:r>
        <w:rPr>
          <w:rFonts w:ascii="Arial" w:cs="Arial" w:eastAsia="Arial" w:hAnsi="Arial"/>
          <w:sz w:val="22"/>
          <w:szCs w:val="22"/>
          <w:color w:val="auto"/>
        </w:rPr>
        <w:t>only to the extent the Optionee was vested in the Optioned Stock as of the date of death or, if earlier, the date the Optionee’s Continuous Service Status terminated.</w:t>
      </w:r>
    </w:p>
    <w:p>
      <w:pPr>
        <w:spacing w:after="0" w:line="115" w:lineRule="exact"/>
        <w:rPr>
          <w:sz w:val="20"/>
          <w:szCs w:val="20"/>
          <w:color w:val="auto"/>
        </w:rPr>
      </w:pPr>
    </w:p>
    <w:p>
      <w:pPr>
        <w:ind w:right="140" w:firstLine="1952"/>
        <w:spacing w:after="0" w:line="262" w:lineRule="auto"/>
        <w:tabs>
          <w:tab w:leader="none" w:pos="2472" w:val="left"/>
        </w:tabs>
        <w:numPr>
          <w:ilvl w:val="2"/>
          <w:numId w:val="230"/>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for Cause</w:t>
      </w:r>
      <w:r>
        <w:rPr>
          <w:rFonts w:ascii="Arial" w:cs="Arial" w:eastAsia="Arial" w:hAnsi="Arial"/>
          <w:sz w:val="21"/>
          <w:szCs w:val="21"/>
          <w:color w:val="auto"/>
        </w:rPr>
        <w:t>. In the event of termination of an Optionee’s Continuous Service Status for</w:t>
      </w:r>
      <w:r>
        <w:rPr>
          <w:rFonts w:ascii="Arial" w:cs="Arial" w:eastAsia="Arial" w:hAnsi="Arial"/>
          <w:sz w:val="21"/>
          <w:szCs w:val="21"/>
          <w:b w:val="1"/>
          <w:bCs w:val="1"/>
          <w:color w:val="auto"/>
        </w:rPr>
        <w:t xml:space="preserve"> </w:t>
      </w:r>
      <w:r>
        <w:rPr>
          <w:rFonts w:ascii="Arial" w:cs="Arial" w:eastAsia="Arial" w:hAnsi="Arial"/>
          <w:sz w:val="21"/>
          <w:szCs w:val="21"/>
          <w:color w:val="auto"/>
        </w:rPr>
        <w:t>Cause, any Option (including any exercisable portion thereof) held by such Optionee shall immediately terminate in its entirety upon first notification to the Optionee of termination of the Optionee’s Continuous Service Status. If an Optionee’s employment or consulting relationship with the Company is suspended pending an investigation of whether the Optionee shall be terminated for Cause, all the Optionee’s rights under any Option likewise shall be suspended during the investigation period and the Optionee shall have no right to exercise any Option.</w:t>
      </w:r>
    </w:p>
    <w:p>
      <w:pPr>
        <w:spacing w:after="0" w:line="119" w:lineRule="exact"/>
        <w:rPr>
          <w:rFonts w:ascii="Arial" w:cs="Arial" w:eastAsia="Arial" w:hAnsi="Arial"/>
          <w:sz w:val="21"/>
          <w:szCs w:val="21"/>
          <w:color w:val="auto"/>
        </w:rPr>
      </w:pPr>
    </w:p>
    <w:p>
      <w:pPr>
        <w:ind w:right="220" w:firstLine="1304"/>
        <w:spacing w:after="0" w:line="256" w:lineRule="auto"/>
        <w:tabs>
          <w:tab w:leader="none" w:pos="1752" w:val="left"/>
        </w:tabs>
        <w:numPr>
          <w:ilvl w:val="1"/>
          <w:numId w:val="231"/>
        </w:numPr>
        <w:rPr>
          <w:rFonts w:ascii="Arial" w:cs="Arial" w:eastAsia="Arial" w:hAnsi="Arial"/>
          <w:sz w:val="22"/>
          <w:szCs w:val="22"/>
          <w:color w:val="auto"/>
        </w:rPr>
      </w:pPr>
      <w:r>
        <w:rPr>
          <w:rFonts w:ascii="Arial" w:cs="Arial" w:eastAsia="Arial" w:hAnsi="Arial"/>
          <w:sz w:val="22"/>
          <w:szCs w:val="22"/>
          <w:b w:val="1"/>
          <w:bCs w:val="1"/>
          <w:u w:val="single" w:color="auto"/>
          <w:color w:val="auto"/>
        </w:rPr>
        <w:t>Buyout Provisions</w:t>
      </w:r>
      <w:r>
        <w:rPr>
          <w:rFonts w:ascii="Arial" w:cs="Arial" w:eastAsia="Arial" w:hAnsi="Arial"/>
          <w:sz w:val="22"/>
          <w:szCs w:val="22"/>
          <w:color w:val="auto"/>
        </w:rPr>
        <w:t>. The Administrator may at any time offer to buy out for a payment in cash or Shares an</w:t>
      </w:r>
      <w:r>
        <w:rPr>
          <w:rFonts w:ascii="Arial" w:cs="Arial" w:eastAsia="Arial" w:hAnsi="Arial"/>
          <w:sz w:val="22"/>
          <w:szCs w:val="22"/>
          <w:b w:val="1"/>
          <w:bCs w:val="1"/>
          <w:color w:val="auto"/>
        </w:rPr>
        <w:t xml:space="preserve"> </w:t>
      </w:r>
      <w:r>
        <w:rPr>
          <w:rFonts w:ascii="Arial" w:cs="Arial" w:eastAsia="Arial" w:hAnsi="Arial"/>
          <w:sz w:val="22"/>
          <w:szCs w:val="22"/>
          <w:color w:val="auto"/>
        </w:rPr>
        <w:t>Option previously granted under the Plan based on such terms and conditions as the Administrator shall establish and communicate to the Optionee at the time that such offer is made.</w:t>
      </w:r>
    </w:p>
    <w:p>
      <w:pPr>
        <w:spacing w:after="0" w:line="122" w:lineRule="exact"/>
        <w:rPr>
          <w:rFonts w:ascii="Arial" w:cs="Arial" w:eastAsia="Arial" w:hAnsi="Arial"/>
          <w:sz w:val="22"/>
          <w:szCs w:val="22"/>
          <w:color w:val="auto"/>
        </w:rPr>
      </w:pPr>
    </w:p>
    <w:p>
      <w:pPr>
        <w:ind w:left="1140" w:hanging="484"/>
        <w:spacing w:after="0"/>
        <w:tabs>
          <w:tab w:leader="none" w:pos="1140" w:val="left"/>
        </w:tabs>
        <w:numPr>
          <w:ilvl w:val="0"/>
          <w:numId w:val="232"/>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Purchase Rights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80" w:firstLine="1304"/>
        <w:spacing w:after="0" w:line="260" w:lineRule="auto"/>
        <w:tabs>
          <w:tab w:leader="none" w:pos="1752" w:val="left"/>
        </w:tabs>
        <w:numPr>
          <w:ilvl w:val="1"/>
          <w:numId w:val="232"/>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Rights to Purchase</w:t>
      </w:r>
      <w:r>
        <w:rPr>
          <w:rFonts w:ascii="Arial" w:cs="Arial" w:eastAsia="Arial" w:hAnsi="Arial"/>
          <w:sz w:val="21"/>
          <w:szCs w:val="21"/>
          <w:color w:val="auto"/>
        </w:rPr>
        <w:t>. When the Administrator determines that it will offer Stock Purchase Rights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it shall advise the offeree in writing of the terms, conditions and restrictions related to the offer, including the number of Shares that such person shall be entitled to purchase or otherwise acquire, the price to be paid (including the method of payment) and the time within which such person must accept such offer. The purchase price of Shares subject to Stock Purchase Rights shall be as determined by the Administrator. The consideration shall be as determined by the Administrator consistent with Section 9(b). The offer to purchase Shares subject to Stock Purchase Rights shall be accepted by execution of a Restricted Stock Purchase Agreement in the form determined by the Administrator or in such other manner as determined by the Administrator as specified in the Restricted Stock Purchase Agreement.</w:t>
      </w:r>
    </w:p>
    <w:p>
      <w:pPr>
        <w:spacing w:after="0" w:line="121" w:lineRule="exact"/>
        <w:rPr>
          <w:rFonts w:ascii="Arial" w:cs="Arial" w:eastAsia="Arial" w:hAnsi="Arial"/>
          <w:sz w:val="21"/>
          <w:szCs w:val="21"/>
          <w:color w:val="auto"/>
        </w:rPr>
      </w:pPr>
    </w:p>
    <w:p>
      <w:pPr>
        <w:ind w:left="1780" w:hanging="476"/>
        <w:spacing w:after="0"/>
        <w:tabs>
          <w:tab w:leader="none" w:pos="1780" w:val="left"/>
        </w:tabs>
        <w:numPr>
          <w:ilvl w:val="1"/>
          <w:numId w:val="232"/>
        </w:numPr>
        <w:rPr>
          <w:rFonts w:ascii="Arial" w:cs="Arial" w:eastAsia="Arial" w:hAnsi="Arial"/>
          <w:sz w:val="22"/>
          <w:szCs w:val="22"/>
          <w:color w:val="auto"/>
        </w:rPr>
      </w:pPr>
      <w:r>
        <w:rPr>
          <w:rFonts w:ascii="Arial" w:cs="Arial" w:eastAsia="Arial" w:hAnsi="Arial"/>
          <w:sz w:val="22"/>
          <w:szCs w:val="22"/>
          <w:b w:val="1"/>
          <w:bCs w:val="1"/>
          <w:u w:val="single" w:color="auto"/>
          <w:color w:val="auto"/>
        </w:rPr>
        <w:t>Repurchase Option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firstLine="1952"/>
        <w:spacing w:after="0" w:line="247" w:lineRule="auto"/>
        <w:tabs>
          <w:tab w:leader="none" w:pos="2364" w:val="left"/>
        </w:tabs>
        <w:numPr>
          <w:ilvl w:val="2"/>
          <w:numId w:val="232"/>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 Unless the Administrator determines otherwise, the Restricted Stock Purchase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grant the Company a repurchase option exercisable upon the voluntary or involuntary termination of the purchaser’s employment with the Company for any reason (including death or disability). Subject to any requirements of the Applicable Laws (including without limitation Section 260.140.8 of the Rules of the California Corporations Commissioner), the terms of the Company’s repurchase option (including without limitation the price at which, and the consideration for which, it may be exercised, and the events upon which it shall lapse) shall be as determined by the Administrator in its sole discretion and reflected in the Restricted Stock Purchase Agreement.</w:t>
      </w:r>
    </w:p>
    <w:p>
      <w:pPr>
        <w:spacing w:after="0" w:line="135" w:lineRule="exact"/>
        <w:rPr>
          <w:rFonts w:ascii="Arial" w:cs="Arial" w:eastAsia="Arial" w:hAnsi="Arial"/>
          <w:sz w:val="22"/>
          <w:szCs w:val="22"/>
          <w:color w:val="auto"/>
        </w:rPr>
      </w:pPr>
    </w:p>
    <w:p>
      <w:pPr>
        <w:ind w:right="300" w:firstLine="1952"/>
        <w:spacing w:after="0" w:line="315" w:lineRule="auto"/>
        <w:tabs>
          <w:tab w:leader="none" w:pos="2424" w:val="left"/>
        </w:tabs>
        <w:numPr>
          <w:ilvl w:val="2"/>
          <w:numId w:val="232"/>
        </w:numPr>
        <w:rPr>
          <w:rFonts w:ascii="Arial" w:cs="Arial" w:eastAsia="Arial" w:hAnsi="Arial"/>
          <w:sz w:val="19"/>
          <w:szCs w:val="19"/>
          <w:color w:val="auto"/>
        </w:rPr>
      </w:pPr>
      <w:r>
        <w:rPr>
          <w:rFonts w:ascii="Arial" w:cs="Arial" w:eastAsia="Arial" w:hAnsi="Arial"/>
          <w:sz w:val="19"/>
          <w:szCs w:val="19"/>
          <w:b w:val="1"/>
          <w:bCs w:val="1"/>
          <w:u w:val="single" w:color="auto"/>
          <w:color w:val="auto"/>
        </w:rPr>
        <w:t>Leave of Absence</w:t>
      </w:r>
      <w:r>
        <w:rPr>
          <w:rFonts w:ascii="Arial" w:cs="Arial" w:eastAsia="Arial" w:hAnsi="Arial"/>
          <w:sz w:val="19"/>
          <w:szCs w:val="19"/>
          <w:color w:val="auto"/>
        </w:rPr>
        <w:t>. The Administrator shall have the discretion to determine whether and to what</w:t>
      </w:r>
      <w:r>
        <w:rPr>
          <w:rFonts w:ascii="Arial" w:cs="Arial" w:eastAsia="Arial" w:hAnsi="Arial"/>
          <w:sz w:val="19"/>
          <w:szCs w:val="19"/>
          <w:b w:val="1"/>
          <w:bCs w:val="1"/>
          <w:color w:val="auto"/>
        </w:rPr>
        <w:t xml:space="preserve"> </w:t>
      </w:r>
      <w:r>
        <w:rPr>
          <w:rFonts w:ascii="Arial" w:cs="Arial" w:eastAsia="Arial" w:hAnsi="Arial"/>
          <w:sz w:val="19"/>
          <w:szCs w:val="19"/>
          <w:color w:val="auto"/>
        </w:rPr>
        <w:t>extent the lapsing of Company repurchase rights shall be tolled during any unpaid leave of absence; provided, however, that in the absence of such determination, such lapsing shall be tolled during any such unpaid leave (unless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323" w:name="page324"/>
    <w:bookmarkEnd w:id="323"/>
    <w:p>
      <w:pPr>
        <w:ind w:right="20"/>
        <w:spacing w:after="0" w:line="294" w:lineRule="auto"/>
        <w:rPr>
          <w:sz w:val="20"/>
          <w:szCs w:val="20"/>
          <w:color w:val="auto"/>
        </w:rPr>
      </w:pPr>
      <w:r>
        <w:rPr>
          <w:rFonts w:ascii="Arial" w:cs="Arial" w:eastAsia="Arial" w:hAnsi="Arial"/>
          <w:sz w:val="19"/>
          <w:szCs w:val="19"/>
          <w:color w:val="auto"/>
        </w:rPr>
        <w:t>required by the Applicable Laws). In the event of military leave, the lapsing of Company repurchase rights shall toll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Shares purchased pursuant to the Restricted Stock Purchase Agreement to the same extent as would have applied had the Participant continued to provide services to the Company throughout the leave on the same terms as he or she was providing services immediately prior to such leave.</w:t>
      </w:r>
    </w:p>
    <w:p>
      <w:pPr>
        <w:spacing w:after="0" w:line="89" w:lineRule="exact"/>
        <w:rPr>
          <w:sz w:val="20"/>
          <w:szCs w:val="20"/>
          <w:color w:val="auto"/>
        </w:rPr>
      </w:pPr>
    </w:p>
    <w:p>
      <w:pPr>
        <w:ind w:firstLine="1952"/>
        <w:spacing w:after="0" w:line="260" w:lineRule="auto"/>
        <w:tabs>
          <w:tab w:leader="none" w:pos="2484" w:val="left"/>
        </w:tabs>
        <w:numPr>
          <w:ilvl w:val="2"/>
          <w:numId w:val="233"/>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for Cause</w:t>
      </w:r>
      <w:r>
        <w:rPr>
          <w:rFonts w:ascii="Arial" w:cs="Arial" w:eastAsia="Arial" w:hAnsi="Arial"/>
          <w:sz w:val="21"/>
          <w:szCs w:val="21"/>
          <w:color w:val="auto"/>
        </w:rPr>
        <w:t>. In the event of termination of a Participant’s Continuous Service Status for</w:t>
      </w:r>
      <w:r>
        <w:rPr>
          <w:rFonts w:ascii="Arial" w:cs="Arial" w:eastAsia="Arial" w:hAnsi="Arial"/>
          <w:sz w:val="21"/>
          <w:szCs w:val="21"/>
          <w:b w:val="1"/>
          <w:bCs w:val="1"/>
          <w:color w:val="auto"/>
        </w:rPr>
        <w:t xml:space="preserve"> </w:t>
      </w:r>
      <w:r>
        <w:rPr>
          <w:rFonts w:ascii="Arial" w:cs="Arial" w:eastAsia="Arial" w:hAnsi="Arial"/>
          <w:sz w:val="21"/>
          <w:szCs w:val="21"/>
          <w:color w:val="auto"/>
        </w:rPr>
        <w:t>Cause, the Company shall have the right to repurchase from the Participant vested Shares issued upon exercise of a Stock Purchase Right upon the following terms: (A) the repurchase must be made within six (6) months of termination of the Participant’s Continuous Service Status for Cause at the lower of (x) Participant’s original cost for the Shares and (y) the Fair Market Value of the Shares as of the date of termination, and (B) the repurchase shall be effected pursuant to such terms and conditions as the Administrator shall determine are necessary and appropriate to carry out the intent of this Section 10(b)(iii). Nothing in this Section 10(b)(iii) shall in any way limit the Company’s right to purchase unvested Shares as set forth in the applicable Restricted Stock Purchase Agreement.</w:t>
      </w:r>
    </w:p>
    <w:p>
      <w:pPr>
        <w:spacing w:after="0" w:line="121" w:lineRule="exact"/>
        <w:rPr>
          <w:rFonts w:ascii="Arial" w:cs="Arial" w:eastAsia="Arial" w:hAnsi="Arial"/>
          <w:sz w:val="21"/>
          <w:szCs w:val="21"/>
          <w:color w:val="auto"/>
        </w:rPr>
      </w:pPr>
    </w:p>
    <w:p>
      <w:pPr>
        <w:ind w:right="60" w:firstLine="1304"/>
        <w:spacing w:after="0" w:line="315" w:lineRule="auto"/>
        <w:tabs>
          <w:tab w:leader="none" w:pos="1752" w:val="left"/>
        </w:tabs>
        <w:numPr>
          <w:ilvl w:val="1"/>
          <w:numId w:val="234"/>
        </w:numPr>
        <w:rPr>
          <w:rFonts w:ascii="Arial" w:cs="Arial" w:eastAsia="Arial" w:hAnsi="Arial"/>
          <w:sz w:val="19"/>
          <w:szCs w:val="19"/>
          <w:color w:val="auto"/>
        </w:rPr>
      </w:pPr>
      <w:r>
        <w:rPr>
          <w:rFonts w:ascii="Arial" w:cs="Arial" w:eastAsia="Arial" w:hAnsi="Arial"/>
          <w:sz w:val="19"/>
          <w:szCs w:val="19"/>
          <w:b w:val="1"/>
          <w:bCs w:val="1"/>
          <w:u w:val="single" w:color="auto"/>
          <w:color w:val="auto"/>
        </w:rPr>
        <w:t>Other Provisions</w:t>
      </w:r>
      <w:r>
        <w:rPr>
          <w:rFonts w:ascii="Arial" w:cs="Arial" w:eastAsia="Arial" w:hAnsi="Arial"/>
          <w:sz w:val="19"/>
          <w:szCs w:val="19"/>
          <w:color w:val="auto"/>
        </w:rPr>
        <w:t>. The Restricted Stock Purchase Agreement shall contain such other terms, provisions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not inconsistent with the Plan as may be determined by the Administrator in its sole discretion. In addition, the provisions of Restricted Stock Purchase Agreements need not be the same with respect to each Participant.</w:t>
      </w:r>
    </w:p>
    <w:p>
      <w:pPr>
        <w:spacing w:after="0" w:line="71" w:lineRule="exact"/>
        <w:rPr>
          <w:rFonts w:ascii="Arial" w:cs="Arial" w:eastAsia="Arial" w:hAnsi="Arial"/>
          <w:sz w:val="19"/>
          <w:szCs w:val="19"/>
          <w:color w:val="auto"/>
        </w:rPr>
      </w:pPr>
    </w:p>
    <w:p>
      <w:pPr>
        <w:ind w:right="140" w:firstLine="1304"/>
        <w:spacing w:after="0" w:line="304" w:lineRule="auto"/>
        <w:tabs>
          <w:tab w:leader="none" w:pos="1764" w:val="left"/>
        </w:tabs>
        <w:numPr>
          <w:ilvl w:val="1"/>
          <w:numId w:val="234"/>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color w:val="auto"/>
        </w:rPr>
        <w:t>. Once the Stock Purchase Right is exercised, the purchaser shall have the rights</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 to those of a shareholder, and shall be a shareholder when his or her purchase is entered upon the records of the duly authorized transfer agent of the Company. No adjustment will be made for a dividend or other right for which the record date is prior to the date the Stock Purchase Right is exercised, except as provided in Section 13 of the Plan.</w:t>
      </w:r>
    </w:p>
    <w:p>
      <w:pPr>
        <w:spacing w:after="0" w:line="81" w:lineRule="exact"/>
        <w:rPr>
          <w:rFonts w:ascii="Arial" w:cs="Arial" w:eastAsia="Arial" w:hAnsi="Arial"/>
          <w:sz w:val="19"/>
          <w:szCs w:val="19"/>
          <w:color w:val="auto"/>
        </w:rPr>
      </w:pPr>
    </w:p>
    <w:p>
      <w:pPr>
        <w:ind w:left="1140" w:hanging="484"/>
        <w:spacing w:after="0"/>
        <w:tabs>
          <w:tab w:leader="none" w:pos="1140" w:val="left"/>
        </w:tabs>
        <w:numPr>
          <w:ilvl w:val="0"/>
          <w:numId w:val="235"/>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1760" w:hanging="456"/>
        <w:spacing w:after="0"/>
        <w:tabs>
          <w:tab w:leader="none" w:pos="1760" w:val="left"/>
        </w:tabs>
        <w:numPr>
          <w:ilvl w:val="1"/>
          <w:numId w:val="235"/>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 Obligation</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right="20" w:firstLine="1952"/>
        <w:spacing w:after="0" w:line="290" w:lineRule="auto"/>
        <w:tabs>
          <w:tab w:leader="none" w:pos="2352" w:val="left"/>
        </w:tabs>
        <w:numPr>
          <w:ilvl w:val="2"/>
          <w:numId w:val="235"/>
        </w:numPr>
        <w:rPr>
          <w:rFonts w:ascii="Arial" w:cs="Arial" w:eastAsia="Arial" w:hAnsi="Arial"/>
          <w:sz w:val="19"/>
          <w:szCs w:val="19"/>
          <w:color w:val="auto"/>
        </w:rPr>
      </w:pPr>
      <w:r>
        <w:rPr>
          <w:rFonts w:ascii="Arial" w:cs="Arial" w:eastAsia="Arial" w:hAnsi="Arial"/>
          <w:sz w:val="19"/>
          <w:szCs w:val="19"/>
          <w:color w:val="auto"/>
        </w:rPr>
        <w:t>As a condition of the grant, vesting or exercise of an Option or Stock Purchase Right granted under the Plan, the Participant (or in the case of the Participant’s death, the person exercising the Option or Stock Purchase Right) shall make such arrangements as the Administrator may require for the satisfaction of any applicable federal, state, local or foreign withholding tax obligations that may arise in connection with such grant, vesting or exercise of the Option or Stock Purchase Right or the issuance of Shares. The Company shall not be required to issue any Shares under the Plan until such obligations are satisfied. If the Administrator allows the withholding or surrender of Shares to satisfy a Participant’s tax withholding obligations under this Section 11, the Administrator shall not allow Shares to be withheld in an amount that exceeds the minimum statutory withholding rates for federal and state tax purposes, including payroll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60"/>
          </w:cols>
          <w:pgMar w:left="320" w:top="1428" w:right="419" w:bottom="1440" w:gutter="0" w:footer="0" w:header="0"/>
        </w:sectPr>
      </w:pPr>
    </w:p>
    <w:bookmarkStart w:id="324" w:name="page325"/>
    <w:bookmarkEnd w:id="324"/>
    <w:p>
      <w:pPr>
        <w:ind w:right="300" w:firstLine="1952"/>
        <w:spacing w:after="0" w:line="250" w:lineRule="auto"/>
        <w:tabs>
          <w:tab w:leader="none" w:pos="2424" w:val="left"/>
        </w:tabs>
        <w:numPr>
          <w:ilvl w:val="1"/>
          <w:numId w:val="236"/>
        </w:numPr>
        <w:rPr>
          <w:rFonts w:ascii="Arial" w:cs="Arial" w:eastAsia="Arial" w:hAnsi="Arial"/>
          <w:sz w:val="22"/>
          <w:szCs w:val="22"/>
          <w:color w:val="auto"/>
        </w:rPr>
      </w:pPr>
      <w:r>
        <w:rPr>
          <w:rFonts w:ascii="Arial" w:cs="Arial" w:eastAsia="Arial" w:hAnsi="Arial"/>
          <w:sz w:val="22"/>
          <w:szCs w:val="22"/>
          <w:color w:val="auto"/>
        </w:rPr>
        <w:t>In the case of an Employee and in the absence of any other arrangement, the Employee shall be deemed to have directed the Company to withhold or collect from his or her compensation an amount sufficient to satisfy such tax obligations from the next payroll payment otherwise payable after the date of an exercise of the Option or Stock Purchase Right.</w:t>
      </w:r>
    </w:p>
    <w:p>
      <w:pPr>
        <w:spacing w:after="0" w:line="133" w:lineRule="exact"/>
        <w:rPr>
          <w:rFonts w:ascii="Arial" w:cs="Arial" w:eastAsia="Arial" w:hAnsi="Arial"/>
          <w:sz w:val="22"/>
          <w:szCs w:val="22"/>
          <w:color w:val="auto"/>
        </w:rPr>
      </w:pPr>
    </w:p>
    <w:p>
      <w:pPr>
        <w:ind w:right="80" w:firstLine="1952"/>
        <w:spacing w:after="0" w:line="290" w:lineRule="auto"/>
        <w:tabs>
          <w:tab w:leader="none" w:pos="248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This Section 11(a) shall apply only after the date, if any, upon which the Common Stock becomes a Listed Security. In the case of Participant other than an Employee (or in the case of an Employee where the next payroll payment is not sufficient to satisfy such tax obligations, with respect to any remaining tax obligations), in the absence of any other arrangement and to the extent permitted under the Applicable Laws, the Participant shall be deemed to have elected to have the Company withhold from the Shares to be issued upon exercise of the Option or Stock Purchase Right that number of Shares having a Fair Market Value determined as of the applicable Tax Date (as defined below) equal to the amount required to be withheld. For purposes of this Section 11, the Fair Market Value of the Shares to be withheld shall be determined on the date that the amount of tax to be withheld is to be determined under the Applicable Laws (the “</w:t>
      </w:r>
      <w:r>
        <w:rPr>
          <w:rFonts w:ascii="Arial" w:cs="Arial" w:eastAsia="Arial" w:hAnsi="Arial"/>
          <w:sz w:val="19"/>
          <w:szCs w:val="19"/>
          <w:b w:val="1"/>
          <w:bCs w:val="1"/>
          <w:u w:val="single" w:color="auto"/>
          <w:color w:val="auto"/>
        </w:rPr>
        <w:t>Tax Date</w:t>
      </w:r>
      <w:r>
        <w:rPr>
          <w:rFonts w:ascii="Arial" w:cs="Arial" w:eastAsia="Arial" w:hAnsi="Arial"/>
          <w:sz w:val="19"/>
          <w:szCs w:val="19"/>
          <w:color w:val="auto"/>
        </w:rPr>
        <w:t>”).</w:t>
      </w:r>
    </w:p>
    <w:p>
      <w:pPr>
        <w:spacing w:after="0" w:line="101" w:lineRule="exact"/>
        <w:rPr>
          <w:rFonts w:ascii="Arial" w:cs="Arial" w:eastAsia="Arial" w:hAnsi="Arial"/>
          <w:sz w:val="19"/>
          <w:szCs w:val="19"/>
          <w:color w:val="auto"/>
        </w:rPr>
      </w:pPr>
    </w:p>
    <w:p>
      <w:pPr>
        <w:ind w:right="80" w:firstLine="1952"/>
        <w:spacing w:after="0" w:line="247" w:lineRule="auto"/>
        <w:tabs>
          <w:tab w:leader="none" w:pos="2472" w:val="left"/>
        </w:tabs>
        <w:numPr>
          <w:ilvl w:val="1"/>
          <w:numId w:val="236"/>
        </w:numPr>
        <w:rPr>
          <w:rFonts w:ascii="Arial" w:cs="Arial" w:eastAsia="Arial" w:hAnsi="Arial"/>
          <w:sz w:val="22"/>
          <w:szCs w:val="22"/>
          <w:color w:val="auto"/>
        </w:rPr>
      </w:pPr>
      <w:r>
        <w:rPr>
          <w:rFonts w:ascii="Arial" w:cs="Arial" w:eastAsia="Arial" w:hAnsi="Arial"/>
          <w:sz w:val="22"/>
          <w:szCs w:val="22"/>
          <w:color w:val="auto"/>
        </w:rPr>
        <w:t>If permitted by the Administrator, in its discretion, a Participant may satisfy his or her tax withholding obligations upon exercise of an Option or Stock Purchase Right by surrendering to the Company Shares that have a Fair Market Value determined as of the applicable Tax Date equal to the amount required to be withheld. In the case of Shares previously acquired from the Company that are surrendered under this Section 11(a)(iv), such Shares must have been owned by the Participant for more than six (6) months on the date of surrender (or such other period of time as is required for the Company to avoid adverse accounting charges).</w:t>
      </w:r>
    </w:p>
    <w:p>
      <w:pPr>
        <w:spacing w:after="0" w:line="138" w:lineRule="exact"/>
        <w:rPr>
          <w:rFonts w:ascii="Arial" w:cs="Arial" w:eastAsia="Arial" w:hAnsi="Arial"/>
          <w:sz w:val="22"/>
          <w:szCs w:val="22"/>
          <w:color w:val="auto"/>
        </w:rPr>
      </w:pPr>
    </w:p>
    <w:p>
      <w:pPr>
        <w:jc w:val="both"/>
        <w:ind w:right="180" w:firstLine="1952"/>
        <w:spacing w:after="0" w:line="250" w:lineRule="auto"/>
        <w:tabs>
          <w:tab w:leader="none" w:pos="240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Any election or deemed election by a Participant to have Shares withheld to satisfy tax withholding obligations under Section 11(a)(iii) or (iv) above shall be irrevocable as to the particular Shares as to which the election is made and shall be subject to the consent or disapproval of the Administrator. Any election by a Participant under Section 11(a)(iv) above must be made on or prior to the applicable Tax Date.</w:t>
      </w:r>
    </w:p>
    <w:p>
      <w:pPr>
        <w:spacing w:after="0" w:line="133" w:lineRule="exact"/>
        <w:rPr>
          <w:rFonts w:ascii="Arial" w:cs="Arial" w:eastAsia="Arial" w:hAnsi="Arial"/>
          <w:sz w:val="22"/>
          <w:szCs w:val="22"/>
          <w:color w:val="auto"/>
        </w:rPr>
      </w:pPr>
    </w:p>
    <w:p>
      <w:pPr>
        <w:ind w:firstLine="1952"/>
        <w:spacing w:after="0" w:line="302" w:lineRule="auto"/>
        <w:tabs>
          <w:tab w:leader="none" w:pos="2472" w:val="left"/>
        </w:tabs>
        <w:numPr>
          <w:ilvl w:val="1"/>
          <w:numId w:val="236"/>
        </w:numPr>
        <w:rPr>
          <w:rFonts w:ascii="Arial" w:cs="Arial" w:eastAsia="Arial" w:hAnsi="Arial"/>
          <w:sz w:val="19"/>
          <w:szCs w:val="19"/>
          <w:color w:val="auto"/>
        </w:rPr>
      </w:pPr>
      <w:r>
        <w:rPr>
          <w:rFonts w:ascii="Arial" w:cs="Arial" w:eastAsia="Arial" w:hAnsi="Arial"/>
          <w:sz w:val="19"/>
          <w:szCs w:val="19"/>
          <w:color w:val="auto"/>
        </w:rPr>
        <w:t>In the event an election to have Shares withheld is made by a Participant and the Tax Date is deferred under Section 83 of the Code because no election is filed under Section 83(b) of the Code, the Participant shall receive the full number of Shares with respect to which the Option or Stock Purchase Right is exercised but such Participant shall be unconditionally obligated to tender back to the Company the proper number of Shares on the Tax Date.</w:t>
      </w:r>
    </w:p>
    <w:p>
      <w:pPr>
        <w:spacing w:after="0" w:line="82" w:lineRule="exact"/>
        <w:rPr>
          <w:rFonts w:ascii="Arial" w:cs="Arial" w:eastAsia="Arial" w:hAnsi="Arial"/>
          <w:sz w:val="19"/>
          <w:szCs w:val="19"/>
          <w:color w:val="auto"/>
        </w:rPr>
      </w:pPr>
    </w:p>
    <w:p>
      <w:pPr>
        <w:ind w:firstLine="1304"/>
        <w:spacing w:after="0" w:line="248" w:lineRule="auto"/>
        <w:tabs>
          <w:tab w:leader="none" w:pos="1764" w:val="left"/>
        </w:tabs>
        <w:numPr>
          <w:ilvl w:val="0"/>
          <w:numId w:val="237"/>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Section 409A</w:t>
      </w:r>
      <w:r>
        <w:rPr>
          <w:rFonts w:ascii="Arial" w:cs="Arial" w:eastAsia="Arial" w:hAnsi="Arial"/>
          <w:sz w:val="22"/>
          <w:szCs w:val="22"/>
          <w:color w:val="auto"/>
        </w:rPr>
        <w:t>. Notwithstanding anything to the contrary contained in this Plan,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that the Administrator determines that any Award granted under the Plan is subject to Code Section 409A and unless otherwise specified in the applicable Award Agreement, the Award Agreement evidencing such Award shall incorporate the terms and conditions necessary for such Award to avoid the consequences described in Code Section 409A(a)(1), and to the maximum extent permitted under Applicable Law (and unless otherwise stated in the applicable Award Agreement), the Plan and the Award Agreements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325" w:name="page326"/>
    <w:bookmarkEnd w:id="325"/>
    <w:p>
      <w:pPr>
        <w:ind w:right="140"/>
        <w:spacing w:after="0" w:line="259" w:lineRule="auto"/>
        <w:rPr>
          <w:sz w:val="20"/>
          <w:szCs w:val="20"/>
          <w:color w:val="auto"/>
        </w:rPr>
      </w:pPr>
      <w:r>
        <w:rPr>
          <w:rFonts w:ascii="Arial" w:cs="Arial" w:eastAsia="Arial" w:hAnsi="Arial"/>
          <w:sz w:val="21"/>
          <w:szCs w:val="21"/>
          <w:color w:val="auto"/>
        </w:rPr>
        <w:t>be interpreted in a manner that results in their conforming to the requirements of Code Section 409A(a)(2), (3) and (4) and any Department of Treasury or Internal Revenue Service regulations or other interpretive guidance issued under Section 409A (whenever issued, the “</w:t>
      </w:r>
      <w:r>
        <w:rPr>
          <w:rFonts w:ascii="Arial" w:cs="Arial" w:eastAsia="Arial" w:hAnsi="Arial"/>
          <w:sz w:val="21"/>
          <w:szCs w:val="21"/>
          <w:b w:val="1"/>
          <w:bCs w:val="1"/>
          <w:u w:val="single" w:color="auto"/>
          <w:color w:val="auto"/>
        </w:rPr>
        <w:t>Guidance</w:t>
      </w:r>
      <w:r>
        <w:rPr>
          <w:rFonts w:ascii="Arial" w:cs="Arial" w:eastAsia="Arial" w:hAnsi="Arial"/>
          <w:sz w:val="21"/>
          <w:szCs w:val="21"/>
          <w:color w:val="auto"/>
        </w:rPr>
        <w:t>”). Notwithstanding anything to the contrary in this Plan (and unless the Award Agreement provides otherwise, with specific reference to this sentence), if the Shares are publicly traded on a Stock Exchange, then to the extent that a Participant holding an Award that constitutes “deferred compensation” under Section 409A and the Guidance is a “specified employee” (also as defined thereunder), no distribution or payment of any amount shall be made before a date that is six (6) months following the date of such Participant’s “separation from service” (as defined in Section 409A and the Guidance) or, if earlier, the date of the Participant’s death.</w:t>
      </w:r>
    </w:p>
    <w:p>
      <w:pPr>
        <w:spacing w:after="0" w:line="123" w:lineRule="exact"/>
        <w:rPr>
          <w:sz w:val="20"/>
          <w:szCs w:val="20"/>
          <w:color w:val="auto"/>
        </w:rPr>
      </w:pPr>
    </w:p>
    <w:p>
      <w:pPr>
        <w:ind w:firstLine="1304"/>
        <w:spacing w:after="0" w:line="287" w:lineRule="auto"/>
        <w:tabs>
          <w:tab w:leader="none" w:pos="1752" w:val="left"/>
        </w:tabs>
        <w:numPr>
          <w:ilvl w:val="1"/>
          <w:numId w:val="238"/>
        </w:numPr>
        <w:rPr>
          <w:rFonts w:ascii="Arial" w:cs="Arial" w:eastAsia="Arial" w:hAnsi="Arial"/>
          <w:sz w:val="19"/>
          <w:szCs w:val="19"/>
          <w:color w:val="auto"/>
        </w:rPr>
      </w:pPr>
      <w:r>
        <w:rPr>
          <w:rFonts w:ascii="Arial" w:cs="Arial" w:eastAsia="Arial" w:hAnsi="Arial"/>
          <w:sz w:val="19"/>
          <w:szCs w:val="19"/>
          <w:b w:val="1"/>
          <w:bCs w:val="1"/>
          <w:u w:val="single" w:color="auto"/>
          <w:color w:val="auto"/>
        </w:rPr>
        <w:t>Deferral of Award Benefits</w:t>
      </w:r>
      <w:r>
        <w:rPr>
          <w:rFonts w:ascii="Arial" w:cs="Arial" w:eastAsia="Arial" w:hAnsi="Arial"/>
          <w:sz w:val="19"/>
          <w:szCs w:val="19"/>
          <w:color w:val="auto"/>
        </w:rPr>
        <w:t>. The Administrator may in its discretion and upon such terms and conditions as</w:t>
      </w:r>
      <w:r>
        <w:rPr>
          <w:rFonts w:ascii="Arial" w:cs="Arial" w:eastAsia="Arial" w:hAnsi="Arial"/>
          <w:sz w:val="19"/>
          <w:szCs w:val="19"/>
          <w:b w:val="1"/>
          <w:bCs w:val="1"/>
          <w:color w:val="auto"/>
        </w:rPr>
        <w:t xml:space="preserve"> </w:t>
      </w:r>
      <w:r>
        <w:rPr>
          <w:rFonts w:ascii="Arial" w:cs="Arial" w:eastAsia="Arial" w:hAnsi="Arial"/>
          <w:sz w:val="19"/>
          <w:szCs w:val="19"/>
          <w:color w:val="auto"/>
        </w:rPr>
        <w:t>it determines appropriate permit one or more Participants whom it selects to (a) defer compensation payable pursuant to the terms of an Award, or (b) defer compensation arising outside the terms of this Plan pursuant to a program that provides for deferred payment in satisfaction of such other compensation amounts through the issuance of one or more Awards. Any such deferral arrangement shall be evidenced by an Award Agreement in such form as the Administrator shall from time to time establish, and no such deferral arrangement shall be a valid and binding obligation unless evidenced by a fully executed Award Agreement, the form of which the Administrator has approved, including through the Administrator’s establishing a written program (the “</w:t>
      </w:r>
      <w:r>
        <w:rPr>
          <w:rFonts w:ascii="Arial" w:cs="Arial" w:eastAsia="Arial" w:hAnsi="Arial"/>
          <w:sz w:val="19"/>
          <w:szCs w:val="19"/>
          <w:b w:val="1"/>
          <w:bCs w:val="1"/>
          <w:u w:val="single" w:color="auto"/>
          <w:color w:val="auto"/>
        </w:rPr>
        <w:t>Program</w:t>
      </w:r>
      <w:r>
        <w:rPr>
          <w:rFonts w:ascii="Arial" w:cs="Arial" w:eastAsia="Arial" w:hAnsi="Arial"/>
          <w:sz w:val="19"/>
          <w:szCs w:val="19"/>
          <w:color w:val="auto"/>
        </w:rPr>
        <w:t>”) under this Plan to govern the form of Award Agreements participating in such Program. Any such Award Agreement or Program shall specify the treatment of dividends or dividend equivalent rights (if any) that apply to Awards governed thereby, and shall further provide that any elections governing payment of amounts pursuant to such Program shall be in writing, shall be delivered to the Company or its agent in a form and manner that complies with Code Section 409A and the Guidance, and shall specify the amount to be distributed in settlement of the deferral arrangement, as well as the time and form of such distribution in a manner that complies with Code Section 409A and the Guidance.</w:t>
      </w:r>
    </w:p>
    <w:p>
      <w:pPr>
        <w:spacing w:after="0" w:line="99" w:lineRule="exact"/>
        <w:rPr>
          <w:rFonts w:ascii="Arial" w:cs="Arial" w:eastAsia="Arial" w:hAnsi="Arial"/>
          <w:sz w:val="19"/>
          <w:szCs w:val="19"/>
          <w:color w:val="auto"/>
        </w:rPr>
      </w:pPr>
    </w:p>
    <w:p>
      <w:pPr>
        <w:ind w:left="1140" w:hanging="484"/>
        <w:spacing w:after="0"/>
        <w:tabs>
          <w:tab w:leader="none" w:pos="1140" w:val="left"/>
        </w:tabs>
        <w:numPr>
          <w:ilvl w:val="0"/>
          <w:numId w:val="239"/>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Options and Stock Purchase Rights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20" w:firstLine="1304"/>
        <w:spacing w:after="0" w:line="249" w:lineRule="auto"/>
        <w:tabs>
          <w:tab w:leader="none" w:pos="1752" w:val="left"/>
        </w:tabs>
        <w:numPr>
          <w:ilvl w:val="1"/>
          <w:numId w:val="239"/>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 Except as set forth in this Section 12, Options and Stock Purchase Rights may not be sold, pledged,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hypothecated, transferred or disposed of in any manner other than by will or by the laws of descent or distribution. The designation of a beneficiary by an Optionee will not constitute a transfer. An Option or Stock Purchase Right may be exercised, during the lifetime of the holder of an Option or Stock Purchase Right, only by such holder or a transferee permitted by this Section 12.</w:t>
      </w:r>
    </w:p>
    <w:p>
      <w:pPr>
        <w:spacing w:after="0" w:line="132" w:lineRule="exact"/>
        <w:rPr>
          <w:rFonts w:ascii="Arial" w:cs="Arial" w:eastAsia="Arial" w:hAnsi="Arial"/>
          <w:sz w:val="22"/>
          <w:szCs w:val="22"/>
          <w:color w:val="auto"/>
        </w:rPr>
      </w:pPr>
    </w:p>
    <w:p>
      <w:pPr>
        <w:ind w:right="20" w:firstLine="1304"/>
        <w:spacing w:after="0" w:line="249" w:lineRule="auto"/>
        <w:tabs>
          <w:tab w:leader="none" w:pos="1764" w:val="left"/>
        </w:tabs>
        <w:numPr>
          <w:ilvl w:val="1"/>
          <w:numId w:val="239"/>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Limited Transferability Rights</w:t>
      </w:r>
      <w:r>
        <w:rPr>
          <w:rFonts w:ascii="Arial" w:cs="Arial" w:eastAsia="Arial" w:hAnsi="Arial"/>
          <w:sz w:val="22"/>
          <w:szCs w:val="22"/>
          <w:color w:val="auto"/>
        </w:rPr>
        <w:t>. Notwithstanding anything else in this Section 12, the Administrator may in</w:t>
      </w:r>
      <w:r>
        <w:rPr>
          <w:rFonts w:ascii="Arial" w:cs="Arial" w:eastAsia="Arial" w:hAnsi="Arial"/>
          <w:sz w:val="22"/>
          <w:szCs w:val="22"/>
          <w:b w:val="1"/>
          <w:bCs w:val="1"/>
          <w:color w:val="auto"/>
        </w:rPr>
        <w:t xml:space="preserve"> </w:t>
      </w:r>
      <w:r>
        <w:rPr>
          <w:rFonts w:ascii="Arial" w:cs="Arial" w:eastAsia="Arial" w:hAnsi="Arial"/>
          <w:sz w:val="22"/>
          <w:szCs w:val="22"/>
          <w:color w:val="auto"/>
        </w:rPr>
        <w:t>its discretion grant Nonstatutory Stock Options that may be transferred by instrument to an inter vivos or testamentary trust in which the Options are to be passed to beneficiaries upon the death of the trustor (settlor) or by gift or pursuant to domestic relations orders to “</w:t>
      </w:r>
      <w:r>
        <w:rPr>
          <w:rFonts w:ascii="Arial" w:cs="Arial" w:eastAsia="Arial" w:hAnsi="Arial"/>
          <w:sz w:val="22"/>
          <w:szCs w:val="22"/>
          <w:b w:val="1"/>
          <w:bCs w:val="1"/>
          <w:u w:val="single" w:color="auto"/>
          <w:color w:val="auto"/>
        </w:rPr>
        <w:t>Immediate Family Members</w:t>
      </w:r>
      <w:r>
        <w:rPr>
          <w:rFonts w:ascii="Arial" w:cs="Arial" w:eastAsia="Arial" w:hAnsi="Arial"/>
          <w:sz w:val="22"/>
          <w:szCs w:val="22"/>
          <w:color w:val="auto"/>
        </w:rPr>
        <w:t>” (as defined below) of the Optionee. “</w:t>
      </w:r>
      <w:r>
        <w:rPr>
          <w:rFonts w:ascii="Arial" w:cs="Arial" w:eastAsia="Arial" w:hAnsi="Arial"/>
          <w:sz w:val="22"/>
          <w:szCs w:val="22"/>
          <w:b w:val="1"/>
          <w:bCs w:val="1"/>
          <w:u w:val="single" w:color="auto"/>
          <w:color w:val="auto"/>
        </w:rPr>
        <w:t>Immediate Family</w:t>
      </w:r>
      <w:r>
        <w:rPr>
          <w:rFonts w:ascii="Arial" w:cs="Arial" w:eastAsia="Arial" w:hAnsi="Arial"/>
          <w:sz w:val="22"/>
          <w:szCs w:val="22"/>
          <w:color w:val="auto"/>
        </w:rPr>
        <w:t>” means any child, stepchild, grandchild, parent, stepparent, grandparent,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28" w:right="359" w:bottom="1440" w:gutter="0" w:footer="0" w:header="0"/>
        </w:sectPr>
      </w:pPr>
    </w:p>
    <w:bookmarkStart w:id="326" w:name="page327"/>
    <w:bookmarkEnd w:id="326"/>
    <w:p>
      <w:pPr>
        <w:ind w:right="20"/>
        <w:spacing w:after="0" w:line="265" w:lineRule="auto"/>
        <w:rPr>
          <w:sz w:val="20"/>
          <w:szCs w:val="20"/>
          <w:color w:val="auto"/>
        </w:rPr>
      </w:pPr>
      <w:r>
        <w:rPr>
          <w:rFonts w:ascii="Arial" w:cs="Arial" w:eastAsia="Arial" w:hAnsi="Arial"/>
          <w:sz w:val="21"/>
          <w:szCs w:val="21"/>
          <w:color w:val="auto"/>
        </w:rPr>
        <w:t>spouse, former spouse, sibling, niece, nephew, mother-in-law, father-in-law, son-in-law, daughter-in-law, brother-in-law, or sister-in-law (including adoptive relationships), a trust in which these persons have more than fifty percent of the beneficial interest, a foundation in which these persons (or the Optionee) control the management of assets, and any other entity in which these persons (or the Optionee) own more than fifty percent of the voting interests.</w:t>
      </w:r>
    </w:p>
    <w:p>
      <w:pPr>
        <w:spacing w:after="0" w:line="115" w:lineRule="exact"/>
        <w:rPr>
          <w:sz w:val="20"/>
          <w:szCs w:val="20"/>
          <w:color w:val="auto"/>
        </w:rPr>
      </w:pPr>
    </w:p>
    <w:p>
      <w:pPr>
        <w:ind w:left="1140" w:hanging="484"/>
        <w:spacing w:after="0"/>
        <w:tabs>
          <w:tab w:leader="none" w:pos="1140" w:val="left"/>
        </w:tabs>
        <w:numPr>
          <w:ilvl w:val="0"/>
          <w:numId w:val="240"/>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Adjustments Upon Changes in Capitalization, Merger or Certain Other Transactions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firstLine="1304"/>
        <w:spacing w:after="0" w:line="287" w:lineRule="auto"/>
        <w:tabs>
          <w:tab w:leader="none" w:pos="1752" w:val="left"/>
        </w:tabs>
        <w:numPr>
          <w:ilvl w:val="1"/>
          <w:numId w:val="240"/>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Changes in Capitalization</w:t>
      </w:r>
      <w:r>
        <w:rPr>
          <w:rFonts w:ascii="Arial" w:cs="Arial" w:eastAsia="Arial" w:hAnsi="Arial"/>
          <w:sz w:val="19"/>
          <w:szCs w:val="19"/>
          <w:color w:val="auto"/>
        </w:rPr>
        <w:t>. Subject to any action required under Applicable Laws by the shareholders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the number of Shares of Common Stock covered by each outstanding Award, and the number of Shares of Common Stock that have been authorized for issuance under the Plan but as to which no Awards have yet been granted or that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recapitalization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104" w:lineRule="exact"/>
        <w:rPr>
          <w:rFonts w:ascii="Arial" w:cs="Arial" w:eastAsia="Arial" w:hAnsi="Arial"/>
          <w:sz w:val="19"/>
          <w:szCs w:val="19"/>
          <w:color w:val="auto"/>
        </w:rPr>
      </w:pPr>
    </w:p>
    <w:p>
      <w:pPr>
        <w:jc w:val="both"/>
        <w:ind w:right="160" w:firstLine="1304"/>
        <w:spacing w:after="0" w:line="256" w:lineRule="auto"/>
        <w:tabs>
          <w:tab w:leader="none" w:pos="1764" w:val="left"/>
        </w:tabs>
        <w:numPr>
          <w:ilvl w:val="1"/>
          <w:numId w:val="240"/>
        </w:numPr>
        <w:rPr>
          <w:rFonts w:ascii="Arial" w:cs="Arial" w:eastAsia="Arial" w:hAnsi="Arial"/>
          <w:sz w:val="22"/>
          <w:szCs w:val="22"/>
          <w:color w:val="auto"/>
        </w:rPr>
      </w:pPr>
      <w:r>
        <w:rPr>
          <w:rFonts w:ascii="Arial" w:cs="Arial" w:eastAsia="Arial" w:hAnsi="Arial"/>
          <w:sz w:val="22"/>
          <w:szCs w:val="22"/>
          <w:b w:val="1"/>
          <w:bCs w:val="1"/>
          <w:u w:val="single" w:color="auto"/>
          <w:color w:val="auto"/>
        </w:rPr>
        <w:t>Dissolution or Liquidation</w:t>
      </w:r>
      <w:r>
        <w:rPr>
          <w:rFonts w:ascii="Arial" w:cs="Arial" w:eastAsia="Arial" w:hAnsi="Arial"/>
          <w:sz w:val="22"/>
          <w:szCs w:val="22"/>
          <w:color w:val="auto"/>
        </w:rPr>
        <w:t>. In the event of the dissolution or liquidation of the Company, each Option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Stock Purchase Right will terminate immediately prior to the consummation of such action, unless otherwise determined by the Administrator.</w:t>
      </w:r>
    </w:p>
    <w:p>
      <w:pPr>
        <w:spacing w:after="0" w:line="122" w:lineRule="exact"/>
        <w:rPr>
          <w:rFonts w:ascii="Arial" w:cs="Arial" w:eastAsia="Arial" w:hAnsi="Arial"/>
          <w:sz w:val="22"/>
          <w:szCs w:val="22"/>
          <w:color w:val="auto"/>
        </w:rPr>
      </w:pPr>
    </w:p>
    <w:p>
      <w:pPr>
        <w:ind w:right="80" w:firstLine="1304"/>
        <w:spacing w:after="0" w:line="290" w:lineRule="auto"/>
        <w:tabs>
          <w:tab w:leader="none" w:pos="1752" w:val="left"/>
        </w:tabs>
        <w:numPr>
          <w:ilvl w:val="1"/>
          <w:numId w:val="240"/>
        </w:numPr>
        <w:rPr>
          <w:rFonts w:ascii="Arial" w:cs="Arial" w:eastAsia="Arial" w:hAnsi="Arial"/>
          <w:sz w:val="19"/>
          <w:szCs w:val="19"/>
          <w:color w:val="auto"/>
        </w:rPr>
      </w:pPr>
      <w:r>
        <w:rPr>
          <w:rFonts w:ascii="Arial" w:cs="Arial" w:eastAsia="Arial" w:hAnsi="Arial"/>
          <w:sz w:val="19"/>
          <w:szCs w:val="19"/>
          <w:b w:val="1"/>
          <w:bCs w:val="1"/>
          <w:u w:val="single" w:color="auto"/>
          <w:color w:val="auto"/>
        </w:rPr>
        <w:t>Corporate Transaction</w:t>
      </w:r>
      <w:r>
        <w:rPr>
          <w:rFonts w:ascii="Arial" w:cs="Arial" w:eastAsia="Arial" w:hAnsi="Arial"/>
          <w:sz w:val="19"/>
          <w:szCs w:val="19"/>
          <w:color w:val="auto"/>
        </w:rPr>
        <w:t>. In the event of a Corporate Transaction (including without limitation a Change of</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the Board or Committee may, in its discretion, (1) provide for the assumption or substitution of, or adjustment to, each outstanding Option and Stock Purchase Right by the successor corporation or a parent or subsidiary of the successor corporation (the “</w:t>
      </w:r>
      <w:r>
        <w:rPr>
          <w:rFonts w:ascii="Arial" w:cs="Arial" w:eastAsia="Arial" w:hAnsi="Arial"/>
          <w:sz w:val="19"/>
          <w:szCs w:val="19"/>
          <w:b w:val="1"/>
          <w:bCs w:val="1"/>
          <w:u w:val="single" w:color="auto"/>
          <w:color w:val="auto"/>
        </w:rPr>
        <w:t>Successor Corporation</w:t>
      </w:r>
      <w:r>
        <w:rPr>
          <w:rFonts w:ascii="Arial" w:cs="Arial" w:eastAsia="Arial" w:hAnsi="Arial"/>
          <w:sz w:val="19"/>
          <w:szCs w:val="19"/>
          <w:color w:val="auto"/>
        </w:rPr>
        <w:t>”); (2) accelerate the vesting and termination of outstanding Options and Stock Purchase Rights, in whole or in part, so that Options and Stock Purchase Rights can be exercised before or otherwise in connection with the closing or completion of the transaction or event but then terminate; and/or (3) provide for termination of Options and Stock Purchase Rights as a result of the Corporate Transaction on such terms and conditions as it deems appropriate, including providing for the cancellation of Options or Stock Purchase Rights for a cash payment to the Participant. The Board or Committee need not provide for identical treatment of each outstanding Award.</w:t>
      </w:r>
    </w:p>
    <w:p>
      <w:pPr>
        <w:spacing w:after="0" w:line="100" w:lineRule="exact"/>
        <w:rPr>
          <w:sz w:val="20"/>
          <w:szCs w:val="20"/>
          <w:color w:val="auto"/>
        </w:rPr>
      </w:pPr>
    </w:p>
    <w:p>
      <w:pPr>
        <w:ind w:right="60" w:firstLine="1296"/>
        <w:spacing w:after="0" w:line="253" w:lineRule="auto"/>
        <w:rPr>
          <w:sz w:val="20"/>
          <w:szCs w:val="20"/>
          <w:color w:val="auto"/>
        </w:rPr>
      </w:pPr>
      <w:r>
        <w:rPr>
          <w:rFonts w:ascii="Arial" w:cs="Arial" w:eastAsia="Arial" w:hAnsi="Arial"/>
          <w:sz w:val="22"/>
          <w:szCs w:val="22"/>
          <w:color w:val="auto"/>
        </w:rPr>
        <w:t>Notwithstanding the foregoing, in the event of a Change of Control in which the Successor Corporation does not assume or continue outstanding Options and Stock Purchase Rights or substitute similar stock or equivalent cash awards for such outstanding Options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28" w:right="359" w:bottom="1440" w:gutter="0" w:footer="0" w:header="0"/>
        </w:sectPr>
      </w:pPr>
    </w:p>
    <w:bookmarkStart w:id="327" w:name="page328"/>
    <w:bookmarkEnd w:id="327"/>
    <w:p>
      <w:pPr>
        <w:ind w:right="40"/>
        <w:spacing w:after="0" w:line="289" w:lineRule="auto"/>
        <w:rPr>
          <w:sz w:val="20"/>
          <w:szCs w:val="20"/>
          <w:color w:val="auto"/>
        </w:rPr>
      </w:pPr>
      <w:r>
        <w:rPr>
          <w:rFonts w:ascii="Arial" w:cs="Arial" w:eastAsia="Arial" w:hAnsi="Arial"/>
          <w:sz w:val="19"/>
          <w:szCs w:val="19"/>
          <w:color w:val="auto"/>
        </w:rPr>
        <w:t>Stock Purchase Rights, then with respect to Options and Stock Purchase Rights that have not been assumed, continued or substituted and that are held by Participants whose Continuous Service Status has not terminated prior to the effective time of the Change of Control (referred to as the “</w:t>
      </w:r>
      <w:r>
        <w:rPr>
          <w:rFonts w:ascii="Arial" w:cs="Arial" w:eastAsia="Arial" w:hAnsi="Arial"/>
          <w:sz w:val="19"/>
          <w:szCs w:val="19"/>
          <w:b w:val="1"/>
          <w:bCs w:val="1"/>
          <w:u w:val="single" w:color="auto"/>
          <w:color w:val="auto"/>
        </w:rPr>
        <w:t>Current Participants</w:t>
      </w:r>
      <w:r>
        <w:rPr>
          <w:rFonts w:ascii="Arial" w:cs="Arial" w:eastAsia="Arial" w:hAnsi="Arial"/>
          <w:sz w:val="19"/>
          <w:szCs w:val="19"/>
          <w:color w:val="auto"/>
        </w:rPr>
        <w:t>”), the vesting of such Options and Stock Purchase Rights (and, if applicable, the time at which such Awards may be exercised) shall (contingent upon the effectiveness of the Change of Control) be accelerated in full to a date prior to the effective time of such Change of Control as the Board or Committee shall determine (or, if the Board or Committee shall not determine such a date, to the date that is five (5) days prior to the effective time of the Change of Control), and such Options and Stock Purchase Rights shall terminate if not exercised (if applicable) at or prior to the effective time of the Change of Control, and any reacquisition or repurchase rights held by the Company with respect to such Options and Stock Purchase Rights shall lapse (contingent upon the effectiveness of the Change of Control).</w:t>
      </w:r>
    </w:p>
    <w:p>
      <w:pPr>
        <w:spacing w:after="0" w:line="103" w:lineRule="exact"/>
        <w:rPr>
          <w:sz w:val="20"/>
          <w:szCs w:val="20"/>
          <w:color w:val="auto"/>
        </w:rPr>
      </w:pPr>
    </w:p>
    <w:p>
      <w:pPr>
        <w:ind w:right="60" w:firstLine="1296"/>
        <w:spacing w:after="0" w:line="287" w:lineRule="auto"/>
        <w:rPr>
          <w:sz w:val="20"/>
          <w:szCs w:val="20"/>
          <w:color w:val="auto"/>
        </w:rPr>
      </w:pPr>
      <w:r>
        <w:rPr>
          <w:rFonts w:ascii="Arial" w:cs="Arial" w:eastAsia="Arial" w:hAnsi="Arial"/>
          <w:sz w:val="19"/>
          <w:szCs w:val="19"/>
          <w:color w:val="auto"/>
        </w:rPr>
        <w:t>For purposes of this Section 13(c), an Option or a Stock Purchase Right shall be considered assumed, without limitation, if, at the time of issuance of the stock or other consideration upon a Corporate Transaction or a Change of Control, as the case may be, each holder of an Option or Stock Purchase Right would be entitled to receive upon exercise of the Award the same number and kind of shares of stock or the same amount of property, cash or securities as such holder would have been entitled to receive upon the occurrence of the transaction if the holder had been, immediately prior to such transaction, the holder of the number of Shares of Common Stock covered by the award at such time (after giving effect to any adjustments in the number of Shares covered by the Option or Stock Purchase Right as provided for in this Section 13); provided that if such consideration received in the transaction is not solely common stock of the Successor Corporation, the Administrator may, with the consent of the Successor Corporation, provide for the consideration to be received upon exercise of the Award to be solely common stock of the Successor Corporation equal to the Fair Market Value of the per Share consideration received by holders of Common Stock in the transaction.</w:t>
      </w:r>
    </w:p>
    <w:p>
      <w:pPr>
        <w:spacing w:after="0" w:line="103" w:lineRule="exact"/>
        <w:rPr>
          <w:sz w:val="20"/>
          <w:szCs w:val="20"/>
          <w:color w:val="auto"/>
        </w:rPr>
      </w:pPr>
    </w:p>
    <w:p>
      <w:pPr>
        <w:ind w:firstLine="1304"/>
        <w:spacing w:after="0" w:line="267" w:lineRule="auto"/>
        <w:tabs>
          <w:tab w:leader="none" w:pos="1764" w:val="left"/>
        </w:tabs>
        <w:numPr>
          <w:ilvl w:val="1"/>
          <w:numId w:val="241"/>
        </w:numPr>
        <w:rPr>
          <w:rFonts w:ascii="Arial" w:cs="Arial" w:eastAsia="Arial" w:hAnsi="Arial"/>
          <w:sz w:val="21"/>
          <w:szCs w:val="21"/>
          <w:color w:val="auto"/>
        </w:rPr>
      </w:pPr>
      <w:r>
        <w:rPr>
          <w:rFonts w:ascii="Arial" w:cs="Arial" w:eastAsia="Arial" w:hAnsi="Arial"/>
          <w:sz w:val="21"/>
          <w:szCs w:val="21"/>
          <w:b w:val="1"/>
          <w:bCs w:val="1"/>
          <w:u w:val="single" w:color="auto"/>
          <w:color w:val="auto"/>
        </w:rPr>
        <w:t>Certain Distributions</w:t>
      </w:r>
      <w:r>
        <w:rPr>
          <w:rFonts w:ascii="Arial" w:cs="Arial" w:eastAsia="Arial" w:hAnsi="Arial"/>
          <w:sz w:val="21"/>
          <w:szCs w:val="21"/>
          <w:color w:val="auto"/>
        </w:rPr>
        <w:t>. In the event of any distribution to the Company’s shareholders of securities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entity or other assets (other than dividends payable in cash or stock of the Company) without receipt of consideration by the Company, the Administrator may, in its discretion, appropriately adjust the price per Share of Common Stock covered by each outstanding Option or Stock Purchase Right to reflect the effect of such distribution.</w:t>
      </w:r>
    </w:p>
    <w:p>
      <w:pPr>
        <w:spacing w:after="0" w:line="113" w:lineRule="exact"/>
        <w:rPr>
          <w:rFonts w:ascii="Arial" w:cs="Arial" w:eastAsia="Arial" w:hAnsi="Arial"/>
          <w:sz w:val="21"/>
          <w:szCs w:val="21"/>
          <w:color w:val="auto"/>
        </w:rPr>
      </w:pPr>
    </w:p>
    <w:p>
      <w:pPr>
        <w:ind w:right="40" w:firstLine="656"/>
        <w:spacing w:after="0" w:line="261" w:lineRule="auto"/>
        <w:tabs>
          <w:tab w:leader="none" w:pos="1134" w:val="left"/>
        </w:tabs>
        <w:numPr>
          <w:ilvl w:val="0"/>
          <w:numId w:val="242"/>
        </w:numPr>
        <w:rPr>
          <w:rFonts w:ascii="Arial" w:cs="Arial" w:eastAsia="Arial" w:hAnsi="Arial"/>
          <w:sz w:val="21"/>
          <w:szCs w:val="21"/>
          <w:color w:val="auto"/>
        </w:rPr>
      </w:pPr>
      <w:r>
        <w:rPr>
          <w:rFonts w:ascii="Arial" w:cs="Arial" w:eastAsia="Arial" w:hAnsi="Arial"/>
          <w:sz w:val="21"/>
          <w:szCs w:val="21"/>
          <w:b w:val="1"/>
          <w:bCs w:val="1"/>
          <w:u w:val="single" w:color="auto"/>
          <w:color w:val="auto"/>
        </w:rPr>
        <w:t>Time of Granting Options and Stock Purchase Rights</w:t>
      </w:r>
      <w:r>
        <w:rPr>
          <w:rFonts w:ascii="Arial" w:cs="Arial" w:eastAsia="Arial" w:hAnsi="Arial"/>
          <w:sz w:val="21"/>
          <w:szCs w:val="21"/>
          <w:color w:val="auto"/>
        </w:rPr>
        <w:t>. The date of grant of an Option or Stock Purchase Right</w:t>
      </w:r>
      <w:r>
        <w:rPr>
          <w:rFonts w:ascii="Arial" w:cs="Arial" w:eastAsia="Arial" w:hAnsi="Arial"/>
          <w:sz w:val="21"/>
          <w:szCs w:val="21"/>
          <w:b w:val="1"/>
          <w:bCs w:val="1"/>
          <w:color w:val="auto"/>
        </w:rPr>
        <w:t xml:space="preserve"> </w:t>
      </w:r>
      <w:r>
        <w:rPr>
          <w:rFonts w:ascii="Arial" w:cs="Arial" w:eastAsia="Arial" w:hAnsi="Arial"/>
          <w:sz w:val="21"/>
          <w:szCs w:val="21"/>
          <w:color w:val="auto"/>
        </w:rPr>
        <w:t>shall, for all purposes, be the date on which the Administrator makes the determination granting such Option or Stock Purchase Right, or such other date as is determined by the Administrator, provided that in the case of any Incentive Stock Option, the grant date shall be the later of the date on which the Administrator makes the determination granting such Incentive Stock Option or the date of commencement of the Optionee’s employment relationship with the Company. Notice of the determination shall be given to each Employee or Consultant to whom an Option or Stock Purchase Right is so granted within a reasonable time after the date of such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20" w:top="1428" w:right="359" w:bottom="1440" w:gutter="0" w:footer="0" w:header="0"/>
        </w:sectPr>
      </w:pPr>
    </w:p>
    <w:bookmarkStart w:id="328" w:name="page329"/>
    <w:bookmarkEnd w:id="328"/>
    <w:p>
      <w:pPr>
        <w:ind w:left="1080" w:hanging="484"/>
        <w:spacing w:after="0"/>
        <w:tabs>
          <w:tab w:leader="none" w:pos="1080" w:val="left"/>
        </w:tabs>
        <w:numPr>
          <w:ilvl w:val="0"/>
          <w:numId w:val="243"/>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and Termination of the Plan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60" w:right="20" w:firstLine="1304"/>
        <w:spacing w:after="0" w:line="298" w:lineRule="auto"/>
        <w:tabs>
          <w:tab w:leader="none" w:pos="1692" w:val="left"/>
        </w:tabs>
        <w:numPr>
          <w:ilvl w:val="1"/>
          <w:numId w:val="243"/>
        </w:numPr>
        <w:rPr>
          <w:rFonts w:ascii="Arial" w:cs="Arial" w:eastAsia="Arial" w:hAnsi="Arial"/>
          <w:sz w:val="19"/>
          <w:szCs w:val="19"/>
          <w:color w:val="auto"/>
        </w:rPr>
      </w:pPr>
      <w:r>
        <w:rPr>
          <w:rFonts w:ascii="Arial" w:cs="Arial" w:eastAsia="Arial" w:hAnsi="Arial"/>
          <w:sz w:val="19"/>
          <w:szCs w:val="19"/>
          <w:b w:val="1"/>
          <w:bCs w:val="1"/>
          <w:u w:val="single" w:color="auto"/>
          <w:color w:val="auto"/>
        </w:rPr>
        <w:t>Authority to Amend or Terminate</w:t>
      </w:r>
      <w:r>
        <w:rPr>
          <w:rFonts w:ascii="Arial" w:cs="Arial" w:eastAsia="Arial" w:hAnsi="Arial"/>
          <w:sz w:val="19"/>
          <w:szCs w:val="19"/>
          <w:color w:val="auto"/>
        </w:rPr>
        <w:t>. The Board may at any time amend, alter, suspend or discontinue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but no amendment, alteration, suspension or discontinuation (other than an adjustment pursuant to Section 13 above) shall be made that would materially and adversely affect the rights of any Optionee or holder of Stock Purchase Rights under any outstanding grant, without his or her consent. In addition, to the extent necessary and desirable to comply with the Applicable Laws, the Company shall obtain shareholder approval of any Plan amendment in such a manner and to such a degree as required.</w:t>
      </w:r>
    </w:p>
    <w:p>
      <w:pPr>
        <w:spacing w:after="0" w:line="88" w:lineRule="exact"/>
        <w:rPr>
          <w:rFonts w:ascii="Arial" w:cs="Arial" w:eastAsia="Arial" w:hAnsi="Arial"/>
          <w:sz w:val="19"/>
          <w:szCs w:val="19"/>
          <w:color w:val="auto"/>
        </w:rPr>
      </w:pPr>
    </w:p>
    <w:p>
      <w:pPr>
        <w:ind w:left="-60" w:right="20" w:firstLine="1304"/>
        <w:spacing w:after="0" w:line="304" w:lineRule="auto"/>
        <w:tabs>
          <w:tab w:leader="none" w:pos="1704" w:val="left"/>
        </w:tabs>
        <w:numPr>
          <w:ilvl w:val="1"/>
          <w:numId w:val="243"/>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 of Amendment or Termination</w:t>
      </w:r>
      <w:r>
        <w:rPr>
          <w:rFonts w:ascii="Arial" w:cs="Arial" w:eastAsia="Arial" w:hAnsi="Arial"/>
          <w:sz w:val="19"/>
          <w:szCs w:val="19"/>
          <w:color w:val="auto"/>
        </w:rPr>
        <w:t>. Except as to amendments which the Administrator has the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to make unilaterally, no amendment or termination of the Plan shall materially and adversely affect Options or Stock Purchase Rights already granted, unless mutually agreed otherwise between the Optionee or holder of the Stock Purchase Rights and the Administrator, which agreement must be in writing and signed by the Optionee or holder and the Company.</w:t>
      </w:r>
    </w:p>
    <w:p>
      <w:pPr>
        <w:spacing w:after="0" w:line="80" w:lineRule="exact"/>
        <w:rPr>
          <w:rFonts w:ascii="Arial" w:cs="Arial" w:eastAsia="Arial" w:hAnsi="Arial"/>
          <w:sz w:val="19"/>
          <w:szCs w:val="19"/>
          <w:color w:val="auto"/>
        </w:rPr>
      </w:pPr>
    </w:p>
    <w:p>
      <w:pPr>
        <w:ind w:left="-60" w:right="40" w:firstLine="656"/>
        <w:spacing w:after="0" w:line="286" w:lineRule="auto"/>
        <w:tabs>
          <w:tab w:leader="none" w:pos="1074" w:val="left"/>
        </w:tabs>
        <w:numPr>
          <w:ilvl w:val="0"/>
          <w:numId w:val="243"/>
        </w:numPr>
        <w:rPr>
          <w:rFonts w:ascii="Arial" w:cs="Arial" w:eastAsia="Arial" w:hAnsi="Arial"/>
          <w:sz w:val="19"/>
          <w:szCs w:val="19"/>
          <w:color w:val="auto"/>
        </w:rPr>
      </w:pPr>
      <w:r>
        <w:rPr>
          <w:rFonts w:ascii="Arial" w:cs="Arial" w:eastAsia="Arial" w:hAnsi="Arial"/>
          <w:sz w:val="19"/>
          <w:szCs w:val="19"/>
          <w:b w:val="1"/>
          <w:bCs w:val="1"/>
          <w:u w:val="single" w:color="auto"/>
          <w:color w:val="auto"/>
        </w:rPr>
        <w:t>Conditions Upon Issuance of Shares</w:t>
      </w:r>
      <w:r>
        <w:rPr>
          <w:rFonts w:ascii="Arial" w:cs="Arial" w:eastAsia="Arial" w:hAnsi="Arial"/>
          <w:sz w:val="19"/>
          <w:szCs w:val="19"/>
          <w:color w:val="auto"/>
        </w:rPr>
        <w:t>. Notwithstanding any other provision of the Plan or any agreement entered</w:t>
      </w:r>
      <w:r>
        <w:rPr>
          <w:rFonts w:ascii="Arial" w:cs="Arial" w:eastAsia="Arial" w:hAnsi="Arial"/>
          <w:sz w:val="19"/>
          <w:szCs w:val="19"/>
          <w:b w:val="1"/>
          <w:bCs w:val="1"/>
          <w:color w:val="auto"/>
        </w:rPr>
        <w:t xml:space="preserve"> </w:t>
      </w:r>
      <w:r>
        <w:rPr>
          <w:rFonts w:ascii="Arial" w:cs="Arial" w:eastAsia="Arial" w:hAnsi="Arial"/>
          <w:sz w:val="19"/>
          <w:szCs w:val="19"/>
          <w:color w:val="auto"/>
        </w:rPr>
        <w:t>into by the Company pursuant to the Plan, the Company shall not be obligated to issue or deliver any Shares under the Plan unless such issuance or delivery would comply with the Applicable Laws, with such compliance determined by the Company in consultation with its legal counsel. As a condition to the exercise of an Option or Stock Purchase Right, the Company may require the person exercising the Award to represent and warrant at the time of any such exercise that the Shares are being purchased only for investment and without any present intention to sell or distribute such Shares if, in the opinion of counsel for the Company, such a representation is required by law. Shares issued upon exercise of Awards granted prior to the date on which the Common Stock becomes a Listed Security shall be subject to a right of first refusal in favor of the Company pursuant to which the Participant will be required to offer Shares to the Company before selling or transferring them to any third party on such terms and subject to such conditions as are reflected in the applicable Option Agreement or Restricted Stock Purchase Agreement. In addition, Awards issued prior to the date on which the Common Stock becomes a Listed Security shall require the Participant to agree to a lock-up agreement in connection with public offerings of the Company’s stock that applies to all capital stock and rights to purchase capital stock of the Company held by the Participant on such terms and subject to such conditions as are reflected in the applicable Option Agreement or Restricted Stock Purchase Agreement.</w:t>
      </w:r>
    </w:p>
    <w:p>
      <w:pPr>
        <w:spacing w:after="0" w:line="107" w:lineRule="exact"/>
        <w:rPr>
          <w:rFonts w:ascii="Arial" w:cs="Arial" w:eastAsia="Arial" w:hAnsi="Arial"/>
          <w:sz w:val="19"/>
          <w:szCs w:val="19"/>
          <w:color w:val="auto"/>
        </w:rPr>
      </w:pPr>
    </w:p>
    <w:p>
      <w:pPr>
        <w:ind w:left="-60" w:firstLine="656"/>
        <w:spacing w:after="0" w:line="269" w:lineRule="auto"/>
        <w:tabs>
          <w:tab w:leader="none" w:pos="1074" w:val="left"/>
        </w:tabs>
        <w:numPr>
          <w:ilvl w:val="0"/>
          <w:numId w:val="243"/>
        </w:numPr>
        <w:rPr>
          <w:rFonts w:ascii="Arial" w:cs="Arial" w:eastAsia="Arial" w:hAnsi="Arial"/>
          <w:sz w:val="22"/>
          <w:szCs w:val="22"/>
          <w:color w:val="auto"/>
        </w:rPr>
      </w:pPr>
      <w:r>
        <w:rPr>
          <w:rFonts w:ascii="Arial" w:cs="Arial" w:eastAsia="Arial" w:hAnsi="Arial"/>
          <w:sz w:val="22"/>
          <w:szCs w:val="22"/>
          <w:b w:val="1"/>
          <w:bCs w:val="1"/>
          <w:u w:val="single" w:color="auto"/>
          <w:color w:val="auto"/>
        </w:rPr>
        <w:t>Reservation of Shares</w:t>
      </w:r>
      <w:r>
        <w:rPr>
          <w:rFonts w:ascii="Arial" w:cs="Arial" w:eastAsia="Arial" w:hAnsi="Arial"/>
          <w:sz w:val="22"/>
          <w:szCs w:val="22"/>
          <w:color w:val="auto"/>
        </w:rPr>
        <w:t>. The Company, during the term of this Plan, will at all times reserve and keep available such</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Shares as shall be sufficient to satisfy the requirements of the Plan.</w:t>
      </w:r>
    </w:p>
    <w:p>
      <w:pPr>
        <w:spacing w:after="0" w:line="107" w:lineRule="exact"/>
        <w:rPr>
          <w:rFonts w:ascii="Arial" w:cs="Arial" w:eastAsia="Arial" w:hAnsi="Arial"/>
          <w:sz w:val="22"/>
          <w:szCs w:val="22"/>
          <w:color w:val="auto"/>
        </w:rPr>
      </w:pPr>
    </w:p>
    <w:p>
      <w:pPr>
        <w:ind w:left="-60" w:right="280" w:firstLine="656"/>
        <w:spacing w:after="0" w:line="349" w:lineRule="auto"/>
        <w:tabs>
          <w:tab w:leader="none" w:pos="1074" w:val="left"/>
        </w:tabs>
        <w:numPr>
          <w:ilvl w:val="0"/>
          <w:numId w:val="243"/>
        </w:numPr>
        <w:rPr>
          <w:rFonts w:ascii="Arial" w:cs="Arial" w:eastAsia="Arial" w:hAnsi="Arial"/>
          <w:sz w:val="19"/>
          <w:szCs w:val="19"/>
          <w:color w:val="auto"/>
        </w:rPr>
      </w:pPr>
      <w:r>
        <w:rPr>
          <w:rFonts w:ascii="Arial" w:cs="Arial" w:eastAsia="Arial" w:hAnsi="Arial"/>
          <w:sz w:val="19"/>
          <w:szCs w:val="19"/>
          <w:b w:val="1"/>
          <w:bCs w:val="1"/>
          <w:u w:val="single" w:color="auto"/>
          <w:color w:val="auto"/>
        </w:rPr>
        <w:t>Agreements</w:t>
      </w:r>
      <w:r>
        <w:rPr>
          <w:rFonts w:ascii="Arial" w:cs="Arial" w:eastAsia="Arial" w:hAnsi="Arial"/>
          <w:sz w:val="19"/>
          <w:szCs w:val="19"/>
          <w:color w:val="auto"/>
        </w:rPr>
        <w:t>. Options and Stock Purchase Rights shall be evidenced by Option Agreements and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Agreements, respectively, in such form(s) as the Administrator shall from time to time approve.</w:t>
      </w:r>
    </w:p>
    <w:p>
      <w:pPr>
        <w:spacing w:after="0" w:line="39" w:lineRule="exact"/>
        <w:rPr>
          <w:rFonts w:ascii="Arial" w:cs="Arial" w:eastAsia="Arial" w:hAnsi="Arial"/>
          <w:sz w:val="19"/>
          <w:szCs w:val="19"/>
          <w:color w:val="auto"/>
        </w:rPr>
      </w:pPr>
    </w:p>
    <w:p>
      <w:pPr>
        <w:ind w:left="-60" w:right="20" w:firstLine="656"/>
        <w:spacing w:after="0" w:line="269" w:lineRule="auto"/>
        <w:tabs>
          <w:tab w:leader="none" w:pos="1074" w:val="left"/>
        </w:tabs>
        <w:numPr>
          <w:ilvl w:val="0"/>
          <w:numId w:val="243"/>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Shareholder Approval</w:t>
      </w:r>
      <w:r>
        <w:rPr>
          <w:rFonts w:ascii="Arial" w:cs="Arial" w:eastAsia="Arial" w:hAnsi="Arial"/>
          <w:sz w:val="22"/>
          <w:szCs w:val="22"/>
          <w:color w:val="auto"/>
        </w:rPr>
        <w:t>. If required by the Applicable Laws, continuance of the Plan shall be subject to approval by</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shareholders of the Company within twelve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140"/>
          </w:cols>
          <w:pgMar w:left="380" w:top="1422" w:right="379" w:bottom="1440" w:gutter="0" w:footer="0" w:header="0"/>
        </w:sectPr>
      </w:pPr>
    </w:p>
    <w:bookmarkStart w:id="329" w:name="page330"/>
    <w:bookmarkEnd w:id="329"/>
    <w:p>
      <w:pPr>
        <w:ind w:right="80"/>
        <w:spacing w:after="0" w:line="263" w:lineRule="auto"/>
        <w:rPr>
          <w:sz w:val="20"/>
          <w:szCs w:val="20"/>
          <w:color w:val="auto"/>
        </w:rPr>
      </w:pPr>
      <w:r>
        <w:rPr>
          <w:rFonts w:ascii="Arial" w:cs="Arial" w:eastAsia="Arial" w:hAnsi="Arial"/>
          <w:sz w:val="22"/>
          <w:szCs w:val="22"/>
          <w:color w:val="auto"/>
        </w:rPr>
        <w:t>before or after the date the Plan is adopted. Such shareholder approval shall be obtained in the manner and to the degree required under the Applicable Laws.</w:t>
      </w:r>
    </w:p>
    <w:p>
      <w:pPr>
        <w:spacing w:after="0" w:line="115" w:lineRule="exact"/>
        <w:rPr>
          <w:sz w:val="20"/>
          <w:szCs w:val="20"/>
          <w:color w:val="auto"/>
        </w:rPr>
      </w:pPr>
    </w:p>
    <w:p>
      <w:pPr>
        <w:ind w:right="80" w:firstLine="656"/>
        <w:spacing w:after="0" w:line="293" w:lineRule="auto"/>
        <w:tabs>
          <w:tab w:leader="none" w:pos="1134" w:val="left"/>
        </w:tabs>
        <w:numPr>
          <w:ilvl w:val="0"/>
          <w:numId w:val="244"/>
        </w:numPr>
        <w:rPr>
          <w:rFonts w:ascii="Arial" w:cs="Arial" w:eastAsia="Arial" w:hAnsi="Arial"/>
          <w:sz w:val="19"/>
          <w:szCs w:val="19"/>
          <w:color w:val="auto"/>
        </w:rPr>
      </w:pPr>
      <w:r>
        <w:rPr>
          <w:rFonts w:ascii="Arial" w:cs="Arial" w:eastAsia="Arial" w:hAnsi="Arial"/>
          <w:sz w:val="19"/>
          <w:szCs w:val="19"/>
          <w:b w:val="1"/>
          <w:bCs w:val="1"/>
          <w:u w:val="single" w:color="auto"/>
          <w:color w:val="auto"/>
        </w:rPr>
        <w:t>Information and Documents to Optionees and Purchasers</w:t>
      </w:r>
      <w:r>
        <w:rPr>
          <w:rFonts w:ascii="Arial" w:cs="Arial" w:eastAsia="Arial" w:hAnsi="Arial"/>
          <w:sz w:val="19"/>
          <w:szCs w:val="19"/>
          <w:color w:val="auto"/>
        </w:rPr>
        <w:t>. Prior to the date, if any, upon which the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becomes a Listed Security and if required by the Applicable Laws, the Company shall provide financial statements at least annually to each Optionee and to each individual who acquired Shares pursuant to the Plan, during the period such Optionee or purchaser has one or more Options or Stock Purchase Rights outstanding, and in the case of an individual who acquired Shares pursuant to the Plan, during the period such individual owns such Shares. Except as required by Applicable Law, the Company shall not be required to provide such information if the issuance of Options or Stock Purchase Rights under the Plan is limited to key persons whose duties in connection with the Company assure their access to equivalent information.</w:t>
      </w:r>
    </w:p>
    <w:p>
      <w:pPr>
        <w:spacing w:after="0" w:line="90" w:lineRule="exact"/>
        <w:rPr>
          <w:rFonts w:ascii="Arial" w:cs="Arial" w:eastAsia="Arial" w:hAnsi="Arial"/>
          <w:sz w:val="19"/>
          <w:szCs w:val="19"/>
          <w:color w:val="auto"/>
        </w:rPr>
      </w:pPr>
    </w:p>
    <w:p>
      <w:pPr>
        <w:ind w:right="760" w:firstLine="656"/>
        <w:spacing w:after="0" w:line="269" w:lineRule="auto"/>
        <w:tabs>
          <w:tab w:leader="none" w:pos="1134" w:val="left"/>
        </w:tabs>
        <w:numPr>
          <w:ilvl w:val="0"/>
          <w:numId w:val="244"/>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Any written notice to the Company required by any provisions of this Plan shall be addressed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Secretary of the Company and shall be effective when received.</w:t>
      </w:r>
    </w:p>
    <w:p>
      <w:pPr>
        <w:spacing w:after="0" w:line="107" w:lineRule="exact"/>
        <w:rPr>
          <w:rFonts w:ascii="Arial" w:cs="Arial" w:eastAsia="Arial" w:hAnsi="Arial"/>
          <w:sz w:val="22"/>
          <w:szCs w:val="22"/>
          <w:color w:val="auto"/>
        </w:rPr>
      </w:pPr>
    </w:p>
    <w:p>
      <w:pPr>
        <w:ind w:left="1140" w:hanging="484"/>
        <w:spacing w:after="0"/>
        <w:tabs>
          <w:tab w:leader="none" w:pos="1140" w:val="left"/>
        </w:tabs>
        <w:numPr>
          <w:ilvl w:val="0"/>
          <w:numId w:val="244"/>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Interpretation of Plan and Awards</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firstLine="1304"/>
        <w:spacing w:after="0" w:line="263" w:lineRule="auto"/>
        <w:tabs>
          <w:tab w:leader="none" w:pos="1748" w:val="left"/>
        </w:tabs>
        <w:numPr>
          <w:ilvl w:val="1"/>
          <w:numId w:val="244"/>
        </w:numPr>
        <w:rPr>
          <w:rFonts w:ascii="Arial" w:cs="Arial" w:eastAsia="Arial" w:hAnsi="Arial"/>
          <w:sz w:val="22"/>
          <w:szCs w:val="22"/>
          <w:color w:val="auto"/>
        </w:rPr>
      </w:pPr>
      <w:r>
        <w:rPr>
          <w:rFonts w:ascii="Arial" w:cs="Arial" w:eastAsia="Arial" w:hAnsi="Arial"/>
          <w:sz w:val="22"/>
          <w:szCs w:val="22"/>
          <w:color w:val="auto"/>
        </w:rPr>
        <w:t>This Plan and all determinations made and actions taken pursuant hereto shall be governed by the substantive laws, but not the choice of law rules, of the state of California.</w:t>
      </w:r>
    </w:p>
    <w:p>
      <w:pPr>
        <w:spacing w:after="0" w:line="120" w:lineRule="exact"/>
        <w:rPr>
          <w:rFonts w:ascii="Arial" w:cs="Arial" w:eastAsia="Arial" w:hAnsi="Arial"/>
          <w:sz w:val="22"/>
          <w:szCs w:val="22"/>
          <w:color w:val="auto"/>
        </w:rPr>
      </w:pPr>
    </w:p>
    <w:p>
      <w:pPr>
        <w:jc w:val="both"/>
        <w:ind w:right="140" w:firstLine="1304"/>
        <w:spacing w:after="0" w:line="302" w:lineRule="auto"/>
        <w:tabs>
          <w:tab w:leader="none" w:pos="1764" w:val="left"/>
        </w:tabs>
        <w:numPr>
          <w:ilvl w:val="1"/>
          <w:numId w:val="244"/>
        </w:numPr>
        <w:rPr>
          <w:rFonts w:ascii="Arial" w:cs="Arial" w:eastAsia="Arial" w:hAnsi="Arial"/>
          <w:sz w:val="19"/>
          <w:szCs w:val="19"/>
          <w:color w:val="auto"/>
        </w:rPr>
      </w:pPr>
      <w:r>
        <w:rPr>
          <w:rFonts w:ascii="Arial" w:cs="Arial" w:eastAsia="Arial" w:hAnsi="Arial"/>
          <w:sz w:val="19"/>
          <w:szCs w:val="19"/>
          <w:color w:val="auto"/>
        </w:rPr>
        <w:t>In the event that any provision of the Plan or any Award granted under the Plan is declared to be illegal, invalid or otherwise unenforceable by a court of competent jurisdiction, such provision shall be reformed, if possible, to the extent necessary to render it legal, valid and enforceable, or otherwise deleted, and the remainder of the terms of the Plan and/or Award shall not be affected except to the extent necessary to reform or delete such illegal, invalid or unenforceable provision.</w:t>
      </w:r>
    </w:p>
    <w:p>
      <w:pPr>
        <w:spacing w:after="0" w:line="88" w:lineRule="exact"/>
        <w:rPr>
          <w:rFonts w:ascii="Arial" w:cs="Arial" w:eastAsia="Arial" w:hAnsi="Arial"/>
          <w:sz w:val="19"/>
          <w:szCs w:val="19"/>
          <w:color w:val="auto"/>
        </w:rPr>
      </w:pPr>
    </w:p>
    <w:p>
      <w:pPr>
        <w:ind w:right="220" w:firstLine="1304"/>
        <w:spacing w:after="0" w:line="263" w:lineRule="auto"/>
        <w:tabs>
          <w:tab w:leader="none" w:pos="1748" w:val="left"/>
        </w:tabs>
        <w:numPr>
          <w:ilvl w:val="1"/>
          <w:numId w:val="244"/>
        </w:numPr>
        <w:rPr>
          <w:rFonts w:ascii="Arial" w:cs="Arial" w:eastAsia="Arial" w:hAnsi="Arial"/>
          <w:sz w:val="22"/>
          <w:szCs w:val="22"/>
          <w:color w:val="auto"/>
        </w:rPr>
      </w:pPr>
      <w:r>
        <w:rPr>
          <w:rFonts w:ascii="Arial" w:cs="Arial" w:eastAsia="Arial" w:hAnsi="Arial"/>
          <w:sz w:val="22"/>
          <w:szCs w:val="22"/>
          <w:color w:val="auto"/>
        </w:rPr>
        <w:t>The headings preceding the text of the sections hereof are inserted solely for convenience of reference, and shall not constitute a part of the Plan, nor shall they affect its meaning, construction or effect.</w:t>
      </w:r>
    </w:p>
    <w:p>
      <w:pPr>
        <w:spacing w:after="0" w:line="120" w:lineRule="exact"/>
        <w:rPr>
          <w:rFonts w:ascii="Arial" w:cs="Arial" w:eastAsia="Arial" w:hAnsi="Arial"/>
          <w:sz w:val="22"/>
          <w:szCs w:val="22"/>
          <w:color w:val="auto"/>
        </w:rPr>
      </w:pPr>
    </w:p>
    <w:p>
      <w:pPr>
        <w:ind w:right="120" w:firstLine="1304"/>
        <w:spacing w:after="0" w:line="263" w:lineRule="auto"/>
        <w:tabs>
          <w:tab w:leader="none" w:pos="176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The terms of the Plan and any Award shall inure to the benefit of and be binding upon the parties hereto and their respective permitted heirs, beneficiaries, successors and assigns.</w:t>
      </w:r>
    </w:p>
    <w:p>
      <w:pPr>
        <w:spacing w:after="0" w:line="120" w:lineRule="exact"/>
        <w:rPr>
          <w:rFonts w:ascii="Arial" w:cs="Arial" w:eastAsia="Arial" w:hAnsi="Arial"/>
          <w:sz w:val="22"/>
          <w:szCs w:val="22"/>
          <w:color w:val="auto"/>
        </w:rPr>
      </w:pPr>
    </w:p>
    <w:p>
      <w:pPr>
        <w:ind w:right="40" w:firstLine="1304"/>
        <w:spacing w:after="0" w:line="261" w:lineRule="auto"/>
        <w:tabs>
          <w:tab w:leader="none" w:pos="1740" w:val="left"/>
        </w:tabs>
        <w:numPr>
          <w:ilvl w:val="1"/>
          <w:numId w:val="244"/>
        </w:numPr>
        <w:rPr>
          <w:rFonts w:ascii="Arial" w:cs="Arial" w:eastAsia="Arial" w:hAnsi="Arial"/>
          <w:sz w:val="21"/>
          <w:szCs w:val="21"/>
          <w:color w:val="auto"/>
        </w:rPr>
      </w:pPr>
      <w:r>
        <w:rPr>
          <w:rFonts w:ascii="Arial" w:cs="Arial" w:eastAsia="Arial" w:hAnsi="Arial"/>
          <w:sz w:val="21"/>
          <w:szCs w:val="21"/>
          <w:color w:val="auto"/>
        </w:rPr>
        <w:t>All questions arising under the Plan or under any Award shall be decided by the Administrator in its total and absolute discretion. In the event the Participant believes that a decision by the Administrator with respect to such person was arbitrary or capricious, the Participant may request arbitration with respect to such decision. The review by the arbitrator shall be limited to determining whether the Administrator’s decision was arbitrary or capricious. This arbitration shall be the sole and exclusive review permitted of the Administrator’s decision, and the Awardee shall as a condition to the receipt of an Award be deemed to explicitly waive any right to judicial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28" w:right="359" w:bottom="1440" w:gutter="0" w:footer="0" w:header="0"/>
        </w:sectPr>
      </w:pPr>
    </w:p>
    <w:bookmarkStart w:id="330" w:name="page331"/>
    <w:bookmarkEnd w:id="330"/>
    <w:p>
      <w:pPr>
        <w:ind w:left="-20" w:right="360" w:firstLine="656"/>
        <w:spacing w:after="0" w:line="269" w:lineRule="auto"/>
        <w:tabs>
          <w:tab w:leader="none" w:pos="1114" w:val="left"/>
        </w:tabs>
        <w:numPr>
          <w:ilvl w:val="0"/>
          <w:numId w:val="245"/>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 on Liability</w:t>
      </w:r>
      <w:r>
        <w:rPr>
          <w:rFonts w:ascii="Arial" w:cs="Arial" w:eastAsia="Arial" w:hAnsi="Arial"/>
          <w:sz w:val="22"/>
          <w:szCs w:val="22"/>
          <w:color w:val="auto"/>
        </w:rPr>
        <w:t>. The Company and any Affiliate which is in existence or hereafter comes into existence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liable to a Participant, an Employee or any other persons as to:</w:t>
      </w:r>
    </w:p>
    <w:p>
      <w:pPr>
        <w:spacing w:after="0" w:line="107" w:lineRule="exact"/>
        <w:rPr>
          <w:rFonts w:ascii="Arial" w:cs="Arial" w:eastAsia="Arial" w:hAnsi="Arial"/>
          <w:sz w:val="22"/>
          <w:szCs w:val="22"/>
          <w:color w:val="auto"/>
        </w:rPr>
      </w:pPr>
    </w:p>
    <w:p>
      <w:pPr>
        <w:ind w:left="-20" w:right="240" w:firstLine="1304"/>
        <w:spacing w:after="0" w:line="274" w:lineRule="auto"/>
        <w:tabs>
          <w:tab w:leader="none" w:pos="1732" w:val="left"/>
        </w:tabs>
        <w:numPr>
          <w:ilvl w:val="1"/>
          <w:numId w:val="245"/>
        </w:numPr>
        <w:rPr>
          <w:rFonts w:ascii="Arial" w:cs="Arial" w:eastAsia="Arial" w:hAnsi="Arial"/>
          <w:sz w:val="21"/>
          <w:szCs w:val="21"/>
          <w:color w:val="auto"/>
        </w:rPr>
      </w:pPr>
      <w:r>
        <w:rPr>
          <w:rFonts w:ascii="Arial" w:cs="Arial" w:eastAsia="Arial" w:hAnsi="Arial"/>
          <w:sz w:val="21"/>
          <w:szCs w:val="21"/>
          <w:b w:val="1"/>
          <w:bCs w:val="1"/>
          <w:u w:val="single" w:color="auto"/>
          <w:color w:val="auto"/>
        </w:rPr>
        <w:t>The Non-Issuance of Shares</w:t>
      </w:r>
      <w:r>
        <w:rPr>
          <w:rFonts w:ascii="Arial" w:cs="Arial" w:eastAsia="Arial" w:hAnsi="Arial"/>
          <w:sz w:val="21"/>
          <w:szCs w:val="21"/>
          <w:color w:val="auto"/>
        </w:rPr>
        <w:t>. The non-issuance or sale of Shares (including under Section 16 above) as to</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Company has been unable to obtain from any regulatory body having jurisdiction the authority deemed by the Company’s counsel to be necessary to the lawful issuance and sale of any shares hereunder.</w:t>
      </w:r>
    </w:p>
    <w:p>
      <w:pPr>
        <w:spacing w:after="0" w:line="104" w:lineRule="exact"/>
        <w:rPr>
          <w:rFonts w:ascii="Arial" w:cs="Arial" w:eastAsia="Arial" w:hAnsi="Arial"/>
          <w:sz w:val="21"/>
          <w:szCs w:val="21"/>
          <w:color w:val="auto"/>
        </w:rPr>
      </w:pPr>
    </w:p>
    <w:p>
      <w:pPr>
        <w:ind w:left="-20" w:firstLine="1304"/>
        <w:spacing w:after="0" w:line="288" w:lineRule="auto"/>
        <w:tabs>
          <w:tab w:leader="none" w:pos="1744" w:val="left"/>
        </w:tabs>
        <w:numPr>
          <w:ilvl w:val="1"/>
          <w:numId w:val="245"/>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 Any tax consequence realized by any Participant, Employee or other person due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receipt, vesting, exercise or settlement of any Option or Stock Purchase Right granted hereunder or due to the transfer of any Shares issued hereunder. The Participant is responsible for, and by accepting an Award under the Plan agrees to bear, all taxes of any nature that are legally imposed upon the Participant in connection with an Award, and the Company does not assume, and will not be liable to any party for, any cost or liability arising in connection with such tax liability legally imposed on the Participant. In particular, Awards issued under the Plan may be characterized by the Internal Revenue Service (the “</w:t>
      </w:r>
      <w:r>
        <w:rPr>
          <w:rFonts w:ascii="Arial" w:cs="Arial" w:eastAsia="Arial" w:hAnsi="Arial"/>
          <w:sz w:val="19"/>
          <w:szCs w:val="19"/>
          <w:b w:val="1"/>
          <w:bCs w:val="1"/>
          <w:u w:val="single" w:color="auto"/>
          <w:color w:val="auto"/>
        </w:rPr>
        <w:t>IRS</w:t>
      </w:r>
      <w:r>
        <w:rPr>
          <w:rFonts w:ascii="Arial" w:cs="Arial" w:eastAsia="Arial" w:hAnsi="Arial"/>
          <w:sz w:val="19"/>
          <w:szCs w:val="19"/>
          <w:color w:val="auto"/>
        </w:rPr>
        <w:t>”) as “deferred compensation” under the Code resulting in additional taxes, including in some cases interest and penalties. In the event the IRS determines that an Award constitutes deferred compensation under the Code or challenges any good faith characterization made by the Company or any other party of the tax treatment applicable to an Award, the Participant will be responsible for the additional taxes, and interest and penalties, if any, that are determined to apply if such challenge succeeds, and the Company will not reimburse the Participant for the amount of any additional taxes, penalties or interest that result.</w:t>
      </w:r>
    </w:p>
    <w:p>
      <w:pPr>
        <w:spacing w:after="0" w:line="99" w:lineRule="exact"/>
        <w:rPr>
          <w:rFonts w:ascii="Arial" w:cs="Arial" w:eastAsia="Arial" w:hAnsi="Arial"/>
          <w:sz w:val="19"/>
          <w:szCs w:val="19"/>
          <w:color w:val="auto"/>
        </w:rPr>
      </w:pPr>
    </w:p>
    <w:p>
      <w:pPr>
        <w:ind w:left="-20" w:right="520" w:firstLine="1304"/>
        <w:spacing w:after="0" w:line="269" w:lineRule="auto"/>
        <w:tabs>
          <w:tab w:leader="none" w:pos="1732" w:val="left"/>
        </w:tabs>
        <w:numPr>
          <w:ilvl w:val="1"/>
          <w:numId w:val="245"/>
        </w:numPr>
        <w:rPr>
          <w:rFonts w:ascii="Arial" w:cs="Arial" w:eastAsia="Arial" w:hAnsi="Arial"/>
          <w:sz w:val="22"/>
          <w:szCs w:val="22"/>
          <w:color w:val="auto"/>
        </w:rPr>
      </w:pPr>
      <w:r>
        <w:rPr>
          <w:rFonts w:ascii="Arial" w:cs="Arial" w:eastAsia="Arial" w:hAnsi="Arial"/>
          <w:sz w:val="22"/>
          <w:szCs w:val="22"/>
          <w:b w:val="1"/>
          <w:bCs w:val="1"/>
          <w:u w:val="single" w:color="auto"/>
          <w:color w:val="auto"/>
        </w:rPr>
        <w:t>Forfeiture</w:t>
      </w:r>
      <w:r>
        <w:rPr>
          <w:rFonts w:ascii="Arial" w:cs="Arial" w:eastAsia="Arial" w:hAnsi="Arial"/>
          <w:sz w:val="22"/>
          <w:szCs w:val="22"/>
          <w:color w:val="auto"/>
        </w:rPr>
        <w:t>. The requirement that Participant forfeit an Award, or the benefits received or to be received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an Award, pursuant to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40" w:top="1422" w:right="3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10.4(a)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PROCEPT BIOROBOTICS CORPORATION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2008 STOCK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STOCK OPTION GRANT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(EARLY EXERCISE PERMITTED)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«HolderName»</w:t>
      </w:r>
    </w:p>
    <w:p>
      <w:pPr>
        <w:spacing w:after="0" w:line="112" w:lineRule="exact"/>
        <w:rPr>
          <w:sz w:val="20"/>
          <w:szCs w:val="20"/>
          <w:color w:val="auto"/>
        </w:rPr>
      </w:pPr>
    </w:p>
    <w:p>
      <w:pPr>
        <w:ind w:right="40" w:firstLine="648"/>
        <w:spacing w:after="0" w:line="239" w:lineRule="auto"/>
        <w:rPr>
          <w:sz w:val="20"/>
          <w:szCs w:val="20"/>
          <w:color w:val="auto"/>
        </w:rPr>
      </w:pPr>
      <w:r>
        <w:rPr>
          <w:rFonts w:ascii="Arial" w:cs="Arial" w:eastAsia="Arial" w:hAnsi="Arial"/>
          <w:sz w:val="22"/>
          <w:szCs w:val="22"/>
          <w:color w:val="auto"/>
        </w:rPr>
        <w:t>You have been granted an option to purchase Common Stock of PROCEPT BioRobotics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as follows:</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Board Approval Date:</w:t>
      </w:r>
    </w:p>
    <w:p>
      <w:pPr>
        <w:spacing w:after="0" w:line="31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Date of Grant (Later of Board</w:t>
      </w:r>
    </w:p>
    <w:p>
      <w:pPr>
        <w:spacing w:after="0" w:line="31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Approval Date or Commencement of</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Employment/Consulting):</w:t>
      </w:r>
    </w:p>
    <w:p>
      <w:pPr>
        <w:spacing w:after="0" w:line="29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Exercise Price per Share:</w:t>
      </w:r>
    </w:p>
    <w:p>
      <w:pPr>
        <w:spacing w:after="0" w:line="31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Total Number of Shares Granted:</w:t>
      </w:r>
    </w:p>
    <w:p>
      <w:pPr>
        <w:spacing w:after="0" w:line="31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Total Exercise Price:</w:t>
      </w:r>
    </w:p>
    <w:p>
      <w:pPr>
        <w:spacing w:after="0" w:line="31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Type of Option:</w:t>
      </w:r>
    </w:p>
    <w:p>
      <w:pPr>
        <w:spacing w:after="0" w:line="31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«NSO» Shares Nonstatutory Stock Option</w:t>
      </w:r>
    </w:p>
    <w:p>
      <w:pPr>
        <w:spacing w:after="0" w:line="34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Expiration Date:</w:t>
      </w:r>
    </w:p>
    <w:p>
      <w:pPr>
        <w:spacing w:after="0" w:line="31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Vesting Commencement Date:</w:t>
      </w:r>
    </w:p>
    <w:p>
      <w:pPr>
        <w:spacing w:after="0" w:line="31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Vesting/Exercise Schedule: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«BoardApprovalDate»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«GrantDate»</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$«ExercisePricePerShare»</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«NoofSharesGranted»</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$«TotalExercisePrice»</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«ISO» Shares Incentive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«ExpirationDate»</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«VCD»</w:t>
      </w:r>
    </w:p>
    <w:p>
      <w:pPr>
        <w:spacing w:after="0" w:line="314" w:lineRule="exact"/>
        <w:rPr>
          <w:sz w:val="20"/>
          <w:szCs w:val="20"/>
          <w:color w:val="auto"/>
        </w:rPr>
      </w:pPr>
    </w:p>
    <w:p>
      <w:pPr>
        <w:ind w:right="1060"/>
        <w:spacing w:after="0" w:line="292" w:lineRule="auto"/>
        <w:rPr>
          <w:sz w:val="20"/>
          <w:szCs w:val="20"/>
          <w:color w:val="auto"/>
        </w:rPr>
      </w:pPr>
      <w:r>
        <w:rPr>
          <w:rFonts w:ascii="Arial" w:cs="Arial" w:eastAsia="Arial" w:hAnsi="Arial"/>
          <w:sz w:val="19"/>
          <w:szCs w:val="19"/>
          <w:color w:val="auto"/>
        </w:rPr>
        <w:t>This Option may be exercised, in whole or in part, at any time after the Date of Grant. So long as you are in Continuous Service Status with the Company (as defined in the PROCEPT BioRobotics Corporation 2008 Stock Plan), the Shares underlying this Option shall vest and become exercisable in accordance with the following schedule: «Vesting_Schedule»</w:t>
      </w:r>
    </w:p>
    <w:p>
      <w:pPr>
        <w:sectPr>
          <w:pgSz w:w="11900" w:h="16838" w:orient="portrait"/>
          <w:cols w:equalWidth="0" w:num="2">
            <w:col w:w="4780" w:space="720"/>
            <w:col w:w="5740"/>
          </w:cols>
          <w:pgMar w:left="320" w:top="121" w:right="339" w:bottom="1440" w:gutter="0" w:footer="0" w:header="0"/>
          <w:type w:val="continuous"/>
        </w:sectPr>
      </w:pPr>
    </w:p>
    <w:bookmarkStart w:id="332" w:name="page333"/>
    <w:bookmarkEnd w:id="332"/>
    <w:p>
      <w:pPr>
        <w:spacing w:after="0" w:line="42" w:lineRule="exact"/>
        <w:rPr>
          <w:sz w:val="20"/>
          <w:szCs w:val="20"/>
          <w:color w:val="auto"/>
        </w:rPr>
      </w:pPr>
    </w:p>
    <w:p>
      <w:pPr>
        <w:ind w:left="680"/>
        <w:spacing w:after="0"/>
        <w:tabs>
          <w:tab w:leader="none" w:pos="5480" w:val="left"/>
        </w:tabs>
        <w:rPr>
          <w:sz w:val="20"/>
          <w:szCs w:val="20"/>
          <w:color w:val="auto"/>
        </w:rPr>
      </w:pPr>
      <w:r>
        <w:rPr>
          <w:rFonts w:ascii="Arial" w:cs="Arial" w:eastAsia="Arial" w:hAnsi="Arial"/>
          <w:sz w:val="22"/>
          <w:szCs w:val="22"/>
          <w:color w:val="auto"/>
        </w:rPr>
        <w:t>Termination Period:</w:t>
      </w:r>
      <w:r>
        <w:rPr>
          <w:sz w:val="20"/>
          <w:szCs w:val="20"/>
          <w:color w:val="auto"/>
        </w:rPr>
        <w:tab/>
      </w:r>
      <w:r>
        <w:rPr>
          <w:rFonts w:ascii="Arial" w:cs="Arial" w:eastAsia="Arial" w:hAnsi="Arial"/>
          <w:sz w:val="19"/>
          <w:szCs w:val="19"/>
          <w:color w:val="auto"/>
        </w:rPr>
        <w:t>This Option may be exercised for three months after</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termination of Optionee’s employment or consulting</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relationship except as set out in Section 5 of the Stock</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Option Agreement (but in no event later than the</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Expiration Date). Optionee is responsible for keeping</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track of these exercise periods following termination</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for any reason of his or her service relationship with</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the Company. The Company will not provide further</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notice of such periods.</w:t>
      </w:r>
    </w:p>
    <w:p>
      <w:pPr>
        <w:spacing w:after="0" w:line="296" w:lineRule="exact"/>
        <w:rPr>
          <w:sz w:val="20"/>
          <w:szCs w:val="20"/>
          <w:color w:val="auto"/>
        </w:rPr>
      </w:pPr>
    </w:p>
    <w:p>
      <w:pPr>
        <w:ind w:left="680"/>
        <w:spacing w:after="0"/>
        <w:tabs>
          <w:tab w:leader="none" w:pos="5480" w:val="left"/>
        </w:tabs>
        <w:rPr>
          <w:sz w:val="20"/>
          <w:szCs w:val="20"/>
          <w:color w:val="auto"/>
        </w:rPr>
      </w:pPr>
      <w:r>
        <w:rPr>
          <w:rFonts w:ascii="Arial" w:cs="Arial" w:eastAsia="Arial" w:hAnsi="Arial"/>
          <w:sz w:val="22"/>
          <w:szCs w:val="22"/>
          <w:color w:val="auto"/>
        </w:rPr>
        <w:t>Transferability:</w:t>
      </w:r>
      <w:r>
        <w:rPr>
          <w:sz w:val="20"/>
          <w:szCs w:val="20"/>
          <w:color w:val="auto"/>
        </w:rPr>
        <w:tab/>
      </w:r>
      <w:r>
        <w:rPr>
          <w:rFonts w:ascii="Arial" w:cs="Arial" w:eastAsia="Arial" w:hAnsi="Arial"/>
          <w:sz w:val="22"/>
          <w:szCs w:val="22"/>
          <w:color w:val="auto"/>
        </w:rPr>
        <w:t>This Option may not be transferred.</w:t>
      </w:r>
    </w:p>
    <w:p>
      <w:pPr>
        <w:spacing w:after="0" w:line="247"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By your signature and the signature of the Company’s representative below, you and the Company agree that this option is granted under and governed by the terms and conditions of the PROCEPT BioRobotics Corporation 2008 Stock Plan and the Stock Option Agreement, both of which are attached and made a part of this document.</w:t>
      </w:r>
    </w:p>
    <w:p>
      <w:pPr>
        <w:spacing w:after="0" w:line="100" w:lineRule="exact"/>
        <w:rPr>
          <w:sz w:val="20"/>
          <w:szCs w:val="20"/>
          <w:color w:val="auto"/>
        </w:rPr>
      </w:pPr>
    </w:p>
    <w:p>
      <w:pPr>
        <w:ind w:right="20" w:firstLine="648"/>
        <w:spacing w:after="0" w:line="224" w:lineRule="auto"/>
        <w:rPr>
          <w:sz w:val="20"/>
          <w:szCs w:val="20"/>
          <w:color w:val="auto"/>
        </w:rPr>
      </w:pPr>
      <w:r>
        <w:rPr>
          <w:rFonts w:ascii="Arial" w:cs="Arial" w:eastAsia="Arial" w:hAnsi="Arial"/>
          <w:sz w:val="22"/>
          <w:szCs w:val="22"/>
          <w:color w:val="auto"/>
        </w:rPr>
        <w:t>In addition, you agree and acknowledge that your rights to any Shares underlying the Option will be earned only as you provide services to the Company over time, that the grant of the Option is not as consideration for services you rendered to the Company prior to your Vesting Commencement Date,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0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9"/>
          <w:szCs w:val="19"/>
          <w:color w:val="auto"/>
        </w:rPr>
        <w:t>The per share “</w:t>
      </w:r>
      <w:r>
        <w:rPr>
          <w:rFonts w:ascii="Arial" w:cs="Arial" w:eastAsia="Arial" w:hAnsi="Arial"/>
          <w:sz w:val="19"/>
          <w:szCs w:val="19"/>
          <w:u w:val="single" w:color="auto"/>
          <w:color w:val="auto"/>
        </w:rPr>
        <w:t>Exercise Price</w:t>
      </w:r>
      <w:r>
        <w:rPr>
          <w:rFonts w:ascii="Arial" w:cs="Arial" w:eastAsia="Arial" w:hAnsi="Arial"/>
          <w:sz w:val="19"/>
          <w:szCs w:val="19"/>
          <w:color w:val="auto"/>
        </w:rPr>
        <w:t>” is intended to be at least equal to the fair market value of the Company’s Common Stock at the date of grant. The Company has attempted in good faith to make the fair market value determination in compliance with applicable tax law although there can be no certainty that the IRS will agree. If the IRS does not agree and asserts the fair market value at the time of grant is higher than the Exercise Price, the IRS could seek to impose greater taxes on you, including interest and penalties under Internal Revenue Code Section 409A. While the Company thinks this is an unlikely event, the Company cannot provide absolute assurance and you may want to consult your own tax adviser with any questions.</w:t>
      </w:r>
    </w:p>
    <w:p>
      <w:pPr>
        <w:spacing w:after="0" w:line="13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PROCEPT BIOROBOTICS CORPORATION</w:t>
      </w:r>
    </w:p>
    <w:p>
      <w:pPr>
        <w:spacing w:after="0" w:line="334"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24130</wp:posOffset>
            </wp:positionV>
            <wp:extent cx="24599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23742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45"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22"/>
          <w:szCs w:val="22"/>
          <w:b w:val="1"/>
          <w:bCs w:val="1"/>
          <w:color w:val="auto"/>
        </w:rPr>
        <w:t>«HolderName»</w:t>
      </w:r>
      <w:r>
        <w:rPr>
          <w:sz w:val="20"/>
          <w:szCs w:val="20"/>
          <w:color w:val="auto"/>
        </w:rPr>
        <w:tab/>
      </w: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27940</wp:posOffset>
            </wp:positionV>
            <wp:extent cx="2459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4"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24130</wp:posOffset>
            </wp:positionV>
            <wp:extent cx="2459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4963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u w:val="single" w:color="auto"/>
          <w:color w:val="auto"/>
        </w:rPr>
        <w:t>IRS Circular 230 Disclosure</w:t>
      </w:r>
      <w:r>
        <w:rPr>
          <w:rFonts w:ascii="Arial" w:cs="Arial" w:eastAsia="Arial" w:hAnsi="Arial"/>
          <w:sz w:val="16"/>
          <w:szCs w:val="16"/>
          <w:color w:val="auto"/>
        </w:rPr>
        <w:t>: To ensure compliance with requirements imposed by the IRS, we inform you that any tax advice contained in this communication (including any attachments) (i) was not intended or written to be used, and cannot be used, for the purpose of avoiding any tax penalty and</w:t>
      </w:r>
    </w:p>
    <w:p>
      <w:pPr>
        <w:spacing w:after="0" w:line="1" w:lineRule="exact"/>
        <w:rPr>
          <w:sz w:val="20"/>
          <w:szCs w:val="20"/>
          <w:color w:val="auto"/>
        </w:rPr>
      </w:pPr>
    </w:p>
    <w:p>
      <w:pPr>
        <w:ind w:right="200" w:firstLine="8"/>
        <w:spacing w:after="0" w:line="233" w:lineRule="auto"/>
        <w:tabs>
          <w:tab w:leader="none" w:pos="26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was not written to promote, market or recommend the transaction or matter addressed in the communication. Each taxpayer should seek advice based on the taxpayer’s particular circumstances from an independent tax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22"/>
          <w:szCs w:val="22"/>
          <w:b w:val="1"/>
          <w:bCs w:val="1"/>
          <w:color w:val="auto"/>
        </w:rPr>
        <w:t>PROCEPT BIOROBOTICS CORPORATION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2008 STOCK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 OPTION AGREEMENT</w:t>
      </w:r>
    </w:p>
    <w:p>
      <w:pPr>
        <w:spacing w:after="0" w:line="125" w:lineRule="exact"/>
        <w:rPr>
          <w:sz w:val="20"/>
          <w:szCs w:val="20"/>
          <w:color w:val="auto"/>
        </w:rPr>
      </w:pPr>
    </w:p>
    <w:p>
      <w:pPr>
        <w:ind w:right="100" w:firstLine="656"/>
        <w:spacing w:after="0" w:line="265" w:lineRule="auto"/>
        <w:tabs>
          <w:tab w:leader="none" w:pos="1026" w:val="left"/>
        </w:tabs>
        <w:numPr>
          <w:ilvl w:val="0"/>
          <w:numId w:val="247"/>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Option</w:t>
      </w:r>
      <w:r>
        <w:rPr>
          <w:rFonts w:ascii="Arial" w:cs="Arial" w:eastAsia="Arial" w:hAnsi="Arial"/>
          <w:sz w:val="19"/>
          <w:szCs w:val="19"/>
          <w:color w:val="auto"/>
        </w:rPr>
        <w:t>. PROCEPT BioRobotics Corporation,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w:t>
      </w:r>
      <w:r>
        <w:rPr>
          <w:rFonts w:ascii="Arial" w:cs="Arial" w:eastAsia="Arial" w:hAnsi="Arial"/>
          <w:sz w:val="19"/>
          <w:szCs w:val="19"/>
          <w:b w:val="1"/>
          <w:bCs w:val="1"/>
          <w:color w:val="auto"/>
        </w:rPr>
        <w:t xml:space="preserve"> </w:t>
      </w:r>
      <w:r>
        <w:rPr>
          <w:rFonts w:ascii="Arial" w:cs="Arial" w:eastAsia="Arial" w:hAnsi="Arial"/>
          <w:sz w:val="19"/>
          <w:szCs w:val="19"/>
          <w:color w:val="auto"/>
        </w:rPr>
        <w:t>«HolderName» (“</w:t>
      </w:r>
      <w:r>
        <w:rPr>
          <w:rFonts w:ascii="Arial" w:cs="Arial" w:eastAsia="Arial" w:hAnsi="Arial"/>
          <w:sz w:val="19"/>
          <w:szCs w:val="19"/>
          <w:u w:val="single" w:color="auto"/>
          <w:color w:val="auto"/>
        </w:rPr>
        <w:t>Optionee</w:t>
      </w:r>
      <w:r>
        <w:rPr>
          <w:rFonts w:ascii="Arial" w:cs="Arial" w:eastAsia="Arial" w:hAnsi="Arial"/>
          <w:sz w:val="19"/>
          <w:szCs w:val="19"/>
          <w:color w:val="auto"/>
        </w:rPr>
        <w:t>”),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the total number of shares of Common Stock (the “</w:t>
      </w:r>
      <w:r>
        <w:rPr>
          <w:rFonts w:ascii="Arial" w:cs="Arial" w:eastAsia="Arial" w:hAnsi="Arial"/>
          <w:sz w:val="19"/>
          <w:szCs w:val="19"/>
          <w:u w:val="single" w:color="auto"/>
          <w:color w:val="auto"/>
        </w:rPr>
        <w:t>Shares</w:t>
      </w:r>
      <w:r>
        <w:rPr>
          <w:rFonts w:ascii="Arial" w:cs="Arial" w:eastAsia="Arial" w:hAnsi="Arial"/>
          <w:sz w:val="19"/>
          <w:szCs w:val="19"/>
          <w:color w:val="auto"/>
        </w:rPr>
        <w:t>”) set forth in the Notice of Stock Option Grant (the “</w:t>
      </w:r>
      <w:r>
        <w:rPr>
          <w:rFonts w:ascii="Arial" w:cs="Arial" w:eastAsia="Arial" w:hAnsi="Arial"/>
          <w:sz w:val="19"/>
          <w:szCs w:val="19"/>
          <w:u w:val="single" w:color="auto"/>
          <w:color w:val="auto"/>
        </w:rPr>
        <w:t>Notice</w:t>
      </w:r>
      <w:r>
        <w:rPr>
          <w:rFonts w:ascii="Arial" w:cs="Arial" w:eastAsia="Arial" w:hAnsi="Arial"/>
          <w:sz w:val="19"/>
          <w:szCs w:val="19"/>
          <w:color w:val="auto"/>
        </w:rPr>
        <w:t>”), at the exercise price per Share set forth in the Notice (the “</w:t>
      </w:r>
      <w:r>
        <w:rPr>
          <w:rFonts w:ascii="Arial" w:cs="Arial" w:eastAsia="Arial" w:hAnsi="Arial"/>
          <w:sz w:val="19"/>
          <w:szCs w:val="19"/>
          <w:u w:val="single" w:color="auto"/>
          <w:color w:val="auto"/>
        </w:rPr>
        <w:t>Exercise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Price</w:t>
      </w:r>
      <w:r>
        <w:rPr>
          <w:rFonts w:ascii="Arial" w:cs="Arial" w:eastAsia="Arial" w:hAnsi="Arial"/>
          <w:sz w:val="19"/>
          <w:szCs w:val="19"/>
          <w:color w:val="auto"/>
        </w:rPr>
        <w:t>”) subject to the terms, definitions and provisions of the PROCEPT BioRobotics Corporation 2008 Stock Plan (the “</w:t>
      </w:r>
      <w:r>
        <w:rPr>
          <w:rFonts w:ascii="Arial" w:cs="Arial" w:eastAsia="Arial" w:hAnsi="Arial"/>
          <w:sz w:val="19"/>
          <w:szCs w:val="19"/>
          <w:u w:val="single" w:color="auto"/>
          <w:color w:val="auto"/>
        </w:rPr>
        <w:t>Plan</w:t>
      </w:r>
      <w:r>
        <w:rPr>
          <w:rFonts w:ascii="Arial" w:cs="Arial" w:eastAsia="Arial" w:hAnsi="Arial"/>
          <w:sz w:val="19"/>
          <w:szCs w:val="19"/>
          <w:color w:val="auto"/>
        </w:rPr>
        <w:t>”) adopted by the Company, which is incorporated in this Agreement by reference. Unless otherwise defined in this Agreement, the terms used in this Agreement shall have the meanings defined in the Plan.</w:t>
      </w:r>
    </w:p>
    <w:p>
      <w:pPr>
        <w:spacing w:after="0" w:line="78" w:lineRule="exact"/>
        <w:rPr>
          <w:rFonts w:ascii="Arial" w:cs="Arial" w:eastAsia="Arial" w:hAnsi="Arial"/>
          <w:sz w:val="19"/>
          <w:szCs w:val="19"/>
          <w:color w:val="auto"/>
        </w:rPr>
      </w:pPr>
    </w:p>
    <w:p>
      <w:pPr>
        <w:ind w:right="200" w:firstLine="656"/>
        <w:spacing w:after="0" w:line="229" w:lineRule="auto"/>
        <w:tabs>
          <w:tab w:leader="none" w:pos="1026" w:val="left"/>
        </w:tabs>
        <w:numPr>
          <w:ilvl w:val="0"/>
          <w:numId w:val="247"/>
        </w:numPr>
        <w:rPr>
          <w:rFonts w:ascii="Arial" w:cs="Arial" w:eastAsia="Arial" w:hAnsi="Arial"/>
          <w:sz w:val="22"/>
          <w:szCs w:val="22"/>
          <w:color w:val="auto"/>
        </w:rPr>
      </w:pPr>
      <w:r>
        <w:rPr>
          <w:rFonts w:ascii="Arial" w:cs="Arial" w:eastAsia="Arial" w:hAnsi="Arial"/>
          <w:sz w:val="22"/>
          <w:szCs w:val="22"/>
          <w:b w:val="1"/>
          <w:bCs w:val="1"/>
          <w:u w:val="single" w:color="auto"/>
          <w:color w:val="auto"/>
        </w:rPr>
        <w:t>Designation of Option</w:t>
      </w:r>
      <w:r>
        <w:rPr>
          <w:rFonts w:ascii="Arial" w:cs="Arial" w:eastAsia="Arial" w:hAnsi="Arial"/>
          <w:sz w:val="22"/>
          <w:szCs w:val="22"/>
          <w:color w:val="auto"/>
        </w:rPr>
        <w:t>. This Option is intended to be an Incentive Stock Option as defined in Section 422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Code only to the extent so designated in the Notice, and to the extent it is not so designated or to the extent the Option does not qualify as an Incentive Stock Option under Applicable Law, then it is intended to be and will be treated as a Nonstatutory Stock Option.</w:t>
      </w:r>
    </w:p>
    <w:p>
      <w:pPr>
        <w:spacing w:after="0" w:line="94" w:lineRule="exact"/>
        <w:rPr>
          <w:sz w:val="20"/>
          <w:szCs w:val="20"/>
          <w:color w:val="auto"/>
        </w:rPr>
      </w:pPr>
    </w:p>
    <w:p>
      <w:pPr>
        <w:ind w:right="140" w:firstLine="648"/>
        <w:spacing w:after="0" w:line="267" w:lineRule="auto"/>
        <w:rPr>
          <w:sz w:val="20"/>
          <w:szCs w:val="20"/>
          <w:color w:val="auto"/>
        </w:rPr>
      </w:pPr>
      <w:r>
        <w:rPr>
          <w:rFonts w:ascii="Arial" w:cs="Arial" w:eastAsia="Arial" w:hAnsi="Arial"/>
          <w:sz w:val="19"/>
          <w:szCs w:val="19"/>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75" w:lineRule="exact"/>
        <w:rPr>
          <w:sz w:val="20"/>
          <w:szCs w:val="20"/>
          <w:color w:val="auto"/>
        </w:rPr>
      </w:pPr>
    </w:p>
    <w:p>
      <w:pPr>
        <w:ind w:right="760" w:firstLine="656"/>
        <w:spacing w:after="0" w:line="243" w:lineRule="auto"/>
        <w:tabs>
          <w:tab w:leader="none" w:pos="1026" w:val="left"/>
        </w:tabs>
        <w:numPr>
          <w:ilvl w:val="0"/>
          <w:numId w:val="248"/>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 This Option shall be exercisable during its term in accordance with the Vesting/Exercise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Schedule set out in the Notice and with the provisions of Section 9 of the Plan as follows:</w:t>
      </w:r>
    </w:p>
    <w:p>
      <w:pPr>
        <w:spacing w:after="0" w:line="95" w:lineRule="exact"/>
        <w:rPr>
          <w:rFonts w:ascii="Arial" w:cs="Arial" w:eastAsia="Arial" w:hAnsi="Arial"/>
          <w:sz w:val="22"/>
          <w:szCs w:val="22"/>
          <w:color w:val="auto"/>
        </w:rPr>
      </w:pPr>
    </w:p>
    <w:p>
      <w:pPr>
        <w:ind w:left="1760" w:hanging="456"/>
        <w:spacing w:after="0"/>
        <w:tabs>
          <w:tab w:leader="none" w:pos="1760" w:val="left"/>
        </w:tabs>
        <w:numPr>
          <w:ilvl w:val="1"/>
          <w:numId w:val="248"/>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to Exercise</w:t>
      </w:r>
      <w:r>
        <w:rPr>
          <w:rFonts w:ascii="Arial" w:cs="Arial" w:eastAsia="Arial" w:hAnsi="Arial"/>
          <w:sz w:val="22"/>
          <w:szCs w:val="22"/>
          <w:color w:val="auto"/>
        </w:rPr>
        <w:t>.</w:t>
      </w:r>
    </w:p>
    <w:p>
      <w:pPr>
        <w:spacing w:after="0" w:line="117" w:lineRule="exact"/>
        <w:rPr>
          <w:rFonts w:ascii="Arial" w:cs="Arial" w:eastAsia="Arial" w:hAnsi="Arial"/>
          <w:sz w:val="22"/>
          <w:szCs w:val="22"/>
          <w:color w:val="auto"/>
        </w:rPr>
      </w:pPr>
    </w:p>
    <w:p>
      <w:pPr>
        <w:ind w:left="2360" w:hanging="408"/>
        <w:spacing w:after="0"/>
        <w:tabs>
          <w:tab w:leader="none" w:pos="2360" w:val="left"/>
        </w:tabs>
        <w:numPr>
          <w:ilvl w:val="2"/>
          <w:numId w:val="248"/>
        </w:numPr>
        <w:rPr>
          <w:rFonts w:ascii="Arial" w:cs="Arial" w:eastAsia="Arial" w:hAnsi="Arial"/>
          <w:sz w:val="22"/>
          <w:szCs w:val="22"/>
          <w:color w:val="auto"/>
        </w:rPr>
      </w:pPr>
      <w:r>
        <w:rPr>
          <w:rFonts w:ascii="Arial" w:cs="Arial" w:eastAsia="Arial" w:hAnsi="Arial"/>
          <w:sz w:val="22"/>
          <w:szCs w:val="22"/>
          <w:color w:val="auto"/>
        </w:rPr>
        <w:t>This Option may not be exercised for a fraction of a share.</w:t>
      </w:r>
    </w:p>
    <w:p>
      <w:pPr>
        <w:spacing w:after="0" w:line="125" w:lineRule="exact"/>
        <w:rPr>
          <w:rFonts w:ascii="Arial" w:cs="Arial" w:eastAsia="Arial" w:hAnsi="Arial"/>
          <w:sz w:val="22"/>
          <w:szCs w:val="22"/>
          <w:color w:val="auto"/>
        </w:rPr>
      </w:pPr>
    </w:p>
    <w:p>
      <w:pPr>
        <w:ind w:right="160" w:firstLine="1952"/>
        <w:spacing w:after="0" w:line="239" w:lineRule="auto"/>
        <w:tabs>
          <w:tab w:leader="none" w:pos="2424" w:val="left"/>
        </w:tabs>
        <w:numPr>
          <w:ilvl w:val="2"/>
          <w:numId w:val="248"/>
        </w:numPr>
        <w:rPr>
          <w:rFonts w:ascii="Arial" w:cs="Arial" w:eastAsia="Arial" w:hAnsi="Arial"/>
          <w:sz w:val="22"/>
          <w:szCs w:val="22"/>
          <w:color w:val="auto"/>
        </w:rPr>
      </w:pPr>
      <w:r>
        <w:rPr>
          <w:rFonts w:ascii="Arial" w:cs="Arial" w:eastAsia="Arial" w:hAnsi="Arial"/>
          <w:sz w:val="22"/>
          <w:szCs w:val="22"/>
          <w:color w:val="auto"/>
        </w:rPr>
        <w:t>In the event of Optionee’s death, disability or other termination of employment, the exercisability of the Option is governed by Section 5 below, subject to the limitations contained in this Section 3.</w:t>
      </w:r>
    </w:p>
    <w:p>
      <w:pPr>
        <w:spacing w:after="0" w:line="103" w:lineRule="exact"/>
        <w:rPr>
          <w:rFonts w:ascii="Arial" w:cs="Arial" w:eastAsia="Arial" w:hAnsi="Arial"/>
          <w:sz w:val="22"/>
          <w:szCs w:val="22"/>
          <w:color w:val="auto"/>
        </w:rPr>
      </w:pPr>
    </w:p>
    <w:p>
      <w:pPr>
        <w:ind w:left="2500" w:hanging="548"/>
        <w:spacing w:after="0"/>
        <w:tabs>
          <w:tab w:leader="none" w:pos="2500" w:val="left"/>
        </w:tabs>
        <w:numPr>
          <w:ilvl w:val="2"/>
          <w:numId w:val="248"/>
        </w:numPr>
        <w:rPr>
          <w:rFonts w:ascii="Arial" w:cs="Arial" w:eastAsia="Arial" w:hAnsi="Arial"/>
          <w:sz w:val="19"/>
          <w:szCs w:val="19"/>
          <w:color w:val="auto"/>
        </w:rPr>
      </w:pPr>
      <w:r>
        <w:rPr>
          <w:rFonts w:ascii="Arial" w:cs="Arial" w:eastAsia="Arial" w:hAnsi="Arial"/>
          <w:sz w:val="19"/>
          <w:szCs w:val="19"/>
          <w:color w:val="auto"/>
        </w:rPr>
        <w:t>In no event may this Option be exercised after the Expiration Date of the Option as set forth in the</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Notice.</w:t>
      </w:r>
    </w:p>
    <w:p>
      <w:pPr>
        <w:spacing w:after="0" w:line="87" w:lineRule="exact"/>
        <w:rPr>
          <w:rFonts w:ascii="Arial" w:cs="Arial" w:eastAsia="Arial" w:hAnsi="Arial"/>
          <w:sz w:val="19"/>
          <w:szCs w:val="19"/>
          <w:color w:val="auto"/>
        </w:rPr>
      </w:pPr>
    </w:p>
    <w:p>
      <w:pPr>
        <w:ind w:left="1780" w:hanging="476"/>
        <w:spacing w:after="0"/>
        <w:tabs>
          <w:tab w:leader="none" w:pos="1780" w:val="left"/>
        </w:tabs>
        <w:numPr>
          <w:ilvl w:val="1"/>
          <w:numId w:val="248"/>
        </w:numPr>
        <w:rPr>
          <w:rFonts w:ascii="Arial" w:cs="Arial" w:eastAsia="Arial" w:hAnsi="Arial"/>
          <w:sz w:val="22"/>
          <w:szCs w:val="22"/>
          <w:color w:val="auto"/>
        </w:rPr>
      </w:pPr>
      <w:r>
        <w:rPr>
          <w:rFonts w:ascii="Arial" w:cs="Arial" w:eastAsia="Arial" w:hAnsi="Arial"/>
          <w:sz w:val="22"/>
          <w:szCs w:val="22"/>
          <w:b w:val="1"/>
          <w:bCs w:val="1"/>
          <w:u w:val="single" w:color="auto"/>
          <w:color w:val="auto"/>
        </w:rPr>
        <w:t>Method of Exercise</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ind w:firstLine="1952"/>
        <w:spacing w:after="0" w:line="224" w:lineRule="auto"/>
        <w:tabs>
          <w:tab w:leader="none" w:pos="2360" w:val="left"/>
        </w:tabs>
        <w:numPr>
          <w:ilvl w:val="2"/>
          <w:numId w:val="248"/>
        </w:numPr>
        <w:rPr>
          <w:rFonts w:ascii="Arial" w:cs="Arial" w:eastAsia="Arial" w:hAnsi="Arial"/>
          <w:sz w:val="22"/>
          <w:szCs w:val="22"/>
          <w:color w:val="auto"/>
        </w:rPr>
      </w:pPr>
      <w:r>
        <w:rPr>
          <w:rFonts w:ascii="Arial" w:cs="Arial" w:eastAsia="Arial" w:hAnsi="Arial"/>
          <w:sz w:val="22"/>
          <w:szCs w:val="22"/>
          <w:color w:val="auto"/>
        </w:rPr>
        <w:t xml:space="preserve">This Option shall be exercisable by execution and delivery of the Early Exercise Notice and Restricted Stock Purchase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if the Option is exercised with respect to any unvested Shares, the Exercise Notice and Restricted Stock Purchase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if the Option is only exercised with respect to vested Shares (the “</w:t>
      </w:r>
      <w:r>
        <w:rPr>
          <w:rFonts w:ascii="Arial" w:cs="Arial" w:eastAsia="Arial" w:hAnsi="Arial"/>
          <w:sz w:val="22"/>
          <w:szCs w:val="22"/>
          <w:u w:val="single" w:color="auto"/>
          <w:color w:val="auto"/>
        </w:rPr>
        <w:t>Exercise Agreements</w:t>
      </w:r>
      <w:r>
        <w:rPr>
          <w:rFonts w:ascii="Arial" w:cs="Arial" w:eastAsia="Arial" w:hAnsi="Arial"/>
          <w:sz w:val="22"/>
          <w:szCs w:val="22"/>
          <w:color w:val="auto"/>
        </w:rPr>
        <w:t>”) or of any other form of written notice approved for such purpose by the Company which shall state Optionee’s election to exercise the Option, the number of Shares in respect of which the Option is being exercised, and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8" w:right="339" w:bottom="1440" w:gutter="0" w:footer="0" w:header="0"/>
        </w:sectPr>
      </w:pPr>
    </w:p>
    <w:bookmarkStart w:id="334" w:name="page335"/>
    <w:bookmarkEnd w:id="334"/>
    <w:p>
      <w:pPr>
        <w:spacing w:after="0" w:line="259" w:lineRule="auto"/>
        <w:rPr>
          <w:sz w:val="20"/>
          <w:szCs w:val="20"/>
          <w:color w:val="auto"/>
        </w:rPr>
      </w:pPr>
      <w:r>
        <w:rPr>
          <w:rFonts w:ascii="Arial" w:cs="Arial" w:eastAsia="Arial" w:hAnsi="Arial"/>
          <w:sz w:val="19"/>
          <w:szCs w:val="19"/>
          <w:color w:val="auto"/>
        </w:rPr>
        <w:t>representations and agreements as to the holder’s investment intent with respect to such Shares as may be required by the Company pursuant to the provisions of the Plan. If the Option is exercised with respect to vested and unvested Shares, the exercise of the Option will be deemed to cover first vested shares of Common Stock and then the earliest vesting installment of unvested shares of Common Stock, and any shares of Common Stock so purchased from installments that have not vested as of the date of exercise will be subject to the repurchase option in favor of the Company as described in the Company’s form of Early Exercise Stock Purchase Agreement. Such written notice shall be signed by Optionee and shall be delivered to the Company by such means as are determined by the Plan Administrator in its discretion to constitute adequate delivery. The written notice shall be accompanied by payment of the Exercise Price. This Option shall be deemed to be exercised upon receipt by the Company of such written notice accompanied by the Exercise Price.</w:t>
      </w:r>
    </w:p>
    <w:p>
      <w:pPr>
        <w:spacing w:after="0" w:line="92" w:lineRule="exact"/>
        <w:rPr>
          <w:sz w:val="20"/>
          <w:szCs w:val="20"/>
          <w:color w:val="auto"/>
        </w:rPr>
      </w:pPr>
    </w:p>
    <w:p>
      <w:pPr>
        <w:ind w:right="20" w:firstLine="1952"/>
        <w:spacing w:after="0" w:line="282" w:lineRule="auto"/>
        <w:tabs>
          <w:tab w:leader="none" w:pos="2412" w:val="left"/>
        </w:tabs>
        <w:numPr>
          <w:ilvl w:val="2"/>
          <w:numId w:val="249"/>
        </w:numPr>
        <w:rPr>
          <w:rFonts w:ascii="Arial" w:cs="Arial" w:eastAsia="Arial" w:hAnsi="Arial"/>
          <w:sz w:val="19"/>
          <w:szCs w:val="19"/>
          <w:color w:val="auto"/>
        </w:rPr>
      </w:pPr>
      <w:r>
        <w:rPr>
          <w:rFonts w:ascii="Arial" w:cs="Arial" w:eastAsia="Arial" w:hAnsi="Arial"/>
          <w:sz w:val="19"/>
          <w:szCs w:val="19"/>
          <w:color w:val="auto"/>
        </w:rPr>
        <w:t>As a condition to the exercise of this Option and as further set forth in Section 11 of the Plan, Optionee agrees to make adequate provision for federal, state or other tax withholding obligations, if any, which arise upon the vesting or exercise of the Option, or disposition of Shares, whether by withholding, direct payment to the Company, or otherwise.</w:t>
      </w:r>
    </w:p>
    <w:p>
      <w:pPr>
        <w:spacing w:after="0" w:line="53" w:lineRule="exact"/>
        <w:rPr>
          <w:rFonts w:ascii="Arial" w:cs="Arial" w:eastAsia="Arial" w:hAnsi="Arial"/>
          <w:sz w:val="19"/>
          <w:szCs w:val="19"/>
          <w:color w:val="auto"/>
        </w:rPr>
      </w:pPr>
    </w:p>
    <w:p>
      <w:pPr>
        <w:ind w:right="80" w:firstLine="1952"/>
        <w:spacing w:after="0" w:line="259" w:lineRule="auto"/>
        <w:tabs>
          <w:tab w:leader="none" w:pos="2480" w:val="left"/>
        </w:tabs>
        <w:numPr>
          <w:ilvl w:val="2"/>
          <w:numId w:val="249"/>
        </w:numPr>
        <w:rPr>
          <w:rFonts w:ascii="Arial" w:cs="Arial" w:eastAsia="Arial" w:hAnsi="Arial"/>
          <w:sz w:val="19"/>
          <w:szCs w:val="19"/>
          <w:color w:val="auto"/>
        </w:rPr>
      </w:pPr>
      <w:r>
        <w:rPr>
          <w:rFonts w:ascii="Arial" w:cs="Arial" w:eastAsia="Arial" w:hAnsi="Arial"/>
          <w:sz w:val="19"/>
          <w:szCs w:val="19"/>
          <w:color w:val="auto"/>
        </w:rPr>
        <w:t>The Company is not obligated, and will have no liability for failure, to issue or deliver any Shares upon exercise of the Option unless such issuance or delivery would comply with the Applicable Laws, with such compliance determined by the Company in consultation with its legal counsel. This Option may not be exercised until such time as the Plan has been approved by the stockholders of the Company, or if the issuance of such Shares upon such exercise or the method of payment of consideration for such shares would constitute a violation of any applicable federal or state securities or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the Option is exercised with respect to such Shares.</w:t>
      </w:r>
    </w:p>
    <w:p>
      <w:pPr>
        <w:spacing w:after="0" w:line="85" w:lineRule="exact"/>
        <w:rPr>
          <w:rFonts w:ascii="Arial" w:cs="Arial" w:eastAsia="Arial" w:hAnsi="Arial"/>
          <w:sz w:val="19"/>
          <w:szCs w:val="19"/>
          <w:color w:val="auto"/>
        </w:rPr>
      </w:pPr>
    </w:p>
    <w:p>
      <w:pPr>
        <w:ind w:right="740" w:firstLine="656"/>
        <w:spacing w:after="0" w:line="243" w:lineRule="auto"/>
        <w:tabs>
          <w:tab w:leader="none" w:pos="1026" w:val="left"/>
        </w:tabs>
        <w:numPr>
          <w:ilvl w:val="0"/>
          <w:numId w:val="250"/>
        </w:numPr>
        <w:rPr>
          <w:rFonts w:ascii="Arial" w:cs="Arial" w:eastAsia="Arial" w:hAnsi="Arial"/>
          <w:sz w:val="22"/>
          <w:szCs w:val="22"/>
          <w:color w:val="auto"/>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Exercise Price shall be by any of the following, or a combination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at the election of Optionee:</w:t>
      </w:r>
    </w:p>
    <w:p>
      <w:pPr>
        <w:spacing w:after="0" w:line="101" w:lineRule="exact"/>
        <w:rPr>
          <w:rFonts w:ascii="Arial" w:cs="Arial" w:eastAsia="Arial" w:hAnsi="Arial"/>
          <w:sz w:val="22"/>
          <w:szCs w:val="22"/>
          <w:color w:val="auto"/>
        </w:rPr>
      </w:pPr>
    </w:p>
    <w:p>
      <w:pPr>
        <w:ind w:left="1760" w:hanging="456"/>
        <w:spacing w:after="0"/>
        <w:tabs>
          <w:tab w:leader="none" w:pos="17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cash or check;</w:t>
      </w:r>
    </w:p>
    <w:p>
      <w:pPr>
        <w:spacing w:after="0" w:line="111" w:lineRule="exact"/>
        <w:rPr>
          <w:rFonts w:ascii="Arial" w:cs="Arial" w:eastAsia="Arial" w:hAnsi="Arial"/>
          <w:sz w:val="22"/>
          <w:szCs w:val="22"/>
          <w:color w:val="auto"/>
        </w:rPr>
      </w:pPr>
    </w:p>
    <w:p>
      <w:pPr>
        <w:ind w:left="1780" w:hanging="476"/>
        <w:spacing w:after="0"/>
        <w:tabs>
          <w:tab w:leader="none" w:pos="178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cancellation of indebtedness;</w:t>
      </w:r>
    </w:p>
    <w:p>
      <w:pPr>
        <w:spacing w:after="0" w:line="125" w:lineRule="exact"/>
        <w:rPr>
          <w:rFonts w:ascii="Arial" w:cs="Arial" w:eastAsia="Arial" w:hAnsi="Arial"/>
          <w:sz w:val="22"/>
          <w:szCs w:val="22"/>
          <w:color w:val="auto"/>
        </w:rPr>
      </w:pPr>
    </w:p>
    <w:p>
      <w:pPr>
        <w:ind w:right="760" w:firstLine="1304"/>
        <w:spacing w:after="0" w:line="313" w:lineRule="auto"/>
        <w:tabs>
          <w:tab w:leader="none" w:pos="1752" w:val="left"/>
        </w:tabs>
        <w:numPr>
          <w:ilvl w:val="1"/>
          <w:numId w:val="250"/>
        </w:numPr>
        <w:rPr>
          <w:rFonts w:ascii="Arial" w:cs="Arial" w:eastAsia="Arial" w:hAnsi="Arial"/>
          <w:sz w:val="19"/>
          <w:szCs w:val="19"/>
          <w:color w:val="auto"/>
        </w:rPr>
      </w:pPr>
      <w:r>
        <w:rPr>
          <w:rFonts w:ascii="Arial" w:cs="Arial" w:eastAsia="Arial" w:hAnsi="Arial"/>
          <w:sz w:val="19"/>
          <w:szCs w:val="19"/>
          <w:color w:val="auto"/>
        </w:rPr>
        <w:t>subject to any requirements of Applicable Laws, delivery of Optionee’s promissory note having such recourse, interest, security and redemption provisions as the Administrator determines to be appropriate;</w:t>
      </w:r>
    </w:p>
    <w:p>
      <w:pPr>
        <w:spacing w:after="0" w:line="37" w:lineRule="exact"/>
        <w:rPr>
          <w:rFonts w:ascii="Arial" w:cs="Arial" w:eastAsia="Arial" w:hAnsi="Arial"/>
          <w:sz w:val="19"/>
          <w:szCs w:val="19"/>
          <w:color w:val="auto"/>
        </w:rPr>
      </w:pPr>
    </w:p>
    <w:p>
      <w:pPr>
        <w:ind w:right="20" w:firstLine="1304"/>
        <w:spacing w:after="0" w:line="272" w:lineRule="auto"/>
        <w:tabs>
          <w:tab w:leader="none" w:pos="1764" w:val="left"/>
        </w:tabs>
        <w:numPr>
          <w:ilvl w:val="1"/>
          <w:numId w:val="250"/>
        </w:numPr>
        <w:rPr>
          <w:rFonts w:ascii="Arial" w:cs="Arial" w:eastAsia="Arial" w:hAnsi="Arial"/>
          <w:sz w:val="19"/>
          <w:szCs w:val="19"/>
          <w:color w:val="auto"/>
        </w:rPr>
      </w:pPr>
      <w:r>
        <w:rPr>
          <w:rFonts w:ascii="Arial" w:cs="Arial" w:eastAsia="Arial" w:hAnsi="Arial"/>
          <w:sz w:val="19"/>
          <w:szCs w:val="19"/>
          <w:color w:val="auto"/>
        </w:rPr>
        <w:t>by surrender of other shares (meaning, shares not subject to this Option) of Common Stock of the Company that have an aggregate Fair Market Value on the date of surrender equal to the Exercise Price of the Shares as to which the Option is being exercised. In the case of shares acquired directly or indirectly from the Company, such shares must have been owned by Optionee for such period of time as is necessary to avoid the Company’s incurring adverse accounting charges; or</w:t>
      </w:r>
    </w:p>
    <w:p>
      <w:pPr>
        <w:spacing w:after="0" w:line="62" w:lineRule="exact"/>
        <w:rPr>
          <w:rFonts w:ascii="Arial" w:cs="Arial" w:eastAsia="Arial" w:hAnsi="Arial"/>
          <w:sz w:val="19"/>
          <w:szCs w:val="19"/>
          <w:color w:val="auto"/>
        </w:rPr>
      </w:pPr>
    </w:p>
    <w:p>
      <w:pPr>
        <w:ind w:right="100" w:firstLine="1304"/>
        <w:spacing w:after="0" w:line="239" w:lineRule="auto"/>
        <w:tabs>
          <w:tab w:leader="none" w:pos="1752" w:val="left"/>
        </w:tabs>
        <w:numPr>
          <w:ilvl w:val="1"/>
          <w:numId w:val="250"/>
        </w:numPr>
        <w:rPr>
          <w:rFonts w:ascii="Arial" w:cs="Arial" w:eastAsia="Arial" w:hAnsi="Arial"/>
          <w:sz w:val="22"/>
          <w:szCs w:val="22"/>
          <w:color w:val="auto"/>
        </w:rPr>
      </w:pPr>
      <w:r>
        <w:rPr>
          <w:rFonts w:ascii="Arial" w:cs="Arial" w:eastAsia="Arial" w:hAnsi="Arial"/>
          <w:sz w:val="22"/>
          <w:szCs w:val="22"/>
          <w:color w:val="auto"/>
        </w:rPr>
        <w:t>following the date, if any, upon which the Common Stock is a Listed Security, and if the Company is at such time permitting “same day sale” cashless brokered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335" w:name="page336"/>
    <w:bookmarkEnd w:id="335"/>
    <w:p>
      <w:pPr>
        <w:ind w:right="120"/>
        <w:spacing w:after="0" w:line="231" w:lineRule="auto"/>
        <w:rPr>
          <w:sz w:val="20"/>
          <w:szCs w:val="20"/>
          <w:color w:val="auto"/>
        </w:rPr>
      </w:pPr>
      <w:r>
        <w:rPr>
          <w:rFonts w:ascii="Arial" w:cs="Arial" w:eastAsia="Arial" w:hAnsi="Arial"/>
          <w:sz w:val="22"/>
          <w:szCs w:val="22"/>
          <w:color w:val="auto"/>
        </w:rPr>
        <w:t>exercises, delivery of a properly executed exercise notice together with irrevocable instructions to a broker participating in such cashless brokered exercise program to deliver promptly to the Company the amount required to pay the Exercise Price (and applicable withholding taxes).</w:t>
      </w:r>
    </w:p>
    <w:p>
      <w:pPr>
        <w:spacing w:after="0" w:line="101" w:lineRule="exact"/>
        <w:rPr>
          <w:sz w:val="20"/>
          <w:szCs w:val="20"/>
          <w:color w:val="auto"/>
        </w:rPr>
      </w:pPr>
    </w:p>
    <w:p>
      <w:pPr>
        <w:ind w:firstLine="656"/>
        <w:spacing w:after="0" w:line="225" w:lineRule="auto"/>
        <w:tabs>
          <w:tab w:leader="none" w:pos="1026" w:val="left"/>
        </w:tabs>
        <w:numPr>
          <w:ilvl w:val="0"/>
          <w:numId w:val="25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Relationship; Early Termination of Option</w:t>
      </w:r>
      <w:r>
        <w:rPr>
          <w:rFonts w:ascii="Arial" w:cs="Arial" w:eastAsia="Arial" w:hAnsi="Arial"/>
          <w:sz w:val="22"/>
          <w:szCs w:val="22"/>
          <w:color w:val="auto"/>
        </w:rPr>
        <w:t>. Following the date of termination of Optionee’s</w:t>
      </w:r>
      <w:r>
        <w:rPr>
          <w:rFonts w:ascii="Arial" w:cs="Arial" w:eastAsia="Arial" w:hAnsi="Arial"/>
          <w:sz w:val="22"/>
          <w:szCs w:val="22"/>
          <w:b w:val="1"/>
          <w:bCs w:val="1"/>
          <w:color w:val="auto"/>
        </w:rPr>
        <w:t xml:space="preserve"> </w:t>
      </w:r>
      <w:r>
        <w:rPr>
          <w:rFonts w:ascii="Arial" w:cs="Arial" w:eastAsia="Arial" w:hAnsi="Arial"/>
          <w:sz w:val="22"/>
          <w:szCs w:val="22"/>
          <w:color w:val="auto"/>
        </w:rPr>
        <w:t>Continuous Service Status for any reason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 Optionee may exercise the Option only as set forth in the Notice and this Section 5. To the extent that Optionee is not entitled to exercise this Option as of the Termination Date, or if Optionee does not exercise this Option within the Termination Period set forth in the Notice or the termination periods set forth below, the Option shall terminate in its entirety. In no event, may any Option be exercised after the Expiration Date of the Option as set forth in the Notice.</w:t>
      </w:r>
    </w:p>
    <w:p>
      <w:pPr>
        <w:spacing w:after="0" w:line="89" w:lineRule="exact"/>
        <w:rPr>
          <w:rFonts w:ascii="Arial" w:cs="Arial" w:eastAsia="Arial" w:hAnsi="Arial"/>
          <w:sz w:val="22"/>
          <w:szCs w:val="22"/>
          <w:color w:val="auto"/>
        </w:rPr>
      </w:pPr>
    </w:p>
    <w:p>
      <w:pPr>
        <w:ind w:right="100" w:firstLine="1304"/>
        <w:spacing w:after="0" w:line="286" w:lineRule="auto"/>
        <w:tabs>
          <w:tab w:leader="none" w:pos="1752" w:val="left"/>
        </w:tabs>
        <w:numPr>
          <w:ilvl w:val="1"/>
          <w:numId w:val="251"/>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w:t>
      </w:r>
      <w:r>
        <w:rPr>
          <w:rFonts w:ascii="Arial" w:cs="Arial" w:eastAsia="Arial" w:hAnsi="Arial"/>
          <w:sz w:val="19"/>
          <w:szCs w:val="19"/>
          <w:color w:val="auto"/>
        </w:rPr>
        <w:t>. In the event of termination of Optionee’s Continuous Service Status other than as a result of</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Optionee’s disability or death or for Cause (as defined in the Plan), Optionee may, to the extent Optionee is vested in the Option Shares at the Termination Date, exercise this Option during the Termination Period set forth in the Notice.</w:t>
      </w:r>
    </w:p>
    <w:p>
      <w:pPr>
        <w:spacing w:after="0" w:line="55" w:lineRule="exact"/>
        <w:rPr>
          <w:rFonts w:ascii="Arial" w:cs="Arial" w:eastAsia="Arial" w:hAnsi="Arial"/>
          <w:sz w:val="19"/>
          <w:szCs w:val="19"/>
          <w:color w:val="auto"/>
        </w:rPr>
      </w:pPr>
    </w:p>
    <w:p>
      <w:pPr>
        <w:ind w:right="160" w:firstLine="1304"/>
        <w:spacing w:after="0" w:line="243" w:lineRule="auto"/>
        <w:tabs>
          <w:tab w:leader="none" w:pos="1705" w:val="left"/>
        </w:tabs>
        <w:numPr>
          <w:ilvl w:val="1"/>
          <w:numId w:val="251"/>
        </w:numPr>
        <w:rPr>
          <w:rFonts w:ascii="Arial" w:cs="Arial" w:eastAsia="Arial" w:hAnsi="Arial"/>
          <w:sz w:val="19"/>
          <w:szCs w:val="19"/>
          <w:color w:val="auto"/>
        </w:rPr>
      </w:pPr>
      <w:r>
        <w:rPr>
          <w:rFonts w:ascii="Arial" w:cs="Arial" w:eastAsia="Arial" w:hAnsi="Arial"/>
          <w:sz w:val="22"/>
          <w:szCs w:val="22"/>
          <w:b w:val="1"/>
          <w:bCs w:val="1"/>
          <w:u w:val="single" w:color="auto"/>
          <w:color w:val="auto"/>
        </w:rPr>
        <w:t>Other Terminations of Relationship</w:t>
      </w:r>
      <w:r>
        <w:rPr>
          <w:rFonts w:ascii="Arial" w:cs="Arial" w:eastAsia="Arial" w:hAnsi="Arial"/>
          <w:sz w:val="22"/>
          <w:szCs w:val="22"/>
          <w:color w:val="auto"/>
        </w:rPr>
        <w:t>. In connection with any termination other than a termination covered</w:t>
      </w:r>
      <w:r>
        <w:rPr>
          <w:rFonts w:ascii="Arial" w:cs="Arial" w:eastAsia="Arial" w:hAnsi="Arial"/>
          <w:sz w:val="22"/>
          <w:szCs w:val="22"/>
          <w:b w:val="1"/>
          <w:bCs w:val="1"/>
          <w:color w:val="auto"/>
        </w:rPr>
        <w:t xml:space="preserve"> </w:t>
      </w:r>
      <w:r>
        <w:rPr>
          <w:rFonts w:ascii="Arial" w:cs="Arial" w:eastAsia="Arial" w:hAnsi="Arial"/>
          <w:sz w:val="22"/>
          <w:szCs w:val="22"/>
          <w:color w:val="auto"/>
        </w:rPr>
        <w:t>by Section 5(a), Optionee may exercise the Option only as described below:</w:t>
      </w:r>
    </w:p>
    <w:p>
      <w:pPr>
        <w:spacing w:after="0" w:line="95" w:lineRule="exact"/>
        <w:rPr>
          <w:rFonts w:ascii="Arial" w:cs="Arial" w:eastAsia="Arial" w:hAnsi="Arial"/>
          <w:sz w:val="19"/>
          <w:szCs w:val="19"/>
          <w:color w:val="auto"/>
        </w:rPr>
      </w:pPr>
    </w:p>
    <w:p>
      <w:pPr>
        <w:ind w:right="40" w:firstLine="1952"/>
        <w:spacing w:after="0" w:line="286" w:lineRule="auto"/>
        <w:tabs>
          <w:tab w:leader="none" w:pos="2364" w:val="left"/>
        </w:tabs>
        <w:numPr>
          <w:ilvl w:val="2"/>
          <w:numId w:val="251"/>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upon Disability of Optionee</w:t>
      </w:r>
      <w:r>
        <w:rPr>
          <w:rFonts w:ascii="Arial" w:cs="Arial" w:eastAsia="Arial" w:hAnsi="Arial"/>
          <w:sz w:val="19"/>
          <w:szCs w:val="19"/>
          <w:color w:val="auto"/>
        </w:rPr>
        <w:t>. In the event of termination of Optionee’s Continuous</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Status as a result of Optionee’s disability, Optionee may, but only within twelve (12) months from the Termination Date, exercise this Option to the extent Optionee was vested in the Option Shares as of such Termination Date.</w:t>
      </w:r>
    </w:p>
    <w:p>
      <w:pPr>
        <w:spacing w:after="0" w:line="42" w:lineRule="exact"/>
        <w:rPr>
          <w:rFonts w:ascii="Arial" w:cs="Arial" w:eastAsia="Arial" w:hAnsi="Arial"/>
          <w:sz w:val="19"/>
          <w:szCs w:val="19"/>
          <w:color w:val="auto"/>
        </w:rPr>
      </w:pPr>
    </w:p>
    <w:p>
      <w:pPr>
        <w:ind w:right="280" w:firstLine="1952"/>
        <w:spacing w:after="0" w:line="269" w:lineRule="auto"/>
        <w:tabs>
          <w:tab w:leader="none" w:pos="2424" w:val="left"/>
        </w:tabs>
        <w:numPr>
          <w:ilvl w:val="2"/>
          <w:numId w:val="251"/>
        </w:numPr>
        <w:rPr>
          <w:rFonts w:ascii="Arial" w:cs="Arial" w:eastAsia="Arial" w:hAnsi="Arial"/>
          <w:sz w:val="19"/>
          <w:szCs w:val="19"/>
          <w:color w:val="auto"/>
        </w:rPr>
      </w:pPr>
      <w:r>
        <w:rPr>
          <w:rFonts w:ascii="Arial" w:cs="Arial" w:eastAsia="Arial" w:hAnsi="Arial"/>
          <w:sz w:val="19"/>
          <w:szCs w:val="19"/>
          <w:b w:val="1"/>
          <w:bCs w:val="1"/>
          <w:u w:val="single" w:color="auto"/>
          <w:color w:val="auto"/>
        </w:rPr>
        <w:t>Death of Optionee</w:t>
      </w:r>
      <w:r>
        <w:rPr>
          <w:rFonts w:ascii="Arial" w:cs="Arial" w:eastAsia="Arial" w:hAnsi="Arial"/>
          <w:sz w:val="19"/>
          <w:szCs w:val="19"/>
          <w:color w:val="auto"/>
        </w:rPr>
        <w:t>. In the event of the death of Optionee (a) during the term of this Option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while an Employee or Consultant of the Company and having been in Continuous Service Status since the date of grant of the Option, or (b) within thirty (30) days after Optionee’s Termination Date, the Option may be exercised at any time within twelve (12) months following the date of death by Optionee’s estate or by a person who acquired the right to exercise the Option by bequest or inheritance, but only to the extent Optionee was vested in the Option as of the Termination Date.</w:t>
      </w:r>
    </w:p>
    <w:p>
      <w:pPr>
        <w:spacing w:after="0" w:line="71" w:lineRule="exact"/>
        <w:rPr>
          <w:rFonts w:ascii="Arial" w:cs="Arial" w:eastAsia="Arial" w:hAnsi="Arial"/>
          <w:sz w:val="19"/>
          <w:szCs w:val="19"/>
          <w:color w:val="auto"/>
        </w:rPr>
      </w:pPr>
    </w:p>
    <w:p>
      <w:pPr>
        <w:ind w:firstLine="1952"/>
        <w:spacing w:after="0" w:line="269" w:lineRule="auto"/>
        <w:tabs>
          <w:tab w:leader="none" w:pos="2484" w:val="left"/>
        </w:tabs>
        <w:numPr>
          <w:ilvl w:val="2"/>
          <w:numId w:val="251"/>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for Cause</w:t>
      </w:r>
      <w:r>
        <w:rPr>
          <w:rFonts w:ascii="Arial" w:cs="Arial" w:eastAsia="Arial" w:hAnsi="Arial"/>
          <w:sz w:val="19"/>
          <w:szCs w:val="19"/>
          <w:color w:val="auto"/>
        </w:rPr>
        <w:t>. In the event Optionee’s Continuous Service Status is terminated for Cause,</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shall terminate immediately upon such termination for Cause as set forth in Section 9(b)(iv) of the Plan. In the event Optionee’s employment or consulting relationship with the Company is suspended pending investigation of whether such relationship shall be terminated for Cause, all Optionee’s rights under the Option, including the right to exercise the Option, shall be suspended during the investigation period, also as set forth in Section 9(b)(iv) of the Plan.</w:t>
      </w:r>
    </w:p>
    <w:p>
      <w:pPr>
        <w:spacing w:after="0" w:line="71" w:lineRule="exact"/>
        <w:rPr>
          <w:rFonts w:ascii="Arial" w:cs="Arial" w:eastAsia="Arial" w:hAnsi="Arial"/>
          <w:sz w:val="19"/>
          <w:szCs w:val="19"/>
          <w:color w:val="auto"/>
        </w:rPr>
      </w:pPr>
    </w:p>
    <w:p>
      <w:pPr>
        <w:ind w:right="620" w:firstLine="1304"/>
        <w:spacing w:after="0" w:line="320" w:lineRule="auto"/>
        <w:tabs>
          <w:tab w:leader="none" w:pos="1752" w:val="left"/>
        </w:tabs>
        <w:numPr>
          <w:ilvl w:val="1"/>
          <w:numId w:val="251"/>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Option</w:t>
      </w:r>
      <w:r>
        <w:rPr>
          <w:rFonts w:ascii="Arial" w:cs="Arial" w:eastAsia="Arial" w:hAnsi="Arial"/>
          <w:sz w:val="19"/>
          <w:szCs w:val="19"/>
          <w:color w:val="auto"/>
        </w:rPr>
        <w:t>. This Option may terminate prior to its Expiration Date and prior to the dates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under Section 5(a) and (b) above under certain circumstances as set forth in Section 13 of the Plan.</w:t>
      </w:r>
    </w:p>
    <w:p>
      <w:pPr>
        <w:spacing w:after="0" w:line="11" w:lineRule="exact"/>
        <w:rPr>
          <w:rFonts w:ascii="Arial" w:cs="Arial" w:eastAsia="Arial" w:hAnsi="Arial"/>
          <w:sz w:val="19"/>
          <w:szCs w:val="19"/>
          <w:color w:val="auto"/>
        </w:rPr>
      </w:pPr>
    </w:p>
    <w:p>
      <w:pPr>
        <w:ind w:firstLine="656"/>
        <w:spacing w:after="0" w:line="229" w:lineRule="auto"/>
        <w:tabs>
          <w:tab w:leader="none" w:pos="1026" w:val="left"/>
        </w:tabs>
        <w:numPr>
          <w:ilvl w:val="0"/>
          <w:numId w:val="251"/>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Option</w:t>
      </w:r>
      <w:r>
        <w:rPr>
          <w:rFonts w:ascii="Arial" w:cs="Arial" w:eastAsia="Arial" w:hAnsi="Arial"/>
          <w:sz w:val="22"/>
          <w:szCs w:val="22"/>
          <w:color w:val="auto"/>
        </w:rPr>
        <w:t>. Except as otherwise set forth in the Notice, this Option may not be transferred in</w:t>
      </w:r>
      <w:r>
        <w:rPr>
          <w:rFonts w:ascii="Arial" w:cs="Arial" w:eastAsia="Arial" w:hAnsi="Arial"/>
          <w:sz w:val="22"/>
          <w:szCs w:val="22"/>
          <w:b w:val="1"/>
          <w:bCs w:val="1"/>
          <w:color w:val="auto"/>
        </w:rPr>
        <w:t xml:space="preserve"> </w:t>
      </w:r>
      <w:r>
        <w:rPr>
          <w:rFonts w:ascii="Arial" w:cs="Arial" w:eastAsia="Arial" w:hAnsi="Arial"/>
          <w:sz w:val="22"/>
          <w:szCs w:val="22"/>
          <w:color w:val="auto"/>
        </w:rPr>
        <w:t>any manner otherwise than by will or by the laws of descent or distribution and may be exercised during the lifetime of Optionee only by him or her. The terms of this Option shall be binding upon the executors, administrators, heirs, successors and assigns of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60"/>
          </w:cols>
          <w:pgMar w:left="320" w:top="1414" w:right="419" w:bottom="1440" w:gutter="0" w:footer="0" w:header="0"/>
        </w:sectPr>
      </w:pPr>
    </w:p>
    <w:bookmarkStart w:id="336" w:name="page337"/>
    <w:bookmarkEnd w:id="336"/>
    <w:p>
      <w:pPr>
        <w:ind w:left="-20" w:firstLine="656"/>
        <w:spacing w:after="0" w:line="259" w:lineRule="auto"/>
        <w:tabs>
          <w:tab w:leader="none" w:pos="1006" w:val="left"/>
        </w:tabs>
        <w:numPr>
          <w:ilvl w:val="0"/>
          <w:numId w:val="252"/>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 The Company has not provided any tax advice with respect to this Option or the disposition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Optionee should obtain advice from an appropriate independent professional adviser with respect to the taxation implications of the grant, exercise, assignment, release, cancellation or any other disposal of this Option (each, a “</w:t>
      </w:r>
      <w:r>
        <w:rPr>
          <w:rFonts w:ascii="Arial" w:cs="Arial" w:eastAsia="Arial" w:hAnsi="Arial"/>
          <w:sz w:val="19"/>
          <w:szCs w:val="19"/>
          <w:u w:val="single" w:color="auto"/>
          <w:color w:val="auto"/>
        </w:rPr>
        <w:t>Trigger Event</w:t>
      </w:r>
      <w:r>
        <w:rPr>
          <w:rFonts w:ascii="Arial" w:cs="Arial" w:eastAsia="Arial" w:hAnsi="Arial"/>
          <w:sz w:val="19"/>
          <w:szCs w:val="19"/>
          <w:color w:val="auto"/>
        </w:rPr>
        <w:t>”) and on any subsequent sale or disposition of the Shares. Optionee should also take advice in respect of the taxation indemnity provisions under Section 8 below. The per share Exercise Price of the Option is intended to be at least equal to the fair market value of the Company’s Common Stock at the date of grant. The Company has attempted in good faith to make the fair market value determination in compliance with applicable tax law although there can be no certainty that the IRS will agree. If the IRS does not agree and asserts the fair market value at the time of grant is higher than the Exercise Price, the IRS could seek to impose greater taxes on Optionee, including interest and penalties under Internal Revenue Code Section 409A. While the Company thinks this is an unlikely event, the Company cannot provide absolute assurance and Optionee may want to consult Optionee’s own tax adviser with any questions.</w:t>
      </w:r>
    </w:p>
    <w:p>
      <w:pPr>
        <w:spacing w:after="0" w:line="315" w:lineRule="exact"/>
        <w:rPr>
          <w:rFonts w:ascii="Arial" w:cs="Arial" w:eastAsia="Arial" w:hAnsi="Arial"/>
          <w:sz w:val="19"/>
          <w:szCs w:val="19"/>
          <w:color w:val="auto"/>
        </w:rPr>
      </w:pPr>
    </w:p>
    <w:p>
      <w:pPr>
        <w:ind w:left="1020" w:hanging="384"/>
        <w:spacing w:after="0"/>
        <w:tabs>
          <w:tab w:leader="none" w:pos="1020" w:val="left"/>
        </w:tabs>
        <w:numPr>
          <w:ilvl w:val="0"/>
          <w:numId w:val="252"/>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Optionee’s Taxation Indemnity</w:t>
      </w:r>
      <w:r>
        <w:rPr>
          <w:rFonts w:ascii="Arial" w:cs="Arial" w:eastAsia="Arial" w:hAnsi="Arial"/>
          <w:sz w:val="22"/>
          <w:szCs w:val="22"/>
          <w:color w:val="auto"/>
        </w:rPr>
        <w:t>.</w:t>
      </w:r>
    </w:p>
    <w:p>
      <w:pPr>
        <w:spacing w:after="0" w:line="117" w:lineRule="exact"/>
        <w:rPr>
          <w:rFonts w:ascii="Arial" w:cs="Arial" w:eastAsia="Arial" w:hAnsi="Arial"/>
          <w:sz w:val="22"/>
          <w:szCs w:val="22"/>
          <w:color w:val="auto"/>
        </w:rPr>
      </w:pPr>
    </w:p>
    <w:p>
      <w:pPr>
        <w:ind w:left="-20" w:right="40" w:firstLine="1304"/>
        <w:spacing w:after="0" w:line="272" w:lineRule="auto"/>
        <w:tabs>
          <w:tab w:leader="none" w:pos="1728" w:val="left"/>
        </w:tabs>
        <w:numPr>
          <w:ilvl w:val="1"/>
          <w:numId w:val="252"/>
        </w:numPr>
        <w:rPr>
          <w:rFonts w:ascii="Arial" w:cs="Arial" w:eastAsia="Arial" w:hAnsi="Arial"/>
          <w:sz w:val="19"/>
          <w:szCs w:val="19"/>
          <w:color w:val="auto"/>
        </w:rPr>
      </w:pPr>
      <w:r>
        <w:rPr>
          <w:rFonts w:ascii="Arial" w:cs="Arial" w:eastAsia="Arial" w:hAnsi="Arial"/>
          <w:sz w:val="19"/>
          <w:szCs w:val="19"/>
          <w:color w:val="auto"/>
        </w:rPr>
        <w:t>To the extent permitted by law, Optionee hereby agrees to indemnify and keep indemnified the Company and the Company as trustee for and on behalf of any affiliate entity, in respect of any liability or obligation of the Company and/or any affiliate entity to account for income tax or any other taxation provisions under the laws of Optionee’s country or citizenship and/or residence to the extent arising from a Trigger Event or arising out of the acquisition, retention and disposal of the Shares.</w:t>
      </w:r>
    </w:p>
    <w:p>
      <w:pPr>
        <w:spacing w:after="0" w:line="76" w:lineRule="exact"/>
        <w:rPr>
          <w:rFonts w:ascii="Arial" w:cs="Arial" w:eastAsia="Arial" w:hAnsi="Arial"/>
          <w:sz w:val="19"/>
          <w:szCs w:val="19"/>
          <w:color w:val="auto"/>
        </w:rPr>
      </w:pPr>
    </w:p>
    <w:p>
      <w:pPr>
        <w:ind w:left="-20" w:right="20" w:firstLine="1304"/>
        <w:spacing w:after="0" w:line="224" w:lineRule="auto"/>
        <w:tabs>
          <w:tab w:leader="none" w:pos="1740" w:val="left"/>
        </w:tabs>
        <w:numPr>
          <w:ilvl w:val="1"/>
          <w:numId w:val="252"/>
        </w:numPr>
        <w:rPr>
          <w:rFonts w:ascii="Arial" w:cs="Arial" w:eastAsia="Arial" w:hAnsi="Arial"/>
          <w:sz w:val="22"/>
          <w:szCs w:val="22"/>
          <w:color w:val="auto"/>
        </w:rPr>
      </w:pPr>
      <w:r>
        <w:rPr>
          <w:rFonts w:ascii="Arial" w:cs="Arial" w:eastAsia="Arial" w:hAnsi="Arial"/>
          <w:sz w:val="22"/>
          <w:szCs w:val="22"/>
          <w:color w:val="auto"/>
        </w:rPr>
        <w:t>The Company shall not be obliged to allot and issue any of the Shares or any interest in the Shares unless and until Optionee has paid to the Company such sum as is, in the opinion of the Company, sufficient to indemnify the Company in full against any liability the Company has for any amount of, or representing, income tax or any other tax arising from a Trigger Event (the “</w:t>
      </w:r>
      <w:r>
        <w:rPr>
          <w:rFonts w:ascii="Arial" w:cs="Arial" w:eastAsia="Arial" w:hAnsi="Arial"/>
          <w:sz w:val="22"/>
          <w:szCs w:val="22"/>
          <w:u w:val="single" w:color="auto"/>
          <w:color w:val="auto"/>
        </w:rPr>
        <w:t>Option Tax Liability</w:t>
      </w:r>
      <w:r>
        <w:rPr>
          <w:rFonts w:ascii="Arial" w:cs="Arial" w:eastAsia="Arial" w:hAnsi="Arial"/>
          <w:sz w:val="22"/>
          <w:szCs w:val="22"/>
          <w:color w:val="auto"/>
        </w:rPr>
        <w:t>”), or Optionee has made such other arrangement as in the opinion of the Company will ensure that the full amount of any Option Tax Liability will be recovered from Optionee within such period as the Company may then determine.</w:t>
      </w:r>
    </w:p>
    <w:p>
      <w:pPr>
        <w:spacing w:after="0" w:line="102" w:lineRule="exact"/>
        <w:rPr>
          <w:rFonts w:ascii="Arial" w:cs="Arial" w:eastAsia="Arial" w:hAnsi="Arial"/>
          <w:sz w:val="22"/>
          <w:szCs w:val="22"/>
          <w:color w:val="auto"/>
        </w:rPr>
      </w:pPr>
    </w:p>
    <w:p>
      <w:pPr>
        <w:ind w:left="1020" w:hanging="384"/>
        <w:spacing w:after="0"/>
        <w:tabs>
          <w:tab w:leader="none" w:pos="1020" w:val="left"/>
        </w:tabs>
        <w:numPr>
          <w:ilvl w:val="0"/>
          <w:numId w:val="252"/>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Protection</w:t>
      </w:r>
      <w:r>
        <w:rPr>
          <w:rFonts w:ascii="Arial" w:cs="Arial" w:eastAsia="Arial" w:hAnsi="Arial"/>
          <w:sz w:val="22"/>
          <w:szCs w:val="22"/>
          <w:color w:val="auto"/>
        </w:rPr>
        <w:t>.</w:t>
      </w:r>
    </w:p>
    <w:p>
      <w:pPr>
        <w:spacing w:after="0" w:line="117" w:lineRule="exact"/>
        <w:rPr>
          <w:rFonts w:ascii="Arial" w:cs="Arial" w:eastAsia="Arial" w:hAnsi="Arial"/>
          <w:sz w:val="22"/>
          <w:szCs w:val="22"/>
          <w:color w:val="auto"/>
        </w:rPr>
      </w:pPr>
    </w:p>
    <w:p>
      <w:pPr>
        <w:ind w:left="-20" w:right="20" w:firstLine="1304"/>
        <w:spacing w:after="0" w:line="267" w:lineRule="auto"/>
        <w:tabs>
          <w:tab w:leader="none" w:pos="1728" w:val="left"/>
        </w:tabs>
        <w:numPr>
          <w:ilvl w:val="1"/>
          <w:numId w:val="252"/>
        </w:numPr>
        <w:rPr>
          <w:rFonts w:ascii="Arial" w:cs="Arial" w:eastAsia="Arial" w:hAnsi="Arial"/>
          <w:sz w:val="19"/>
          <w:szCs w:val="19"/>
          <w:color w:val="auto"/>
        </w:rPr>
      </w:pPr>
      <w:r>
        <w:rPr>
          <w:rFonts w:ascii="Arial" w:cs="Arial" w:eastAsia="Arial" w:hAnsi="Arial"/>
          <w:sz w:val="19"/>
          <w:szCs w:val="19"/>
          <w:color w:val="auto"/>
        </w:rPr>
        <w:t>To facilitate the administration of the Plan and this Agreement, it will be necessary for the Company (or its payroll administrators) to collect, hold and process certain personal information about Optionee and to transfer this data to certain third parties such as brokers with whom Optionee may elect to deposit any share capital under the Plan. Optionee consents to the Company (or its payroll administrators) collecting, holding and processing Optionee’s personal data and transferring this data to the Company or any other third parties insofar as is reasonably necessary to implement, administer and manage the Plan.</w:t>
      </w:r>
    </w:p>
    <w:p>
      <w:pPr>
        <w:spacing w:after="0" w:line="80" w:lineRule="exact"/>
        <w:rPr>
          <w:rFonts w:ascii="Arial" w:cs="Arial" w:eastAsia="Arial" w:hAnsi="Arial"/>
          <w:sz w:val="19"/>
          <w:szCs w:val="19"/>
          <w:color w:val="auto"/>
        </w:rPr>
      </w:pPr>
    </w:p>
    <w:p>
      <w:pPr>
        <w:ind w:left="-20" w:right="40" w:firstLine="1304"/>
        <w:spacing w:after="0" w:line="228" w:lineRule="auto"/>
        <w:tabs>
          <w:tab w:leader="none" w:pos="1744" w:val="left"/>
        </w:tabs>
        <w:numPr>
          <w:ilvl w:val="1"/>
          <w:numId w:val="252"/>
        </w:numPr>
        <w:rPr>
          <w:rFonts w:ascii="Arial" w:cs="Arial" w:eastAsia="Arial" w:hAnsi="Arial"/>
          <w:sz w:val="22"/>
          <w:szCs w:val="22"/>
          <w:color w:val="auto"/>
        </w:rPr>
      </w:pPr>
      <w:r>
        <w:rPr>
          <w:rFonts w:ascii="Arial" w:cs="Arial" w:eastAsia="Arial" w:hAnsi="Arial"/>
          <w:sz w:val="22"/>
          <w:szCs w:val="22"/>
          <w:color w:val="auto"/>
        </w:rPr>
        <w:t>Optionee understands that Optionee may, at any time, view Optionee’s personal data, require any necessary corrections to it or withdraw the consents herein in writing by contacting the Company, but acknowledges that without the use of such data it may not be practicable for the Company to administer Optionee’s involvement in the Plan in a timely fashion or at all and this may be detrimental to Optionee.</w:t>
      </w:r>
    </w:p>
    <w:p>
      <w:pPr>
        <w:spacing w:after="0" w:line="99" w:lineRule="exact"/>
        <w:rPr>
          <w:rFonts w:ascii="Arial" w:cs="Arial" w:eastAsia="Arial" w:hAnsi="Arial"/>
          <w:sz w:val="22"/>
          <w:szCs w:val="22"/>
          <w:color w:val="auto"/>
        </w:rPr>
      </w:pPr>
    </w:p>
    <w:p>
      <w:pPr>
        <w:jc w:val="both"/>
        <w:ind w:left="-20" w:right="40" w:firstLine="656"/>
        <w:spacing w:after="0" w:line="286" w:lineRule="auto"/>
        <w:tabs>
          <w:tab w:leader="none" w:pos="1114" w:val="left"/>
        </w:tabs>
        <w:numPr>
          <w:ilvl w:val="0"/>
          <w:numId w:val="252"/>
        </w:numPr>
        <w:rPr>
          <w:rFonts w:ascii="Arial" w:cs="Arial" w:eastAsia="Arial" w:hAnsi="Arial"/>
          <w:sz w:val="19"/>
          <w:szCs w:val="19"/>
          <w:color w:val="auto"/>
        </w:rPr>
      </w:pPr>
      <w:r>
        <w:rPr>
          <w:rFonts w:ascii="Arial" w:cs="Arial" w:eastAsia="Arial" w:hAnsi="Arial"/>
          <w:sz w:val="19"/>
          <w:szCs w:val="19"/>
          <w:b w:val="1"/>
          <w:bCs w:val="1"/>
          <w:u w:val="single" w:color="auto"/>
          <w:color w:val="auto"/>
        </w:rPr>
        <w:t>Lock-Up Agreement</w:t>
      </w:r>
      <w:r>
        <w:rPr>
          <w:rFonts w:ascii="Arial" w:cs="Arial" w:eastAsia="Arial" w:hAnsi="Arial"/>
          <w:sz w:val="19"/>
          <w:szCs w:val="19"/>
          <w:color w:val="auto"/>
        </w:rPr>
        <w:t>. In connection with the initial public offering of the Company’s securities and upon request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the underwriters managing any underwritten offering of the Company’s securities, Optionee hereby agrees not to sell, make any short sale of, loan, grant any option for the purchase of, or otherwise dispose of any securities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1408" w:right="339" w:bottom="1440" w:gutter="0" w:footer="0" w:header="0"/>
        </w:sectPr>
      </w:pPr>
    </w:p>
    <w:bookmarkStart w:id="337" w:name="page338"/>
    <w:bookmarkEnd w:id="337"/>
    <w:p>
      <w:pPr>
        <w:ind w:right="140"/>
        <w:spacing w:after="0" w:line="258" w:lineRule="auto"/>
        <w:rPr>
          <w:sz w:val="20"/>
          <w:szCs w:val="20"/>
          <w:color w:val="auto"/>
        </w:rPr>
      </w:pPr>
      <w:r>
        <w:rPr>
          <w:rFonts w:ascii="Arial" w:cs="Arial" w:eastAsia="Arial" w:hAnsi="Arial"/>
          <w:sz w:val="19"/>
          <w:szCs w:val="19"/>
          <w:color w:val="auto"/>
        </w:rPr>
        <w:t>the Company however and whenever acquired (other than those included in the registration) without the prior written consent of the Company or such underwriters, as the case may be, for such period of time (not to exceed 180 days but subject to such extension or extensions as may be required by the underwriters in order to publish research reports while complying with</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22"/>
          <w:szCs w:val="22"/>
          <w:color w:val="auto"/>
        </w:rPr>
        <w:t>Rule 2711 of the Financial Industry Regulatory Authority) from the effective date of such registration as may be requested by the Company or such managing underwriters and to execute an agreement reflecting the foregoing as may be requested by the underwriters at the time of the public offering.</w:t>
      </w:r>
    </w:p>
    <w:p>
      <w:pPr>
        <w:spacing w:after="0" w:line="98" w:lineRule="exact"/>
        <w:rPr>
          <w:sz w:val="20"/>
          <w:szCs w:val="20"/>
          <w:color w:val="auto"/>
        </w:rPr>
      </w:pPr>
    </w:p>
    <w:p>
      <w:pPr>
        <w:jc w:val="both"/>
        <w:ind w:right="120" w:firstLine="656"/>
        <w:spacing w:after="0" w:line="233" w:lineRule="auto"/>
        <w:tabs>
          <w:tab w:leader="none" w:pos="1126" w:val="left"/>
        </w:tabs>
        <w:numPr>
          <w:ilvl w:val="0"/>
          <w:numId w:val="25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all acts and transactions pursuant hereto and the rights and obligations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shall be governed, construed and interpreted in accordance with the laws of the State of California, without giving effect to principles of conflicts of law.</w:t>
      </w:r>
    </w:p>
    <w:p>
      <w:pPr>
        <w:spacing w:after="0" w:line="86" w:lineRule="exact"/>
        <w:rPr>
          <w:rFonts w:ascii="Arial" w:cs="Arial" w:eastAsia="Arial" w:hAnsi="Arial"/>
          <w:sz w:val="22"/>
          <w:szCs w:val="22"/>
          <w:color w:val="auto"/>
        </w:rPr>
      </w:pPr>
    </w:p>
    <w:p>
      <w:pPr>
        <w:ind w:firstLine="656"/>
        <w:spacing w:after="0" w:line="261" w:lineRule="auto"/>
        <w:tabs>
          <w:tab w:leader="none" w:pos="1134" w:val="left"/>
        </w:tabs>
        <w:numPr>
          <w:ilvl w:val="0"/>
          <w:numId w:val="253"/>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 of Agreement</w:t>
      </w:r>
      <w:r>
        <w:rPr>
          <w:rFonts w:ascii="Arial" w:cs="Arial" w:eastAsia="Arial" w:hAnsi="Arial"/>
          <w:sz w:val="19"/>
          <w:szCs w:val="19"/>
          <w:color w:val="auto"/>
        </w:rPr>
        <w:t>. Optionee acknowledges receipt of a copy of the Plan and represents that he or she is familiar</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terms and provisions 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the Option. In the event of a conflict between the terms and provisions of the Plan and the terms and provisions of the Notice and this Agreement, the Plan terms and provisions shall prevail. The Option, including the Plan, constitutes the entire agreement between Optionee and the Company on the subject matter hereof and supersedes all proposals, written or oral, and all other communications between the parties relating to such subject matter.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338" w:name="page339"/>
    <w:bookmarkEnd w:id="338"/>
    <w:p>
      <w:pPr>
        <w:ind w:firstLine="648"/>
        <w:spacing w:after="0" w:line="239" w:lineRule="auto"/>
        <w:rPr>
          <w:sz w:val="20"/>
          <w:szCs w:val="20"/>
          <w:color w:val="auto"/>
        </w:rPr>
      </w:pPr>
      <w:r>
        <w:rPr>
          <w:rFonts w:ascii="Arial" w:cs="Arial" w:eastAsia="Arial" w:hAnsi="Arial"/>
          <w:sz w:val="22"/>
          <w:szCs w:val="22"/>
          <w:color w:val="auto"/>
        </w:rPr>
        <w:t>This Agreement may be executed in two or more counterparts, each of which shall be deemed an original and all of which together shall constitute one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gridSpan w:val="2"/>
          </w:tcPr>
          <w:p>
            <w:pPr>
              <w:ind w:left="20"/>
              <w:spacing w:after="0"/>
              <w:rPr>
                <w:sz w:val="20"/>
                <w:szCs w:val="20"/>
                <w:color w:val="auto"/>
              </w:rPr>
            </w:pPr>
            <w:r>
              <w:rPr>
                <w:rFonts w:ascii="Arial" w:cs="Arial" w:eastAsia="Arial" w:hAnsi="Arial"/>
                <w:sz w:val="22"/>
                <w:szCs w:val="22"/>
                <w:b w:val="1"/>
                <w:bCs w:val="1"/>
                <w:color w:val="auto"/>
              </w:rPr>
              <w:t>«HolderName»</w:t>
            </w:r>
          </w:p>
        </w:tc>
        <w:tc>
          <w:tcPr>
            <w:tcW w:w="6360" w:type="dxa"/>
            <w:vAlign w:val="bottom"/>
            <w:gridSpan w:val="2"/>
          </w:tcPr>
          <w:p>
            <w:pPr>
              <w:ind w:left="1480"/>
              <w:spacing w:after="0"/>
              <w:rPr>
                <w:sz w:val="20"/>
                <w:szCs w:val="20"/>
                <w:color w:val="auto"/>
              </w:rPr>
            </w:pPr>
            <w:r>
              <w:rPr>
                <w:rFonts w:ascii="Arial" w:cs="Arial" w:eastAsia="Arial" w:hAnsi="Arial"/>
                <w:sz w:val="22"/>
                <w:szCs w:val="22"/>
                <w:b w:val="1"/>
                <w:bCs w:val="1"/>
                <w:color w:val="auto"/>
              </w:rPr>
              <w:t>PROCEPT BIOROBOTICS CORPORATION</w:t>
            </w:r>
          </w:p>
        </w:tc>
      </w:tr>
      <w:tr>
        <w:trPr>
          <w:trHeight w:val="591"/>
        </w:trPr>
        <w:tc>
          <w:tcPr>
            <w:tcW w:w="1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22"/>
                <w:szCs w:val="22"/>
                <w:color w:val="auto"/>
              </w:rPr>
              <w:t>By:</w:t>
            </w:r>
          </w:p>
        </w:tc>
        <w:tc>
          <w:tcPr>
            <w:tcW w:w="3880" w:type="dxa"/>
            <w:vAlign w:val="bottom"/>
            <w:tcBorders>
              <w:bottom w:val="single" w:sz="8" w:color="auto"/>
            </w:tcBorders>
          </w:tcPr>
          <w:p>
            <w:pPr>
              <w:spacing w:after="0"/>
              <w:rPr>
                <w:sz w:val="24"/>
                <w:szCs w:val="24"/>
                <w:color w:val="auto"/>
              </w:rPr>
            </w:pPr>
          </w:p>
        </w:tc>
      </w:tr>
      <w:tr>
        <w:trPr>
          <w:trHeight w:val="304"/>
        </w:trPr>
        <w:tc>
          <w:tcPr>
            <w:tcW w:w="3760" w:type="dxa"/>
            <w:vAlign w:val="bottom"/>
            <w:gridSpan w:val="2"/>
          </w:tcPr>
          <w:p>
            <w:pPr>
              <w:ind w:left="20"/>
              <w:spacing w:after="0"/>
              <w:rPr>
                <w:sz w:val="20"/>
                <w:szCs w:val="20"/>
                <w:color w:val="auto"/>
              </w:rPr>
            </w:pPr>
            <w:r>
              <w:rPr>
                <w:rFonts w:ascii="Arial" w:cs="Arial" w:eastAsia="Arial" w:hAnsi="Arial"/>
                <w:sz w:val="22"/>
                <w:szCs w:val="22"/>
                <w:color w:val="auto"/>
              </w:rPr>
              <w:t>(Signature)</w:t>
            </w:r>
          </w:p>
        </w:tc>
        <w:tc>
          <w:tcPr>
            <w:tcW w:w="2480" w:type="dxa"/>
            <w:vAlign w:val="bottom"/>
          </w:tcPr>
          <w:p>
            <w:pPr>
              <w:ind w:left="1480"/>
              <w:spacing w:after="0"/>
              <w:rPr>
                <w:sz w:val="20"/>
                <w:szCs w:val="20"/>
                <w:color w:val="auto"/>
              </w:rPr>
            </w:pPr>
            <w:r>
              <w:rPr>
                <w:rFonts w:ascii="Arial" w:cs="Arial" w:eastAsia="Arial" w:hAnsi="Arial"/>
                <w:sz w:val="22"/>
                <w:szCs w:val="22"/>
                <w:color w:val="auto"/>
              </w:rPr>
              <w:t>Name:</w:t>
            </w:r>
          </w:p>
        </w:tc>
        <w:tc>
          <w:tcPr>
            <w:tcW w:w="3880" w:type="dxa"/>
            <w:vAlign w:val="bottom"/>
            <w:tcBorders>
              <w:bottom w:val="single" w:sz="8" w:color="auto"/>
            </w:tcBorders>
          </w:tcPr>
          <w:p>
            <w:pPr>
              <w:spacing w:after="0"/>
              <w:rPr>
                <w:sz w:val="24"/>
                <w:szCs w:val="24"/>
                <w:color w:val="auto"/>
              </w:rPr>
            </w:pPr>
          </w:p>
        </w:tc>
      </w:tr>
      <w:tr>
        <w:trPr>
          <w:trHeight w:val="291"/>
        </w:trPr>
        <w:tc>
          <w:tcPr>
            <w:tcW w:w="1160" w:type="dxa"/>
            <w:vAlign w:val="bottom"/>
          </w:tcPr>
          <w:p>
            <w:pPr>
              <w:ind w:left="20"/>
              <w:spacing w:after="0"/>
              <w:rPr>
                <w:sz w:val="20"/>
                <w:szCs w:val="20"/>
                <w:color w:val="auto"/>
              </w:rPr>
            </w:pPr>
            <w:r>
              <w:rPr>
                <w:rFonts w:ascii="Arial" w:cs="Arial" w:eastAsia="Arial" w:hAnsi="Arial"/>
                <w:sz w:val="22"/>
                <w:szCs w:val="22"/>
                <w:color w:val="auto"/>
              </w:rPr>
              <w:t>Dated:</w:t>
            </w:r>
          </w:p>
        </w:tc>
        <w:tc>
          <w:tcPr>
            <w:tcW w:w="2600" w:type="dxa"/>
            <w:vAlign w:val="bottom"/>
            <w:tcBorders>
              <w:bottom w:val="single" w:sz="8" w:color="auto"/>
            </w:tcBorders>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22"/>
                <w:szCs w:val="22"/>
                <w:color w:val="auto"/>
              </w:rPr>
              <w:t>Title:</w:t>
            </w:r>
          </w:p>
        </w:tc>
        <w:tc>
          <w:tcPr>
            <w:tcW w:w="38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14" w:right="359" w:bottom="1440" w:gutter="0" w:footer="0" w:header="0"/>
        </w:sectPr>
      </w:pPr>
    </w:p>
    <w:bookmarkStart w:id="339" w:name="page340"/>
    <w:bookmarkEnd w:id="339"/>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PROCEPT BIOROBOTICS CORPORATION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2008 STOCK PLAN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EARLY EXERCISE NOTICE AND RESTRICTED STOCK PURCHASE AGREEMENT</w:t>
      </w:r>
    </w:p>
    <w:p>
      <w:pPr>
        <w:spacing w:after="0" w:line="126"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22"/>
          <w:szCs w:val="22"/>
          <w:color w:val="auto"/>
        </w:rPr>
        <w:t>This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w:t>
      </w:r>
      <w:r>
        <w:rPr>
          <w:sz w:val="20"/>
          <w:szCs w:val="20"/>
          <w:color w:val="auto"/>
        </w:rPr>
        <w:tab/>
      </w:r>
      <w:r>
        <w:rPr>
          <w:rFonts w:ascii="Arial" w:cs="Arial" w:eastAsia="Arial" w:hAnsi="Arial"/>
          <w:sz w:val="19"/>
          <w:szCs w:val="19"/>
          <w:color w:val="auto"/>
        </w:rPr>
        <w:t>, by and between PROCEPT BioRobotics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-14605</wp:posOffset>
            </wp:positionV>
            <wp:extent cx="6858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right="560"/>
        <w:spacing w:after="0" w:line="293" w:lineRule="auto"/>
        <w:rPr>
          <w:sz w:val="20"/>
          <w:szCs w:val="20"/>
          <w:color w:val="auto"/>
        </w:rPr>
      </w:pPr>
      <w:r>
        <w:rPr>
          <w:rFonts w:ascii="Arial" w:cs="Arial" w:eastAsia="Arial" w:hAnsi="Arial"/>
          <w:sz w:val="19"/>
          <w:szCs w:val="19"/>
          <w:color w:val="auto"/>
        </w:rPr>
        <w:t>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«HolderName» (“</w:t>
      </w:r>
      <w:r>
        <w:rPr>
          <w:rFonts w:ascii="Arial" w:cs="Arial" w:eastAsia="Arial" w:hAnsi="Arial"/>
          <w:sz w:val="19"/>
          <w:szCs w:val="19"/>
          <w:u w:val="single" w:color="auto"/>
          <w:color w:val="auto"/>
        </w:rPr>
        <w:t>Purchaser</w:t>
      </w:r>
      <w:r>
        <w:rPr>
          <w:rFonts w:ascii="Arial" w:cs="Arial" w:eastAsia="Arial" w:hAnsi="Arial"/>
          <w:sz w:val="19"/>
          <w:szCs w:val="19"/>
          <w:color w:val="auto"/>
        </w:rPr>
        <w:t>”). To the extent any capitalized terms used in this Agreement are not defined, they shall have the meaning ascribed to them in the Company’s 2008 Stock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8"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b w:val="1"/>
          <w:bCs w:val="1"/>
          <w:color w:val="auto"/>
        </w:rPr>
        <w:t>Exercise of Option</w:t>
      </w:r>
      <w:r>
        <w:rPr>
          <w:rFonts w:ascii="Arial" w:cs="Arial" w:eastAsia="Arial" w:hAnsi="Arial"/>
          <w:sz w:val="19"/>
          <w:szCs w:val="19"/>
          <w:color w:val="auto"/>
        </w:rPr>
        <w:t>. Subject to the terms and conditions hereof, Purchaser hereby elects to exercise his or her option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60" w:type="dxa"/>
            <w:vAlign w:val="bottom"/>
            <w:gridSpan w:val="2"/>
          </w:tcPr>
          <w:p>
            <w:pPr>
              <w:spacing w:after="0" w:line="190" w:lineRule="exact"/>
              <w:rPr>
                <w:sz w:val="20"/>
                <w:szCs w:val="20"/>
                <w:color w:val="auto"/>
              </w:rPr>
            </w:pPr>
            <w:r>
              <w:rPr>
                <w:rFonts w:ascii="Arial" w:cs="Arial" w:eastAsia="Arial" w:hAnsi="Arial"/>
                <w:sz w:val="21"/>
                <w:szCs w:val="21"/>
                <w:color w:val="auto"/>
                <w:w w:val="92"/>
              </w:rPr>
              <w:t>to purchase</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940" w:type="dxa"/>
            <w:vAlign w:val="bottom"/>
            <w:gridSpan w:val="14"/>
          </w:tcPr>
          <w:p>
            <w:pPr>
              <w:jc w:val="right"/>
              <w:ind w:right="300"/>
              <w:spacing w:after="0" w:line="190" w:lineRule="exact"/>
              <w:rPr>
                <w:sz w:val="20"/>
                <w:szCs w:val="20"/>
                <w:color w:val="auto"/>
              </w:rPr>
            </w:pPr>
            <w:r>
              <w:rPr>
                <w:rFonts w:ascii="Arial" w:cs="Arial" w:eastAsia="Arial" w:hAnsi="Arial"/>
                <w:sz w:val="21"/>
                <w:szCs w:val="21"/>
                <w:color w:val="auto"/>
                <w:w w:val="92"/>
              </w:rPr>
              <w:t>shares of the Common Stock (the “Shares”) of the Company under and pursuant to the Plan and the</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29" w:lineRule="exact"/>
              <w:rPr>
                <w:sz w:val="20"/>
                <w:szCs w:val="20"/>
                <w:color w:val="auto"/>
              </w:rPr>
            </w:pPr>
            <w:r>
              <w:rPr>
                <w:rFonts w:ascii="Arial" w:cs="Arial" w:eastAsia="Arial" w:hAnsi="Arial"/>
                <w:sz w:val="22"/>
                <w:szCs w:val="22"/>
                <w:color w:val="auto"/>
                <w:w w:val="80"/>
              </w:rPr>
              <w:t>Stock Option</w:t>
            </w: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80" w:type="dxa"/>
            <w:vAlign w:val="bottom"/>
            <w:gridSpan w:val="5"/>
            <w:vMerge w:val="restart"/>
          </w:tcPr>
          <w:p>
            <w:pPr>
              <w:ind w:left="80"/>
              <w:spacing w:after="0" w:line="229" w:lineRule="exact"/>
              <w:rPr>
                <w:sz w:val="20"/>
                <w:szCs w:val="20"/>
                <w:color w:val="auto"/>
              </w:rPr>
            </w:pPr>
            <w:r>
              <w:rPr>
                <w:rFonts w:ascii="Arial" w:cs="Arial" w:eastAsia="Arial" w:hAnsi="Arial"/>
                <w:sz w:val="22"/>
                <w:szCs w:val="22"/>
                <w:color w:val="auto"/>
                <w:w w:val="90"/>
              </w:rPr>
              <w:t>granted «GrantDate» (the “Option</w:t>
            </w: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ind w:left="120"/>
              <w:spacing w:after="0" w:line="209" w:lineRule="exact"/>
              <w:rPr>
                <w:sz w:val="20"/>
                <w:szCs w:val="20"/>
                <w:color w:val="auto"/>
              </w:rPr>
            </w:pPr>
            <w:r>
              <w:rPr>
                <w:rFonts w:ascii="Arial" w:cs="Arial" w:eastAsia="Arial" w:hAnsi="Arial"/>
                <w:sz w:val="22"/>
                <w:szCs w:val="22"/>
                <w:color w:val="auto"/>
                <w:w w:val="85"/>
              </w:rPr>
              <w:t>Agreement</w:t>
            </w:r>
          </w:p>
        </w:tc>
        <w:tc>
          <w:tcPr>
            <w:tcW w:w="3080" w:type="dxa"/>
            <w:vAlign w:val="bottom"/>
            <w:gridSpan w:val="5"/>
            <w:vMerge w:val="continue"/>
          </w:tcPr>
          <w:p>
            <w:pPr>
              <w:spacing w:after="0"/>
              <w:rPr>
                <w:sz w:val="18"/>
                <w:szCs w:val="18"/>
                <w:color w:val="auto"/>
              </w:rPr>
            </w:pPr>
          </w:p>
        </w:tc>
        <w:tc>
          <w:tcPr>
            <w:tcW w:w="5860" w:type="dxa"/>
            <w:vAlign w:val="bottom"/>
            <w:gridSpan w:val="9"/>
          </w:tcPr>
          <w:p>
            <w:pPr>
              <w:jc w:val="right"/>
              <w:ind w:right="1060"/>
              <w:spacing w:after="0" w:line="209" w:lineRule="exact"/>
              <w:rPr>
                <w:sz w:val="20"/>
                <w:szCs w:val="20"/>
                <w:color w:val="auto"/>
              </w:rPr>
            </w:pPr>
            <w:r>
              <w:rPr>
                <w:rFonts w:ascii="Arial" w:cs="Arial" w:eastAsia="Arial" w:hAnsi="Arial"/>
                <w:sz w:val="22"/>
                <w:szCs w:val="22"/>
                <w:color w:val="auto"/>
                <w:w w:val="87"/>
              </w:rPr>
              <w:t>Agreement”). Of these Shares, Purchaser has elected to</w:t>
            </w: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line="229" w:lineRule="exact"/>
              <w:rPr>
                <w:sz w:val="20"/>
                <w:szCs w:val="20"/>
                <w:color w:val="auto"/>
              </w:rPr>
            </w:pPr>
            <w:r>
              <w:rPr>
                <w:rFonts w:ascii="Arial" w:cs="Arial" w:eastAsia="Arial" w:hAnsi="Arial"/>
                <w:sz w:val="22"/>
                <w:szCs w:val="22"/>
                <w:color w:val="auto"/>
                <w:w w:val="83"/>
              </w:rPr>
              <w:t>purchase</w:t>
            </w:r>
          </w:p>
        </w:tc>
        <w:tc>
          <w:tcPr>
            <w:tcW w:w="2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20" w:type="dxa"/>
            <w:vAlign w:val="bottom"/>
            <w:gridSpan w:val="15"/>
          </w:tcPr>
          <w:p>
            <w:pPr>
              <w:jc w:val="right"/>
              <w:spacing w:after="0" w:line="209" w:lineRule="exact"/>
              <w:rPr>
                <w:sz w:val="20"/>
                <w:szCs w:val="20"/>
                <w:color w:val="auto"/>
              </w:rPr>
            </w:pPr>
            <w:r>
              <w:rPr>
                <w:rFonts w:ascii="Arial" w:cs="Arial" w:eastAsia="Arial" w:hAnsi="Arial"/>
                <w:sz w:val="22"/>
                <w:szCs w:val="22"/>
                <w:color w:val="auto"/>
                <w:w w:val="87"/>
              </w:rPr>
              <w:t>of those Shares which have become vested as of the date hereof under the Vesting Schedule set forth in the</w:t>
            </w:r>
          </w:p>
        </w:tc>
        <w:tc>
          <w:tcPr>
            <w:tcW w:w="0" w:type="dxa"/>
            <w:vAlign w:val="bottom"/>
          </w:tcPr>
          <w:p>
            <w:pPr>
              <w:spacing w:after="0"/>
              <w:rPr>
                <w:sz w:val="1"/>
                <w:szCs w:val="1"/>
                <w:color w:val="auto"/>
              </w:rPr>
            </w:pPr>
          </w:p>
        </w:tc>
      </w:tr>
      <w:tr>
        <w:trPr>
          <w:trHeight w:val="209"/>
        </w:trPr>
        <w:tc>
          <w:tcPr>
            <w:tcW w:w="780" w:type="dxa"/>
            <w:vAlign w:val="bottom"/>
          </w:tcPr>
          <w:p>
            <w:pPr>
              <w:spacing w:after="0" w:line="209" w:lineRule="exact"/>
              <w:rPr>
                <w:sz w:val="20"/>
                <w:szCs w:val="20"/>
                <w:color w:val="auto"/>
              </w:rPr>
            </w:pPr>
            <w:r>
              <w:rPr>
                <w:rFonts w:ascii="Arial" w:cs="Arial" w:eastAsia="Arial" w:hAnsi="Arial"/>
                <w:sz w:val="22"/>
                <w:szCs w:val="22"/>
                <w:color w:val="auto"/>
                <w:w w:val="87"/>
              </w:rPr>
              <w:t>Notice of</w:t>
            </w:r>
          </w:p>
        </w:tc>
        <w:tc>
          <w:tcPr>
            <w:tcW w:w="6400" w:type="dxa"/>
            <w:vAlign w:val="bottom"/>
            <w:gridSpan w:val="13"/>
          </w:tcPr>
          <w:p>
            <w:pPr>
              <w:ind w:left="100"/>
              <w:spacing w:after="0" w:line="209" w:lineRule="exact"/>
              <w:rPr>
                <w:sz w:val="20"/>
                <w:szCs w:val="20"/>
                <w:color w:val="auto"/>
              </w:rPr>
            </w:pPr>
            <w:r>
              <w:rPr>
                <w:rFonts w:ascii="Arial" w:cs="Arial" w:eastAsia="Arial" w:hAnsi="Arial"/>
                <w:sz w:val="22"/>
                <w:szCs w:val="22"/>
                <w:color w:val="auto"/>
              </w:rPr>
              <w:t>Stock Option Grant (the “Vested Shares”) and</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20" w:type="dxa"/>
            <w:vAlign w:val="bottom"/>
            <w:gridSpan w:val="4"/>
            <w:vMerge w:val="restart"/>
          </w:tcPr>
          <w:p>
            <w:pPr>
              <w:ind w:left="60"/>
              <w:spacing w:after="0" w:line="229" w:lineRule="exact"/>
              <w:rPr>
                <w:sz w:val="20"/>
                <w:szCs w:val="20"/>
                <w:color w:val="auto"/>
              </w:rPr>
            </w:pPr>
            <w:r>
              <w:rPr>
                <w:rFonts w:ascii="Arial" w:cs="Arial" w:eastAsia="Arial" w:hAnsi="Arial"/>
                <w:sz w:val="22"/>
                <w:szCs w:val="22"/>
                <w:color w:val="auto"/>
                <w:w w:val="87"/>
              </w:rPr>
              <w:t>Shares which have not</w:t>
            </w:r>
          </w:p>
        </w:tc>
        <w:tc>
          <w:tcPr>
            <w:tcW w:w="1200" w:type="dxa"/>
            <w:vAlign w:val="bottom"/>
            <w:shd w:val="clear" w:color="auto" w:fill="000000"/>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020" w:type="dxa"/>
            <w:vAlign w:val="bottom"/>
            <w:gridSpan w:val="4"/>
            <w:vMerge w:val="continue"/>
          </w:tcPr>
          <w:p>
            <w:pPr>
              <w:spacing w:after="0"/>
              <w:rPr>
                <w:sz w:val="18"/>
                <w:szCs w:val="18"/>
                <w:color w:val="auto"/>
              </w:rPr>
            </w:pPr>
          </w:p>
        </w:tc>
        <w:tc>
          <w:tcPr>
            <w:tcW w:w="7980" w:type="dxa"/>
            <w:vAlign w:val="bottom"/>
            <w:gridSpan w:val="12"/>
          </w:tcPr>
          <w:p>
            <w:pPr>
              <w:jc w:val="right"/>
              <w:spacing w:after="0" w:line="209" w:lineRule="exact"/>
              <w:rPr>
                <w:sz w:val="20"/>
                <w:szCs w:val="20"/>
                <w:color w:val="auto"/>
              </w:rPr>
            </w:pPr>
            <w:r>
              <w:rPr>
                <w:rFonts w:ascii="Arial" w:cs="Arial" w:eastAsia="Arial" w:hAnsi="Arial"/>
                <w:sz w:val="22"/>
                <w:szCs w:val="22"/>
                <w:color w:val="auto"/>
                <w:w w:val="88"/>
              </w:rPr>
              <w:t>yet vested under such Vesting Schedule (the “Unvested Shares”). The purchase price for the</w:t>
            </w:r>
          </w:p>
        </w:tc>
        <w:tc>
          <w:tcPr>
            <w:tcW w:w="0" w:type="dxa"/>
            <w:vAlign w:val="bottom"/>
          </w:tcPr>
          <w:p>
            <w:pPr>
              <w:spacing w:after="0"/>
              <w:rPr>
                <w:sz w:val="1"/>
                <w:szCs w:val="1"/>
                <w:color w:val="auto"/>
              </w:rPr>
            </w:pPr>
          </w:p>
        </w:tc>
      </w:tr>
      <w:tr>
        <w:trPr>
          <w:trHeight w:val="20"/>
        </w:trPr>
        <w:tc>
          <w:tcPr>
            <w:tcW w:w="1080" w:type="dxa"/>
            <w:vAlign w:val="bottom"/>
            <w:gridSpan w:val="3"/>
            <w:shd w:val="clear" w:color="auto" w:fill="000000"/>
          </w:tcPr>
          <w:p>
            <w:pPr>
              <w:spacing w:after="0" w:line="20" w:lineRule="exact"/>
              <w:rPr>
                <w:sz w:val="1"/>
                <w:szCs w:val="1"/>
                <w:color w:val="auto"/>
              </w:rPr>
            </w:pPr>
          </w:p>
        </w:tc>
        <w:tc>
          <w:tcPr>
            <w:tcW w:w="6020" w:type="dxa"/>
            <w:vAlign w:val="bottom"/>
            <w:gridSpan w:val="10"/>
            <w:vMerge w:val="restart"/>
          </w:tcPr>
          <w:p>
            <w:pPr>
              <w:ind w:left="20"/>
              <w:spacing w:after="0" w:line="229" w:lineRule="exact"/>
              <w:rPr>
                <w:sz w:val="20"/>
                <w:szCs w:val="20"/>
                <w:color w:val="auto"/>
              </w:rPr>
            </w:pPr>
            <w:r>
              <w:rPr>
                <w:rFonts w:ascii="Arial" w:cs="Arial" w:eastAsia="Arial" w:hAnsi="Arial"/>
                <w:sz w:val="22"/>
                <w:szCs w:val="22"/>
                <w:color w:val="auto"/>
                <w:w w:val="86"/>
              </w:rPr>
              <w:t>be $«ExercisePricePerShare» per Share for a total purchase price of $</w:t>
            </w: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gridSpan w:val="3"/>
          </w:tcPr>
          <w:p>
            <w:pPr>
              <w:spacing w:after="0" w:line="209" w:lineRule="exact"/>
              <w:rPr>
                <w:sz w:val="20"/>
                <w:szCs w:val="20"/>
                <w:color w:val="auto"/>
              </w:rPr>
            </w:pPr>
            <w:r>
              <w:rPr>
                <w:rFonts w:ascii="Arial" w:cs="Arial" w:eastAsia="Arial" w:hAnsi="Arial"/>
                <w:sz w:val="22"/>
                <w:szCs w:val="22"/>
                <w:color w:val="auto"/>
                <w:w w:val="87"/>
              </w:rPr>
              <w:t>Shares shall</w:t>
            </w:r>
          </w:p>
        </w:tc>
        <w:tc>
          <w:tcPr>
            <w:tcW w:w="6020" w:type="dxa"/>
            <w:vAlign w:val="bottom"/>
            <w:gridSpan w:val="10"/>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20" w:type="dxa"/>
            <w:vAlign w:val="bottom"/>
            <w:gridSpan w:val="4"/>
          </w:tcPr>
          <w:p>
            <w:pPr>
              <w:jc w:val="right"/>
              <w:ind w:right="20"/>
              <w:spacing w:after="0" w:line="209" w:lineRule="exact"/>
              <w:rPr>
                <w:sz w:val="20"/>
                <w:szCs w:val="20"/>
                <w:color w:val="auto"/>
              </w:rPr>
            </w:pPr>
            <w:r>
              <w:rPr>
                <w:rFonts w:ascii="Arial" w:cs="Arial" w:eastAsia="Arial" w:hAnsi="Arial"/>
                <w:sz w:val="22"/>
                <w:szCs w:val="22"/>
                <w:color w:val="auto"/>
                <w:w w:val="88"/>
              </w:rPr>
              <w:t>. The term “Shares” refers to the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40"/>
        <w:spacing w:after="0" w:line="278" w:lineRule="auto"/>
        <w:rPr>
          <w:sz w:val="20"/>
          <w:szCs w:val="20"/>
          <w:color w:val="auto"/>
        </w:rPr>
      </w:pPr>
      <w:r>
        <w:rPr>
          <w:rFonts w:ascii="Arial" w:cs="Arial" w:eastAsia="Arial" w:hAnsi="Arial"/>
          <w:sz w:val="19"/>
          <w:szCs w:val="19"/>
          <w:color w:val="auto"/>
        </w:rPr>
        <w:t>purchased Shares and 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64" w:lineRule="exact"/>
        <w:rPr>
          <w:sz w:val="20"/>
          <w:szCs w:val="20"/>
          <w:color w:val="auto"/>
        </w:rPr>
      </w:pPr>
    </w:p>
    <w:p>
      <w:pPr>
        <w:ind w:right="140" w:firstLine="656"/>
        <w:spacing w:after="0" w:line="238" w:lineRule="auto"/>
        <w:tabs>
          <w:tab w:leader="none" w:pos="1026" w:val="left"/>
        </w:tabs>
        <w:numPr>
          <w:ilvl w:val="0"/>
          <w:numId w:val="254"/>
        </w:numPr>
        <w:rPr>
          <w:rFonts w:ascii="Arial" w:cs="Arial" w:eastAsia="Arial" w:hAnsi="Arial"/>
          <w:sz w:val="21"/>
          <w:szCs w:val="21"/>
          <w:color w:val="auto"/>
        </w:rPr>
      </w:pPr>
      <w:r>
        <w:rPr>
          <w:rFonts w:ascii="Arial" w:cs="Arial" w:eastAsia="Arial" w:hAnsi="Arial"/>
          <w:sz w:val="21"/>
          <w:szCs w:val="21"/>
          <w:b w:val="1"/>
          <w:bCs w:val="1"/>
          <w:u w:val="single" w:color="auto"/>
          <w:color w:val="auto"/>
        </w:rPr>
        <w:t>Time and Place of Exercise</w:t>
      </w:r>
      <w:r>
        <w:rPr>
          <w:rFonts w:ascii="Arial" w:cs="Arial" w:eastAsia="Arial" w:hAnsi="Arial"/>
          <w:sz w:val="21"/>
          <w:szCs w:val="21"/>
          <w:color w:val="auto"/>
        </w:rPr>
        <w:t>. The purchase and sale of the Shares under this Agreement shall occur at the principal</w:t>
      </w:r>
      <w:r>
        <w:rPr>
          <w:rFonts w:ascii="Arial" w:cs="Arial" w:eastAsia="Arial" w:hAnsi="Arial"/>
          <w:sz w:val="21"/>
          <w:szCs w:val="21"/>
          <w:b w:val="1"/>
          <w:bCs w:val="1"/>
          <w:color w:val="auto"/>
        </w:rPr>
        <w:t xml:space="preserve"> </w:t>
      </w:r>
      <w:r>
        <w:rPr>
          <w:rFonts w:ascii="Arial" w:cs="Arial" w:eastAsia="Arial" w:hAnsi="Arial"/>
          <w:sz w:val="21"/>
          <w:szCs w:val="21"/>
          <w:color w:val="auto"/>
        </w:rPr>
        <w:t>office of the Company simultaneously with the execution and delivery of this Agreement in accordance with the provisions of Section 3(b) of the Option Agreement. On such date, the Company will deliver to Purchaser a certificate representing the Shares to be purchased by Purchaser (which shall be issued in Purchaser’s name) against payment of the exercise price therefor by Purchaser by any method listed in Section 4 of the Option Agreement.</w:t>
      </w:r>
    </w:p>
    <w:p>
      <w:pPr>
        <w:spacing w:after="0" w:line="98" w:lineRule="exact"/>
        <w:rPr>
          <w:rFonts w:ascii="Arial" w:cs="Arial" w:eastAsia="Arial" w:hAnsi="Arial"/>
          <w:sz w:val="21"/>
          <w:szCs w:val="21"/>
          <w:color w:val="auto"/>
        </w:rPr>
      </w:pPr>
    </w:p>
    <w:p>
      <w:pPr>
        <w:ind w:right="280" w:firstLine="656"/>
        <w:spacing w:after="0" w:line="227" w:lineRule="auto"/>
        <w:tabs>
          <w:tab w:leader="none" w:pos="1026" w:val="left"/>
        </w:tabs>
        <w:numPr>
          <w:ilvl w:val="0"/>
          <w:numId w:val="254"/>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Limitations on Transfer</w:t>
      </w:r>
      <w:r>
        <w:rPr>
          <w:rFonts w:ascii="Arial" w:cs="Arial" w:eastAsia="Arial" w:hAnsi="Arial"/>
          <w:sz w:val="22"/>
          <w:szCs w:val="22"/>
          <w:color w:val="auto"/>
        </w:rPr>
        <w:t>. In addition to any other limitation on transfer created by applicable securities laws,</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shall not assign, encumber or dispose of any interest in the Shares while the Shares are subject to the Company’s Repurchase Option (as defined below). After any Shares have been released from such Repurchase Option, Purchaser shall not assign, encumber or dispose of any interest in such Shares except in compliance with the provisions below and applicable securities laws.</w:t>
      </w:r>
    </w:p>
    <w:p>
      <w:pPr>
        <w:spacing w:after="0" w:line="86" w:lineRule="exact"/>
        <w:rPr>
          <w:rFonts w:ascii="Arial" w:cs="Arial" w:eastAsia="Arial" w:hAnsi="Arial"/>
          <w:sz w:val="22"/>
          <w:szCs w:val="22"/>
          <w:color w:val="auto"/>
        </w:rPr>
      </w:pPr>
    </w:p>
    <w:p>
      <w:pPr>
        <w:ind w:left="1760" w:hanging="456"/>
        <w:spacing w:after="0"/>
        <w:tabs>
          <w:tab w:leader="none" w:pos="1760" w:val="left"/>
        </w:tabs>
        <w:numPr>
          <w:ilvl w:val="1"/>
          <w:numId w:val="254"/>
        </w:numPr>
        <w:rPr>
          <w:rFonts w:ascii="Arial" w:cs="Arial" w:eastAsia="Arial" w:hAnsi="Arial"/>
          <w:sz w:val="22"/>
          <w:szCs w:val="22"/>
          <w:color w:val="auto"/>
        </w:rPr>
      </w:pPr>
      <w:r>
        <w:rPr>
          <w:rFonts w:ascii="Arial" w:cs="Arial" w:eastAsia="Arial" w:hAnsi="Arial"/>
          <w:sz w:val="22"/>
          <w:szCs w:val="22"/>
          <w:b w:val="1"/>
          <w:bCs w:val="1"/>
          <w:u w:val="single" w:color="auto"/>
          <w:color w:val="auto"/>
        </w:rPr>
        <w:t>Repurchase of Unvested Shares</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ind w:firstLine="1952"/>
        <w:spacing w:after="0" w:line="267" w:lineRule="auto"/>
        <w:tabs>
          <w:tab w:leader="none" w:pos="2364" w:val="left"/>
        </w:tabs>
        <w:numPr>
          <w:ilvl w:val="2"/>
          <w:numId w:val="254"/>
        </w:numPr>
        <w:rPr>
          <w:rFonts w:ascii="Arial" w:cs="Arial" w:eastAsia="Arial" w:hAnsi="Arial"/>
          <w:sz w:val="19"/>
          <w:szCs w:val="19"/>
          <w:color w:val="auto"/>
        </w:rPr>
      </w:pPr>
      <w:r>
        <w:rPr>
          <w:rFonts w:ascii="Arial" w:cs="Arial" w:eastAsia="Arial" w:hAnsi="Arial"/>
          <w:sz w:val="19"/>
          <w:szCs w:val="19"/>
          <w:color w:val="auto"/>
        </w:rPr>
        <w:t>In the event of the termination of Purchaser’s Continuous Services Status for any reason (including death or disability), with or without cause, the Company shall upon the date of such termination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have an irrevocable, exclusive option (the “</w:t>
      </w:r>
      <w:r>
        <w:rPr>
          <w:rFonts w:ascii="Arial" w:cs="Arial" w:eastAsia="Arial" w:hAnsi="Arial"/>
          <w:sz w:val="19"/>
          <w:szCs w:val="19"/>
          <w:u w:val="single" w:color="auto"/>
          <w:color w:val="auto"/>
        </w:rPr>
        <w:t>Repurchase Option</w:t>
      </w:r>
      <w:r>
        <w:rPr>
          <w:rFonts w:ascii="Arial" w:cs="Arial" w:eastAsia="Arial" w:hAnsi="Arial"/>
          <w:sz w:val="19"/>
          <w:szCs w:val="19"/>
          <w:color w:val="auto"/>
        </w:rPr>
        <w:t>”) for a period of 90 days from such date to repurchase all or any portion of the Shares held by Purchaser as of the Termination Date which have not yet been released from the Company’s Repurchase Option at the original purchase price per Share specified in Section 1 (adjusted for any stock splits, stock dividends and the like).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4" w:right="339" w:bottom="1440" w:gutter="0" w:footer="0" w:header="0"/>
        </w:sectPr>
      </w:pPr>
    </w:p>
    <w:bookmarkStart w:id="340" w:name="page341"/>
    <w:bookmarkEnd w:id="340"/>
    <w:p>
      <w:pPr>
        <w:ind w:firstLine="1952"/>
        <w:spacing w:after="0" w:line="255" w:lineRule="auto"/>
        <w:tabs>
          <w:tab w:leader="none" w:pos="2424" w:val="left"/>
        </w:tabs>
        <w:numPr>
          <w:ilvl w:val="1"/>
          <w:numId w:val="255"/>
        </w:numPr>
        <w:rPr>
          <w:rFonts w:ascii="Arial" w:cs="Arial" w:eastAsia="Arial" w:hAnsi="Arial"/>
          <w:sz w:val="19"/>
          <w:szCs w:val="19"/>
          <w:color w:val="auto"/>
        </w:rPr>
      </w:pPr>
      <w:r>
        <w:rPr>
          <w:rFonts w:ascii="Arial" w:cs="Arial" w:eastAsia="Arial" w:hAnsi="Arial"/>
          <w:sz w:val="19"/>
          <w:szCs w:val="19"/>
          <w:color w:val="auto"/>
        </w:rPr>
        <w:t>Unless the Company notifies Purchaser within 90 days from the date of termination of Purchaser’s employment or consulting relationship that it does not intend to exercise its Repurchase Option with respect to some or all of the Shares, the Repurchase Option shall be deemed automatically exercised by the Company as of the 90th day following such termination, provided that the Company may notify Purchaser that it is exercising its Repurchase Option as of a date prior to such 90th day. Unless Purchaser is otherwise notified by the Company pursuant to the preceding sentence that the Company does not intend to exercise its Repurchase Option as to some or all of the Shares to which it applies at the time of termination, execution of this Agreement by Purchaser constitutes written notice to Purchaser of the Company’s intention to exercise its Repurchase Option with respect to all Shares to which such Repurchase Option applies. The Company, at its choice, may satisfy its payment obligation to Purchaser with respect to exercise of the Repurchase Option by either (A) delivering a check to Purchaser in the amount of the purchase price for the Shares being repurchased, or (B) in the event Purchaser is indebted to the Company, canceling an amount of such indebtedness equal to the purchase price for the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Shares being repurchased shall be deemed automatically canceled as of the 90th day following termination of Purchaser’s employment or consulting relationship unless the Company otherwise satisfies its payment obligations. As a result of any repurchase of Shares pursuant to this Section 3(a), the Company shall become the legal and beneficial owner of the Shares being repurchased and shall have all rights and interest therein or related thereto, and the Company shall have the right to transfer to its own name the number of Shares being repurchased by the Company, without further action by Purchaser.</w:t>
      </w:r>
    </w:p>
    <w:p>
      <w:pPr>
        <w:spacing w:after="0" w:line="330" w:lineRule="exact"/>
        <w:rPr>
          <w:rFonts w:ascii="Arial" w:cs="Arial" w:eastAsia="Arial" w:hAnsi="Arial"/>
          <w:sz w:val="19"/>
          <w:szCs w:val="19"/>
          <w:color w:val="auto"/>
        </w:rPr>
      </w:pPr>
    </w:p>
    <w:p>
      <w:pPr>
        <w:ind w:right="80" w:firstLine="1952"/>
        <w:spacing w:after="0" w:line="228" w:lineRule="auto"/>
        <w:tabs>
          <w:tab w:leader="none" w:pos="2484" w:val="left"/>
        </w:tabs>
        <w:numPr>
          <w:ilvl w:val="1"/>
          <w:numId w:val="255"/>
        </w:numPr>
        <w:rPr>
          <w:rFonts w:ascii="Arial" w:cs="Arial" w:eastAsia="Arial" w:hAnsi="Arial"/>
          <w:sz w:val="22"/>
          <w:szCs w:val="22"/>
          <w:color w:val="auto"/>
        </w:rPr>
      </w:pPr>
      <w:r>
        <w:rPr>
          <w:rFonts w:ascii="Arial" w:cs="Arial" w:eastAsia="Arial" w:hAnsi="Arial"/>
          <w:sz w:val="22"/>
          <w:szCs w:val="22"/>
          <w:color w:val="auto"/>
        </w:rPr>
        <w:t>One hundred percent (100%) of the Shares shall initially be subject to the Repurchase Option. The Unvested Shares shall be released from the Repurchase Option in accordance with the Vesting Schedule set forth in the Notice of Stock Option Grant until all Shares are released from the Repurchase Option. Fractional shares shall be rounded to the nearest whole share.</w:t>
      </w:r>
    </w:p>
    <w:p>
      <w:pPr>
        <w:spacing w:after="0" w:line="85" w:lineRule="exact"/>
        <w:rPr>
          <w:rFonts w:ascii="Arial" w:cs="Arial" w:eastAsia="Arial" w:hAnsi="Arial"/>
          <w:sz w:val="22"/>
          <w:szCs w:val="22"/>
          <w:color w:val="auto"/>
        </w:rPr>
      </w:pPr>
    </w:p>
    <w:p>
      <w:pPr>
        <w:ind w:right="100" w:firstLine="1304"/>
        <w:spacing w:after="0" w:line="269" w:lineRule="auto"/>
        <w:tabs>
          <w:tab w:leader="none" w:pos="1764" w:val="left"/>
        </w:tabs>
        <w:numPr>
          <w:ilvl w:val="0"/>
          <w:numId w:val="256"/>
        </w:numPr>
        <w:rPr>
          <w:rFonts w:ascii="Arial" w:cs="Arial" w:eastAsia="Arial" w:hAnsi="Arial"/>
          <w:sz w:val="19"/>
          <w:szCs w:val="19"/>
          <w:color w:val="auto"/>
        </w:rPr>
      </w:pPr>
      <w:r>
        <w:rPr>
          <w:rFonts w:ascii="Arial" w:cs="Arial" w:eastAsia="Arial" w:hAnsi="Arial"/>
          <w:sz w:val="19"/>
          <w:szCs w:val="19"/>
          <w:b w:val="1"/>
          <w:bCs w:val="1"/>
          <w:u w:val="single" w:color="auto"/>
          <w:color w:val="auto"/>
        </w:rPr>
        <w:t>Repurchase of Vested Shares</w:t>
      </w:r>
      <w:r>
        <w:rPr>
          <w:rFonts w:ascii="Arial" w:cs="Arial" w:eastAsia="Arial" w:hAnsi="Arial"/>
          <w:sz w:val="19"/>
          <w:szCs w:val="19"/>
          <w:color w:val="auto"/>
        </w:rPr>
        <w:t>. Purchaser acknowledges that the Company shall have the right, but not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during the 90 days after the termination of Purchaser’s Continuous Service Status for any reason or after exercise of the Option if the Option is exercised after termination of Purchaser’s Continuous Service Status for any reason, to repurchase the Shares. The repurchase price shall be the Fair Market Value of those Shares as of the date of the Termination. The Fair Market Value per Share will be determined as set forth in Section 3(d)(ii) of this Agreement. The repurchase price shall be paid in cash.</w:t>
      </w:r>
    </w:p>
    <w:p>
      <w:pPr>
        <w:spacing w:after="0" w:line="71" w:lineRule="exact"/>
        <w:rPr>
          <w:rFonts w:ascii="Arial" w:cs="Arial" w:eastAsia="Arial" w:hAnsi="Arial"/>
          <w:sz w:val="19"/>
          <w:szCs w:val="19"/>
          <w:color w:val="auto"/>
        </w:rPr>
      </w:pPr>
    </w:p>
    <w:p>
      <w:pPr>
        <w:jc w:val="both"/>
        <w:ind w:right="60" w:firstLine="1304"/>
        <w:spacing w:after="0" w:line="229" w:lineRule="auto"/>
        <w:tabs>
          <w:tab w:leader="none" w:pos="1752" w:val="left"/>
        </w:tabs>
        <w:numPr>
          <w:ilvl w:val="0"/>
          <w:numId w:val="256"/>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of First Refusal</w:t>
      </w:r>
      <w:r>
        <w:rPr>
          <w:rFonts w:ascii="Arial" w:cs="Arial" w:eastAsia="Arial" w:hAnsi="Arial"/>
          <w:sz w:val="22"/>
          <w:szCs w:val="22"/>
          <w:color w:val="auto"/>
        </w:rPr>
        <w:t>. Before any Shares held by Purchaser or any transferee of Purchaser (either being</w:t>
      </w:r>
      <w:r>
        <w:rPr>
          <w:rFonts w:ascii="Arial" w:cs="Arial" w:eastAsia="Arial" w:hAnsi="Arial"/>
          <w:sz w:val="22"/>
          <w:szCs w:val="22"/>
          <w:b w:val="1"/>
          <w:bCs w:val="1"/>
          <w:color w:val="auto"/>
        </w:rPr>
        <w:t xml:space="preserve"> </w:t>
      </w:r>
      <w:r>
        <w:rPr>
          <w:rFonts w:ascii="Arial" w:cs="Arial" w:eastAsia="Arial" w:hAnsi="Arial"/>
          <w:sz w:val="22"/>
          <w:szCs w:val="22"/>
          <w:color w:val="auto"/>
        </w:rPr>
        <w:t>sometimes referred to herein as the “</w:t>
      </w:r>
      <w:r>
        <w:rPr>
          <w:rFonts w:ascii="Arial" w:cs="Arial" w:eastAsia="Arial" w:hAnsi="Arial"/>
          <w:sz w:val="22"/>
          <w:szCs w:val="22"/>
          <w:u w:val="single" w:color="auto"/>
          <w:color w:val="auto"/>
        </w:rPr>
        <w:t>Holder</w:t>
      </w:r>
      <w:r>
        <w:rPr>
          <w:rFonts w:ascii="Arial" w:cs="Arial" w:eastAsia="Arial" w:hAnsi="Arial"/>
          <w:sz w:val="22"/>
          <w:szCs w:val="22"/>
          <w:color w:val="auto"/>
        </w:rPr>
        <w:t>”) may be sold or otherwise transferred (including transfer by gift or operation of law), the Company or its assignee(s) shall have a right of first refusal to purchase the Shares on the terms and conditions set forth in this Section 3(c) (the “</w:t>
      </w:r>
      <w:r>
        <w:rPr>
          <w:rFonts w:ascii="Arial" w:cs="Arial" w:eastAsia="Arial" w:hAnsi="Arial"/>
          <w:sz w:val="22"/>
          <w:szCs w:val="22"/>
          <w:u w:val="single" w:color="auto"/>
          <w:color w:val="auto"/>
        </w:rPr>
        <w:t>Right of First Refusal</w:t>
      </w:r>
      <w:r>
        <w:rPr>
          <w:rFonts w:ascii="Arial" w:cs="Arial" w:eastAsia="Arial" w:hAnsi="Arial"/>
          <w:sz w:val="22"/>
          <w:szCs w:val="22"/>
          <w:color w:val="auto"/>
        </w:rPr>
        <w:t>”).</w:t>
      </w:r>
    </w:p>
    <w:p>
      <w:pPr>
        <w:spacing w:after="0" w:line="101" w:lineRule="exact"/>
        <w:rPr>
          <w:rFonts w:ascii="Arial" w:cs="Arial" w:eastAsia="Arial" w:hAnsi="Arial"/>
          <w:sz w:val="22"/>
          <w:szCs w:val="22"/>
          <w:color w:val="auto"/>
        </w:rPr>
      </w:pPr>
    </w:p>
    <w:p>
      <w:pPr>
        <w:jc w:val="both"/>
        <w:ind w:firstLine="1952"/>
        <w:spacing w:after="0" w:line="286" w:lineRule="auto"/>
        <w:tabs>
          <w:tab w:leader="none" w:pos="2364" w:val="left"/>
        </w:tabs>
        <w:numPr>
          <w:ilvl w:val="1"/>
          <w:numId w:val="256"/>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 of Proposed Transfer</w:t>
      </w:r>
      <w:r>
        <w:rPr>
          <w:rFonts w:ascii="Arial" w:cs="Arial" w:eastAsia="Arial" w:hAnsi="Arial"/>
          <w:sz w:val="19"/>
          <w:szCs w:val="19"/>
          <w:color w:val="auto"/>
        </w:rPr>
        <w:t>. The Holder of the Shares shall deliver to the Company a written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u w:val="single" w:color="auto"/>
          <w:color w:val="auto"/>
        </w:rPr>
        <w:t>Notice</w:t>
      </w:r>
      <w:r>
        <w:rPr>
          <w:rFonts w:ascii="Arial" w:cs="Arial" w:eastAsia="Arial" w:hAnsi="Arial"/>
          <w:sz w:val="19"/>
          <w:szCs w:val="19"/>
          <w:color w:val="auto"/>
        </w:rPr>
        <w:t>”) stating: (i) the Holder’s bona fide intention to sell or otherwise transfer such Shares; (ii) the name of each proposed purchaser or other transferee (“</w:t>
      </w:r>
      <w:r>
        <w:rPr>
          <w:rFonts w:ascii="Arial" w:cs="Arial" w:eastAsia="Arial" w:hAnsi="Arial"/>
          <w:sz w:val="19"/>
          <w:szCs w:val="19"/>
          <w:u w:val="single" w:color="auto"/>
          <w:color w:val="auto"/>
        </w:rPr>
        <w:t>Proposed Transferee</w:t>
      </w:r>
      <w:r>
        <w:rPr>
          <w:rFonts w:ascii="Arial" w:cs="Arial" w:eastAsia="Arial" w:hAnsi="Arial"/>
          <w:sz w:val="19"/>
          <w:szCs w:val="19"/>
          <w:color w:val="auto"/>
        </w:rPr>
        <w:t>”); (iii) the number of Shares to be transferred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341" w:name="page342"/>
    <w:bookmarkEnd w:id="341"/>
    <w:p>
      <w:pPr>
        <w:ind w:right="120"/>
        <w:spacing w:after="0" w:line="231" w:lineRule="auto"/>
        <w:rPr>
          <w:sz w:val="20"/>
          <w:szCs w:val="20"/>
          <w:color w:val="auto"/>
        </w:rPr>
      </w:pPr>
      <w:r>
        <w:rPr>
          <w:rFonts w:ascii="Arial" w:cs="Arial" w:eastAsia="Arial" w:hAnsi="Arial"/>
          <w:sz w:val="22"/>
          <w:szCs w:val="22"/>
          <w:color w:val="auto"/>
        </w:rPr>
        <w:t>Proposed Transferee; and (iv) the terms and conditions of each proposed sale or transfer. The Holder shall offer the Shares at the same price (the “</w:t>
      </w:r>
      <w:r>
        <w:rPr>
          <w:rFonts w:ascii="Arial" w:cs="Arial" w:eastAsia="Arial" w:hAnsi="Arial"/>
          <w:sz w:val="22"/>
          <w:szCs w:val="22"/>
          <w:u w:val="single" w:color="auto"/>
          <w:color w:val="auto"/>
        </w:rPr>
        <w:t>Offered Price</w:t>
      </w:r>
      <w:r>
        <w:rPr>
          <w:rFonts w:ascii="Arial" w:cs="Arial" w:eastAsia="Arial" w:hAnsi="Arial"/>
          <w:sz w:val="22"/>
          <w:szCs w:val="22"/>
          <w:color w:val="auto"/>
        </w:rPr>
        <w:t>”) and upon the same terms (or terms as similar as reasonably possible) to the Company or its assignee(s).</w:t>
      </w:r>
    </w:p>
    <w:p>
      <w:pPr>
        <w:spacing w:after="0" w:line="101" w:lineRule="exact"/>
        <w:rPr>
          <w:sz w:val="20"/>
          <w:szCs w:val="20"/>
          <w:color w:val="auto"/>
        </w:rPr>
      </w:pPr>
    </w:p>
    <w:p>
      <w:pPr>
        <w:ind w:firstLine="1952"/>
        <w:spacing w:after="0" w:line="229" w:lineRule="auto"/>
        <w:tabs>
          <w:tab w:leader="none" w:pos="2424" w:val="left"/>
        </w:tabs>
        <w:numPr>
          <w:ilvl w:val="1"/>
          <w:numId w:val="257"/>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of Right of First Refusal</w:t>
      </w:r>
      <w:r>
        <w:rPr>
          <w:rFonts w:ascii="Arial" w:cs="Arial" w:eastAsia="Arial" w:hAnsi="Arial"/>
          <w:sz w:val="22"/>
          <w:szCs w:val="22"/>
          <w:color w:val="auto"/>
        </w:rPr>
        <w:t>. At any time within thirty (30) days after receipt of the Notice,</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and/or its assignee(s) may, by giving written notice to the Holder, elect to purchase all, but not less than all, of the Shares proposed to be transferred to any one or more of the Proposed Transferees, at the purchase price determined in accordance with subsection (iii) below.</w:t>
      </w:r>
    </w:p>
    <w:p>
      <w:pPr>
        <w:spacing w:after="0" w:line="87" w:lineRule="exact"/>
        <w:rPr>
          <w:rFonts w:ascii="Arial" w:cs="Arial" w:eastAsia="Arial" w:hAnsi="Arial"/>
          <w:sz w:val="22"/>
          <w:szCs w:val="22"/>
          <w:color w:val="auto"/>
        </w:rPr>
      </w:pPr>
    </w:p>
    <w:p>
      <w:pPr>
        <w:ind w:right="20" w:firstLine="1952"/>
        <w:spacing w:after="0" w:line="286" w:lineRule="auto"/>
        <w:tabs>
          <w:tab w:leader="none" w:pos="2484" w:val="left"/>
        </w:tabs>
        <w:numPr>
          <w:ilvl w:val="1"/>
          <w:numId w:val="257"/>
        </w:numPr>
        <w:rPr>
          <w:rFonts w:ascii="Arial" w:cs="Arial" w:eastAsia="Arial" w:hAnsi="Arial"/>
          <w:sz w:val="19"/>
          <w:szCs w:val="19"/>
          <w:color w:val="auto"/>
        </w:rPr>
      </w:pPr>
      <w:r>
        <w:rPr>
          <w:rFonts w:ascii="Arial" w:cs="Arial" w:eastAsia="Arial" w:hAnsi="Arial"/>
          <w:sz w:val="19"/>
          <w:szCs w:val="19"/>
          <w:b w:val="1"/>
          <w:bCs w:val="1"/>
          <w:u w:val="single" w:color="auto"/>
          <w:color w:val="auto"/>
        </w:rPr>
        <w:t>Purchase Price</w:t>
      </w:r>
      <w:r>
        <w:rPr>
          <w:rFonts w:ascii="Arial" w:cs="Arial" w:eastAsia="Arial" w:hAnsi="Arial"/>
          <w:sz w:val="19"/>
          <w:szCs w:val="19"/>
          <w:color w:val="auto"/>
        </w:rPr>
        <w:t>. The purchase price (“</w:t>
      </w:r>
      <w:r>
        <w:rPr>
          <w:rFonts w:ascii="Arial" w:cs="Arial" w:eastAsia="Arial" w:hAnsi="Arial"/>
          <w:sz w:val="19"/>
          <w:szCs w:val="19"/>
          <w:u w:val="single" w:color="auto"/>
          <w:color w:val="auto"/>
        </w:rPr>
        <w:t>Purchase Price</w:t>
      </w:r>
      <w:r>
        <w:rPr>
          <w:rFonts w:ascii="Arial" w:cs="Arial" w:eastAsia="Arial" w:hAnsi="Arial"/>
          <w:sz w:val="19"/>
          <w:szCs w:val="19"/>
          <w:color w:val="auto"/>
        </w:rPr>
        <w:t>”) for the Shares purchased by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its assignee(s) under this Section 3(c) shall be the Offered Price. If the Offered Price includes consideration other than cash, the cash equivalent value of the non-cash consideration shall be determined by the Board of Directors of the Company in good faith.</w:t>
      </w:r>
    </w:p>
    <w:p>
      <w:pPr>
        <w:spacing w:after="0" w:line="55" w:lineRule="exact"/>
        <w:rPr>
          <w:rFonts w:ascii="Arial" w:cs="Arial" w:eastAsia="Arial" w:hAnsi="Arial"/>
          <w:sz w:val="19"/>
          <w:szCs w:val="19"/>
          <w:color w:val="auto"/>
        </w:rPr>
      </w:pPr>
    </w:p>
    <w:p>
      <w:pPr>
        <w:ind w:right="20" w:firstLine="1952"/>
        <w:spacing w:after="0" w:line="247" w:lineRule="auto"/>
        <w:tabs>
          <w:tab w:leader="none" w:pos="2472" w:val="left"/>
        </w:tabs>
        <w:numPr>
          <w:ilvl w:val="1"/>
          <w:numId w:val="257"/>
        </w:numPr>
        <w:rPr>
          <w:rFonts w:ascii="Arial" w:cs="Arial" w:eastAsia="Arial" w:hAnsi="Arial"/>
          <w:sz w:val="21"/>
          <w:szCs w:val="21"/>
          <w:color w:val="auto"/>
        </w:rPr>
      </w:pPr>
      <w:r>
        <w:rPr>
          <w:rFonts w:ascii="Arial" w:cs="Arial" w:eastAsia="Arial" w:hAnsi="Arial"/>
          <w:sz w:val="21"/>
          <w:szCs w:val="21"/>
          <w:b w:val="1"/>
          <w:bCs w:val="1"/>
          <w:u w:val="single" w:color="auto"/>
          <w:color w:val="auto"/>
        </w:rPr>
        <w:t>Payment</w:t>
      </w:r>
      <w:r>
        <w:rPr>
          <w:rFonts w:ascii="Arial" w:cs="Arial" w:eastAsia="Arial" w:hAnsi="Arial"/>
          <w:sz w:val="21"/>
          <w:szCs w:val="21"/>
          <w:color w:val="auto"/>
        </w:rPr>
        <w:t>. Payment of the Purchase Price shall be made, at the option of the Company or its</w:t>
      </w:r>
      <w:r>
        <w:rPr>
          <w:rFonts w:ascii="Arial" w:cs="Arial" w:eastAsia="Arial" w:hAnsi="Arial"/>
          <w:sz w:val="21"/>
          <w:szCs w:val="21"/>
          <w:b w:val="1"/>
          <w:bCs w:val="1"/>
          <w:color w:val="auto"/>
        </w:rPr>
        <w:t xml:space="preserve"> </w:t>
      </w:r>
      <w:r>
        <w:rPr>
          <w:rFonts w:ascii="Arial" w:cs="Arial" w:eastAsia="Arial" w:hAnsi="Arial"/>
          <w:sz w:val="21"/>
          <w:szCs w:val="21"/>
          <w:color w:val="auto"/>
        </w:rPr>
        <w:t>assignee(s), in cash (by check), by cancellation of all or a portion of any outstanding indebtedness, or by any combination thereof within 30 days after receipt of the Notice or in the manner and at the times set forth in the Notice.</w:t>
      </w:r>
    </w:p>
    <w:p>
      <w:pPr>
        <w:spacing w:after="0" w:line="91" w:lineRule="exact"/>
        <w:rPr>
          <w:rFonts w:ascii="Arial" w:cs="Arial" w:eastAsia="Arial" w:hAnsi="Arial"/>
          <w:sz w:val="21"/>
          <w:szCs w:val="21"/>
          <w:color w:val="auto"/>
        </w:rPr>
      </w:pPr>
    </w:p>
    <w:p>
      <w:pPr>
        <w:ind w:firstLine="1952"/>
        <w:spacing w:after="0" w:line="233" w:lineRule="auto"/>
        <w:tabs>
          <w:tab w:leader="none" w:pos="2412" w:val="left"/>
        </w:tabs>
        <w:numPr>
          <w:ilvl w:val="1"/>
          <w:numId w:val="257"/>
        </w:numPr>
        <w:rPr>
          <w:rFonts w:ascii="Arial" w:cs="Arial" w:eastAsia="Arial" w:hAnsi="Arial"/>
          <w:sz w:val="21"/>
          <w:szCs w:val="21"/>
          <w:color w:val="auto"/>
        </w:rPr>
      </w:pPr>
      <w:r>
        <w:rPr>
          <w:rFonts w:ascii="Arial" w:cs="Arial" w:eastAsia="Arial" w:hAnsi="Arial"/>
          <w:sz w:val="21"/>
          <w:szCs w:val="21"/>
          <w:b w:val="1"/>
          <w:bCs w:val="1"/>
          <w:u w:val="single" w:color="auto"/>
          <w:color w:val="auto"/>
        </w:rPr>
        <w:t>Holder’s Right to Transfer</w:t>
      </w:r>
      <w:r>
        <w:rPr>
          <w:rFonts w:ascii="Arial" w:cs="Arial" w:eastAsia="Arial" w:hAnsi="Arial"/>
          <w:sz w:val="21"/>
          <w:szCs w:val="21"/>
          <w:color w:val="auto"/>
        </w:rPr>
        <w:t>. If all of the Shares proposed in the Notice to be transferred to a given</w:t>
      </w:r>
      <w:r>
        <w:rPr>
          <w:rFonts w:ascii="Arial" w:cs="Arial" w:eastAsia="Arial" w:hAnsi="Arial"/>
          <w:sz w:val="21"/>
          <w:szCs w:val="21"/>
          <w:b w:val="1"/>
          <w:bCs w:val="1"/>
          <w:color w:val="auto"/>
        </w:rPr>
        <w:t xml:space="preserve"> </w:t>
      </w:r>
      <w:r>
        <w:rPr>
          <w:rFonts w:ascii="Arial" w:cs="Arial" w:eastAsia="Arial" w:hAnsi="Arial"/>
          <w:sz w:val="21"/>
          <w:szCs w:val="21"/>
          <w:color w:val="auto"/>
        </w:rPr>
        <w:t>Proposed Transferee are not purchased by the Company and/or its assignee(s) as provided in this Section 3(c), then the Holder may sell or otherwise transfer such Shares to that Proposed Transferee at the Offered Price or at a higher price, provided that such sale or other transfer is consummated within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85" w:lineRule="exact"/>
        <w:rPr>
          <w:rFonts w:ascii="Arial" w:cs="Arial" w:eastAsia="Arial" w:hAnsi="Arial"/>
          <w:sz w:val="21"/>
          <w:szCs w:val="21"/>
          <w:color w:val="auto"/>
        </w:rPr>
      </w:pPr>
    </w:p>
    <w:p>
      <w:pPr>
        <w:ind w:right="20" w:firstLine="1952"/>
        <w:spacing w:after="0" w:line="265" w:lineRule="auto"/>
        <w:tabs>
          <w:tab w:leader="none" w:pos="2472" w:val="left"/>
        </w:tabs>
        <w:numPr>
          <w:ilvl w:val="1"/>
          <w:numId w:val="257"/>
        </w:numPr>
        <w:rPr>
          <w:rFonts w:ascii="Arial" w:cs="Arial" w:eastAsia="Arial" w:hAnsi="Arial"/>
          <w:sz w:val="19"/>
          <w:szCs w:val="19"/>
          <w:color w:val="auto"/>
        </w:rPr>
      </w:pPr>
      <w:r>
        <w:rPr>
          <w:rFonts w:ascii="Arial" w:cs="Arial" w:eastAsia="Arial" w:hAnsi="Arial"/>
          <w:sz w:val="19"/>
          <w:szCs w:val="19"/>
          <w:b w:val="1"/>
          <w:bCs w:val="1"/>
          <w:u w:val="single" w:color="auto"/>
          <w:color w:val="auto"/>
        </w:rPr>
        <w:t>Exception for Certain Family Transfers</w:t>
      </w:r>
      <w:r>
        <w:rPr>
          <w:rFonts w:ascii="Arial" w:cs="Arial" w:eastAsia="Arial" w:hAnsi="Arial"/>
          <w:sz w:val="19"/>
          <w:szCs w:val="19"/>
          <w:color w:val="auto"/>
        </w:rPr>
        <w:t>. Anything to the contrary contained in this Section 3(c)</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transfer of any or all of the Shares during Purchaser’s lifetime or on Purchaser’s death by will or intestacy to Purchaser’s Immediate Family or a trust for the benefit of Purchaser’s Immediate Family shall be exempt from the provisions of this Section 3(c). “</w:t>
      </w:r>
      <w:r>
        <w:rPr>
          <w:rFonts w:ascii="Arial" w:cs="Arial" w:eastAsia="Arial" w:hAnsi="Arial"/>
          <w:sz w:val="19"/>
          <w:szCs w:val="19"/>
          <w:u w:val="single" w:color="auto"/>
          <w:color w:val="auto"/>
        </w:rPr>
        <w:t>Immediate Family</w:t>
      </w:r>
      <w:r>
        <w:rPr>
          <w:rFonts w:ascii="Arial" w:cs="Arial" w:eastAsia="Arial" w:hAnsi="Arial"/>
          <w:sz w:val="19"/>
          <w:szCs w:val="19"/>
          <w:color w:val="auto"/>
        </w:rPr>
        <w:t>” as used herein shall mean spouse, lineal descendant or antecedent, father, mother, brother or sister. In such case, the transferee or other recipient shall receive and hold the Shares so transferred subject to the provisions of this Section, and there shall be no further transfer of such Shares except in accordance with the terms of this Section 3.</w:t>
      </w:r>
    </w:p>
    <w:p>
      <w:pPr>
        <w:spacing w:after="0" w:line="78" w:lineRule="exact"/>
        <w:rPr>
          <w:rFonts w:ascii="Arial" w:cs="Arial" w:eastAsia="Arial" w:hAnsi="Arial"/>
          <w:sz w:val="19"/>
          <w:szCs w:val="19"/>
          <w:color w:val="auto"/>
        </w:rPr>
      </w:pPr>
    </w:p>
    <w:p>
      <w:pPr>
        <w:ind w:left="1780" w:hanging="476"/>
        <w:spacing w:after="0"/>
        <w:tabs>
          <w:tab w:leader="none" w:pos="1780" w:val="left"/>
        </w:tabs>
        <w:numPr>
          <w:ilvl w:val="0"/>
          <w:numId w:val="258"/>
        </w:numPr>
        <w:rPr>
          <w:rFonts w:ascii="Arial" w:cs="Arial" w:eastAsia="Arial" w:hAnsi="Arial"/>
          <w:sz w:val="22"/>
          <w:szCs w:val="22"/>
          <w:color w:val="auto"/>
        </w:rPr>
      </w:pPr>
      <w:r>
        <w:rPr>
          <w:rFonts w:ascii="Arial" w:cs="Arial" w:eastAsia="Arial" w:hAnsi="Arial"/>
          <w:sz w:val="22"/>
          <w:szCs w:val="22"/>
          <w:b w:val="1"/>
          <w:bCs w:val="1"/>
          <w:u w:val="single" w:color="auto"/>
          <w:color w:val="auto"/>
        </w:rPr>
        <w:t>Involuntary Transfer</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jc w:val="both"/>
        <w:ind w:right="140" w:firstLine="1952"/>
        <w:spacing w:after="0" w:line="241" w:lineRule="auto"/>
        <w:tabs>
          <w:tab w:leader="none" w:pos="2364" w:val="left"/>
        </w:tabs>
        <w:numPr>
          <w:ilvl w:val="1"/>
          <w:numId w:val="258"/>
        </w:numPr>
        <w:rPr>
          <w:rFonts w:ascii="Arial" w:cs="Arial" w:eastAsia="Arial" w:hAnsi="Arial"/>
          <w:sz w:val="21"/>
          <w:szCs w:val="21"/>
          <w:color w:val="auto"/>
        </w:rPr>
      </w:pPr>
      <w:r>
        <w:rPr>
          <w:rFonts w:ascii="Arial" w:cs="Arial" w:eastAsia="Arial" w:hAnsi="Arial"/>
          <w:sz w:val="21"/>
          <w:szCs w:val="21"/>
          <w:b w:val="1"/>
          <w:bCs w:val="1"/>
          <w:u w:val="single" w:color="auto"/>
          <w:color w:val="auto"/>
        </w:rPr>
        <w:t>Company’s Right to Purchase upon Involuntary Transfer</w:t>
      </w:r>
      <w:r>
        <w:rPr>
          <w:rFonts w:ascii="Arial" w:cs="Arial" w:eastAsia="Arial" w:hAnsi="Arial"/>
          <w:sz w:val="21"/>
          <w:szCs w:val="21"/>
          <w:color w:val="auto"/>
        </w:rPr>
        <w:t>. In the event, at any time after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Agreement, of any transfer by operation of law or other involuntary transfer (including death or divorce, but excluding a transfer to Immediate Family as set forth in Section 3(c)(vi) above) of all or a portion of the Shares by the record holder thereof, the Company shall have an option to purchase all of the Shares transferred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14" w:right="359" w:bottom="1440" w:gutter="0" w:footer="0" w:header="0"/>
        </w:sectPr>
      </w:pPr>
    </w:p>
    <w:bookmarkStart w:id="342" w:name="page343"/>
    <w:bookmarkEnd w:id="342"/>
    <w:p>
      <w:pPr>
        <w:ind w:right="180"/>
        <w:spacing w:after="0" w:line="226" w:lineRule="auto"/>
        <w:rPr>
          <w:sz w:val="20"/>
          <w:szCs w:val="20"/>
          <w:color w:val="auto"/>
        </w:rPr>
      </w:pPr>
      <w:r>
        <w:rPr>
          <w:rFonts w:ascii="Arial" w:cs="Arial" w:eastAsia="Arial" w:hAnsi="Arial"/>
          <w:sz w:val="22"/>
          <w:szCs w:val="22"/>
          <w:color w:val="auto"/>
        </w:rPr>
        <w:t>greater of the purchase price paid by Purchaser for the Shares pursuant to this Agreement (as adjusted for any stock splits, stock dividends and the like) or the Fair Market Value of the Shares on the date of transfer.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99" w:lineRule="exact"/>
        <w:rPr>
          <w:sz w:val="20"/>
          <w:szCs w:val="20"/>
          <w:color w:val="auto"/>
        </w:rPr>
      </w:pPr>
    </w:p>
    <w:p>
      <w:pPr>
        <w:ind w:firstLine="1952"/>
        <w:spacing w:after="0" w:line="234" w:lineRule="auto"/>
        <w:tabs>
          <w:tab w:leader="none" w:pos="2424" w:val="left"/>
        </w:tabs>
        <w:numPr>
          <w:ilvl w:val="1"/>
          <w:numId w:val="259"/>
        </w:numPr>
        <w:rPr>
          <w:rFonts w:ascii="Arial" w:cs="Arial" w:eastAsia="Arial" w:hAnsi="Arial"/>
          <w:sz w:val="21"/>
          <w:szCs w:val="21"/>
          <w:color w:val="auto"/>
        </w:rPr>
      </w:pPr>
      <w:r>
        <w:rPr>
          <w:rFonts w:ascii="Arial" w:cs="Arial" w:eastAsia="Arial" w:hAnsi="Arial"/>
          <w:sz w:val="21"/>
          <w:szCs w:val="21"/>
          <w:b w:val="1"/>
          <w:bCs w:val="1"/>
          <w:u w:val="single" w:color="auto"/>
          <w:color w:val="auto"/>
        </w:rPr>
        <w:t>Price for Involuntary Transfer</w:t>
      </w:r>
      <w:r>
        <w:rPr>
          <w:rFonts w:ascii="Arial" w:cs="Arial" w:eastAsia="Arial" w:hAnsi="Arial"/>
          <w:sz w:val="21"/>
          <w:szCs w:val="21"/>
          <w:color w:val="auto"/>
        </w:rPr>
        <w:t>. With respect to any stock to be transferred pursuant to Sections 3(b)</w:t>
      </w:r>
      <w:r>
        <w:rPr>
          <w:rFonts w:ascii="Arial" w:cs="Arial" w:eastAsia="Arial" w:hAnsi="Arial"/>
          <w:sz w:val="21"/>
          <w:szCs w:val="21"/>
          <w:b w:val="1"/>
          <w:bCs w:val="1"/>
          <w:color w:val="auto"/>
        </w:rPr>
        <w:t xml:space="preserve"> </w:t>
      </w:r>
      <w:r>
        <w:rPr>
          <w:rFonts w:ascii="Arial" w:cs="Arial" w:eastAsia="Arial" w:hAnsi="Arial"/>
          <w:sz w:val="21"/>
          <w:szCs w:val="21"/>
          <w:color w:val="auto"/>
        </w:rPr>
        <w:t>or 3(d)(i), the Fair Market Value per Share shall be a price set by the Board of Directors of the Company in good faith using a reasonable valuation method in a reasonable manner in accordance with Section 409A of the Code. The Company shall notify Purchaser or his or her executor of the price so determined within thirty (30) days after receipt by it of written notice of the transfer or proposed transfer of Shares. However, if the Purchaser does not agree with the valuation as determined by the Board of Directors of the Company, the Purchaser shall be entitled to have the valuation determined by an independent appraiser to be mutually agreed upon by the Company and the Purchaser and whose fees shall be borne equally by the Company and the Purchaser.</w:t>
      </w:r>
    </w:p>
    <w:p>
      <w:pPr>
        <w:spacing w:after="0" w:line="87" w:lineRule="exact"/>
        <w:rPr>
          <w:rFonts w:ascii="Arial" w:cs="Arial" w:eastAsia="Arial" w:hAnsi="Arial"/>
          <w:sz w:val="21"/>
          <w:szCs w:val="21"/>
          <w:color w:val="auto"/>
        </w:rPr>
      </w:pPr>
    </w:p>
    <w:p>
      <w:pPr>
        <w:ind w:right="320" w:firstLine="1304"/>
        <w:spacing w:after="0" w:line="243" w:lineRule="auto"/>
        <w:tabs>
          <w:tab w:leader="none" w:pos="1752" w:val="left"/>
        </w:tabs>
        <w:numPr>
          <w:ilvl w:val="0"/>
          <w:numId w:val="260"/>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r>
        <w:rPr>
          <w:rFonts w:ascii="Arial" w:cs="Arial" w:eastAsia="Arial" w:hAnsi="Arial"/>
          <w:sz w:val="22"/>
          <w:szCs w:val="22"/>
          <w:color w:val="auto"/>
        </w:rPr>
        <w:t>. The right of the Company to purchase any part of the Shares may be assigned in whole or in</w:t>
      </w:r>
      <w:r>
        <w:rPr>
          <w:rFonts w:ascii="Arial" w:cs="Arial" w:eastAsia="Arial" w:hAnsi="Arial"/>
          <w:sz w:val="22"/>
          <w:szCs w:val="22"/>
          <w:b w:val="1"/>
          <w:bCs w:val="1"/>
          <w:color w:val="auto"/>
        </w:rPr>
        <w:t xml:space="preserve"> </w:t>
      </w:r>
      <w:r>
        <w:rPr>
          <w:rFonts w:ascii="Arial" w:cs="Arial" w:eastAsia="Arial" w:hAnsi="Arial"/>
          <w:sz w:val="22"/>
          <w:szCs w:val="22"/>
          <w:color w:val="auto"/>
        </w:rPr>
        <w:t>part to any stockholder or stockholders of the Company or other persons or organizations.</w:t>
      </w:r>
    </w:p>
    <w:p>
      <w:pPr>
        <w:spacing w:after="0" w:line="95" w:lineRule="exact"/>
        <w:rPr>
          <w:rFonts w:ascii="Arial" w:cs="Arial" w:eastAsia="Arial" w:hAnsi="Arial"/>
          <w:sz w:val="22"/>
          <w:szCs w:val="22"/>
          <w:color w:val="auto"/>
        </w:rPr>
      </w:pPr>
    </w:p>
    <w:p>
      <w:pPr>
        <w:ind w:left="1740" w:hanging="436"/>
        <w:spacing w:after="0"/>
        <w:tabs>
          <w:tab w:leader="none" w:pos="1740" w:val="left"/>
        </w:tabs>
        <w:numPr>
          <w:ilvl w:val="0"/>
          <w:numId w:val="260"/>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Restrictions Binding on Transferees</w:t>
      </w:r>
      <w:r>
        <w:rPr>
          <w:rFonts w:ascii="Arial" w:cs="Arial" w:eastAsia="Arial" w:hAnsi="Arial"/>
          <w:sz w:val="19"/>
          <w:szCs w:val="19"/>
          <w:color w:val="auto"/>
        </w:rPr>
        <w:t>. All transferees of Shares or any interest therein will receive and</w:t>
      </w:r>
    </w:p>
    <w:p>
      <w:pPr>
        <w:spacing w:after="0" w:line="35" w:lineRule="exact"/>
        <w:rPr>
          <w:sz w:val="20"/>
          <w:szCs w:val="20"/>
          <w:color w:val="auto"/>
        </w:rPr>
      </w:pPr>
    </w:p>
    <w:p>
      <w:pPr>
        <w:ind w:right="340"/>
        <w:spacing w:after="0" w:line="258" w:lineRule="auto"/>
        <w:rPr>
          <w:sz w:val="20"/>
          <w:szCs w:val="20"/>
          <w:color w:val="auto"/>
        </w:rPr>
      </w:pPr>
      <w:r>
        <w:rPr>
          <w:rFonts w:ascii="Arial" w:cs="Arial" w:eastAsia="Arial" w:hAnsi="Arial"/>
          <w:sz w:val="19"/>
          <w:szCs w:val="19"/>
          <w:color w:val="auto"/>
        </w:rPr>
        <w:t>hold such Shares or interest subject to the provisions of this Agreement. In the event of any purchase by the Company hereunder where the Shares or interest are held by a transferee, the transferee shall be obligated, if requested by the Company, to transfer the Shares or interest to the Purchaser for consideration equal to the amount to be paid by the Company hereunder.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82" w:lineRule="exact"/>
        <w:rPr>
          <w:sz w:val="20"/>
          <w:szCs w:val="20"/>
          <w:color w:val="auto"/>
        </w:rPr>
      </w:pPr>
    </w:p>
    <w:p>
      <w:pPr>
        <w:ind w:right="20" w:firstLine="1304"/>
        <w:spacing w:after="0" w:line="260" w:lineRule="auto"/>
        <w:tabs>
          <w:tab w:leader="none" w:pos="1764" w:val="left"/>
        </w:tabs>
        <w:numPr>
          <w:ilvl w:val="0"/>
          <w:numId w:val="261"/>
        </w:numPr>
        <w:rPr>
          <w:rFonts w:ascii="Arial" w:cs="Arial" w:eastAsia="Arial" w:hAnsi="Arial"/>
          <w:sz w:val="19"/>
          <w:szCs w:val="19"/>
          <w:color w:val="auto"/>
        </w:rPr>
      </w:pPr>
      <w:r>
        <w:rPr>
          <w:rFonts w:ascii="Arial" w:cs="Arial" w:eastAsia="Arial" w:hAnsi="Arial"/>
          <w:sz w:val="19"/>
          <w:szCs w:val="19"/>
          <w:b w:val="1"/>
          <w:bCs w:val="1"/>
          <w:u w:val="single" w:color="auto"/>
          <w:color w:val="auto"/>
        </w:rPr>
        <w:t>Capitalization Adjustments to Common Stock</w:t>
      </w:r>
      <w:r>
        <w:rPr>
          <w:rFonts w:ascii="Arial" w:cs="Arial" w:eastAsia="Arial" w:hAnsi="Arial"/>
          <w:sz w:val="19"/>
          <w:szCs w:val="19"/>
          <w:color w:val="auto"/>
        </w:rPr>
        <w:t>. In the event of a in the number of issued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resulting from a stock split, reverse stock split, stock dividend, combination, recapitalization or reclassification of the Common Stock, or any other increase or decrease in the number of issued Shares of Common Stock effected without receipt of consideration by the Company, then any and all new, substituted or additional securities or other property to which Purchaser is entitled by reason of Purchaser’s ownership of Common Stock will be immediately subject to the Repurchase Option and be included in the word “</w:t>
      </w:r>
      <w:r>
        <w:rPr>
          <w:rFonts w:ascii="Arial" w:cs="Arial" w:eastAsia="Arial" w:hAnsi="Arial"/>
          <w:sz w:val="19"/>
          <w:szCs w:val="19"/>
          <w:u w:val="single" w:color="auto"/>
          <w:color w:val="auto"/>
        </w:rPr>
        <w:t>Common Stock</w:t>
      </w:r>
      <w:r>
        <w:rPr>
          <w:rFonts w:ascii="Arial" w:cs="Arial" w:eastAsia="Arial" w:hAnsi="Arial"/>
          <w:sz w:val="19"/>
          <w:szCs w:val="19"/>
          <w:color w:val="auto"/>
        </w:rPr>
        <w:t>” for all purposes of the Repurchase Option with the same force and effect as the shares of the Common Stock presently subject to the Repurchase Option, but only to the extent the Common Stock is, at the time, covered by such Repurchase Option. While the total Exercise Price will remain the same after each such event, the Exercise Price per share of Common Stock upon exercise of the Repurchase Option will be appropriately adjusted.</w:t>
      </w:r>
    </w:p>
    <w:p>
      <w:pPr>
        <w:spacing w:after="0" w:line="70" w:lineRule="exact"/>
        <w:rPr>
          <w:rFonts w:ascii="Arial" w:cs="Arial" w:eastAsia="Arial" w:hAnsi="Arial"/>
          <w:sz w:val="19"/>
          <w:szCs w:val="19"/>
          <w:color w:val="auto"/>
        </w:rPr>
      </w:pPr>
    </w:p>
    <w:p>
      <w:pPr>
        <w:ind w:right="200" w:firstLine="1304"/>
        <w:spacing w:after="0" w:line="243" w:lineRule="auto"/>
        <w:tabs>
          <w:tab w:leader="none" w:pos="1764" w:val="left"/>
        </w:tabs>
        <w:numPr>
          <w:ilvl w:val="0"/>
          <w:numId w:val="261"/>
        </w:numPr>
        <w:rPr>
          <w:rFonts w:ascii="Arial" w:cs="Arial" w:eastAsia="Arial" w:hAnsi="Arial"/>
          <w:sz w:val="22"/>
          <w:szCs w:val="22"/>
          <w:color w:val="auto"/>
        </w:rPr>
      </w:pPr>
      <w:r>
        <w:rPr>
          <w:rFonts w:ascii="Arial" w:cs="Arial" w:eastAsia="Arial" w:hAnsi="Arial"/>
          <w:sz w:val="22"/>
          <w:szCs w:val="22"/>
          <w:b w:val="1"/>
          <w:bCs w:val="1"/>
          <w:u w:val="single" w:color="auto"/>
          <w:color w:val="auto"/>
        </w:rPr>
        <w:t>Corporate Transactions</w:t>
      </w:r>
      <w:r>
        <w:rPr>
          <w:rFonts w:ascii="Arial" w:cs="Arial" w:eastAsia="Arial" w:hAnsi="Arial"/>
          <w:sz w:val="22"/>
          <w:szCs w:val="22"/>
          <w:color w:val="auto"/>
        </w:rPr>
        <w:t>. In the event of a Corporate Transaction, the Repurchase Option may be assigned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Company to the successor of the Company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343" w:name="page344"/>
    <w:bookmarkEnd w:id="343"/>
    <w:p>
      <w:pPr>
        <w:spacing w:after="0" w:line="264" w:lineRule="auto"/>
        <w:rPr>
          <w:sz w:val="20"/>
          <w:szCs w:val="20"/>
          <w:color w:val="auto"/>
        </w:rPr>
      </w:pPr>
      <w:r>
        <w:rPr>
          <w:rFonts w:ascii="Arial" w:cs="Arial" w:eastAsia="Arial" w:hAnsi="Arial"/>
          <w:sz w:val="19"/>
          <w:szCs w:val="19"/>
          <w:color w:val="auto"/>
        </w:rPr>
        <w:t>successor’s parent company), if any, in connection with such Corporate Transaction. To the extent the Repurchase Option remains in effect following such Corporate Transaction, it will apply to the new capital stock or other property received in exchange for the Common Stock in consummation of the Corporate Transaction, but only to the extent the Common Stock was at the time covered by such right. Appropriate adjustments will be made to the price per share payable upon exercise of the Repurchase Option to reflect the Corporate Transaction upon the Company’s capital structure; provided, however, that the aggregate price payable upon exercise of the Repurchase Option remains the same.</w:t>
      </w:r>
    </w:p>
    <w:p>
      <w:pPr>
        <w:spacing w:after="0" w:line="77" w:lineRule="exact"/>
        <w:rPr>
          <w:sz w:val="20"/>
          <w:szCs w:val="20"/>
          <w:color w:val="auto"/>
        </w:rPr>
      </w:pPr>
    </w:p>
    <w:p>
      <w:pPr>
        <w:ind w:right="20" w:firstLine="1304"/>
        <w:spacing w:after="0" w:line="263" w:lineRule="auto"/>
        <w:tabs>
          <w:tab w:leader="none" w:pos="1716" w:val="left"/>
        </w:tabs>
        <w:numPr>
          <w:ilvl w:val="1"/>
          <w:numId w:val="262"/>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Rights</w:t>
      </w:r>
      <w:r>
        <w:rPr>
          <w:rFonts w:ascii="Arial" w:cs="Arial" w:eastAsia="Arial" w:hAnsi="Arial"/>
          <w:sz w:val="19"/>
          <w:szCs w:val="19"/>
          <w:color w:val="auto"/>
        </w:rPr>
        <w:t>. The right of repurchase granted by the Company in Section 3(b) above, the right of</w:t>
      </w:r>
      <w:r>
        <w:rPr>
          <w:rFonts w:ascii="Arial" w:cs="Arial" w:eastAsia="Arial" w:hAnsi="Arial"/>
          <w:sz w:val="19"/>
          <w:szCs w:val="19"/>
          <w:b w:val="1"/>
          <w:bCs w:val="1"/>
          <w:color w:val="auto"/>
        </w:rPr>
        <w:t xml:space="preserve"> </w:t>
      </w:r>
      <w:r>
        <w:rPr>
          <w:rFonts w:ascii="Arial" w:cs="Arial" w:eastAsia="Arial" w:hAnsi="Arial"/>
          <w:sz w:val="19"/>
          <w:szCs w:val="19"/>
          <w:color w:val="auto"/>
        </w:rPr>
        <w:t>first refusal granted the Company by Section 3(c) above and the option to repurchase the Shares in the event of an involuntary transfer granted the Company by Section 3(d)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Upon termination of the rights to repurchase and the right of first refusal described in Sections 3(a), 3(b), 3(c) and 3(d) above, a new certificate or certificates representing the Shares not repurchased shall be issued, on request, without the legend referred to in Section 5(a)(ii) herein and delivered to Purchaser.</w:t>
      </w:r>
    </w:p>
    <w:p>
      <w:pPr>
        <w:spacing w:after="0" w:line="65" w:lineRule="exact"/>
        <w:rPr>
          <w:rFonts w:ascii="Arial" w:cs="Arial" w:eastAsia="Arial" w:hAnsi="Arial"/>
          <w:sz w:val="19"/>
          <w:szCs w:val="19"/>
          <w:color w:val="auto"/>
        </w:rPr>
      </w:pPr>
    </w:p>
    <w:p>
      <w:pPr>
        <w:ind w:right="40" w:firstLine="656"/>
        <w:spacing w:after="0" w:line="257" w:lineRule="auto"/>
        <w:tabs>
          <w:tab w:leader="none" w:pos="1026" w:val="left"/>
        </w:tabs>
        <w:numPr>
          <w:ilvl w:val="0"/>
          <w:numId w:val="263"/>
        </w:numPr>
        <w:rPr>
          <w:rFonts w:ascii="Arial" w:cs="Arial" w:eastAsia="Arial" w:hAnsi="Arial"/>
          <w:sz w:val="19"/>
          <w:szCs w:val="19"/>
          <w:color w:val="auto"/>
        </w:rPr>
      </w:pPr>
      <w:r>
        <w:rPr>
          <w:rFonts w:ascii="Arial" w:cs="Arial" w:eastAsia="Arial" w:hAnsi="Arial"/>
          <w:sz w:val="19"/>
          <w:szCs w:val="19"/>
          <w:b w:val="1"/>
          <w:bCs w:val="1"/>
          <w:u w:val="single" w:color="auto"/>
          <w:color w:val="auto"/>
        </w:rPr>
        <w:t>Escrow of Unvested Shares</w:t>
      </w:r>
      <w:r>
        <w:rPr>
          <w:rFonts w:ascii="Arial" w:cs="Arial" w:eastAsia="Arial" w:hAnsi="Arial"/>
          <w:sz w:val="19"/>
          <w:szCs w:val="19"/>
          <w:color w:val="auto"/>
        </w:rPr>
        <w:t>. For purposes of facilitating the enforcement of the provisions of Section 3 above,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Purchaser agrees, immediately upon receipt of the certificate(s) for the Shares subject to the Repurchase Option, to deliver such certificate(s), together with an Assignment Separate from Certificate in the form attached to this Agreement as </w:t>
      </w:r>
      <w:r>
        <w:rPr>
          <w:rFonts w:ascii="Arial" w:cs="Arial" w:eastAsia="Arial" w:hAnsi="Arial"/>
          <w:sz w:val="19"/>
          <w:szCs w:val="19"/>
          <w:u w:val="single" w:color="auto"/>
          <w:color w:val="auto"/>
        </w:rPr>
        <w:t>Attachment A</w:t>
      </w:r>
      <w:r>
        <w:rPr>
          <w:rFonts w:ascii="Arial" w:cs="Arial" w:eastAsia="Arial" w:hAnsi="Arial"/>
          <w:sz w:val="19"/>
          <w:szCs w:val="19"/>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of Directors of the Company shall have the power to appoint a successor to serve as escrow holder pursuant to the terms of this Agreement.</w:t>
      </w:r>
    </w:p>
    <w:p>
      <w:pPr>
        <w:spacing w:after="0" w:line="90" w:lineRule="exact"/>
        <w:rPr>
          <w:rFonts w:ascii="Arial" w:cs="Arial" w:eastAsia="Arial" w:hAnsi="Arial"/>
          <w:sz w:val="19"/>
          <w:szCs w:val="19"/>
          <w:color w:val="auto"/>
        </w:rPr>
      </w:pPr>
    </w:p>
    <w:p>
      <w:pPr>
        <w:ind w:right="180" w:firstLine="656"/>
        <w:spacing w:after="0" w:line="243" w:lineRule="auto"/>
        <w:tabs>
          <w:tab w:leader="none" w:pos="1026" w:val="left"/>
        </w:tabs>
        <w:numPr>
          <w:ilvl w:val="0"/>
          <w:numId w:val="263"/>
        </w:numPr>
        <w:rPr>
          <w:rFonts w:ascii="Arial" w:cs="Arial" w:eastAsia="Arial" w:hAnsi="Arial"/>
          <w:sz w:val="22"/>
          <w:szCs w:val="22"/>
          <w:color w:val="auto"/>
        </w:rPr>
      </w:pPr>
      <w:r>
        <w:rPr>
          <w:rFonts w:ascii="Arial" w:cs="Arial" w:eastAsia="Arial" w:hAnsi="Arial"/>
          <w:sz w:val="22"/>
          <w:szCs w:val="22"/>
          <w:b w:val="1"/>
          <w:bCs w:val="1"/>
          <w:u w:val="single" w:color="auto"/>
          <w:color w:val="auto"/>
        </w:rPr>
        <w:t>Investment and Taxation Representations</w:t>
      </w:r>
      <w:r>
        <w:rPr>
          <w:rFonts w:ascii="Arial" w:cs="Arial" w:eastAsia="Arial" w:hAnsi="Arial"/>
          <w:sz w:val="22"/>
          <w:szCs w:val="22"/>
          <w:color w:val="auto"/>
        </w:rPr>
        <w:t>. In connection with the purchase of the Shares, Purchaser represents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the following:</w:t>
      </w:r>
    </w:p>
    <w:p>
      <w:pPr>
        <w:spacing w:after="0" w:line="101" w:lineRule="exact"/>
        <w:rPr>
          <w:rFonts w:ascii="Arial" w:cs="Arial" w:eastAsia="Arial" w:hAnsi="Arial"/>
          <w:sz w:val="22"/>
          <w:szCs w:val="22"/>
          <w:color w:val="auto"/>
        </w:rPr>
      </w:pPr>
    </w:p>
    <w:p>
      <w:pPr>
        <w:ind w:right="60" w:firstLine="1304"/>
        <w:spacing w:after="0" w:line="237" w:lineRule="auto"/>
        <w:tabs>
          <w:tab w:leader="none" w:pos="1752" w:val="left"/>
        </w:tabs>
        <w:numPr>
          <w:ilvl w:val="1"/>
          <w:numId w:val="263"/>
        </w:numPr>
        <w:rPr>
          <w:rFonts w:ascii="Arial" w:cs="Arial" w:eastAsia="Arial" w:hAnsi="Arial"/>
          <w:sz w:val="21"/>
          <w:szCs w:val="21"/>
          <w:color w:val="auto"/>
        </w:rPr>
      </w:pPr>
      <w:r>
        <w:rPr>
          <w:rFonts w:ascii="Arial" w:cs="Arial" w:eastAsia="Arial" w:hAnsi="Arial"/>
          <w:sz w:val="21"/>
          <w:szCs w:val="21"/>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00"/>
          </w:cols>
          <w:pgMar w:left="320" w:top="1414" w:right="379" w:bottom="1440" w:gutter="0" w:footer="0" w:header="0"/>
        </w:sectPr>
      </w:pPr>
    </w:p>
    <w:bookmarkStart w:id="344" w:name="page345"/>
    <w:bookmarkEnd w:id="344"/>
    <w:p>
      <w:pPr>
        <w:ind w:left="-40" w:right="600" w:firstLine="1304"/>
        <w:spacing w:after="0" w:line="231" w:lineRule="auto"/>
        <w:tabs>
          <w:tab w:leader="none" w:pos="172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06" w:lineRule="exact"/>
        <w:rPr>
          <w:rFonts w:ascii="Arial" w:cs="Arial" w:eastAsia="Arial" w:hAnsi="Arial"/>
          <w:sz w:val="22"/>
          <w:szCs w:val="22"/>
          <w:color w:val="auto"/>
        </w:rPr>
      </w:pPr>
    </w:p>
    <w:p>
      <w:pPr>
        <w:ind w:left="-40" w:right="100" w:firstLine="1304"/>
        <w:spacing w:after="0" w:line="267" w:lineRule="auto"/>
        <w:tabs>
          <w:tab w:leader="none" w:pos="1712" w:val="left"/>
        </w:tabs>
        <w:numPr>
          <w:ilvl w:val="0"/>
          <w:numId w:val="264"/>
        </w:numPr>
        <w:rPr>
          <w:rFonts w:ascii="Arial" w:cs="Arial" w:eastAsia="Arial" w:hAnsi="Arial"/>
          <w:sz w:val="19"/>
          <w:szCs w:val="19"/>
          <w:color w:val="auto"/>
        </w:rPr>
      </w:pPr>
      <w:r>
        <w:rPr>
          <w:rFonts w:ascii="Arial" w:cs="Arial" w:eastAsia="Arial" w:hAnsi="Arial"/>
          <w:sz w:val="19"/>
          <w:szCs w:val="19"/>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67" w:lineRule="exact"/>
        <w:rPr>
          <w:rFonts w:ascii="Arial" w:cs="Arial" w:eastAsia="Arial" w:hAnsi="Arial"/>
          <w:sz w:val="19"/>
          <w:szCs w:val="19"/>
          <w:color w:val="auto"/>
        </w:rPr>
      </w:pPr>
    </w:p>
    <w:p>
      <w:pPr>
        <w:ind w:left="-40" w:firstLine="1304"/>
        <w:spacing w:after="0" w:line="259" w:lineRule="auto"/>
        <w:tabs>
          <w:tab w:leader="none" w:pos="1724" w:val="left"/>
        </w:tabs>
        <w:numPr>
          <w:ilvl w:val="0"/>
          <w:numId w:val="264"/>
        </w:numPr>
        <w:rPr>
          <w:rFonts w:ascii="Arial" w:cs="Arial" w:eastAsia="Arial" w:hAnsi="Arial"/>
          <w:sz w:val="19"/>
          <w:szCs w:val="19"/>
          <w:color w:val="auto"/>
        </w:rPr>
      </w:pPr>
      <w:r>
        <w:rPr>
          <w:rFonts w:ascii="Arial" w:cs="Arial" w:eastAsia="Arial" w:hAnsi="Arial"/>
          <w:sz w:val="19"/>
          <w:szCs w:val="19"/>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91" w:lineRule="exact"/>
        <w:rPr>
          <w:rFonts w:ascii="Arial" w:cs="Arial" w:eastAsia="Arial" w:hAnsi="Arial"/>
          <w:sz w:val="19"/>
          <w:szCs w:val="19"/>
          <w:color w:val="auto"/>
        </w:rPr>
      </w:pPr>
    </w:p>
    <w:p>
      <w:pPr>
        <w:ind w:left="-40" w:right="40" w:firstLine="1304"/>
        <w:spacing w:after="0" w:line="234" w:lineRule="auto"/>
        <w:tabs>
          <w:tab w:leader="none" w:pos="1712" w:val="left"/>
        </w:tabs>
        <w:numPr>
          <w:ilvl w:val="0"/>
          <w:numId w:val="264"/>
        </w:numPr>
        <w:rPr>
          <w:rFonts w:ascii="Arial" w:cs="Arial" w:eastAsia="Arial" w:hAnsi="Arial"/>
          <w:sz w:val="21"/>
          <w:szCs w:val="21"/>
          <w:color w:val="auto"/>
        </w:rPr>
      </w:pPr>
      <w:r>
        <w:rPr>
          <w:rFonts w:ascii="Arial" w:cs="Arial" w:eastAsia="Arial" w:hAnsi="Arial"/>
          <w:sz w:val="21"/>
          <w:szCs w:val="21"/>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06" w:lineRule="exact"/>
        <w:rPr>
          <w:rFonts w:ascii="Arial" w:cs="Arial" w:eastAsia="Arial" w:hAnsi="Arial"/>
          <w:sz w:val="21"/>
          <w:szCs w:val="21"/>
          <w:color w:val="auto"/>
        </w:rPr>
      </w:pPr>
    </w:p>
    <w:p>
      <w:pPr>
        <w:ind w:left="-40" w:right="160" w:firstLine="1304"/>
        <w:spacing w:after="0" w:line="228" w:lineRule="auto"/>
        <w:tabs>
          <w:tab w:leader="none" w:pos="1688" w:val="left"/>
        </w:tabs>
        <w:numPr>
          <w:ilvl w:val="0"/>
          <w:numId w:val="264"/>
        </w:numPr>
        <w:rPr>
          <w:rFonts w:ascii="Arial" w:cs="Arial" w:eastAsia="Arial" w:hAnsi="Arial"/>
          <w:sz w:val="22"/>
          <w:szCs w:val="22"/>
          <w:color w:val="auto"/>
        </w:rPr>
      </w:pPr>
      <w:r>
        <w:rPr>
          <w:rFonts w:ascii="Arial" w:cs="Arial" w:eastAsia="Arial" w:hAnsi="Arial"/>
          <w:sz w:val="22"/>
          <w:szCs w:val="22"/>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91" w:lineRule="exact"/>
        <w:rPr>
          <w:rFonts w:ascii="Arial" w:cs="Arial" w:eastAsia="Arial" w:hAnsi="Arial"/>
          <w:sz w:val="22"/>
          <w:szCs w:val="22"/>
          <w:color w:val="auto"/>
        </w:rPr>
      </w:pPr>
    </w:p>
    <w:p>
      <w:pPr>
        <w:ind w:left="-40" w:firstLine="1304"/>
        <w:spacing w:after="0" w:line="224" w:lineRule="auto"/>
        <w:tabs>
          <w:tab w:leader="none" w:pos="172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Purchaser understands that the per share “</w:t>
      </w:r>
      <w:r>
        <w:rPr>
          <w:rFonts w:ascii="Arial" w:cs="Arial" w:eastAsia="Arial" w:hAnsi="Arial"/>
          <w:sz w:val="22"/>
          <w:szCs w:val="22"/>
          <w:u w:val="single" w:color="auto"/>
          <w:color w:val="auto"/>
        </w:rPr>
        <w:t>Exercise Price</w:t>
      </w:r>
      <w:r>
        <w:rPr>
          <w:rFonts w:ascii="Arial" w:cs="Arial" w:eastAsia="Arial" w:hAnsi="Arial"/>
          <w:sz w:val="22"/>
          <w:szCs w:val="22"/>
          <w:color w:val="auto"/>
        </w:rPr>
        <w:t>” for the Shares is intended to be at least equal to the fair market value of the Company’s Common Stock at the date of grant and that the Company has attempted in good faith to make the fair market value determination in compliance with applicable tax law although there can be no certainty that the IRS will agree. Purchaser understands that if the IRS does not agree and asserts that the fair market value at the time of grant is higher than the Exercise Price, the IRS could seek to impose greater taxes on Purchaser, including interest and penalties under Internal Revenue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160"/>
          </w:cols>
          <w:pgMar w:left="360" w:top="1414" w:right="379" w:bottom="1440" w:gutter="0" w:footer="0" w:header="0"/>
        </w:sectPr>
      </w:pPr>
    </w:p>
    <w:bookmarkStart w:id="345" w:name="page346"/>
    <w:bookmarkEnd w:id="345"/>
    <w:p>
      <w:pPr>
        <w:ind w:left="1020" w:hanging="384"/>
        <w:spacing w:after="0"/>
        <w:tabs>
          <w:tab w:leader="none" w:pos="1020" w:val="left"/>
        </w:tabs>
        <w:numPr>
          <w:ilvl w:val="0"/>
          <w:numId w:val="265"/>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Legends and Stop-Transfer Orders</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ind w:left="-20" w:right="260" w:firstLine="1304"/>
        <w:spacing w:after="0" w:line="243" w:lineRule="auto"/>
        <w:tabs>
          <w:tab w:leader="none" w:pos="1732" w:val="left"/>
        </w:tabs>
        <w:numPr>
          <w:ilvl w:val="1"/>
          <w:numId w:val="265"/>
        </w:numPr>
        <w:rPr>
          <w:rFonts w:ascii="Arial" w:cs="Arial" w:eastAsia="Arial" w:hAnsi="Arial"/>
          <w:sz w:val="22"/>
          <w:szCs w:val="22"/>
          <w:color w:val="auto"/>
        </w:rPr>
      </w:pPr>
      <w:r>
        <w:rPr>
          <w:rFonts w:ascii="Arial" w:cs="Arial" w:eastAsia="Arial" w:hAnsi="Arial"/>
          <w:sz w:val="22"/>
          <w:szCs w:val="22"/>
          <w:b w:val="1"/>
          <w:bCs w:val="1"/>
          <w:u w:val="single" w:color="auto"/>
          <w:color w:val="auto"/>
        </w:rPr>
        <w:t>Legends</w:t>
      </w:r>
      <w:r>
        <w:rPr>
          <w:rFonts w:ascii="Arial" w:cs="Arial" w:eastAsia="Arial" w:hAnsi="Arial"/>
          <w:sz w:val="22"/>
          <w:szCs w:val="22"/>
          <w:color w:val="auto"/>
        </w:rPr>
        <w:t>. The certificate or certificates representing the Shares shall bear the following legends (as well as</w:t>
      </w:r>
      <w:r>
        <w:rPr>
          <w:rFonts w:ascii="Arial" w:cs="Arial" w:eastAsia="Arial" w:hAnsi="Arial"/>
          <w:sz w:val="22"/>
          <w:szCs w:val="22"/>
          <w:b w:val="1"/>
          <w:bCs w:val="1"/>
          <w:color w:val="auto"/>
        </w:rPr>
        <w:t xml:space="preserve"> </w:t>
      </w:r>
      <w:r>
        <w:rPr>
          <w:rFonts w:ascii="Arial" w:cs="Arial" w:eastAsia="Arial" w:hAnsi="Arial"/>
          <w:sz w:val="22"/>
          <w:szCs w:val="22"/>
          <w:color w:val="auto"/>
        </w:rPr>
        <w:t>any legends required by applicable state and federal corporate and securities laws):</w:t>
      </w:r>
    </w:p>
    <w:p>
      <w:pPr>
        <w:spacing w:after="0" w:line="87" w:lineRule="exact"/>
        <w:rPr>
          <w:rFonts w:ascii="Arial" w:cs="Arial" w:eastAsia="Arial" w:hAnsi="Arial"/>
          <w:sz w:val="22"/>
          <w:szCs w:val="22"/>
          <w:color w:val="auto"/>
        </w:rPr>
      </w:pPr>
    </w:p>
    <w:p>
      <w:pPr>
        <w:ind w:left="2580" w:right="220" w:hanging="648"/>
        <w:spacing w:after="0" w:line="233" w:lineRule="auto"/>
        <w:tabs>
          <w:tab w:leader="none" w:pos="2348" w:val="left"/>
        </w:tabs>
        <w:numPr>
          <w:ilvl w:val="2"/>
          <w:numId w:val="265"/>
        </w:numPr>
        <w:rPr>
          <w:rFonts w:ascii="Arial" w:cs="Arial" w:eastAsia="Arial" w:hAnsi="Arial"/>
          <w:sz w:val="21"/>
          <w:szCs w:val="21"/>
          <w:color w:val="auto"/>
        </w:rPr>
      </w:pPr>
      <w:r>
        <w:rPr>
          <w:rFonts w:ascii="Arial" w:cs="Arial" w:eastAsia="Arial" w:hAnsi="Arial"/>
          <w:sz w:val="21"/>
          <w:szCs w:val="21"/>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UNLESS EFFECTED PURSUANT TO AN EFFECTIVE REGISTRATION STATEMENT RELATED THERETO OR UNDER ANOTHER EXEMPTION AVAILABLE UNDER THE SECURITIES ACT OF 1933 (AS TO WHICH AVAILABILITY THE COMPANY MAY REQUIRE THE SELLER/TRANSFEROR TO PROVIDE AN OPINION OF COUNSEL SATISFACTORY TO THE COMPANY).</w:t>
      </w:r>
    </w:p>
    <w:p>
      <w:pPr>
        <w:spacing w:after="0" w:line="104" w:lineRule="exact"/>
        <w:rPr>
          <w:rFonts w:ascii="Arial" w:cs="Arial" w:eastAsia="Arial" w:hAnsi="Arial"/>
          <w:sz w:val="21"/>
          <w:szCs w:val="21"/>
          <w:color w:val="auto"/>
        </w:rPr>
      </w:pPr>
    </w:p>
    <w:p>
      <w:pPr>
        <w:ind w:left="2580" w:hanging="648"/>
        <w:spacing w:after="0" w:line="228" w:lineRule="auto"/>
        <w:tabs>
          <w:tab w:leader="none" w:pos="2408" w:val="left"/>
        </w:tabs>
        <w:numPr>
          <w:ilvl w:val="2"/>
          <w:numId w:val="265"/>
        </w:numPr>
        <w:rPr>
          <w:rFonts w:ascii="Arial" w:cs="Arial" w:eastAsia="Arial" w:hAnsi="Arial"/>
          <w:sz w:val="22"/>
          <w:szCs w:val="22"/>
          <w:color w:val="auto"/>
        </w:rPr>
      </w:pPr>
      <w:r>
        <w:rPr>
          <w:rFonts w:ascii="Arial" w:cs="Arial" w:eastAsia="Arial" w:hAnsi="Arial"/>
          <w:sz w:val="22"/>
          <w:szCs w:val="22"/>
          <w:color w:val="auto"/>
        </w:rPr>
        <w:t>THE SHARES REPRESENTED BY THIS CERTIFICATE MAY BE TRANSFERRED ONLY IN ACCORDANCE WITH THE TERMS OF AN AGREEMENT BETWEEN THE COMPANY AND THE STOCKHOLDER, A COPY OF WHICH IS ON FILE WITH THE SECRETARY OF THE COMPANY.</w:t>
      </w:r>
    </w:p>
    <w:p>
      <w:pPr>
        <w:spacing w:after="0" w:line="99" w:lineRule="exact"/>
        <w:rPr>
          <w:rFonts w:ascii="Arial" w:cs="Arial" w:eastAsia="Arial" w:hAnsi="Arial"/>
          <w:sz w:val="22"/>
          <w:szCs w:val="22"/>
          <w:color w:val="auto"/>
        </w:rPr>
      </w:pPr>
    </w:p>
    <w:p>
      <w:pPr>
        <w:ind w:left="-20" w:right="100" w:firstLine="1304"/>
        <w:spacing w:after="0" w:line="247" w:lineRule="auto"/>
        <w:tabs>
          <w:tab w:leader="none" w:pos="1744" w:val="left"/>
        </w:tabs>
        <w:numPr>
          <w:ilvl w:val="1"/>
          <w:numId w:val="265"/>
        </w:numPr>
        <w:rPr>
          <w:rFonts w:ascii="Arial" w:cs="Arial" w:eastAsia="Arial" w:hAnsi="Arial"/>
          <w:sz w:val="21"/>
          <w:szCs w:val="21"/>
          <w:color w:val="auto"/>
        </w:rPr>
      </w:pPr>
      <w:r>
        <w:rPr>
          <w:rFonts w:ascii="Arial" w:cs="Arial" w:eastAsia="Arial" w:hAnsi="Arial"/>
          <w:sz w:val="21"/>
          <w:szCs w:val="21"/>
          <w:b w:val="1"/>
          <w:bCs w:val="1"/>
          <w:u w:val="single" w:color="auto"/>
          <w:color w:val="auto"/>
        </w:rPr>
        <w:t>Stop-Transfer Notices</w:t>
      </w:r>
      <w:r>
        <w:rPr>
          <w:rFonts w:ascii="Arial" w:cs="Arial" w:eastAsia="Arial" w:hAnsi="Arial"/>
          <w:sz w:val="21"/>
          <w:szCs w:val="21"/>
          <w:color w:val="auto"/>
        </w:rPr>
        <w:t>. Purchaser agrees that, in order to ensure compliance with the restrictions referred to</w:t>
      </w:r>
      <w:r>
        <w:rPr>
          <w:rFonts w:ascii="Arial" w:cs="Arial" w:eastAsia="Arial" w:hAnsi="Arial"/>
          <w:sz w:val="21"/>
          <w:szCs w:val="21"/>
          <w:b w:val="1"/>
          <w:bCs w:val="1"/>
          <w:color w:val="auto"/>
        </w:rPr>
        <w:t xml:space="preserve"> </w:t>
      </w:r>
      <w:r>
        <w:rPr>
          <w:rFonts w:ascii="Arial" w:cs="Arial" w:eastAsia="Arial" w:hAnsi="Arial"/>
          <w:sz w:val="21"/>
          <w:szCs w:val="21"/>
          <w:color w:val="auto"/>
        </w:rPr>
        <w:t>herein, the Company may issue appropriate “stop transfer” instructions to its transfer agent, if any, and that, if the Company transfers its own securities, it may make appropriate notations to the same effect in its own records.</w:t>
      </w:r>
    </w:p>
    <w:p>
      <w:pPr>
        <w:spacing w:after="0" w:line="77" w:lineRule="exact"/>
        <w:rPr>
          <w:rFonts w:ascii="Arial" w:cs="Arial" w:eastAsia="Arial" w:hAnsi="Arial"/>
          <w:sz w:val="21"/>
          <w:szCs w:val="21"/>
          <w:color w:val="auto"/>
        </w:rPr>
      </w:pPr>
    </w:p>
    <w:p>
      <w:pPr>
        <w:ind w:left="-20" w:right="180" w:firstLine="1304"/>
        <w:spacing w:after="0" w:line="229" w:lineRule="auto"/>
        <w:tabs>
          <w:tab w:leader="none" w:pos="1732" w:val="left"/>
        </w:tabs>
        <w:numPr>
          <w:ilvl w:val="1"/>
          <w:numId w:val="265"/>
        </w:numPr>
        <w:rPr>
          <w:rFonts w:ascii="Arial" w:cs="Arial" w:eastAsia="Arial" w:hAnsi="Arial"/>
          <w:sz w:val="22"/>
          <w:szCs w:val="22"/>
          <w:color w:val="auto"/>
        </w:rPr>
      </w:pPr>
      <w:r>
        <w:rPr>
          <w:rFonts w:ascii="Arial" w:cs="Arial" w:eastAsia="Arial" w:hAnsi="Arial"/>
          <w:sz w:val="22"/>
          <w:szCs w:val="22"/>
          <w:b w:val="1"/>
          <w:bCs w:val="1"/>
          <w:u w:val="single" w:color="auto"/>
          <w:color w:val="auto"/>
        </w:rPr>
        <w:t>Refusal to Transfer</w:t>
      </w:r>
      <w:r>
        <w:rPr>
          <w:rFonts w:ascii="Arial" w:cs="Arial" w:eastAsia="Arial" w:hAnsi="Arial"/>
          <w:sz w:val="22"/>
          <w:szCs w:val="22"/>
          <w:color w:val="auto"/>
        </w:rPr>
        <w:t>. The Company shall not be required (i) to transfer on its books any Shares that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01" w:lineRule="exact"/>
        <w:rPr>
          <w:rFonts w:ascii="Arial" w:cs="Arial" w:eastAsia="Arial" w:hAnsi="Arial"/>
          <w:sz w:val="22"/>
          <w:szCs w:val="22"/>
          <w:color w:val="auto"/>
        </w:rPr>
      </w:pPr>
    </w:p>
    <w:p>
      <w:pPr>
        <w:ind w:left="-20" w:right="140" w:firstLine="656"/>
        <w:spacing w:after="0" w:line="233" w:lineRule="auto"/>
        <w:tabs>
          <w:tab w:leader="none" w:pos="1006" w:val="left"/>
        </w:tabs>
        <w:numPr>
          <w:ilvl w:val="0"/>
          <w:numId w:val="265"/>
        </w:numPr>
        <w:rPr>
          <w:rFonts w:ascii="Arial" w:cs="Arial" w:eastAsia="Arial" w:hAnsi="Arial"/>
          <w:sz w:val="22"/>
          <w:szCs w:val="22"/>
          <w:color w:val="auto"/>
        </w:rPr>
      </w:pPr>
      <w:r>
        <w:rPr>
          <w:rFonts w:ascii="Arial" w:cs="Arial" w:eastAsia="Arial" w:hAnsi="Arial"/>
          <w:sz w:val="22"/>
          <w:szCs w:val="22"/>
          <w:b w:val="1"/>
          <w:bCs w:val="1"/>
          <w:u w:val="single" w:color="auto"/>
          <w:color w:val="auto"/>
        </w:rPr>
        <w:t>No Employment Rights</w:t>
      </w:r>
      <w:r>
        <w:rPr>
          <w:rFonts w:ascii="Arial" w:cs="Arial" w:eastAsia="Arial" w:hAnsi="Arial"/>
          <w:sz w:val="22"/>
          <w:szCs w:val="22"/>
          <w:color w:val="auto"/>
        </w:rPr>
        <w:t>. Nothing in this Agreement shall affect in any manner whatsoever the right or power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 parent or subsidiary of the Company, to terminate Purchaser’s employment or consulting relationship, for any reason, with or without cause.</w:t>
      </w:r>
    </w:p>
    <w:p>
      <w:pPr>
        <w:spacing w:after="0" w:line="100" w:lineRule="exact"/>
        <w:rPr>
          <w:rFonts w:ascii="Arial" w:cs="Arial" w:eastAsia="Arial" w:hAnsi="Arial"/>
          <w:sz w:val="22"/>
          <w:szCs w:val="22"/>
          <w:color w:val="auto"/>
        </w:rPr>
      </w:pPr>
    </w:p>
    <w:p>
      <w:pPr>
        <w:ind w:left="-20" w:right="80" w:firstLine="656"/>
        <w:spacing w:after="0" w:line="261" w:lineRule="auto"/>
        <w:tabs>
          <w:tab w:leader="none" w:pos="1006" w:val="left"/>
        </w:tabs>
        <w:numPr>
          <w:ilvl w:val="0"/>
          <w:numId w:val="265"/>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83(b) Election</w:t>
      </w:r>
      <w:r>
        <w:rPr>
          <w:rFonts w:ascii="Arial" w:cs="Arial" w:eastAsia="Arial" w:hAnsi="Arial"/>
          <w:sz w:val="19"/>
          <w:szCs w:val="19"/>
          <w:color w:val="auto"/>
        </w:rPr>
        <w:t>. Purchaser understands that Section 83(a) of the Internal Revenue Code of 1986, as amended</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u w:val="single" w:color="auto"/>
          <w:color w:val="auto"/>
        </w:rPr>
        <w:t>Code</w:t>
      </w:r>
      <w:r>
        <w:rPr>
          <w:rFonts w:ascii="Arial" w:cs="Arial" w:eastAsia="Arial" w:hAnsi="Arial"/>
          <w:sz w:val="19"/>
          <w:szCs w:val="19"/>
          <w:color w:val="auto"/>
        </w:rPr>
        <w:t>”), taxes as ordinary income for a Nonstatutory Stock Option and as 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9"/>
          <w:szCs w:val="19"/>
          <w:u w:val="single" w:color="auto"/>
          <w:color w:val="auto"/>
        </w:rPr>
        <w:t>restriction</w:t>
      </w:r>
      <w:r>
        <w:rPr>
          <w:rFonts w:ascii="Arial" w:cs="Arial" w:eastAsia="Arial" w:hAnsi="Arial"/>
          <w:sz w:val="19"/>
          <w:szCs w:val="19"/>
          <w:color w:val="auto"/>
        </w:rPr>
        <w:t>”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w:t>
      </w:r>
      <w:r>
        <w:rPr>
          <w:rFonts w:ascii="Arial" w:cs="Arial" w:eastAsia="Arial" w:hAnsi="Arial"/>
          <w:sz w:val="19"/>
          <w:szCs w:val="19"/>
          <w:u w:val="single" w:color="auto"/>
          <w:color w:val="auto"/>
        </w:rPr>
        <w:t>83(b) Election</w:t>
      </w:r>
      <w:r>
        <w:rPr>
          <w:rFonts w:ascii="Arial" w:cs="Arial" w:eastAsia="Arial" w:hAnsi="Arial"/>
          <w:sz w:val="19"/>
          <w:szCs w:val="19"/>
          <w:color w:val="auto"/>
        </w:rPr>
        <w:t>”) of the Code with the Internal Revenue Service within 30 days from the date of purchase. Even if the Fair Market Value of the Shares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40" w:top="1408" w:right="339" w:bottom="1440" w:gutter="0" w:footer="0" w:header="0"/>
        </w:sectPr>
      </w:pPr>
    </w:p>
    <w:bookmarkStart w:id="346" w:name="page347"/>
    <w:bookmarkEnd w:id="346"/>
    <w:p>
      <w:pPr>
        <w:ind w:right="100"/>
        <w:spacing w:after="0" w:line="233" w:lineRule="auto"/>
        <w:rPr>
          <w:sz w:val="20"/>
          <w:szCs w:val="20"/>
          <w:color w:val="auto"/>
        </w:rPr>
      </w:pPr>
      <w:r>
        <w:rPr>
          <w:rFonts w:ascii="Arial" w:cs="Arial" w:eastAsia="Arial" w:hAnsi="Arial"/>
          <w:sz w:val="21"/>
          <w:szCs w:val="21"/>
          <w:color w:val="auto"/>
        </w:rPr>
        <w:t>of the execution of this Agreement equals the amount paid for the Shares, the election must be made to avoid income and alternative minimum tax treatment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w:t>
      </w:r>
    </w:p>
    <w:p>
      <w:pPr>
        <w:spacing w:after="0" w:line="104" w:lineRule="exact"/>
        <w:rPr>
          <w:sz w:val="20"/>
          <w:szCs w:val="20"/>
          <w:color w:val="auto"/>
        </w:rPr>
      </w:pPr>
    </w:p>
    <w:p>
      <w:pPr>
        <w:jc w:val="both"/>
        <w:ind w:right="460" w:firstLine="648"/>
        <w:spacing w:after="0" w:line="258" w:lineRule="auto"/>
        <w:rPr>
          <w:sz w:val="20"/>
          <w:szCs w:val="20"/>
          <w:color w:val="auto"/>
        </w:rPr>
      </w:pPr>
      <w:r>
        <w:rPr>
          <w:rFonts w:ascii="Arial" w:cs="Arial" w:eastAsia="Arial" w:hAnsi="Arial"/>
          <w:sz w:val="19"/>
          <w:szCs w:val="19"/>
          <w:color w:val="auto"/>
        </w:rPr>
        <w:t>Purchaser agrees that he or she will execute and deliver to the Company with this executed Agreement a copy of the Acknowledgment and Statement of Decision Regarding Section 83(b) Election (the “</w:t>
      </w:r>
      <w:r>
        <w:rPr>
          <w:rFonts w:ascii="Arial" w:cs="Arial" w:eastAsia="Arial" w:hAnsi="Arial"/>
          <w:sz w:val="19"/>
          <w:szCs w:val="19"/>
          <w:u w:val="single" w:color="auto"/>
          <w:color w:val="auto"/>
        </w:rPr>
        <w:t>Acknowledgment</w:t>
      </w:r>
      <w:r>
        <w:rPr>
          <w:rFonts w:ascii="Arial" w:cs="Arial" w:eastAsia="Arial" w:hAnsi="Arial"/>
          <w:sz w:val="19"/>
          <w:szCs w:val="19"/>
          <w:color w:val="auto"/>
        </w:rPr>
        <w:t xml:space="preserve">”) attached hereto as </w:t>
      </w:r>
      <w:r>
        <w:rPr>
          <w:rFonts w:ascii="Arial" w:cs="Arial" w:eastAsia="Arial" w:hAnsi="Arial"/>
          <w:sz w:val="19"/>
          <w:szCs w:val="19"/>
          <w:u w:val="single" w:color="auto"/>
          <w:color w:val="auto"/>
        </w:rPr>
        <w:t>Attachment B</w:t>
      </w:r>
      <w:r>
        <w:rPr>
          <w:rFonts w:ascii="Arial" w:cs="Arial" w:eastAsia="Arial" w:hAnsi="Arial"/>
          <w:sz w:val="19"/>
          <w:szCs w:val="19"/>
          <w:color w:val="auto"/>
        </w:rPr>
        <w:t>. Purchaser further agrees that he or she will execute and submit with the Acknowledgment a copy of the 83(b)</w:t>
      </w:r>
    </w:p>
    <w:p>
      <w:pPr>
        <w:spacing w:after="0" w:line="2" w:lineRule="exact"/>
        <w:rPr>
          <w:sz w:val="20"/>
          <w:szCs w:val="20"/>
          <w:color w:val="auto"/>
        </w:rPr>
      </w:pPr>
    </w:p>
    <w:p>
      <w:pPr>
        <w:ind w:right="300"/>
        <w:spacing w:after="0" w:line="230" w:lineRule="auto"/>
        <w:rPr>
          <w:sz w:val="20"/>
          <w:szCs w:val="20"/>
          <w:color w:val="auto"/>
        </w:rPr>
      </w:pPr>
      <w:r>
        <w:rPr>
          <w:rFonts w:ascii="Arial" w:cs="Arial" w:eastAsia="Arial" w:hAnsi="Arial"/>
          <w:sz w:val="22"/>
          <w:szCs w:val="22"/>
          <w:color w:val="auto"/>
        </w:rPr>
        <w:t xml:space="preserve">Election attached hereto as </w:t>
      </w:r>
      <w:r>
        <w:rPr>
          <w:rFonts w:ascii="Arial" w:cs="Arial" w:eastAsia="Arial" w:hAnsi="Arial"/>
          <w:sz w:val="22"/>
          <w:szCs w:val="22"/>
          <w:u w:val="single" w:color="auto"/>
          <w:color w:val="auto"/>
        </w:rPr>
        <w:t>Attachment C</w:t>
      </w:r>
      <w:r>
        <w:rPr>
          <w:rFonts w:ascii="Arial" w:cs="Arial" w:eastAsia="Arial" w:hAnsi="Arial"/>
          <w:sz w:val="22"/>
          <w:szCs w:val="22"/>
          <w:color w:val="auto"/>
        </w:rPr>
        <w:t xml:space="preserve"> (for tax purposes in connection with the early exercise of an option) if Purchaser has indicated in the Acknowledgment his or her decision to make such an election.</w:t>
      </w:r>
    </w:p>
    <w:p>
      <w:pPr>
        <w:spacing w:after="0" w:line="85" w:lineRule="exact"/>
        <w:rPr>
          <w:sz w:val="20"/>
          <w:szCs w:val="20"/>
          <w:color w:val="auto"/>
        </w:rPr>
      </w:pPr>
    </w:p>
    <w:p>
      <w:pPr>
        <w:ind w:firstLine="656"/>
        <w:spacing w:after="0" w:line="233" w:lineRule="auto"/>
        <w:tabs>
          <w:tab w:leader="none" w:pos="1026" w:val="left"/>
        </w:tabs>
        <w:numPr>
          <w:ilvl w:val="0"/>
          <w:numId w:val="266"/>
        </w:numPr>
        <w:rPr>
          <w:rFonts w:ascii="Arial" w:cs="Arial" w:eastAsia="Arial" w:hAnsi="Arial"/>
          <w:sz w:val="21"/>
          <w:szCs w:val="21"/>
          <w:color w:val="auto"/>
        </w:rPr>
      </w:pPr>
      <w:r>
        <w:rPr>
          <w:rFonts w:ascii="Arial" w:cs="Arial" w:eastAsia="Arial" w:hAnsi="Arial"/>
          <w:sz w:val="21"/>
          <w:szCs w:val="21"/>
          <w:b w:val="1"/>
          <w:bCs w:val="1"/>
          <w:u w:val="single" w:color="auto"/>
          <w:color w:val="auto"/>
        </w:rPr>
        <w:t>Lock-Up Agreement</w:t>
      </w:r>
      <w:r>
        <w:rPr>
          <w:rFonts w:ascii="Arial" w:cs="Arial" w:eastAsia="Arial" w:hAnsi="Arial"/>
          <w:sz w:val="21"/>
          <w:szCs w:val="21"/>
          <w:color w:val="auto"/>
        </w:rPr>
        <w:t>. In connection with the initial public offering of the Company’s securities and upon request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or the 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but subject to such extension or extensions as may be required by the underwriters in order to publish research reports while complying with Rule 2711 of the Financial Industry Regulatory Authority) from the effective date of such registration as may be requested by the Company or such managing underwriters and to execute an agreement reflecting the foregoing as may be requested by the underwriters at the time of the public offering.</w:t>
      </w:r>
    </w:p>
    <w:p>
      <w:pPr>
        <w:spacing w:after="0" w:line="104" w:lineRule="exact"/>
        <w:rPr>
          <w:rFonts w:ascii="Arial" w:cs="Arial" w:eastAsia="Arial" w:hAnsi="Arial"/>
          <w:sz w:val="21"/>
          <w:szCs w:val="21"/>
          <w:color w:val="auto"/>
        </w:rPr>
      </w:pPr>
    </w:p>
    <w:p>
      <w:pPr>
        <w:ind w:right="80" w:firstLine="656"/>
        <w:spacing w:after="0" w:line="229" w:lineRule="auto"/>
        <w:tabs>
          <w:tab w:leader="none" w:pos="1134" w:val="left"/>
        </w:tabs>
        <w:numPr>
          <w:ilvl w:val="0"/>
          <w:numId w:val="266"/>
        </w:numPr>
        <w:rPr>
          <w:rFonts w:ascii="Arial" w:cs="Arial" w:eastAsia="Arial" w:hAnsi="Arial"/>
          <w:sz w:val="22"/>
          <w:szCs w:val="22"/>
          <w:color w:val="auto"/>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Purchaser should obtain advice from an appropriate independent professional adviser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taxation implications of the grant, issuance, purchase, retention, assignment, release, cancellation, sale or any other disposal of the Shares (each, a “</w:t>
      </w:r>
      <w:r>
        <w:rPr>
          <w:rFonts w:ascii="Arial" w:cs="Arial" w:eastAsia="Arial" w:hAnsi="Arial"/>
          <w:sz w:val="22"/>
          <w:szCs w:val="22"/>
          <w:u w:val="single" w:color="auto"/>
          <w:color w:val="auto"/>
        </w:rPr>
        <w:t>Trigger Event</w:t>
      </w:r>
      <w:r>
        <w:rPr>
          <w:rFonts w:ascii="Arial" w:cs="Arial" w:eastAsia="Arial" w:hAnsi="Arial"/>
          <w:sz w:val="22"/>
          <w:szCs w:val="22"/>
          <w:color w:val="auto"/>
        </w:rPr>
        <w:t>”). Participant should also take advice in respect of the taxation indemnity provisions under Section 11 below.</w:t>
      </w:r>
    </w:p>
    <w:p>
      <w:pPr>
        <w:spacing w:after="0" w:line="101" w:lineRule="exact"/>
        <w:rPr>
          <w:rFonts w:ascii="Arial" w:cs="Arial" w:eastAsia="Arial" w:hAnsi="Arial"/>
          <w:sz w:val="22"/>
          <w:szCs w:val="22"/>
          <w:color w:val="auto"/>
        </w:rPr>
      </w:pPr>
    </w:p>
    <w:p>
      <w:pPr>
        <w:ind w:left="1140" w:hanging="484"/>
        <w:spacing w:after="0"/>
        <w:tabs>
          <w:tab w:leader="none" w:pos="1140" w:val="left"/>
        </w:tabs>
        <w:numPr>
          <w:ilvl w:val="0"/>
          <w:numId w:val="266"/>
        </w:numPr>
        <w:rPr>
          <w:rFonts w:ascii="Arial" w:cs="Arial" w:eastAsia="Arial" w:hAnsi="Arial"/>
          <w:sz w:val="22"/>
          <w:szCs w:val="22"/>
          <w:color w:val="auto"/>
        </w:rPr>
      </w:pPr>
      <w:r>
        <w:rPr>
          <w:rFonts w:ascii="Arial" w:cs="Arial" w:eastAsia="Arial" w:hAnsi="Arial"/>
          <w:sz w:val="22"/>
          <w:szCs w:val="22"/>
          <w:b w:val="1"/>
          <w:bCs w:val="1"/>
          <w:u w:val="single" w:color="auto"/>
          <w:color w:val="auto"/>
        </w:rPr>
        <w:t>Purchaser’s Taxation Indemnity</w:t>
      </w:r>
      <w:r>
        <w:rPr>
          <w:rFonts w:ascii="Arial" w:cs="Arial" w:eastAsia="Arial" w:hAnsi="Arial"/>
          <w:sz w:val="22"/>
          <w:szCs w:val="22"/>
          <w:color w:val="auto"/>
        </w:rPr>
        <w:t>.</w:t>
      </w:r>
    </w:p>
    <w:p>
      <w:pPr>
        <w:spacing w:after="0" w:line="117" w:lineRule="exact"/>
        <w:rPr>
          <w:rFonts w:ascii="Arial" w:cs="Arial" w:eastAsia="Arial" w:hAnsi="Arial"/>
          <w:sz w:val="22"/>
          <w:szCs w:val="22"/>
          <w:color w:val="auto"/>
        </w:rPr>
      </w:pPr>
    </w:p>
    <w:p>
      <w:pPr>
        <w:ind w:right="340" w:firstLine="1304"/>
        <w:spacing w:after="0" w:line="228" w:lineRule="auto"/>
        <w:tabs>
          <w:tab w:leader="none" w:pos="1748" w:val="left"/>
        </w:tabs>
        <w:numPr>
          <w:ilvl w:val="1"/>
          <w:numId w:val="266"/>
        </w:numPr>
        <w:rPr>
          <w:rFonts w:ascii="Arial" w:cs="Arial" w:eastAsia="Arial" w:hAnsi="Arial"/>
          <w:sz w:val="22"/>
          <w:szCs w:val="22"/>
          <w:color w:val="auto"/>
        </w:rPr>
      </w:pPr>
      <w:r>
        <w:rPr>
          <w:rFonts w:ascii="Arial" w:cs="Arial" w:eastAsia="Arial" w:hAnsi="Arial"/>
          <w:sz w:val="22"/>
          <w:szCs w:val="22"/>
          <w:color w:val="auto"/>
        </w:rPr>
        <w:t>To the extent permitted by law, Purchaser hereby agrees to indemnify and keep indemnified the Company and the Company as trustee for and on behalf of any affiliate entity, in respect of any liability or obligation of the Company and/or any affiliate entity to account for income tax or any other taxation provisions under the laws of Purchaser’s country or citizenship and/or residence to the extent arising from a Trigger Event.</w:t>
      </w:r>
    </w:p>
    <w:p>
      <w:pPr>
        <w:spacing w:after="0" w:line="105" w:lineRule="exact"/>
        <w:rPr>
          <w:rFonts w:ascii="Arial" w:cs="Arial" w:eastAsia="Arial" w:hAnsi="Arial"/>
          <w:sz w:val="22"/>
          <w:szCs w:val="22"/>
          <w:color w:val="auto"/>
        </w:rPr>
      </w:pPr>
    </w:p>
    <w:p>
      <w:pPr>
        <w:ind w:right="20" w:firstLine="1304"/>
        <w:spacing w:after="0" w:line="282" w:lineRule="auto"/>
        <w:tabs>
          <w:tab w:leader="none" w:pos="1760" w:val="left"/>
        </w:tabs>
        <w:numPr>
          <w:ilvl w:val="1"/>
          <w:numId w:val="266"/>
        </w:numPr>
        <w:rPr>
          <w:rFonts w:ascii="Arial" w:cs="Arial" w:eastAsia="Arial" w:hAnsi="Arial"/>
          <w:sz w:val="19"/>
          <w:szCs w:val="19"/>
          <w:color w:val="auto"/>
        </w:rPr>
      </w:pPr>
      <w:r>
        <w:rPr>
          <w:rFonts w:ascii="Arial" w:cs="Arial" w:eastAsia="Arial" w:hAnsi="Arial"/>
          <w:sz w:val="19"/>
          <w:szCs w:val="19"/>
          <w:color w:val="auto"/>
        </w:rPr>
        <w:t>The Company shall not be obliged to allot and issue any of the Shares or any interest in the Shares unless and until Purchaser has paid to the Company such sum as is, in the opinion of the Company, sufficient to indemnify the Company in full against any liability the Company has for any amount of, or representing, income tax or any other tax arising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4" w:right="339" w:bottom="1440" w:gutter="0" w:footer="0" w:header="0"/>
        </w:sectPr>
      </w:pPr>
    </w:p>
    <w:bookmarkStart w:id="347" w:name="page348"/>
    <w:bookmarkEnd w:id="347"/>
    <w:p>
      <w:pPr>
        <w:jc w:val="both"/>
        <w:ind w:right="40"/>
        <w:spacing w:after="0" w:line="231" w:lineRule="auto"/>
        <w:rPr>
          <w:sz w:val="20"/>
          <w:szCs w:val="20"/>
          <w:color w:val="auto"/>
        </w:rPr>
      </w:pPr>
      <w:r>
        <w:rPr>
          <w:rFonts w:ascii="Arial" w:cs="Arial" w:eastAsia="Arial" w:hAnsi="Arial"/>
          <w:sz w:val="22"/>
          <w:szCs w:val="22"/>
          <w:color w:val="auto"/>
        </w:rPr>
        <w:t>Trigger Event (the “</w:t>
      </w:r>
      <w:r>
        <w:rPr>
          <w:rFonts w:ascii="Arial" w:cs="Arial" w:eastAsia="Arial" w:hAnsi="Arial"/>
          <w:sz w:val="22"/>
          <w:szCs w:val="22"/>
          <w:u w:val="single" w:color="auto"/>
          <w:color w:val="auto"/>
        </w:rPr>
        <w:t>Shares Tax Liability</w:t>
      </w:r>
      <w:r>
        <w:rPr>
          <w:rFonts w:ascii="Arial" w:cs="Arial" w:eastAsia="Arial" w:hAnsi="Arial"/>
          <w:sz w:val="22"/>
          <w:szCs w:val="22"/>
          <w:color w:val="auto"/>
        </w:rPr>
        <w:t>”), or Purchaser has made such other arrangement as in the opinion of the Company will ensure that the full amount of any Shares Tax Liability will be recovered from Purchaser within such period as the Company may then determine.</w:t>
      </w:r>
    </w:p>
    <w:p>
      <w:pPr>
        <w:spacing w:after="0" w:line="101" w:lineRule="exact"/>
        <w:rPr>
          <w:sz w:val="20"/>
          <w:szCs w:val="20"/>
          <w:color w:val="auto"/>
        </w:rPr>
      </w:pPr>
    </w:p>
    <w:p>
      <w:pPr>
        <w:ind w:left="1140" w:hanging="484"/>
        <w:spacing w:after="0"/>
        <w:tabs>
          <w:tab w:leader="none" w:pos="1140" w:val="left"/>
        </w:tabs>
        <w:numPr>
          <w:ilvl w:val="0"/>
          <w:numId w:val="267"/>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Protection</w:t>
      </w:r>
      <w:r>
        <w:rPr>
          <w:rFonts w:ascii="Arial" w:cs="Arial" w:eastAsia="Arial" w:hAnsi="Arial"/>
          <w:sz w:val="22"/>
          <w:szCs w:val="22"/>
          <w:color w:val="auto"/>
        </w:rPr>
        <w:t>.</w:t>
      </w:r>
    </w:p>
    <w:p>
      <w:pPr>
        <w:spacing w:after="0" w:line="117" w:lineRule="exact"/>
        <w:rPr>
          <w:rFonts w:ascii="Arial" w:cs="Arial" w:eastAsia="Arial" w:hAnsi="Arial"/>
          <w:sz w:val="22"/>
          <w:szCs w:val="22"/>
          <w:color w:val="auto"/>
        </w:rPr>
      </w:pPr>
    </w:p>
    <w:p>
      <w:pPr>
        <w:ind w:right="240" w:firstLine="1304"/>
        <w:spacing w:after="0" w:line="224" w:lineRule="auto"/>
        <w:tabs>
          <w:tab w:leader="none" w:pos="1748" w:val="left"/>
        </w:tabs>
        <w:numPr>
          <w:ilvl w:val="1"/>
          <w:numId w:val="267"/>
        </w:numPr>
        <w:rPr>
          <w:rFonts w:ascii="Arial" w:cs="Arial" w:eastAsia="Arial" w:hAnsi="Arial"/>
          <w:sz w:val="22"/>
          <w:szCs w:val="22"/>
          <w:color w:val="auto"/>
        </w:rPr>
      </w:pPr>
      <w:r>
        <w:rPr>
          <w:rFonts w:ascii="Arial" w:cs="Arial" w:eastAsia="Arial" w:hAnsi="Arial"/>
          <w:sz w:val="22"/>
          <w:szCs w:val="22"/>
          <w:color w:val="auto"/>
        </w:rPr>
        <w:t>To facilitate the administration of the Plan and this Agreement, it will be necessary for the Company (or its payroll administrators) to collect, hold and process certain personal information about Purchaser and to transfer this data to certain third parties such as brokers with whom Purchaser may elect to deposit any share capital under the Plan. Purchaser consents to the Company (or its payroll administrators) collecting, holding and processing Purchaser’s personal data and transferring this data to the Company or any other third parties insofar as is reasonably necessary to implement, administer and manage the Plan.</w:t>
      </w:r>
    </w:p>
    <w:p>
      <w:pPr>
        <w:spacing w:after="0" w:line="108" w:lineRule="exact"/>
        <w:rPr>
          <w:rFonts w:ascii="Arial" w:cs="Arial" w:eastAsia="Arial" w:hAnsi="Arial"/>
          <w:sz w:val="22"/>
          <w:szCs w:val="22"/>
          <w:color w:val="auto"/>
        </w:rPr>
      </w:pPr>
    </w:p>
    <w:p>
      <w:pPr>
        <w:ind w:firstLine="1304"/>
        <w:spacing w:after="0" w:line="228" w:lineRule="auto"/>
        <w:tabs>
          <w:tab w:leader="none" w:pos="1764" w:val="left"/>
        </w:tabs>
        <w:numPr>
          <w:ilvl w:val="1"/>
          <w:numId w:val="267"/>
        </w:numPr>
        <w:rPr>
          <w:rFonts w:ascii="Arial" w:cs="Arial" w:eastAsia="Arial" w:hAnsi="Arial"/>
          <w:sz w:val="22"/>
          <w:szCs w:val="22"/>
          <w:color w:val="auto"/>
        </w:rPr>
      </w:pPr>
      <w:r>
        <w:rPr>
          <w:rFonts w:ascii="Arial" w:cs="Arial" w:eastAsia="Arial" w:hAnsi="Arial"/>
          <w:sz w:val="22"/>
          <w:szCs w:val="22"/>
          <w:color w:val="auto"/>
        </w:rPr>
        <w:t>Purchaser understands that Purchaser may, at any time, view Purchaser’s personal data, require any necessary corrections to it or withdraw the consents herein in writing by contacting the Company, but acknowledges that without the use of such data it may not be practicable for the Company to administer Purchaser’s involvement in the Plan in a timely fashion or at all and this may be detrimental to Purchaser.</w:t>
      </w:r>
    </w:p>
    <w:p>
      <w:pPr>
        <w:spacing w:after="0" w:line="99" w:lineRule="exact"/>
        <w:rPr>
          <w:rFonts w:ascii="Arial" w:cs="Arial" w:eastAsia="Arial" w:hAnsi="Arial"/>
          <w:sz w:val="22"/>
          <w:szCs w:val="22"/>
          <w:color w:val="auto"/>
        </w:rPr>
      </w:pPr>
    </w:p>
    <w:p>
      <w:pPr>
        <w:ind w:left="1140" w:hanging="484"/>
        <w:spacing w:after="0"/>
        <w:tabs>
          <w:tab w:leader="none" w:pos="1140" w:val="left"/>
        </w:tabs>
        <w:numPr>
          <w:ilvl w:val="0"/>
          <w:numId w:val="267"/>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right="40" w:firstLine="1304"/>
        <w:spacing w:after="0" w:line="233" w:lineRule="auto"/>
        <w:tabs>
          <w:tab w:leader="none" w:pos="1752" w:val="left"/>
        </w:tabs>
        <w:numPr>
          <w:ilvl w:val="1"/>
          <w:numId w:val="26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all acts and transactions pursuant hereto and the rights and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 shall be governed, construed and interpreted in accordance with the laws of the State of California, without giving effect to principles of conflicts of law.</w:t>
      </w:r>
    </w:p>
    <w:p>
      <w:pPr>
        <w:spacing w:after="0" w:line="100" w:lineRule="exact"/>
        <w:rPr>
          <w:rFonts w:ascii="Arial" w:cs="Arial" w:eastAsia="Arial" w:hAnsi="Arial"/>
          <w:sz w:val="22"/>
          <w:szCs w:val="22"/>
          <w:color w:val="auto"/>
        </w:rPr>
      </w:pPr>
    </w:p>
    <w:p>
      <w:pPr>
        <w:ind w:right="100" w:firstLine="1304"/>
        <w:spacing w:after="0" w:line="227" w:lineRule="auto"/>
        <w:tabs>
          <w:tab w:leader="none" w:pos="1764" w:val="left"/>
        </w:tabs>
        <w:numPr>
          <w:ilvl w:val="1"/>
          <w:numId w:val="267"/>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This Agreement sets forth the entire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of the parties relating to the 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99" w:lineRule="exact"/>
        <w:rPr>
          <w:rFonts w:ascii="Arial" w:cs="Arial" w:eastAsia="Arial" w:hAnsi="Arial"/>
          <w:sz w:val="22"/>
          <w:szCs w:val="22"/>
          <w:color w:val="auto"/>
        </w:rPr>
      </w:pPr>
    </w:p>
    <w:p>
      <w:pPr>
        <w:ind w:right="60" w:firstLine="1304"/>
        <w:spacing w:after="0" w:line="227" w:lineRule="auto"/>
        <w:tabs>
          <w:tab w:leader="none" w:pos="1752" w:val="left"/>
        </w:tabs>
        <w:numPr>
          <w:ilvl w:val="1"/>
          <w:numId w:val="267"/>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this Agreement are held to be unenforceable under applicable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to 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86" w:lineRule="exact"/>
        <w:rPr>
          <w:rFonts w:ascii="Arial" w:cs="Arial" w:eastAsia="Arial" w:hAnsi="Arial"/>
          <w:sz w:val="22"/>
          <w:szCs w:val="22"/>
          <w:color w:val="auto"/>
        </w:rPr>
      </w:pPr>
    </w:p>
    <w:p>
      <w:pPr>
        <w:ind w:right="300" w:firstLine="1304"/>
        <w:spacing w:after="0" w:line="286" w:lineRule="auto"/>
        <w:tabs>
          <w:tab w:leader="none" w:pos="1764" w:val="left"/>
        </w:tabs>
        <w:numPr>
          <w:ilvl w:val="1"/>
          <w:numId w:val="267"/>
        </w:numPr>
        <w:rPr>
          <w:rFonts w:ascii="Arial" w:cs="Arial" w:eastAsia="Arial" w:hAnsi="Arial"/>
          <w:sz w:val="19"/>
          <w:szCs w:val="19"/>
          <w:color w:val="auto"/>
        </w:rPr>
      </w:pPr>
      <w:r>
        <w:rPr>
          <w:rFonts w:ascii="Arial" w:cs="Arial" w:eastAsia="Arial" w:hAnsi="Arial"/>
          <w:sz w:val="19"/>
          <w:szCs w:val="19"/>
          <w:b w:val="1"/>
          <w:bCs w:val="1"/>
          <w:u w:val="single" w:color="auto"/>
          <w:color w:val="auto"/>
        </w:rPr>
        <w:t>Construction</w:t>
      </w:r>
      <w:r>
        <w:rPr>
          <w:rFonts w:ascii="Arial" w:cs="Arial" w:eastAsia="Arial" w:hAnsi="Arial"/>
          <w:sz w:val="19"/>
          <w:szCs w:val="19"/>
          <w:color w:val="auto"/>
        </w:rPr>
        <w:t>. This Agreement is the result of negotiations between and has been reviewed by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and their respective counsel, if any; accordingly, this Agreement shall be deemed to be the product of all of the parties hereto, and no ambiguity shall be construed in favor of or against any one of the parties hereto.</w:t>
      </w:r>
    </w:p>
    <w:p>
      <w:pPr>
        <w:spacing w:after="0" w:line="55" w:lineRule="exact"/>
        <w:rPr>
          <w:rFonts w:ascii="Arial" w:cs="Arial" w:eastAsia="Arial" w:hAnsi="Arial"/>
          <w:sz w:val="19"/>
          <w:szCs w:val="19"/>
          <w:color w:val="auto"/>
        </w:rPr>
      </w:pPr>
    </w:p>
    <w:p>
      <w:pPr>
        <w:ind w:right="80" w:firstLine="1304"/>
        <w:spacing w:after="0" w:line="229" w:lineRule="auto"/>
        <w:tabs>
          <w:tab w:leader="none" w:pos="1752" w:val="left"/>
        </w:tabs>
        <w:numPr>
          <w:ilvl w:val="1"/>
          <w:numId w:val="267"/>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required or permitted by this Agreement shall be in writing and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when delivered personally or sent by 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4" w:right="339" w:bottom="1440" w:gutter="0" w:footer="0" w:header="0"/>
        </w:sectPr>
      </w:pPr>
    </w:p>
    <w:bookmarkStart w:id="348" w:name="page349"/>
    <w:bookmarkEnd w:id="348"/>
    <w:p>
      <w:pPr>
        <w:ind w:left="-40" w:firstLine="1304"/>
        <w:spacing w:after="0" w:line="243" w:lineRule="auto"/>
        <w:tabs>
          <w:tab w:leader="none" w:pos="1688" w:val="left"/>
        </w:tabs>
        <w:numPr>
          <w:ilvl w:val="0"/>
          <w:numId w:val="268"/>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two or more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and all of which together shall constitute one instrument.</w:t>
      </w:r>
    </w:p>
    <w:p>
      <w:pPr>
        <w:spacing w:after="0" w:line="95" w:lineRule="exact"/>
        <w:rPr>
          <w:rFonts w:ascii="Arial" w:cs="Arial" w:eastAsia="Arial" w:hAnsi="Arial"/>
          <w:sz w:val="22"/>
          <w:szCs w:val="22"/>
          <w:color w:val="auto"/>
        </w:rPr>
      </w:pPr>
    </w:p>
    <w:p>
      <w:pPr>
        <w:ind w:left="-40" w:right="20" w:firstLine="1304"/>
        <w:spacing w:after="0" w:line="233" w:lineRule="auto"/>
        <w:tabs>
          <w:tab w:leader="none" w:pos="1724" w:val="left"/>
        </w:tabs>
        <w:numPr>
          <w:ilvl w:val="0"/>
          <w:numId w:val="268"/>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 The rights and obligations of Purchaser under this Agreement may only be assigned with the prior written consent of the Company.</w:t>
      </w:r>
    </w:p>
    <w:p>
      <w:pPr>
        <w:spacing w:after="0" w:line="9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80"/>
          </w:cols>
          <w:pgMar w:left="360" w:top="1408" w:right="359" w:bottom="1440" w:gutter="0" w:footer="0" w:header="0"/>
        </w:sectPr>
      </w:pPr>
    </w:p>
    <w:bookmarkStart w:id="349" w:name="page350"/>
    <w:bookmarkEnd w:id="349"/>
    <w:p>
      <w:pPr>
        <w:ind w:right="540"/>
        <w:spacing w:after="0" w:line="239" w:lineRule="auto"/>
        <w:rPr>
          <w:sz w:val="20"/>
          <w:szCs w:val="20"/>
          <w:color w:val="auto"/>
        </w:rPr>
      </w:pPr>
      <w:r>
        <w:rPr>
          <w:rFonts w:ascii="Arial" w:cs="Arial" w:eastAsia="Arial" w:hAnsi="Arial"/>
          <w:sz w:val="22"/>
          <w:szCs w:val="22"/>
          <w:color w:val="auto"/>
        </w:rPr>
        <w:t>The parties have executed this Early Exercise Notice and Restricted Stock Purchase Agreement as of the date first set forth above.</w:t>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COMPANY:</w:t>
      </w:r>
    </w:p>
    <w:p>
      <w:pPr>
        <w:spacing w:after="0" w:line="314"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PROCEPT BIOROBOTICS CORPORATION</w:t>
      </w:r>
    </w:p>
    <w:p>
      <w:pPr>
        <w:spacing w:after="0" w:line="33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24130</wp:posOffset>
            </wp:positionV>
            <wp:extent cx="2400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1" w:lineRule="exact"/>
        <w:rPr>
          <w:sz w:val="20"/>
          <w:szCs w:val="20"/>
          <w:color w:val="auto"/>
        </w:rPr>
      </w:pPr>
    </w:p>
    <w:p>
      <w:pPr>
        <w:ind w:left="6260"/>
        <w:spacing w:after="0"/>
        <w:rPr>
          <w:sz w:val="20"/>
          <w:szCs w:val="20"/>
          <w:color w:val="auto"/>
        </w:rPr>
      </w:pPr>
      <w:r>
        <w:rPr>
          <w:rFonts w:ascii="Arial" w:cs="Arial" w:eastAsia="Arial" w:hAnsi="Arial"/>
          <w:sz w:val="22"/>
          <w:szCs w:val="22"/>
          <w:color w:val="auto"/>
        </w:rPr>
        <w:t>(Signature)</w:t>
      </w:r>
    </w:p>
    <w:p>
      <w:pPr>
        <w:spacing w:after="0" w:line="58"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24130</wp:posOffset>
            </wp:positionV>
            <wp:extent cx="24003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1" w:lineRule="exact"/>
        <w:rPr>
          <w:sz w:val="20"/>
          <w:szCs w:val="20"/>
          <w:color w:val="auto"/>
        </w:rPr>
      </w:pPr>
    </w:p>
    <w:p>
      <w:pPr>
        <w:ind w:left="6260"/>
        <w:spacing w:after="0"/>
        <w:rPr>
          <w:sz w:val="20"/>
          <w:szCs w:val="20"/>
          <w:color w:val="auto"/>
        </w:rPr>
      </w:pPr>
      <w:r>
        <w:rPr>
          <w:rFonts w:ascii="Arial" w:cs="Arial" w:eastAsia="Arial" w:hAnsi="Arial"/>
          <w:sz w:val="22"/>
          <w:szCs w:val="22"/>
          <w:color w:val="auto"/>
        </w:rPr>
        <w:t>(Printed Name)</w:t>
      </w:r>
    </w:p>
    <w:p>
      <w:pPr>
        <w:spacing w:after="0" w:line="58"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24130</wp:posOffset>
            </wp:positionV>
            <wp:extent cx="24003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PURCHASER: «HolderName»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508000</wp:posOffset>
            </wp:positionV>
            <wp:extent cx="3128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(Signature)</w:t>
      </w:r>
    </w:p>
    <w:p>
      <w:pPr>
        <w:spacing w:after="0" w:line="328"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195580</wp:posOffset>
            </wp:positionV>
            <wp:extent cx="24003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240030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24130</wp:posOffset>
            </wp:positionV>
            <wp:extent cx="24003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color w:val="auto"/>
        </w:rPr>
        <w:t>I, ______________, spouse of «HolderName», have read and hereby approve the foregoing Agreement. In consideration of the</w:t>
      </w:r>
    </w:p>
    <w:p>
      <w:pPr>
        <w:spacing w:after="0" w:line="29"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Company’s granting my spouse the right to purchase the Shares as set forth in the Agreement, I hereby agree to be irrevocably bound by the Agreement and further agree that any community property or other such interest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722630</wp:posOffset>
            </wp:positionV>
            <wp:extent cx="22802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60"/>
        <w:spacing w:after="0"/>
        <w:rPr>
          <w:sz w:val="20"/>
          <w:szCs w:val="20"/>
          <w:color w:val="auto"/>
        </w:rPr>
      </w:pPr>
      <w:r>
        <w:rPr>
          <w:rFonts w:ascii="Arial" w:cs="Arial" w:eastAsia="Arial" w:hAnsi="Arial"/>
          <w:sz w:val="22"/>
          <w:szCs w:val="22"/>
          <w:color w:val="auto"/>
        </w:rPr>
        <w:t>Spouse of «HolderName»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180"/>
          </w:cols>
          <w:pgMar w:left="320" w:top="1414" w:right="399" w:bottom="1440" w:gutter="0" w:footer="0" w:header="0"/>
        </w:sectPr>
      </w:pPr>
    </w:p>
    <w:bookmarkStart w:id="350" w:name="page351"/>
    <w:bookmarkEnd w:id="350"/>
    <w:p>
      <w:pPr>
        <w:ind w:left="4800"/>
        <w:spacing w:after="0"/>
        <w:rPr>
          <w:sz w:val="20"/>
          <w:szCs w:val="20"/>
          <w:color w:val="auto"/>
        </w:rPr>
      </w:pPr>
      <w:r>
        <w:rPr>
          <w:rFonts w:ascii="Arial" w:cs="Arial" w:eastAsia="Arial" w:hAnsi="Arial"/>
          <w:sz w:val="22"/>
          <w:szCs w:val="22"/>
          <w:u w:val="single" w:color="auto"/>
          <w:color w:val="auto"/>
        </w:rPr>
        <w:t>ATTACHMENT A</w:t>
      </w:r>
    </w:p>
    <w:p>
      <w:pPr>
        <w:spacing w:after="0" w:line="119" w:lineRule="exact"/>
        <w:rPr>
          <w:sz w:val="20"/>
          <w:szCs w:val="20"/>
          <w:color w:val="auto"/>
        </w:rPr>
      </w:pPr>
    </w:p>
    <w:p>
      <w:pPr>
        <w:ind w:left="3520"/>
        <w:spacing w:after="0"/>
        <w:rPr>
          <w:sz w:val="20"/>
          <w:szCs w:val="20"/>
          <w:color w:val="auto"/>
        </w:rPr>
      </w:pPr>
      <w:r>
        <w:rPr>
          <w:rFonts w:ascii="Arial" w:cs="Arial" w:eastAsia="Arial" w:hAnsi="Arial"/>
          <w:sz w:val="22"/>
          <w:szCs w:val="22"/>
          <w:b w:val="1"/>
          <w:bCs w:val="1"/>
          <w:u w:val="single" w:color="auto"/>
          <w:color w:val="auto"/>
        </w:rPr>
        <w:t>ASSIGNMENT SEPARATE FROM CERTIFICATE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and pursuant to that certain Early Exercise Notice and Restricted Stock Purchase Agreement</w:t>
      </w:r>
    </w:p>
    <w:p>
      <w:pPr>
        <w:spacing w:after="0" w:line="29" w:lineRule="exact"/>
        <w:rPr>
          <w:sz w:val="20"/>
          <w:szCs w:val="20"/>
          <w:color w:val="auto"/>
        </w:rPr>
      </w:pPr>
    </w:p>
    <w:p>
      <w:pPr>
        <w:ind w:right="680"/>
        <w:spacing w:after="0" w:line="217" w:lineRule="auto"/>
        <w:rPr>
          <w:sz w:val="20"/>
          <w:szCs w:val="20"/>
          <w:color w:val="auto"/>
        </w:rPr>
      </w:pPr>
      <w:r>
        <w:rPr>
          <w:rFonts w:ascii="Arial" w:cs="Arial" w:eastAsia="Arial" w:hAnsi="Arial"/>
          <w:sz w:val="22"/>
          <w:szCs w:val="22"/>
          <w:color w:val="auto"/>
        </w:rPr>
        <w:t>between the undersigned (“</w:t>
      </w:r>
      <w:r>
        <w:rPr>
          <w:rFonts w:ascii="Arial" w:cs="Arial" w:eastAsia="Arial" w:hAnsi="Arial"/>
          <w:sz w:val="22"/>
          <w:szCs w:val="22"/>
          <w:u w:val="single" w:color="auto"/>
          <w:color w:val="auto"/>
        </w:rPr>
        <w:t>Purchaser</w:t>
      </w:r>
      <w:r>
        <w:rPr>
          <w:rFonts w:ascii="Arial" w:cs="Arial" w:eastAsia="Arial" w:hAnsi="Arial"/>
          <w:sz w:val="22"/>
          <w:szCs w:val="22"/>
          <w:color w:val="auto"/>
        </w:rPr>
        <w:t>”) and PROCEPT BioRobotics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dated , (the “</w:t>
      </w:r>
      <w:r>
        <w:rPr>
          <w:rFonts w:ascii="Arial" w:cs="Arial" w:eastAsia="Arial" w:hAnsi="Arial"/>
          <w:sz w:val="22"/>
          <w:szCs w:val="22"/>
          <w:u w:val="single" w:color="auto"/>
          <w:color w:val="auto"/>
        </w:rPr>
        <w:t>Agreement</w:t>
      </w:r>
      <w:r>
        <w:rPr>
          <w:rFonts w:ascii="Arial" w:cs="Arial" w:eastAsia="Arial" w:hAnsi="Arial"/>
          <w:sz w:val="22"/>
          <w:szCs w:val="22"/>
          <w:color w:val="auto"/>
        </w:rPr>
        <w:t>”), Purchaser hereby sells, assigns and transfers unto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-158750</wp:posOffset>
            </wp:positionV>
            <wp:extent cx="13030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-13335</wp:posOffset>
            </wp:positionV>
            <wp:extent cx="1783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3920" w:hanging="1158"/>
        <w:spacing w:after="0"/>
        <w:tabs>
          <w:tab w:leader="none" w:pos="392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shares of the Common Stock of the Company, standing in Purchaser’s name on the</w:t>
      </w:r>
    </w:p>
    <w:p>
      <w:pPr>
        <w:spacing w:after="0" w:line="11" w:lineRule="exact"/>
        <w:rPr>
          <w:rFonts w:ascii="Arial" w:cs="Arial" w:eastAsia="Arial" w:hAnsi="Arial"/>
          <w:sz w:val="19"/>
          <w:szCs w:val="19"/>
          <w:color w:val="auto"/>
        </w:rPr>
      </w:pPr>
    </w:p>
    <w:p>
      <w:pPr>
        <w:spacing w:after="0" w:line="217" w:lineRule="auto"/>
        <w:rPr>
          <w:rFonts w:ascii="Arial" w:cs="Arial" w:eastAsia="Arial" w:hAnsi="Arial"/>
          <w:sz w:val="19"/>
          <w:szCs w:val="19"/>
          <w:color w:val="auto"/>
        </w:rPr>
      </w:pPr>
      <w:r>
        <w:rPr>
          <w:rFonts w:ascii="Arial" w:cs="Arial" w:eastAsia="Arial" w:hAnsi="Arial"/>
          <w:sz w:val="22"/>
          <w:szCs w:val="22"/>
          <w:color w:val="auto"/>
        </w:rPr>
        <w:t>books of the Company and represented by Certificate No.  , and does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24803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248031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-13970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right="720" w:firstLine="2862"/>
        <w:spacing w:after="0" w:line="226" w:lineRule="auto"/>
        <w:rPr>
          <w:sz w:val="20"/>
          <w:szCs w:val="20"/>
          <w:color w:val="auto"/>
        </w:rPr>
      </w:pPr>
      <w:r>
        <w:rPr>
          <w:rFonts w:ascii="Arial" w:cs="Arial" w:eastAsia="Arial" w:hAnsi="Arial"/>
          <w:sz w:val="22"/>
          <w:szCs w:val="22"/>
          <w:color w:val="auto"/>
        </w:rPr>
        <w:t>to transfer said stock on the books of the Company with full power of substitution in the premises. THIS ASSIGNMENT MAY ONLY BE USED AS AUTHORIZED BY THE AGREEMENT AND THE ATTACHMENTS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18173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24130</wp:posOffset>
            </wp:positionV>
            <wp:extent cx="19716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255905</wp:posOffset>
            </wp:positionV>
            <wp:extent cx="29743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195580</wp:posOffset>
            </wp:positionV>
            <wp:extent cx="29743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21"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Spouse of «Optionee» (if applicable)</w:t>
      </w:r>
    </w:p>
    <w:p>
      <w:pPr>
        <w:spacing w:after="0" w:line="274" w:lineRule="exact"/>
        <w:rPr>
          <w:sz w:val="20"/>
          <w:szCs w:val="20"/>
          <w:color w:val="auto"/>
        </w:rPr>
      </w:pPr>
    </w:p>
    <w:p>
      <w:pPr>
        <w:ind w:right="460"/>
        <w:spacing w:after="0" w:line="231" w:lineRule="auto"/>
        <w:rPr>
          <w:sz w:val="20"/>
          <w:szCs w:val="20"/>
          <w:color w:val="auto"/>
        </w:rPr>
      </w:pPr>
      <w:r>
        <w:rPr>
          <w:rFonts w:ascii="Arial" w:cs="Arial" w:eastAsia="Arial" w:hAnsi="Arial"/>
          <w:sz w:val="22"/>
          <w:szCs w:val="22"/>
          <w:color w:val="auto"/>
        </w:rPr>
        <w:t>Instruction: Please do not fill in any blanks other than the signature line. The purpose of this assignment is to enable the Company to exercise its Repurchase Option set forth in the Agreement without requiring additional signatures on the part of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00"/>
          </w:cols>
          <w:pgMar w:left="320" w:top="1414" w:right="379" w:bottom="1440" w:gutter="0" w:footer="0" w:header="0"/>
        </w:sectPr>
      </w:pPr>
    </w:p>
    <w:bookmarkStart w:id="351" w:name="page352"/>
    <w:bookmarkEnd w:id="351"/>
    <w:p>
      <w:pPr>
        <w:jc w:val="center"/>
        <w:spacing w:after="0"/>
        <w:rPr>
          <w:sz w:val="20"/>
          <w:szCs w:val="20"/>
          <w:color w:val="auto"/>
        </w:rPr>
      </w:pPr>
      <w:r>
        <w:rPr>
          <w:rFonts w:ascii="Arial" w:cs="Arial" w:eastAsia="Arial" w:hAnsi="Arial"/>
          <w:sz w:val="22"/>
          <w:szCs w:val="22"/>
          <w:u w:val="single" w:color="auto"/>
          <w:color w:val="auto"/>
        </w:rPr>
        <w:t>ATTACHMENT B</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ACKNOWLEDGMENT AND STATEMENT OF DECISION REGARDING SECTION 83(b) ELECTION</w:t>
      </w:r>
    </w:p>
    <w:p>
      <w:pPr>
        <w:spacing w:after="0" w:line="112" w:lineRule="exact"/>
        <w:rPr>
          <w:sz w:val="20"/>
          <w:szCs w:val="20"/>
          <w:color w:val="auto"/>
        </w:rPr>
      </w:pPr>
    </w:p>
    <w:p>
      <w:pPr>
        <w:ind w:left="660"/>
        <w:spacing w:after="0"/>
        <w:tabs>
          <w:tab w:leader="none" w:pos="8340" w:val="left"/>
        </w:tabs>
        <w:rPr>
          <w:sz w:val="20"/>
          <w:szCs w:val="20"/>
          <w:color w:val="auto"/>
        </w:rPr>
      </w:pPr>
      <w:r>
        <w:rPr>
          <w:rFonts w:ascii="Arial" w:cs="Arial" w:eastAsia="Arial" w:hAnsi="Arial"/>
          <w:sz w:val="22"/>
          <w:szCs w:val="22"/>
          <w:color w:val="auto"/>
        </w:rPr>
        <w:t>The undersigned (which term includes the undersigned’s spouse), a purchaser of</w:t>
      </w:r>
      <w:r>
        <w:rPr>
          <w:sz w:val="20"/>
          <w:szCs w:val="20"/>
          <w:color w:val="auto"/>
        </w:rPr>
        <w:tab/>
      </w:r>
      <w:r>
        <w:rPr>
          <w:rFonts w:ascii="Arial" w:cs="Arial" w:eastAsia="Arial" w:hAnsi="Arial"/>
          <w:sz w:val="19"/>
          <w:szCs w:val="19"/>
          <w:color w:val="auto"/>
        </w:rPr>
        <w:t>shares of Common Stock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4857750</wp:posOffset>
            </wp:positionH>
            <wp:positionV relativeFrom="paragraph">
              <wp:posOffset>-14605</wp:posOffset>
            </wp:positionV>
            <wp:extent cx="4114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right="180"/>
        <w:spacing w:after="0" w:line="230" w:lineRule="auto"/>
        <w:rPr>
          <w:sz w:val="20"/>
          <w:szCs w:val="20"/>
          <w:color w:val="auto"/>
        </w:rPr>
      </w:pPr>
      <w:r>
        <w:rPr>
          <w:rFonts w:ascii="Arial" w:cs="Arial" w:eastAsia="Arial" w:hAnsi="Arial"/>
          <w:sz w:val="22"/>
          <w:szCs w:val="22"/>
          <w:color w:val="auto"/>
        </w:rPr>
        <w:t>PROCEPT BioRobotics Corporation, a California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by exercise of an option (the “</w:t>
      </w:r>
      <w:r>
        <w:rPr>
          <w:rFonts w:ascii="Arial" w:cs="Arial" w:eastAsia="Arial" w:hAnsi="Arial"/>
          <w:sz w:val="22"/>
          <w:szCs w:val="22"/>
          <w:u w:val="single" w:color="auto"/>
          <w:color w:val="auto"/>
        </w:rPr>
        <w:t>Option</w:t>
      </w:r>
      <w:r>
        <w:rPr>
          <w:rFonts w:ascii="Arial" w:cs="Arial" w:eastAsia="Arial" w:hAnsi="Arial"/>
          <w:sz w:val="22"/>
          <w:szCs w:val="22"/>
          <w:color w:val="auto"/>
        </w:rPr>
        <w:t>”) granted pursuant to the Company’s 2008 Stock Plan (the “</w:t>
      </w:r>
      <w:r>
        <w:rPr>
          <w:rFonts w:ascii="Arial" w:cs="Arial" w:eastAsia="Arial" w:hAnsi="Arial"/>
          <w:sz w:val="22"/>
          <w:szCs w:val="22"/>
          <w:u w:val="single" w:color="auto"/>
          <w:color w:val="auto"/>
        </w:rPr>
        <w:t>Plan</w:t>
      </w:r>
      <w:r>
        <w:rPr>
          <w:rFonts w:ascii="Arial" w:cs="Arial" w:eastAsia="Arial" w:hAnsi="Arial"/>
          <w:sz w:val="22"/>
          <w:szCs w:val="22"/>
          <w:color w:val="auto"/>
        </w:rPr>
        <w:t>”), hereby states as follows:</w:t>
      </w:r>
    </w:p>
    <w:p>
      <w:pPr>
        <w:spacing w:after="0" w:line="105" w:lineRule="exact"/>
        <w:rPr>
          <w:sz w:val="20"/>
          <w:szCs w:val="20"/>
          <w:color w:val="auto"/>
        </w:rPr>
      </w:pPr>
    </w:p>
    <w:p>
      <w:pPr>
        <w:ind w:firstLine="8"/>
        <w:spacing w:after="0" w:line="239" w:lineRule="auto"/>
        <w:tabs>
          <w:tab w:leader="none" w:pos="456"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undersigned acknowledges receipt of a copy of the Plan relating to the offering of such shares. The undersigned has carefully reviewed the Plan and the option agreement pursuant to which the Option was granted.</w:t>
      </w:r>
    </w:p>
    <w:p>
      <w:pPr>
        <w:spacing w:after="0" w:line="103" w:lineRule="exact"/>
        <w:rPr>
          <w:rFonts w:ascii="Arial" w:cs="Arial" w:eastAsia="Arial" w:hAnsi="Arial"/>
          <w:sz w:val="22"/>
          <w:szCs w:val="22"/>
          <w:color w:val="auto"/>
        </w:rPr>
      </w:pPr>
    </w:p>
    <w:p>
      <w:pPr>
        <w:ind w:left="380" w:hanging="372"/>
        <w:spacing w:after="0"/>
        <w:tabs>
          <w:tab w:leader="none" w:pos="38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undersigned either [check and complete as applicable]:</w:t>
      </w:r>
    </w:p>
    <w:p>
      <w:pPr>
        <w:spacing w:after="0" w:line="106" w:lineRule="exact"/>
        <w:rPr>
          <w:rFonts w:ascii="Arial" w:cs="Arial" w:eastAsia="Arial" w:hAnsi="Arial"/>
          <w:sz w:val="22"/>
          <w:szCs w:val="22"/>
          <w:color w:val="auto"/>
        </w:rPr>
      </w:pPr>
    </w:p>
    <w:p>
      <w:pPr>
        <w:ind w:left="1320" w:hanging="664"/>
        <w:spacing w:after="0"/>
        <w:tabs>
          <w:tab w:leader="none" w:pos="132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has consulted, and has been fully advised by, the undersigned’s own tax advisor,</w:t>
      </w:r>
    </w:p>
    <w:p>
      <w:pPr>
        <w:ind w:left="4540" w:hanging="104"/>
        <w:spacing w:after="0" w:line="217" w:lineRule="auto"/>
        <w:tabs>
          <w:tab w:leader="none" w:pos="4540" w:val="left"/>
        </w:tabs>
        <w:numPr>
          <w:ilvl w:val="2"/>
          <w:numId w:val="270"/>
        </w:numPr>
        <w:rPr>
          <w:rFonts w:ascii="Arial" w:cs="Arial" w:eastAsia="Arial" w:hAnsi="Arial"/>
          <w:sz w:val="22"/>
          <w:szCs w:val="22"/>
          <w:color w:val="auto"/>
        </w:rPr>
      </w:pPr>
      <w:r>
        <w:rPr>
          <w:rFonts w:ascii="Arial" w:cs="Arial" w:eastAsia="Arial" w:hAnsi="Arial"/>
          <w:sz w:val="22"/>
          <w:szCs w:val="22"/>
          <w:color w:val="auto"/>
        </w:rPr>
        <w:t>whose business address is</w:t>
      </w:r>
    </w:p>
    <w:p>
      <w:pPr>
        <w:ind w:left="1300" w:right="120" w:firstLine="3136"/>
        <w:spacing w:after="0" w:line="224" w:lineRule="auto"/>
        <w:tabs>
          <w:tab w:leader="none" w:pos="4540" w:val="left"/>
        </w:tabs>
        <w:numPr>
          <w:ilvl w:val="2"/>
          <w:numId w:val="270"/>
        </w:numPr>
        <w:rPr>
          <w:rFonts w:ascii="Arial" w:cs="Arial" w:eastAsia="Arial" w:hAnsi="Arial"/>
          <w:sz w:val="22"/>
          <w:szCs w:val="22"/>
          <w:color w:val="auto"/>
        </w:rPr>
      </w:pPr>
      <w:r>
        <w:rPr>
          <w:rFonts w:ascii="Arial" w:cs="Arial" w:eastAsia="Arial" w:hAnsi="Arial"/>
          <w:sz w:val="22"/>
          <w:szCs w:val="22"/>
          <w:color w:val="auto"/>
        </w:rPr>
        <w:t>regarding the federal, state and local tax consequences of purchasing shares under the Plan, and particularly regarding the advisability of making elections pursuant to Section 83(b)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and pursuant to the corresponding provisions, if any, of applicable state law; or</w:t>
      </w:r>
    </w:p>
    <w:p>
      <w:pPr>
        <w:spacing w:after="0" w:line="104" w:lineRule="exact"/>
        <w:rPr>
          <w:rFonts w:ascii="Arial" w:cs="Arial" w:eastAsia="Arial" w:hAnsi="Arial"/>
          <w:sz w:val="22"/>
          <w:szCs w:val="22"/>
          <w:color w:val="auto"/>
        </w:rPr>
      </w:pPr>
    </w:p>
    <w:p>
      <w:pPr>
        <w:ind w:left="1340" w:hanging="684"/>
        <w:spacing w:after="0"/>
        <w:tabs>
          <w:tab w:leader="none" w:pos="134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has knowingly chosen not to consult such a tax advisor.</w:t>
      </w:r>
    </w:p>
    <w:p>
      <w:pPr>
        <w:spacing w:after="0" w:line="125" w:lineRule="exact"/>
        <w:rPr>
          <w:rFonts w:ascii="Arial" w:cs="Arial" w:eastAsia="Arial" w:hAnsi="Arial"/>
          <w:sz w:val="22"/>
          <w:szCs w:val="22"/>
          <w:color w:val="auto"/>
        </w:rPr>
      </w:pPr>
    </w:p>
    <w:p>
      <w:pPr>
        <w:ind w:left="380" w:hanging="372"/>
        <w:spacing w:after="0"/>
        <w:tabs>
          <w:tab w:leader="none" w:pos="38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undersigned hereby states that the undersigned has decided [check as applicable]:</w:t>
      </w:r>
    </w:p>
    <w:p>
      <w:pPr>
        <w:spacing w:after="0" w:line="111" w:lineRule="exact"/>
        <w:rPr>
          <w:rFonts w:ascii="Arial" w:cs="Arial" w:eastAsia="Arial" w:hAnsi="Arial"/>
          <w:sz w:val="22"/>
          <w:szCs w:val="22"/>
          <w:color w:val="auto"/>
        </w:rPr>
      </w:pPr>
    </w:p>
    <w:p>
      <w:pPr>
        <w:ind w:left="1300" w:right="340" w:hanging="654"/>
        <w:spacing w:after="0" w:line="244" w:lineRule="auto"/>
        <w:tabs>
          <w:tab w:leader="none" w:pos="1314" w:val="left"/>
        </w:tabs>
        <w:numPr>
          <w:ilvl w:val="1"/>
          <w:numId w:val="270"/>
        </w:numPr>
        <w:rPr>
          <w:rFonts w:ascii="Arial" w:cs="Arial" w:eastAsia="Arial" w:hAnsi="Arial"/>
          <w:sz w:val="21"/>
          <w:szCs w:val="21"/>
          <w:color w:val="auto"/>
        </w:rPr>
      </w:pPr>
      <w:r>
        <w:rPr>
          <w:rFonts w:ascii="Arial" w:cs="Arial" w:eastAsia="Arial" w:hAnsi="Arial"/>
          <w:sz w:val="21"/>
          <w:szCs w:val="21"/>
          <w:color w:val="auto"/>
        </w:rPr>
        <w:t>to make an election pursuant to Section 83(b) of the Code, and is submitting to the Company, together with the undersigned’s executed Early Exercise Notice and Restricted Stock Purchase Agreement, an executed form entitled “Election Under Section 83(b) of the Internal Revenue Code of 1986;” or</w:t>
      </w:r>
    </w:p>
    <w:p>
      <w:pPr>
        <w:spacing w:after="0" w:line="100" w:lineRule="exact"/>
        <w:rPr>
          <w:rFonts w:ascii="Arial" w:cs="Arial" w:eastAsia="Arial" w:hAnsi="Arial"/>
          <w:sz w:val="21"/>
          <w:szCs w:val="21"/>
          <w:color w:val="auto"/>
        </w:rPr>
      </w:pPr>
    </w:p>
    <w:p>
      <w:pPr>
        <w:ind w:left="1340" w:hanging="684"/>
        <w:spacing w:after="0"/>
        <w:tabs>
          <w:tab w:leader="none" w:pos="134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not to make an election pursuant to Section 83(b) of the Code.</w:t>
      </w:r>
    </w:p>
    <w:p>
      <w:pPr>
        <w:spacing w:after="0" w:line="125" w:lineRule="exact"/>
        <w:rPr>
          <w:rFonts w:ascii="Arial" w:cs="Arial" w:eastAsia="Arial" w:hAnsi="Arial"/>
          <w:sz w:val="22"/>
          <w:szCs w:val="22"/>
          <w:color w:val="auto"/>
        </w:rPr>
      </w:pPr>
    </w:p>
    <w:p>
      <w:pPr>
        <w:ind w:right="160" w:firstLine="8"/>
        <w:spacing w:after="0" w:line="282" w:lineRule="auto"/>
        <w:tabs>
          <w:tab w:leader="none" w:pos="378" w:val="left"/>
        </w:tabs>
        <w:numPr>
          <w:ilvl w:val="0"/>
          <w:numId w:val="270"/>
        </w:numPr>
        <w:rPr>
          <w:rFonts w:ascii="Arial" w:cs="Arial" w:eastAsia="Arial" w:hAnsi="Arial"/>
          <w:sz w:val="19"/>
          <w:szCs w:val="19"/>
          <w:color w:val="auto"/>
        </w:rPr>
      </w:pPr>
      <w:r>
        <w:rPr>
          <w:rFonts w:ascii="Arial" w:cs="Arial" w:eastAsia="Arial" w:hAnsi="Arial"/>
          <w:sz w:val="19"/>
          <w:szCs w:val="19"/>
          <w:color w:val="auto"/>
        </w:rPr>
        <w:t>Neither the Company nor any subsidiary or representative of the Company has made any warranty or representation to the undersigned with respect to the tax consequences of the undersigned’s purchase of shares under the Plan or of the making or failure to make an election pursuant to Section 83(b) of the Code or the corresponding provisions, if any, of applicable state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-2557780</wp:posOffset>
            </wp:positionV>
            <wp:extent cx="274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-2412365</wp:posOffset>
            </wp:positionV>
            <wp:extent cx="19888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-2266315</wp:posOffset>
            </wp:positionV>
            <wp:extent cx="19888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-1589405</wp:posOffset>
            </wp:positionV>
            <wp:extent cx="274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-1117600</wp:posOffset>
            </wp:positionV>
            <wp:extent cx="274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-586105</wp:posOffset>
            </wp:positionV>
            <wp:extent cx="274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9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27305</wp:posOffset>
            </wp:positionV>
            <wp:extent cx="52374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47"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4" w:right="339" w:bottom="1440" w:gutter="0" w:footer="0" w:header="0"/>
        </w:sectPr>
      </w:pPr>
    </w:p>
    <w:bookmarkStart w:id="352" w:name="page353"/>
    <w:bookmarkEnd w:id="352"/>
    <w:p>
      <w:pPr>
        <w:ind w:left="4800"/>
        <w:spacing w:after="0"/>
        <w:rPr>
          <w:sz w:val="20"/>
          <w:szCs w:val="20"/>
          <w:color w:val="auto"/>
        </w:rPr>
      </w:pPr>
      <w:r>
        <w:rPr>
          <w:rFonts w:ascii="Arial" w:cs="Arial" w:eastAsia="Arial" w:hAnsi="Arial"/>
          <w:sz w:val="22"/>
          <w:szCs w:val="22"/>
          <w:u w:val="single" w:color="auto"/>
          <w:color w:val="auto"/>
        </w:rPr>
        <w:t>ATTACHMENT C</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[This </w:t>
      </w:r>
      <w:r>
        <w:rPr>
          <w:rFonts w:ascii="Arial" w:cs="Arial" w:eastAsia="Arial" w:hAnsi="Arial"/>
          <w:sz w:val="19"/>
          <w:szCs w:val="19"/>
          <w:b w:val="1"/>
          <w:bCs w:val="1"/>
          <w:color w:val="auto"/>
          <w:highlight w:val="yellow"/>
        </w:rPr>
        <w:t>Form is designed for Individual purchasers. Corporate or Trust purchasers should contact their Tax Professional to</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highlight w:val="yellow"/>
        </w:rPr>
        <w:t>review before submitting.]</w:t>
      </w:r>
    </w:p>
    <w:p>
      <w:pPr>
        <w:jc w:val="center"/>
        <w:ind w:right="-19"/>
        <w:spacing w:after="0"/>
        <w:rPr>
          <w:sz w:val="20"/>
          <w:szCs w:val="20"/>
          <w:color w:val="auto"/>
        </w:rPr>
      </w:pPr>
      <w:r>
        <w:rPr>
          <w:rFonts w:ascii="Arial" w:cs="Arial" w:eastAsia="Arial" w:hAnsi="Arial"/>
          <w:sz w:val="22"/>
          <w:szCs w:val="22"/>
          <w:b w:val="1"/>
          <w:bCs w:val="1"/>
          <w:color w:val="auto"/>
        </w:rPr>
        <w:t>Instructions for Filing Section 83(b) Election</w:t>
      </w:r>
    </w:p>
    <w:p>
      <w:pPr>
        <w:spacing w:after="0" w:line="94" w:lineRule="exact"/>
        <w:rPr>
          <w:sz w:val="20"/>
          <w:szCs w:val="20"/>
          <w:color w:val="auto"/>
        </w:rPr>
      </w:pPr>
    </w:p>
    <w:p>
      <w:pPr>
        <w:ind w:right="260"/>
        <w:spacing w:after="0" w:line="231" w:lineRule="auto"/>
        <w:rPr>
          <w:sz w:val="20"/>
          <w:szCs w:val="20"/>
          <w:color w:val="auto"/>
        </w:rPr>
      </w:pPr>
      <w:r>
        <w:rPr>
          <w:rFonts w:ascii="Arial" w:cs="Arial" w:eastAsia="Arial" w:hAnsi="Arial"/>
          <w:sz w:val="22"/>
          <w:szCs w:val="22"/>
          <w:color w:val="auto"/>
        </w:rPr>
        <w:t>Attached is a form of election under Section 83(b) of the Internal Revenue Code and an accompanying IRS cover letter. Please fill in your social security number or taxpayer identification number and sign the election and cover letter, then proceed as follows:</w:t>
      </w:r>
    </w:p>
    <w:p>
      <w:pPr>
        <w:spacing w:after="0" w:line="101"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 xml:space="preserve">Make </w:t>
      </w:r>
      <w:r>
        <w:rPr>
          <w:rFonts w:ascii="Arial" w:cs="Arial" w:eastAsia="Arial" w:hAnsi="Arial"/>
          <w:sz w:val="22"/>
          <w:szCs w:val="22"/>
          <w:b w:val="1"/>
          <w:bCs w:val="1"/>
          <w:u w:val="single" w:color="auto"/>
          <w:color w:val="auto"/>
        </w:rPr>
        <w:t>three</w:t>
      </w:r>
      <w:r>
        <w:rPr>
          <w:rFonts w:ascii="Arial" w:cs="Arial" w:eastAsia="Arial" w:hAnsi="Arial"/>
          <w:sz w:val="22"/>
          <w:szCs w:val="22"/>
          <w:color w:val="auto"/>
        </w:rPr>
        <w:t xml:space="preserve"> copies of the completed election form and one copy of the IRS cover letter.</w:t>
      </w:r>
    </w:p>
    <w:p>
      <w:pPr>
        <w:spacing w:after="0" w:line="125" w:lineRule="exact"/>
        <w:rPr>
          <w:rFonts w:ascii="Arial" w:cs="Arial" w:eastAsia="Arial" w:hAnsi="Arial"/>
          <w:sz w:val="22"/>
          <w:szCs w:val="22"/>
          <w:color w:val="auto"/>
        </w:rPr>
      </w:pPr>
    </w:p>
    <w:p>
      <w:pPr>
        <w:ind w:left="660" w:right="180" w:hanging="652"/>
        <w:spacing w:after="0" w:line="248" w:lineRule="auto"/>
        <w:tabs>
          <w:tab w:leader="none" w:pos="48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Send the </w:t>
      </w:r>
      <w:r>
        <w:rPr>
          <w:rFonts w:ascii="Arial" w:cs="Arial" w:eastAsia="Arial" w:hAnsi="Arial"/>
          <w:sz w:val="19"/>
          <w:szCs w:val="19"/>
          <w:b w:val="1"/>
          <w:bCs w:val="1"/>
          <w:u w:val="single" w:color="auto"/>
          <w:color w:val="auto"/>
        </w:rPr>
        <w:t>original</w:t>
      </w:r>
      <w:r>
        <w:rPr>
          <w:rFonts w:ascii="Arial" w:cs="Arial" w:eastAsia="Arial" w:hAnsi="Arial"/>
          <w:sz w:val="19"/>
          <w:szCs w:val="19"/>
          <w:color w:val="auto"/>
        </w:rPr>
        <w:t xml:space="preserve"> signed election form and cover letter, the copy of the cover letter, and a self-addressed stamped return envelope to the Internal Revenue Service Center where you would otherwise file your tax return</w:t>
      </w:r>
      <w:r>
        <w:rPr>
          <w:rFonts w:ascii="Arial" w:cs="Arial" w:eastAsia="Arial" w:hAnsi="Arial"/>
          <w:sz w:val="25"/>
          <w:szCs w:val="25"/>
          <w:color w:val="auto"/>
          <w:vertAlign w:val="superscript"/>
        </w:rPr>
        <w:t>1</w:t>
      </w:r>
      <w:r>
        <w:rPr>
          <w:rFonts w:ascii="Arial" w:cs="Arial" w:eastAsia="Arial" w:hAnsi="Arial"/>
          <w:sz w:val="19"/>
          <w:szCs w:val="19"/>
          <w:color w:val="auto"/>
        </w:rPr>
        <w:t>. Even if an address for an Internal Revenue Service Center is already included in the forms below, it is your obligation to verify such address. This can be done by searching for the term “where to file” on www.irs.gov or by calling 1 (800) 829-1040.</w:t>
      </w:r>
    </w:p>
    <w:p>
      <w:pPr>
        <w:spacing w:after="0" w:line="85" w:lineRule="exact"/>
        <w:rPr>
          <w:sz w:val="20"/>
          <w:szCs w:val="20"/>
          <w:color w:val="auto"/>
        </w:rPr>
      </w:pPr>
    </w:p>
    <w:p>
      <w:pPr>
        <w:ind w:left="660" w:right="380"/>
        <w:spacing w:after="0" w:line="239" w:lineRule="auto"/>
        <w:rPr>
          <w:sz w:val="20"/>
          <w:szCs w:val="20"/>
          <w:color w:val="auto"/>
        </w:rPr>
      </w:pPr>
      <w:r>
        <w:rPr>
          <w:rFonts w:ascii="Arial" w:cs="Arial" w:eastAsia="Arial" w:hAnsi="Arial"/>
          <w:sz w:val="22"/>
          <w:szCs w:val="22"/>
          <w:color w:val="auto"/>
        </w:rPr>
        <w:t>Sending the election via certified mail, requesting a return receipt, with the certified mail number written on the cover letter is also recommended.</w:t>
      </w:r>
    </w:p>
    <w:p>
      <w:pPr>
        <w:spacing w:after="0" w:line="104"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Deliver one copy of the completed election form to the Company.</w:t>
      </w:r>
    </w:p>
    <w:p>
      <w:pPr>
        <w:spacing w:after="0" w:line="125" w:lineRule="exact"/>
        <w:rPr>
          <w:rFonts w:ascii="Arial" w:cs="Arial" w:eastAsia="Arial" w:hAnsi="Arial"/>
          <w:sz w:val="22"/>
          <w:szCs w:val="22"/>
          <w:color w:val="auto"/>
        </w:rPr>
      </w:pPr>
    </w:p>
    <w:p>
      <w:pPr>
        <w:ind w:left="660" w:right="320" w:hanging="652"/>
        <w:spacing w:after="0" w:line="258" w:lineRule="auto"/>
        <w:tabs>
          <w:tab w:leader="none" w:pos="468" w:val="left"/>
        </w:tabs>
        <w:numPr>
          <w:ilvl w:val="0"/>
          <w:numId w:val="272"/>
        </w:numPr>
        <w:rPr>
          <w:rFonts w:ascii="Arial" w:cs="Arial" w:eastAsia="Arial" w:hAnsi="Arial"/>
          <w:sz w:val="21"/>
          <w:szCs w:val="21"/>
          <w:color w:val="auto"/>
        </w:rPr>
      </w:pPr>
      <w:r>
        <w:rPr>
          <w:rFonts w:ascii="Arial" w:cs="Arial" w:eastAsia="Arial" w:hAnsi="Arial"/>
          <w:sz w:val="21"/>
          <w:szCs w:val="21"/>
          <w:color w:val="auto"/>
        </w:rPr>
        <w:t>Applicable state law may require that you attach a copy of the completed election form to your state personal income tax return(s) when you file it for the year (assuming you file a state personal income tax return).</w:t>
      </w:r>
      <w:r>
        <w:rPr>
          <w:rFonts w:ascii="Arial" w:cs="Arial" w:eastAsia="Arial" w:hAnsi="Arial"/>
          <w:sz w:val="27"/>
          <w:szCs w:val="27"/>
          <w:color w:val="auto"/>
          <w:vertAlign w:val="superscript"/>
        </w:rPr>
        <w:t>2</w:t>
      </w:r>
    </w:p>
    <w:p>
      <w:pPr>
        <w:spacing w:after="0" w:line="1" w:lineRule="exact"/>
        <w:rPr>
          <w:sz w:val="20"/>
          <w:szCs w:val="20"/>
          <w:color w:val="auto"/>
        </w:rPr>
      </w:pPr>
    </w:p>
    <w:p>
      <w:pPr>
        <w:ind w:left="660" w:right="340"/>
        <w:spacing w:after="0" w:line="239" w:lineRule="auto"/>
        <w:rPr>
          <w:sz w:val="20"/>
          <w:szCs w:val="20"/>
          <w:color w:val="auto"/>
        </w:rPr>
      </w:pPr>
      <w:r>
        <w:rPr>
          <w:rFonts w:ascii="Arial" w:cs="Arial" w:eastAsia="Arial" w:hAnsi="Arial"/>
          <w:sz w:val="22"/>
          <w:szCs w:val="22"/>
          <w:color w:val="auto"/>
        </w:rPr>
        <w:t>Please consult your personal tax advisor(s) to determine whether or not a copy of this Section 83(b) election should be filed with your state personal income tax return(s).</w:t>
      </w:r>
    </w:p>
    <w:p>
      <w:pPr>
        <w:spacing w:after="0" w:line="104"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Retain one copy of the completed election form for your personal permanent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14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5" w:lineRule="exact"/>
        <w:rPr>
          <w:sz w:val="20"/>
          <w:szCs w:val="20"/>
          <w:color w:val="auto"/>
        </w:rPr>
      </w:pPr>
    </w:p>
    <w:p>
      <w:pPr>
        <w:jc w:val="both"/>
        <w:ind w:right="40" w:firstLine="8"/>
        <w:spacing w:after="0" w:line="235" w:lineRule="auto"/>
        <w:tabs>
          <w:tab w:leader="none" w:pos="124" w:val="left"/>
        </w:tabs>
        <w:numPr>
          <w:ilvl w:val="0"/>
          <w:numId w:val="274"/>
        </w:numPr>
        <w:rPr>
          <w:rFonts w:ascii="Arial" w:cs="Arial" w:eastAsia="Arial" w:hAnsi="Arial"/>
          <w:sz w:val="27"/>
          <w:szCs w:val="27"/>
          <w:color w:val="auto"/>
          <w:vertAlign w:val="superscript"/>
        </w:rPr>
      </w:pPr>
      <w:r>
        <w:rPr>
          <w:rFonts w:ascii="Arial" w:cs="Arial" w:eastAsia="Arial" w:hAnsi="Arial"/>
          <w:sz w:val="17"/>
          <w:szCs w:val="17"/>
          <w:b w:val="1"/>
          <w:bCs w:val="1"/>
          <w:i w:val="1"/>
          <w:iCs w:val="1"/>
          <w:color w:val="auto"/>
        </w:rPr>
        <w:t>Note</w:t>
      </w:r>
      <w:r>
        <w:rPr>
          <w:rFonts w:ascii="Arial" w:cs="Arial" w:eastAsia="Arial" w:hAnsi="Arial"/>
          <w:sz w:val="17"/>
          <w:szCs w:val="17"/>
          <w:color w:val="auto"/>
        </w:rPr>
        <w:t>: Per Treasury Regulation § 1.83-2(c), the Section 83(b) election must be filed with the IRS office where the person otherwise files his or her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return. As of October 2016, if you live in a foreign country or are a dual status alien (foreigners that will have lived both in their home country and the United States during the year in which they make the election) you should send the 83(b) election to Austin, TX 73301-0215. You can verify this is still the correct address at: http://www.irs.gov/uac/Where-to-File-Addresses-for--Taxpayers-and--Tax-Professionals-Filing-Form-1040.</w:t>
      </w:r>
    </w:p>
    <w:p>
      <w:pPr>
        <w:spacing w:after="0" w:line="134" w:lineRule="exact"/>
        <w:rPr>
          <w:sz w:val="20"/>
          <w:szCs w:val="20"/>
          <w:color w:val="auto"/>
        </w:rPr>
      </w:pPr>
    </w:p>
    <w:p>
      <w:pPr>
        <w:ind w:firstLine="8"/>
        <w:spacing w:after="0" w:line="260" w:lineRule="auto"/>
        <w:tabs>
          <w:tab w:leader="none" w:pos="124" w:val="left"/>
        </w:tabs>
        <w:numPr>
          <w:ilvl w:val="0"/>
          <w:numId w:val="275"/>
        </w:numPr>
        <w:rPr>
          <w:rFonts w:ascii="Arial" w:cs="Arial" w:eastAsia="Arial" w:hAnsi="Arial"/>
          <w:sz w:val="25"/>
          <w:szCs w:val="25"/>
          <w:color w:val="auto"/>
          <w:vertAlign w:val="superscript"/>
        </w:rPr>
      </w:pPr>
      <w:r>
        <w:rPr>
          <w:rFonts w:ascii="Arial" w:cs="Arial" w:eastAsia="Arial" w:hAnsi="Arial"/>
          <w:sz w:val="16"/>
          <w:szCs w:val="16"/>
          <w:b w:val="1"/>
          <w:bCs w:val="1"/>
          <w:i w:val="1"/>
          <w:iCs w:val="1"/>
          <w:color w:val="auto"/>
        </w:rPr>
        <w:t>Note</w:t>
      </w:r>
      <w:r>
        <w:rPr>
          <w:rFonts w:ascii="Arial" w:cs="Arial" w:eastAsia="Arial" w:hAnsi="Arial"/>
          <w:sz w:val="16"/>
          <w:szCs w:val="16"/>
          <w:color w:val="auto"/>
        </w:rPr>
        <w:t>: Pursuant to Treasury Regulations finalized in July 2016 (Treas. Reg. § 1.83-2(c); T.D. 9779), taxpayers are no longer required to submit a copy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Code Sec. 83(b) election with their </w:t>
      </w:r>
      <w:r>
        <w:rPr>
          <w:rFonts w:ascii="Arial" w:cs="Arial" w:eastAsia="Arial" w:hAnsi="Arial"/>
          <w:sz w:val="16"/>
          <w:szCs w:val="16"/>
          <w:b w:val="1"/>
          <w:bCs w:val="1"/>
          <w:i w:val="1"/>
          <w:iCs w:val="1"/>
          <w:color w:val="auto"/>
        </w:rPr>
        <w:t>federal</w:t>
      </w:r>
      <w:r>
        <w:rPr>
          <w:rFonts w:ascii="Arial" w:cs="Arial" w:eastAsia="Arial" w:hAnsi="Arial"/>
          <w:sz w:val="16"/>
          <w:szCs w:val="16"/>
          <w:color w:val="auto"/>
        </w:rPr>
        <w:t xml:space="preserve"> personal income tax returns for the year in which the property subject to the election was transferred. However, you are strongly encouraged to retain a copy of the completed election form and the IRS filed-stamped copy of your cover letter along with a copy of the federal personal income tax return for the year in which the property subject to the election was transferred for your personal permanent records in case you ever need to demonstrate proper and timely filing (a common requirement imposed by acquirers in M&amp;A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14" w:right="359" w:bottom="1440" w:gutter="0" w:footer="0" w:header="0"/>
        </w:sectPr>
      </w:pPr>
    </w:p>
    <w:bookmarkStart w:id="353" w:name="page354"/>
    <w:bookmarkEnd w:id="353"/>
    <w:p>
      <w:pPr>
        <w:ind w:left="660" w:right="140"/>
        <w:spacing w:after="0" w:line="239" w:lineRule="auto"/>
        <w:rPr>
          <w:sz w:val="20"/>
          <w:szCs w:val="20"/>
          <w:color w:val="auto"/>
        </w:rPr>
      </w:pPr>
      <w:r>
        <w:rPr>
          <w:rFonts w:ascii="Arial" w:cs="Arial" w:eastAsia="Arial" w:hAnsi="Arial"/>
          <w:sz w:val="22"/>
          <w:szCs w:val="22"/>
          <w:color w:val="auto"/>
        </w:rPr>
        <w:t>Note: An additional copy of the completed election form must be delivered to the transferee (recipient) of the property if the service provider and the transferee are not the same person.</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21"/>
          <w:szCs w:val="21"/>
          <w:b w:val="1"/>
          <w:bCs w:val="1"/>
          <w:i w:val="1"/>
          <w:iCs w:val="1"/>
          <w:color w:val="auto"/>
        </w:rPr>
        <w:t>Please note that the election must be filed with the IRS within 30 days of the date of your restricted stock grant or option exercise of unvested shares. Failure to file within that time will render the election void and you may recognize ordinary taxable income as your vesting restrictions lapse. The Company and its counsel cannot assume responsibility for failure to file the election in a timely manner under any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14" w:right="359" w:bottom="1440" w:gutter="0" w:footer="0" w:header="0"/>
        </w:sectPr>
      </w:pPr>
    </w:p>
    <w:bookmarkStart w:id="354" w:name="page355"/>
    <w:bookmarkEnd w:id="354"/>
    <w:p>
      <w:pPr>
        <w:jc w:val="center"/>
        <w:ind w:right="-19"/>
        <w:spacing w:after="0"/>
        <w:rPr>
          <w:sz w:val="20"/>
          <w:szCs w:val="20"/>
          <w:color w:val="auto"/>
        </w:rPr>
      </w:pPr>
      <w:r>
        <w:rPr>
          <w:rFonts w:ascii="Arial" w:cs="Arial" w:eastAsia="Arial" w:hAnsi="Arial"/>
          <w:sz w:val="22"/>
          <w:szCs w:val="22"/>
          <w:b w:val="1"/>
          <w:bCs w:val="1"/>
          <w:color w:val="auto"/>
        </w:rPr>
        <w:t>SECTION 83(b) ELECTION</w:t>
      </w:r>
    </w:p>
    <w:p>
      <w:pPr>
        <w:spacing w:after="0" w:line="131" w:lineRule="exact"/>
        <w:rPr>
          <w:sz w:val="20"/>
          <w:szCs w:val="20"/>
          <w:color w:val="auto"/>
        </w:rPr>
      </w:pPr>
    </w:p>
    <w:p>
      <w:pPr>
        <w:ind w:left="10700"/>
        <w:spacing w:after="0"/>
        <w:rPr>
          <w:sz w:val="20"/>
          <w:szCs w:val="20"/>
          <w:color w:val="auto"/>
        </w:rPr>
      </w:pPr>
      <w:r>
        <w:rPr>
          <w:rFonts w:ascii="Arial" w:cs="Arial" w:eastAsia="Arial" w:hAnsi="Arial"/>
          <w:sz w:val="22"/>
          <w:szCs w:val="22"/>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-17780</wp:posOffset>
            </wp:positionV>
            <wp:extent cx="10972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Department of the Treasury</w:t>
      </w:r>
    </w:p>
    <w:p>
      <w:pPr>
        <w:spacing w:after="0" w:line="217" w:lineRule="auto"/>
        <w:rPr>
          <w:sz w:val="20"/>
          <w:szCs w:val="20"/>
          <w:color w:val="auto"/>
        </w:rPr>
      </w:pPr>
      <w:r>
        <w:rPr>
          <w:rFonts w:ascii="Arial" w:cs="Arial" w:eastAsia="Arial" w:hAnsi="Arial"/>
          <w:sz w:val="22"/>
          <w:szCs w:val="22"/>
          <w:color w:val="auto"/>
        </w:rPr>
        <w:t>Internal Revenue Service</w:t>
      </w:r>
    </w:p>
    <w:p>
      <w:pPr>
        <w:spacing w:after="0" w:line="184"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auto"/>
          <w:highlight w:val="yellow"/>
        </w:rPr>
        <w:t>City, State Zip</w:t>
      </w:r>
      <w:r>
        <w:rPr>
          <w:rFonts w:ascii="Arial" w:cs="Arial" w:eastAsia="Arial" w:hAnsi="Arial"/>
          <w:sz w:val="20"/>
          <w:szCs w:val="20"/>
          <w:color w:val="auto"/>
        </w:rPr>
        <w:t>]</w:t>
      </w:r>
      <w:r>
        <w:rPr>
          <w:rFonts w:ascii="Arial" w:cs="Arial" w:eastAsia="Arial" w:hAnsi="Arial"/>
          <w:sz w:val="26"/>
          <w:szCs w:val="26"/>
          <w:color w:val="auto"/>
          <w:vertAlign w:val="superscript"/>
        </w:rPr>
        <w:t>3</w:t>
      </w:r>
      <w:r>
        <w:rPr>
          <w:rFonts w:ascii="Arial" w:cs="Arial" w:eastAsia="Arial" w:hAnsi="Arial"/>
          <w:sz w:val="20"/>
          <w:szCs w:val="20"/>
          <w:color w:val="auto"/>
        </w:rPr>
        <w:t xml:space="preserve">[Austin, </w:t>
      </w:r>
      <w:r>
        <w:rPr>
          <w:rFonts w:ascii="Arial" w:cs="Arial" w:eastAsia="Arial" w:hAnsi="Arial"/>
          <w:sz w:val="20"/>
          <w:szCs w:val="20"/>
          <w:color w:val="auto"/>
          <w:highlight w:val="yellow"/>
        </w:rPr>
        <w:t>TX 73301-0215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highlight w:val="yellow"/>
        </w:rPr>
        <w:t>USA]</w:t>
      </w:r>
      <w:r>
        <w:rPr>
          <w:rFonts w:ascii="Arial" w:cs="Arial" w:eastAsia="Arial" w:hAnsi="Arial"/>
          <w:sz w:val="28"/>
          <w:szCs w:val="28"/>
          <w:color w:val="auto"/>
          <w:vertAlign w:val="superscript"/>
        </w:rPr>
        <w:t>4</w:t>
      </w:r>
    </w:p>
    <w:p>
      <w:pPr>
        <w:spacing w:after="0" w:line="3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Election Under Section 83(b)</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12"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The undersigned taxpayer hereby elects, pursuant to Section 83(b) of the Internal Revenue Code of 1986, as amended, to include in gross income as compensation for services the excess (if any) of the fair market value of the shares described below over the amount paid for those shares. The following information is supplied in accordance with Treasury Regulation § 1.83-2:</w:t>
      </w:r>
    </w:p>
    <w:p>
      <w:pPr>
        <w:spacing w:after="0" w:line="61" w:lineRule="exact"/>
        <w:rPr>
          <w:sz w:val="20"/>
          <w:szCs w:val="20"/>
          <w:color w:val="auto"/>
        </w:rPr>
      </w:pPr>
    </w:p>
    <w:p>
      <w:pPr>
        <w:ind w:left="640" w:hanging="632"/>
        <w:spacing w:after="0" w:line="243" w:lineRule="auto"/>
        <w:tabs>
          <w:tab w:leader="none" w:pos="380" w:val="left"/>
        </w:tabs>
        <w:numPr>
          <w:ilvl w:val="0"/>
          <w:numId w:val="276"/>
        </w:numPr>
        <w:rPr>
          <w:rFonts w:ascii="Arial" w:cs="Arial" w:eastAsia="Arial" w:hAnsi="Arial"/>
          <w:sz w:val="22"/>
          <w:szCs w:val="22"/>
          <w:color w:val="auto"/>
        </w:rPr>
      </w:pPr>
      <w:r>
        <w:rPr>
          <w:rFonts w:ascii="Arial" w:cs="Arial" w:eastAsia="Arial" w:hAnsi="Arial"/>
          <w:sz w:val="22"/>
          <w:szCs w:val="22"/>
          <w:b w:val="1"/>
          <w:bCs w:val="1"/>
          <w:color w:val="auto"/>
        </w:rPr>
        <w:t>The name, [social security number][taxpayer identification number], address of the undersigned, and the taxable year for which this election is being made are</w:t>
      </w:r>
      <w:r>
        <w:rPr>
          <w:rFonts w:ascii="Arial" w:cs="Arial" w:eastAsia="Arial" w:hAnsi="Arial"/>
          <w:sz w:val="22"/>
          <w:szCs w:val="22"/>
          <w:color w:val="auto"/>
        </w:rPr>
        <w:t>:</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24130</wp:posOffset>
            </wp:positionV>
            <wp:extent cx="10801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73" w:lineRule="exact"/>
        <w:rPr>
          <w:sz w:val="20"/>
          <w:szCs w:val="20"/>
          <w:color w:val="auto"/>
        </w:rPr>
      </w:pPr>
    </w:p>
    <w:tbl>
      <w:tblPr>
        <w:tblLayout w:type="fixed"/>
        <w:tblInd w:w="940" w:type="dxa"/>
        <w:tblCellMar>
          <w:top w:w="0" w:type="dxa"/>
          <w:left w:w="0" w:type="dxa"/>
          <w:bottom w:w="0" w:type="dxa"/>
          <w:right w:w="0" w:type="dxa"/>
        </w:tblCellMar>
      </w:tblPr>
      <w:tr>
        <w:trPr>
          <w:trHeight w:val="179"/>
        </w:trPr>
        <w:tc>
          <w:tcPr>
            <w:tcW w:w="5340" w:type="dxa"/>
            <w:vAlign w:val="bottom"/>
            <w:gridSpan w:val="4"/>
            <w:vMerge w:val="restart"/>
          </w:tcPr>
          <w:p>
            <w:pPr>
              <w:spacing w:after="0"/>
              <w:rPr>
                <w:sz w:val="20"/>
                <w:szCs w:val="20"/>
                <w:color w:val="auto"/>
              </w:rPr>
            </w:pPr>
            <w:r>
              <w:rPr>
                <w:rFonts w:ascii="Arial" w:cs="Arial" w:eastAsia="Arial" w:hAnsi="Arial"/>
                <w:sz w:val="22"/>
                <w:szCs w:val="22"/>
                <w:color w:val="auto"/>
              </w:rPr>
              <w:t>[Social Security Number][Tax Identification Number]:</w:t>
            </w:r>
          </w:p>
        </w:tc>
        <w:tc>
          <w:tcPr>
            <w:tcW w:w="376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1"/>
        </w:trPr>
        <w:tc>
          <w:tcPr>
            <w:tcW w:w="5340" w:type="dxa"/>
            <w:vAlign w:val="bottom"/>
            <w:gridSpan w:val="4"/>
            <w:vMerge w:val="continue"/>
          </w:tcPr>
          <w:p>
            <w:pPr>
              <w:spacing w:after="0"/>
              <w:rPr>
                <w:sz w:val="12"/>
                <w:szCs w:val="12"/>
                <w:color w:val="auto"/>
              </w:rPr>
            </w:pPr>
          </w:p>
        </w:tc>
        <w:tc>
          <w:tcPr>
            <w:tcW w:w="1440" w:type="dxa"/>
            <w:vAlign w:val="bottom"/>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1"/>
        </w:trPr>
        <w:tc>
          <w:tcPr>
            <w:tcW w:w="5340" w:type="dxa"/>
            <w:vAlign w:val="bottom"/>
            <w:gridSpan w:val="4"/>
          </w:tcPr>
          <w:p>
            <w:pPr>
              <w:spacing w:after="0"/>
              <w:rPr>
                <w:sz w:val="20"/>
                <w:szCs w:val="20"/>
                <w:color w:val="auto"/>
              </w:rPr>
            </w:pPr>
            <w:r>
              <w:rPr>
                <w:rFonts w:ascii="Arial" w:cs="Arial" w:eastAsia="Arial" w:hAnsi="Arial"/>
                <w:sz w:val="22"/>
                <w:szCs w:val="22"/>
                <w:color w:val="auto"/>
              </w:rPr>
              <w:t>Address:</w:t>
            </w: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1440" w:type="dxa"/>
            <w:vAlign w:val="bottom"/>
            <w:vMerge w:val="restart"/>
          </w:tcPr>
          <w:p>
            <w:pPr>
              <w:jc w:val="right"/>
              <w:ind w:right="1211"/>
              <w:spacing w:after="0"/>
              <w:rPr>
                <w:sz w:val="20"/>
                <w:szCs w:val="20"/>
                <w:color w:val="auto"/>
              </w:rPr>
            </w:pPr>
            <w:r>
              <w:rPr>
                <w:rFonts w:ascii="Arial" w:cs="Arial" w:eastAsia="Arial" w:hAnsi="Arial"/>
                <w:sz w:val="22"/>
                <w:szCs w:val="22"/>
                <w:color w:val="auto"/>
                <w:w w:val="72"/>
              </w:rPr>
              <w:t>.</w:t>
            </w:r>
            <w:r>
              <w:rPr>
                <w:rFonts w:ascii="Arial" w:cs="Arial" w:eastAsia="Arial" w:hAnsi="Arial"/>
                <w:sz w:val="28"/>
                <w:szCs w:val="28"/>
                <w:color w:val="auto"/>
                <w:w w:val="72"/>
                <w:vertAlign w:val="superscript"/>
              </w:rPr>
              <w:t>6</w:t>
            </w: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3640" w:type="dxa"/>
            <w:vAlign w:val="bottom"/>
            <w:gridSpan w:val="2"/>
          </w:tcPr>
          <w:p>
            <w:pPr>
              <w:spacing w:after="0"/>
              <w:rPr>
                <w:sz w:val="20"/>
                <w:szCs w:val="20"/>
                <w:color w:val="auto"/>
              </w:rPr>
            </w:pPr>
            <w:r>
              <w:rPr>
                <w:rFonts w:ascii="Arial" w:cs="Arial" w:eastAsia="Arial" w:hAnsi="Arial"/>
                <w:sz w:val="22"/>
                <w:szCs w:val="22"/>
                <w:color w:val="auto"/>
              </w:rPr>
              <w:t>Taxable year: Calendar year</w:t>
            </w:r>
          </w:p>
        </w:tc>
        <w:tc>
          <w:tcPr>
            <w:tcW w:w="1700" w:type="dxa"/>
            <w:vAlign w:val="bottom"/>
            <w:tcBorders>
              <w:bottom w:val="single" w:sz="8" w:color="auto"/>
            </w:tcBorders>
            <w:gridSpan w:val="2"/>
          </w:tcPr>
          <w:p>
            <w:pPr>
              <w:spacing w:after="0"/>
              <w:rPr>
                <w:sz w:val="24"/>
                <w:szCs w:val="24"/>
                <w:color w:val="auto"/>
              </w:rPr>
            </w:pPr>
          </w:p>
        </w:tc>
        <w:tc>
          <w:tcPr>
            <w:tcW w:w="144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98" w:lineRule="exact"/>
        <w:rPr>
          <w:sz w:val="20"/>
          <w:szCs w:val="20"/>
          <w:color w:val="auto"/>
        </w:rPr>
      </w:pPr>
    </w:p>
    <w:p>
      <w:pPr>
        <w:ind w:right="260" w:firstLine="8"/>
        <w:spacing w:after="0" w:line="223" w:lineRule="auto"/>
        <w:tabs>
          <w:tab w:leader="none" w:pos="124" w:val="left"/>
        </w:tabs>
        <w:numPr>
          <w:ilvl w:val="0"/>
          <w:numId w:val="277"/>
        </w:numPr>
        <w:rPr>
          <w:rFonts w:ascii="Arial" w:cs="Arial" w:eastAsia="Arial" w:hAnsi="Arial"/>
          <w:sz w:val="28"/>
          <w:szCs w:val="28"/>
          <w:color w:val="auto"/>
          <w:vertAlign w:val="superscript"/>
        </w:rPr>
      </w:pPr>
      <w:r>
        <w:rPr>
          <w:rFonts w:ascii="Arial" w:cs="Arial" w:eastAsia="Arial" w:hAnsi="Arial"/>
          <w:sz w:val="18"/>
          <w:szCs w:val="18"/>
          <w:b w:val="1"/>
          <w:bCs w:val="1"/>
          <w:i w:val="1"/>
          <w:iCs w:val="1"/>
          <w:color w:val="auto"/>
        </w:rPr>
        <w:t>Note</w:t>
      </w:r>
      <w:r>
        <w:rPr>
          <w:rFonts w:ascii="Arial" w:cs="Arial" w:eastAsia="Arial" w:hAnsi="Arial"/>
          <w:sz w:val="18"/>
          <w:szCs w:val="18"/>
          <w:color w:val="auto"/>
        </w:rPr>
        <w:t>: Per Treasury Regulation § 1.83-2(c), the Section 83(b) election must be filed with the IRS office where the person otherwise files his or her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return. Assuming these are individual taxpayers who would file a Form 1040, see http://www.irs.gov/uac/Where-to-File-Addresses-for--Taxpayers-and-- Tax-Professionals-Filing-Form-1040. Use the address in the row which includes the state in which the service provider lives and in the column entitled “And you </w:t>
      </w:r>
      <w:r>
        <w:rPr>
          <w:rFonts w:ascii="Arial" w:cs="Arial" w:eastAsia="Arial" w:hAnsi="Arial"/>
          <w:sz w:val="18"/>
          <w:szCs w:val="18"/>
          <w:u w:val="single" w:color="auto"/>
          <w:color w:val="auto"/>
        </w:rPr>
        <w:t>ARE NOT</w:t>
      </w:r>
      <w:r>
        <w:rPr>
          <w:rFonts w:ascii="Arial" w:cs="Arial" w:eastAsia="Arial" w:hAnsi="Arial"/>
          <w:sz w:val="18"/>
          <w:szCs w:val="18"/>
          <w:color w:val="auto"/>
        </w:rPr>
        <w:t xml:space="preserve"> enclosing a payment”.</w:t>
      </w:r>
    </w:p>
    <w:p>
      <w:pPr>
        <w:spacing w:after="0" w:line="136" w:lineRule="exact"/>
        <w:rPr>
          <w:sz w:val="20"/>
          <w:szCs w:val="20"/>
          <w:color w:val="auto"/>
        </w:rPr>
      </w:pPr>
    </w:p>
    <w:p>
      <w:pPr>
        <w:jc w:val="both"/>
        <w:ind w:right="60" w:firstLine="8"/>
        <w:spacing w:after="0" w:line="234" w:lineRule="auto"/>
        <w:tabs>
          <w:tab w:leader="none" w:pos="124" w:val="left"/>
        </w:tabs>
        <w:numPr>
          <w:ilvl w:val="0"/>
          <w:numId w:val="278"/>
        </w:numPr>
        <w:rPr>
          <w:rFonts w:ascii="Arial" w:cs="Arial" w:eastAsia="Arial" w:hAnsi="Arial"/>
          <w:sz w:val="27"/>
          <w:szCs w:val="27"/>
          <w:color w:val="auto"/>
          <w:vertAlign w:val="superscript"/>
        </w:rPr>
      </w:pPr>
      <w:r>
        <w:rPr>
          <w:rFonts w:ascii="Arial" w:cs="Arial" w:eastAsia="Arial" w:hAnsi="Arial"/>
          <w:sz w:val="17"/>
          <w:szCs w:val="17"/>
          <w:b w:val="1"/>
          <w:bCs w:val="1"/>
          <w:i w:val="1"/>
          <w:iCs w:val="1"/>
          <w:color w:val="auto"/>
        </w:rPr>
        <w:t>Note</w:t>
      </w:r>
      <w:r>
        <w:rPr>
          <w:rFonts w:ascii="Arial" w:cs="Arial" w:eastAsia="Arial" w:hAnsi="Arial"/>
          <w:sz w:val="17"/>
          <w:szCs w:val="17"/>
          <w:color w:val="auto"/>
        </w:rPr>
        <w:t>: Per Treasury Regulation § 1.83-2(c), the Section 83(b) election must be filed with the IRS office where the person otherwise files his or her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return. As of October 2016, if you live in a foreign country or are a dual status alien (foreigners that will have lived both in their home country and the United States during the year in which they make the election) you should send the 83(b) election to Austin, TX 73301-0215. You can verify this is still the correct address at: http://www.irs.gov/uac/Where-to-File-Addresses-for--Taxpayers-and--Tax-Professionals-Filing-Form-1040.</w:t>
      </w:r>
    </w:p>
    <w:p>
      <w:pPr>
        <w:spacing w:after="0" w:line="30" w:lineRule="exact"/>
        <w:rPr>
          <w:sz w:val="20"/>
          <w:szCs w:val="20"/>
          <w:color w:val="auto"/>
        </w:rPr>
      </w:pPr>
    </w:p>
    <w:p>
      <w:pPr>
        <w:ind w:right="40" w:firstLine="8"/>
        <w:spacing w:after="0" w:line="223" w:lineRule="auto"/>
        <w:tabs>
          <w:tab w:leader="none" w:pos="124" w:val="left"/>
        </w:tabs>
        <w:numPr>
          <w:ilvl w:val="0"/>
          <w:numId w:val="279"/>
        </w:numPr>
        <w:rPr>
          <w:rFonts w:ascii="Arial" w:cs="Arial" w:eastAsia="Arial" w:hAnsi="Arial"/>
          <w:sz w:val="28"/>
          <w:szCs w:val="28"/>
          <w:color w:val="auto"/>
          <w:vertAlign w:val="superscript"/>
        </w:rPr>
      </w:pPr>
      <w:r>
        <w:rPr>
          <w:rFonts w:ascii="Arial" w:cs="Arial" w:eastAsia="Arial" w:hAnsi="Arial"/>
          <w:sz w:val="18"/>
          <w:szCs w:val="18"/>
          <w:b w:val="1"/>
          <w:bCs w:val="1"/>
          <w:i w:val="1"/>
          <w:iCs w:val="1"/>
          <w:color w:val="auto"/>
        </w:rPr>
        <w:t>Note</w:t>
      </w:r>
      <w:r>
        <w:rPr>
          <w:rFonts w:ascii="Arial" w:cs="Arial" w:eastAsia="Arial" w:hAnsi="Arial"/>
          <w:sz w:val="18"/>
          <w:szCs w:val="18"/>
          <w:color w:val="auto"/>
        </w:rPr>
        <w:t>: If you do not have a taxpayer ID number (TIN), put “None –non-US taxpayer” and include in the cover letter to the IRS a statement explaining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Section 83(b) election is being filed because the individual may become a US taxpayer before the stock vests. If the individual is applying for a TIN, instead include “applied for” and enclose a copy of the W-7 application. Note that there may be important factors to consider before applying for a TIN, including immigration status, etc.</w:t>
      </w:r>
    </w:p>
    <w:p>
      <w:pPr>
        <w:spacing w:after="0" w:line="95" w:lineRule="exact"/>
        <w:rPr>
          <w:sz w:val="20"/>
          <w:szCs w:val="20"/>
          <w:color w:val="auto"/>
        </w:rPr>
      </w:pPr>
    </w:p>
    <w:p>
      <w:pPr>
        <w:spacing w:after="0"/>
        <w:tabs>
          <w:tab w:leader="none" w:pos="5980" w:val="left"/>
        </w:tabs>
        <w:rPr>
          <w:sz w:val="20"/>
          <w:szCs w:val="20"/>
          <w:color w:val="auto"/>
        </w:rPr>
      </w:pPr>
      <w:r>
        <w:rPr>
          <w:rFonts w:ascii="Arial" w:cs="Arial" w:eastAsia="Arial" w:hAnsi="Arial"/>
          <w:sz w:val="28"/>
          <w:szCs w:val="28"/>
          <w:color w:val="auto"/>
          <w:vertAlign w:val="superscript"/>
        </w:rPr>
        <w:t>6</w:t>
      </w:r>
      <w:r>
        <w:rPr>
          <w:rFonts w:ascii="Arial" w:cs="Arial" w:eastAsia="Arial" w:hAnsi="Arial"/>
          <w:sz w:val="18"/>
          <w:szCs w:val="18"/>
          <w:b w:val="1"/>
          <w:bCs w:val="1"/>
          <w:i w:val="1"/>
          <w:iCs w:val="1"/>
          <w:color w:val="auto"/>
        </w:rPr>
        <w:t xml:space="preserve"> Note</w:t>
      </w:r>
      <w:r>
        <w:rPr>
          <w:rFonts w:ascii="Arial" w:cs="Arial" w:eastAsia="Arial" w:hAnsi="Arial"/>
          <w:sz w:val="18"/>
          <w:szCs w:val="18"/>
          <w:color w:val="auto"/>
        </w:rPr>
        <w:t>: If an entity is the service provider, instead use “Fiscal year ending</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-56515</wp:posOffset>
            </wp:positionV>
            <wp:extent cx="4000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08" w:right="339" w:bottom="1440" w:gutter="0" w:footer="0" w:header="0"/>
        </w:sectPr>
      </w:pPr>
    </w:p>
    <w:bookmarkStart w:id="355" w:name="page356"/>
    <w:bookmarkEnd w:id="355"/>
    <w:p>
      <w:pPr>
        <w:ind w:left="640" w:hanging="632"/>
        <w:spacing w:after="0" w:line="243" w:lineRule="auto"/>
        <w:tabs>
          <w:tab w:leader="none" w:pos="447" w:val="left"/>
        </w:tabs>
        <w:numPr>
          <w:ilvl w:val="0"/>
          <w:numId w:val="280"/>
        </w:numPr>
        <w:rPr>
          <w:rFonts w:ascii="Arial" w:cs="Arial" w:eastAsia="Arial" w:hAnsi="Arial"/>
          <w:sz w:val="22"/>
          <w:szCs w:val="22"/>
          <w:color w:val="auto"/>
        </w:rPr>
      </w:pPr>
      <w:r>
        <w:rPr>
          <w:rFonts w:ascii="Arial" w:cs="Arial" w:eastAsia="Arial" w:hAnsi="Arial"/>
          <w:sz w:val="22"/>
          <w:szCs w:val="22"/>
          <w:b w:val="1"/>
          <w:bCs w:val="1"/>
          <w:color w:val="auto"/>
        </w:rPr>
        <w:t>The property that is the subject of this election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common stock of PROCEPT BioRobotics Corporation, a</w:t>
      </w:r>
      <w:r>
        <w:rPr>
          <w:rFonts w:ascii="Arial" w:cs="Arial" w:eastAsia="Arial" w:hAnsi="Arial"/>
          <w:sz w:val="22"/>
          <w:szCs w:val="22"/>
          <w:b w:val="1"/>
          <w:bCs w:val="1"/>
          <w:color w:val="auto"/>
        </w:rPr>
        <w:t xml:space="preserve"> </w:t>
      </w:r>
      <w:r>
        <w:rPr>
          <w:rFonts w:ascii="Arial" w:cs="Arial" w:eastAsia="Arial" w:hAnsi="Arial"/>
          <w:sz w:val="22"/>
          <w:szCs w:val="22"/>
          <w:color w:val="auto"/>
        </w:rPr>
        <w:t>California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95" w:lineRule="exact"/>
        <w:rPr>
          <w:rFonts w:ascii="Arial" w:cs="Arial" w:eastAsia="Arial" w:hAnsi="Arial"/>
          <w:sz w:val="22"/>
          <w:szCs w:val="22"/>
          <w:color w:val="auto"/>
        </w:rPr>
      </w:pPr>
    </w:p>
    <w:p>
      <w:pPr>
        <w:ind w:left="380" w:hanging="372"/>
        <w:spacing w:after="0"/>
        <w:tabs>
          <w:tab w:leader="none" w:pos="380" w:val="left"/>
        </w:tabs>
        <w:numPr>
          <w:ilvl w:val="0"/>
          <w:numId w:val="280"/>
        </w:numPr>
        <w:rPr>
          <w:rFonts w:ascii="Arial" w:cs="Arial" w:eastAsia="Arial" w:hAnsi="Arial"/>
          <w:sz w:val="22"/>
          <w:szCs w:val="22"/>
          <w:color w:val="auto"/>
        </w:rPr>
      </w:pPr>
      <w:r>
        <w:rPr>
          <w:rFonts w:ascii="Arial" w:cs="Arial" w:eastAsia="Arial" w:hAnsi="Arial"/>
          <w:sz w:val="22"/>
          <w:szCs w:val="22"/>
          <w:b w:val="1"/>
          <w:bCs w:val="1"/>
          <w:color w:val="auto"/>
        </w:rPr>
        <w:t>The property was transferred 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l</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l</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w:t>
      </w:r>
    </w:p>
    <w:p>
      <w:pPr>
        <w:spacing w:after="0" w:line="111" w:lineRule="exact"/>
        <w:rPr>
          <w:rFonts w:ascii="Arial" w:cs="Arial" w:eastAsia="Arial" w:hAnsi="Arial"/>
          <w:sz w:val="22"/>
          <w:szCs w:val="22"/>
          <w:color w:val="auto"/>
        </w:rPr>
      </w:pPr>
    </w:p>
    <w:p>
      <w:pPr>
        <w:ind w:left="640" w:right="60" w:hanging="632"/>
        <w:spacing w:after="0" w:line="233" w:lineRule="auto"/>
        <w:tabs>
          <w:tab w:leader="none" w:pos="380" w:val="left"/>
        </w:tabs>
        <w:numPr>
          <w:ilvl w:val="0"/>
          <w:numId w:val="280"/>
        </w:numPr>
        <w:rPr>
          <w:rFonts w:ascii="Arial" w:cs="Arial" w:eastAsia="Arial" w:hAnsi="Arial"/>
          <w:sz w:val="22"/>
          <w:szCs w:val="22"/>
          <w:color w:val="auto"/>
        </w:rPr>
      </w:pPr>
      <w:r>
        <w:rPr>
          <w:rFonts w:ascii="Arial" w:cs="Arial" w:eastAsia="Arial" w:hAnsi="Arial"/>
          <w:sz w:val="22"/>
          <w:szCs w:val="22"/>
          <w:b w:val="1"/>
          <w:bCs w:val="1"/>
          <w:color w:val="auto"/>
        </w:rPr>
        <w:t>The property is subject to the following restrictions</w:t>
      </w:r>
      <w:r>
        <w:rPr>
          <w:rFonts w:ascii="Arial" w:cs="Arial" w:eastAsia="Arial" w:hAnsi="Arial"/>
          <w:sz w:val="22"/>
          <w:szCs w:val="22"/>
          <w:color w:val="auto"/>
        </w:rPr>
        <w:t>: Some or all of the shares are subject to forfeiture or repurchase if the</w:t>
      </w:r>
      <w:r>
        <w:rPr>
          <w:rFonts w:ascii="Arial" w:cs="Arial" w:eastAsia="Arial" w:hAnsi="Arial"/>
          <w:sz w:val="22"/>
          <w:szCs w:val="22"/>
          <w:b w:val="1"/>
          <w:bCs w:val="1"/>
          <w:color w:val="auto"/>
        </w:rPr>
        <w:t xml:space="preserve"> </w:t>
      </w:r>
      <w:r>
        <w:rPr>
          <w:rFonts w:ascii="Arial" w:cs="Arial" w:eastAsia="Arial" w:hAnsi="Arial"/>
          <w:sz w:val="22"/>
          <w:szCs w:val="22"/>
          <w:color w:val="auto"/>
        </w:rPr>
        <w:t>undersigned does not continue to provide services for the Company for a designated period of time. The risk of forfeiture or repurchase lapses over a specified vesting period.</w:t>
      </w:r>
    </w:p>
    <w:p>
      <w:pPr>
        <w:spacing w:after="0" w:line="100" w:lineRule="exact"/>
        <w:rPr>
          <w:rFonts w:ascii="Arial" w:cs="Arial" w:eastAsia="Arial" w:hAnsi="Arial"/>
          <w:sz w:val="22"/>
          <w:szCs w:val="22"/>
          <w:color w:val="auto"/>
        </w:rPr>
      </w:pPr>
    </w:p>
    <w:p>
      <w:pPr>
        <w:ind w:left="640" w:right="20" w:hanging="632"/>
        <w:spacing w:after="0" w:line="320" w:lineRule="auto"/>
        <w:tabs>
          <w:tab w:leader="none" w:pos="380" w:val="left"/>
        </w:tabs>
        <w:numPr>
          <w:ilvl w:val="0"/>
          <w:numId w:val="280"/>
        </w:numPr>
        <w:rPr>
          <w:rFonts w:ascii="Arial" w:cs="Arial" w:eastAsia="Arial" w:hAnsi="Arial"/>
          <w:sz w:val="19"/>
          <w:szCs w:val="19"/>
          <w:color w:val="auto"/>
        </w:rPr>
      </w:pPr>
      <w:r>
        <w:rPr>
          <w:rFonts w:ascii="Arial" w:cs="Arial" w:eastAsia="Arial" w:hAnsi="Arial"/>
          <w:sz w:val="19"/>
          <w:szCs w:val="19"/>
          <w:b w:val="1"/>
          <w:bCs w:val="1"/>
          <w:color w:val="auto"/>
        </w:rPr>
        <w:t>The fair market value of the property at the time of transfer (determined without regard to any restriction other than a nonlapse restriction as defined in Treasury Regulation § 1.83-3(h))</w:t>
      </w:r>
      <w:r>
        <w:rPr>
          <w:rFonts w:ascii="Arial" w:cs="Arial" w:eastAsia="Arial" w:hAnsi="Arial"/>
          <w:sz w:val="19"/>
          <w:szCs w:val="19"/>
          <w:color w:val="auto"/>
        </w:rPr>
        <w:t>: $</w:t>
      </w:r>
      <w:r>
        <w:rPr>
          <w:rFonts w:ascii="Arial" w:cs="Arial" w:eastAsia="Arial" w:hAnsi="Arial"/>
          <w:sz w:val="19"/>
          <w:szCs w:val="19"/>
          <w:color w:val="auto"/>
          <w:highlight w:val="yellow"/>
        </w:rPr>
        <w:t>[</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yellow"/>
        </w:rPr>
        <w:t>l</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yellow"/>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per share x</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yellow"/>
        </w:rPr>
        <w:t>[</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yellow"/>
        </w:rPr>
        <w:t>l</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yellow"/>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shares = $</w:t>
      </w:r>
      <w:r>
        <w:rPr>
          <w:rFonts w:ascii="Arial" w:cs="Arial" w:eastAsia="Arial" w:hAnsi="Arial"/>
          <w:sz w:val="19"/>
          <w:szCs w:val="19"/>
          <w:color w:val="auto"/>
          <w:highlight w:val="yellow"/>
        </w:rPr>
        <w:t>[</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yellow"/>
        </w:rPr>
        <w:t>l</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yellow"/>
        </w:rPr>
        <w:t>].</w:t>
      </w:r>
    </w:p>
    <w:p>
      <w:pPr>
        <w:spacing w:after="0" w:line="24" w:lineRule="exact"/>
        <w:rPr>
          <w:rFonts w:ascii="Arial" w:cs="Arial" w:eastAsia="Arial" w:hAnsi="Arial"/>
          <w:sz w:val="19"/>
          <w:szCs w:val="19"/>
          <w:color w:val="auto"/>
        </w:rPr>
      </w:pPr>
    </w:p>
    <w:p>
      <w:pPr>
        <w:ind w:left="380" w:hanging="372"/>
        <w:spacing w:after="0"/>
        <w:tabs>
          <w:tab w:leader="none" w:pos="380" w:val="left"/>
        </w:tabs>
        <w:numPr>
          <w:ilvl w:val="0"/>
          <w:numId w:val="280"/>
        </w:numPr>
        <w:rPr>
          <w:rFonts w:ascii="Arial" w:cs="Arial" w:eastAsia="Arial" w:hAnsi="Arial"/>
          <w:sz w:val="22"/>
          <w:szCs w:val="22"/>
          <w:color w:val="auto"/>
        </w:rPr>
      </w:pPr>
      <w:r>
        <w:rPr>
          <w:rFonts w:ascii="Arial" w:cs="Arial" w:eastAsia="Arial" w:hAnsi="Arial"/>
          <w:sz w:val="22"/>
          <w:szCs w:val="22"/>
          <w:b w:val="1"/>
          <w:bCs w:val="1"/>
          <w:color w:val="auto"/>
        </w:rPr>
        <w:t>For the property transferred, the undersigned paid</w:t>
      </w:r>
      <w:r>
        <w:rPr>
          <w:rFonts w:ascii="Arial" w:cs="Arial" w:eastAsia="Arial" w:hAnsi="Arial"/>
          <w:sz w:val="22"/>
          <w:szCs w:val="22"/>
          <w:color w:val="auto"/>
        </w:rPr>
        <w:t>: $</w:t>
      </w:r>
      <w:r>
        <w:rPr>
          <w:rFonts w:ascii="Arial" w:cs="Arial" w:eastAsia="Arial" w:hAnsi="Arial"/>
          <w:sz w:val="22"/>
          <w:szCs w:val="22"/>
          <w:color w:val="auto"/>
          <w:highlight w:val="yellow"/>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l</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per share x [#] shares = $</w:t>
      </w:r>
      <w:r>
        <w:rPr>
          <w:rFonts w:ascii="Arial" w:cs="Arial" w:eastAsia="Arial" w:hAnsi="Arial"/>
          <w:sz w:val="22"/>
          <w:szCs w:val="22"/>
          <w:color w:val="auto"/>
          <w:highlight w:val="yellow"/>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l</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w:t>
      </w:r>
    </w:p>
    <w:p>
      <w:pPr>
        <w:spacing w:after="0" w:line="111" w:lineRule="exact"/>
        <w:rPr>
          <w:rFonts w:ascii="Arial" w:cs="Arial" w:eastAsia="Arial" w:hAnsi="Arial"/>
          <w:sz w:val="22"/>
          <w:szCs w:val="22"/>
          <w:color w:val="auto"/>
        </w:rPr>
      </w:pPr>
    </w:p>
    <w:p>
      <w:pPr>
        <w:ind w:left="380" w:hanging="372"/>
        <w:spacing w:after="0"/>
        <w:tabs>
          <w:tab w:leader="none" w:pos="380" w:val="left"/>
        </w:tabs>
        <w:numPr>
          <w:ilvl w:val="0"/>
          <w:numId w:val="280"/>
        </w:numPr>
        <w:rPr>
          <w:rFonts w:ascii="Arial" w:cs="Arial" w:eastAsia="Arial" w:hAnsi="Arial"/>
          <w:sz w:val="22"/>
          <w:szCs w:val="22"/>
          <w:color w:val="auto"/>
        </w:rPr>
      </w:pPr>
      <w:r>
        <w:rPr>
          <w:rFonts w:ascii="Arial" w:cs="Arial" w:eastAsia="Arial" w:hAnsi="Arial"/>
          <w:sz w:val="22"/>
          <w:szCs w:val="22"/>
          <w:b w:val="1"/>
          <w:bCs w:val="1"/>
          <w:color w:val="auto"/>
        </w:rPr>
        <w:t>The amount to include in gross income is</w:t>
      </w:r>
      <w:r>
        <w:rPr>
          <w:rFonts w:ascii="Arial" w:cs="Arial" w:eastAsia="Arial" w:hAnsi="Arial"/>
          <w:sz w:val="22"/>
          <w:szCs w:val="22"/>
          <w:color w:val="auto"/>
        </w:rPr>
        <w:t>: $</w:t>
      </w:r>
      <w:r>
        <w:rPr>
          <w:rFonts w:ascii="Arial" w:cs="Arial" w:eastAsia="Arial" w:hAnsi="Arial"/>
          <w:sz w:val="22"/>
          <w:szCs w:val="22"/>
          <w:color w:val="auto"/>
          <w:highlight w:val="yellow"/>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l</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w:t>
      </w:r>
      <w:r>
        <w:rPr>
          <w:rFonts w:ascii="Arial" w:cs="Arial" w:eastAsia="Arial" w:hAnsi="Arial"/>
          <w:sz w:val="28"/>
          <w:szCs w:val="28"/>
          <w:color w:val="auto"/>
          <w:vertAlign w:val="superscript"/>
        </w:rPr>
        <w:t>7</w:t>
      </w:r>
    </w:p>
    <w:p>
      <w:pPr>
        <w:spacing w:after="0" w:line="62"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The undersigned taxpayer will file this election with the Internal Revenue Service office with which taxpayer files his or her annual income tax return not later than 30 days after the date of transfer of the property. A copy of the election also will be furnished to the person for whom the services were performed and the transferee of the property. Additionally, the undersigned will include a copy of the election with his or her income tax return for the taxable year in which the property is transferred. The undersigned is the person performing the services in connection with which the property was transferred.</w:t>
      </w:r>
    </w:p>
    <w:p>
      <w:pPr>
        <w:spacing w:after="0" w:line="139" w:lineRule="exact"/>
        <w:rPr>
          <w:sz w:val="20"/>
          <w:szCs w:val="20"/>
          <w:color w:val="auto"/>
        </w:rPr>
      </w:pPr>
    </w:p>
    <w:p>
      <w:pPr>
        <w:ind w:left="8260"/>
        <w:spacing w:after="0"/>
        <w:rPr>
          <w:sz w:val="20"/>
          <w:szCs w:val="20"/>
          <w:color w:val="auto"/>
        </w:rPr>
      </w:pPr>
      <w:r>
        <w:rPr>
          <w:rFonts w:ascii="Arial" w:cs="Arial" w:eastAsia="Arial" w:hAnsi="Arial"/>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370205</wp:posOffset>
            </wp:positionV>
            <wp:extent cx="19030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82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714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36" w:lineRule="exact"/>
        <w:rPr>
          <w:sz w:val="20"/>
          <w:szCs w:val="20"/>
          <w:color w:val="auto"/>
        </w:rPr>
      </w:pPr>
    </w:p>
    <w:p>
      <w:pPr>
        <w:ind w:left="240" w:hanging="124"/>
        <w:spacing w:after="0"/>
        <w:tabs>
          <w:tab w:leader="none" w:pos="240" w:val="left"/>
        </w:tabs>
        <w:numPr>
          <w:ilvl w:val="0"/>
          <w:numId w:val="281"/>
        </w:numPr>
        <w:rPr>
          <w:rFonts w:ascii="Arial" w:cs="Arial" w:eastAsia="Arial" w:hAnsi="Arial"/>
          <w:sz w:val="28"/>
          <w:szCs w:val="28"/>
          <w:color w:val="auto"/>
          <w:vertAlign w:val="superscript"/>
        </w:rPr>
      </w:pPr>
      <w:r>
        <w:rPr>
          <w:rFonts w:ascii="Arial" w:cs="Arial" w:eastAsia="Arial" w:hAnsi="Arial"/>
          <w:sz w:val="18"/>
          <w:szCs w:val="18"/>
          <w:b w:val="1"/>
          <w:bCs w:val="1"/>
          <w:i w:val="1"/>
          <w:iCs w:val="1"/>
          <w:color w:val="auto"/>
        </w:rPr>
        <w:t>Note</w:t>
      </w:r>
      <w:r>
        <w:rPr>
          <w:rFonts w:ascii="Arial" w:cs="Arial" w:eastAsia="Arial" w:hAnsi="Arial"/>
          <w:sz w:val="18"/>
          <w:szCs w:val="18"/>
          <w:color w:val="auto"/>
        </w:rPr>
        <w:t>: This should equal the amount in Item 5 minus the amount in Item 6, and in many cases will be $0.00.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20"/>
          </w:cols>
          <w:pgMar w:left="320" w:top="1408" w:right="359" w:bottom="1440" w:gutter="0" w:footer="0" w:header="0"/>
        </w:sectPr>
      </w:pPr>
    </w:p>
    <w:bookmarkStart w:id="356" w:name="page357"/>
    <w:bookmarkEnd w:id="356"/>
    <w:p>
      <w:pPr>
        <w:spacing w:after="0"/>
        <w:rPr>
          <w:sz w:val="20"/>
          <w:szCs w:val="20"/>
          <w:color w:val="auto"/>
        </w:rPr>
      </w:pPr>
      <w:r>
        <w:rPr>
          <w:rFonts w:ascii="Arial" w:cs="Arial" w:eastAsia="Arial" w:hAnsi="Arial"/>
          <w:sz w:val="22"/>
          <w:szCs w:val="22"/>
          <w:b w:val="1"/>
          <w:bCs w:val="1"/>
          <w:u w:val="single" w:color="auto"/>
          <w:color w:val="auto"/>
        </w:rPr>
        <w:t>RETURN SERVICE REQUESTED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Department of the Treasury</w:t>
      </w:r>
    </w:p>
    <w:p>
      <w:pPr>
        <w:spacing w:after="0" w:line="217" w:lineRule="auto"/>
        <w:rPr>
          <w:sz w:val="20"/>
          <w:szCs w:val="20"/>
          <w:color w:val="auto"/>
        </w:rPr>
      </w:pPr>
      <w:r>
        <w:rPr>
          <w:rFonts w:ascii="Arial" w:cs="Arial" w:eastAsia="Arial" w:hAnsi="Arial"/>
          <w:sz w:val="22"/>
          <w:szCs w:val="22"/>
          <w:color w:val="auto"/>
        </w:rPr>
        <w:t>Internal Revenue Service</w:t>
      </w:r>
    </w:p>
    <w:p>
      <w:pPr>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auto"/>
          <w:highlight w:val="yellow"/>
        </w:rPr>
        <w:t>City, State, ZIP</w:t>
      </w:r>
      <w:r>
        <w:rPr>
          <w:rFonts w:ascii="Arial" w:cs="Arial" w:eastAsia="Arial" w:hAnsi="Arial"/>
          <w:sz w:val="22"/>
          <w:szCs w:val="22"/>
          <w:color w:val="auto"/>
        </w:rPr>
        <w:t xml:space="preserve">][Austin, </w:t>
      </w:r>
      <w:r>
        <w:rPr>
          <w:rFonts w:ascii="Arial" w:cs="Arial" w:eastAsia="Arial" w:hAnsi="Arial"/>
          <w:sz w:val="22"/>
          <w:szCs w:val="22"/>
          <w:color w:val="auto"/>
          <w:highlight w:val="yellow"/>
        </w:rPr>
        <w:t>TX 73301-0215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highlight w:val="yellow"/>
        </w:rPr>
        <w:t>USA]</w:t>
      </w:r>
    </w:p>
    <w:p>
      <w:pPr>
        <w:spacing w:after="0" w:line="88" w:lineRule="exact"/>
        <w:rPr>
          <w:sz w:val="20"/>
          <w:szCs w:val="20"/>
          <w:color w:val="auto"/>
        </w:rPr>
      </w:pPr>
    </w:p>
    <w:p>
      <w:pPr>
        <w:ind w:right="5300"/>
        <w:spacing w:after="0" w:line="361" w:lineRule="auto"/>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b w:val="1"/>
          <w:bCs w:val="1"/>
          <w:u w:val="single" w:color="auto"/>
          <w:color w:val="auto"/>
        </w:rPr>
        <w:t>Election Under Section 83(b) of the Internal Revenue Code</w:t>
      </w:r>
      <w:r>
        <w:rPr>
          <w:rFonts w:ascii="Arial" w:cs="Arial" w:eastAsia="Arial" w:hAnsi="Arial"/>
          <w:sz w:val="22"/>
          <w:szCs w:val="22"/>
          <w:color w:val="auto"/>
        </w:rPr>
        <w:t xml:space="preserve"> Dear Sir or Madam:</w:t>
      </w:r>
    </w:p>
    <w:p>
      <w:pPr>
        <w:spacing w:after="0" w:line="1"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Enclosed please find an executed form of election under Section 83(b) of the Internal Revenue Code of 1986, as amended, filed with respect to an interest in ABC.</w:t>
      </w:r>
    </w:p>
    <w:p>
      <w:pPr>
        <w:spacing w:after="0" w:line="90" w:lineRule="exact"/>
        <w:rPr>
          <w:sz w:val="20"/>
          <w:szCs w:val="20"/>
          <w:color w:val="auto"/>
        </w:rPr>
      </w:pPr>
    </w:p>
    <w:p>
      <w:pPr>
        <w:ind w:right="620" w:firstLine="648"/>
        <w:spacing w:after="0" w:line="239" w:lineRule="auto"/>
        <w:rPr>
          <w:sz w:val="20"/>
          <w:szCs w:val="20"/>
          <w:color w:val="auto"/>
        </w:rPr>
      </w:pPr>
      <w:r>
        <w:rPr>
          <w:rFonts w:ascii="Arial" w:cs="Arial" w:eastAsia="Arial" w:hAnsi="Arial"/>
          <w:sz w:val="22"/>
          <w:szCs w:val="22"/>
          <w:color w:val="auto"/>
        </w:rPr>
        <w:t>[Please note, the undersigned does not currently have a Tax Identification Number because the undersigned is not a U.S. taxpayer, but may become a U.S. resident before the stock vests.]</w:t>
      </w:r>
    </w:p>
    <w:p>
      <w:pPr>
        <w:spacing w:after="0" w:line="104" w:lineRule="exact"/>
        <w:rPr>
          <w:sz w:val="20"/>
          <w:szCs w:val="20"/>
          <w:color w:val="auto"/>
        </w:rPr>
      </w:pPr>
    </w:p>
    <w:p>
      <w:pPr>
        <w:ind w:right="80" w:firstLine="648"/>
        <w:spacing w:after="0" w:line="260" w:lineRule="auto"/>
        <w:rPr>
          <w:sz w:val="20"/>
          <w:szCs w:val="20"/>
          <w:color w:val="auto"/>
        </w:rPr>
      </w:pPr>
      <w:r>
        <w:rPr>
          <w:rFonts w:ascii="Arial" w:cs="Arial" w:eastAsia="Arial" w:hAnsi="Arial"/>
          <w:sz w:val="21"/>
          <w:szCs w:val="21"/>
          <w:color w:val="auto"/>
        </w:rPr>
        <w:t>Also enclosed is a copy of the signed form of election under Section 83(b). Please acknowledge receipt of these materials by marking the copy when received and returning it in the enclosed stamped, self-addressed envelope.</w:t>
      </w:r>
    </w:p>
    <w:p>
      <w:pPr>
        <w:spacing w:after="0" w:line="8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Thank you very much for your assistance.</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370205</wp:posOffset>
            </wp:positionV>
            <wp:extent cx="94297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942975" cy="18859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Enclosures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08" w:right="33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RECEIPT AND CONSENT</w:t>
            </w:r>
          </w:p>
        </w:tc>
        <w:tc>
          <w:tcPr>
            <w:tcW w:w="2200" w:type="dxa"/>
            <w:vAlign w:val="bottom"/>
            <w:gridSpan w:val="5"/>
          </w:tcPr>
          <w:p>
            <w:pPr>
              <w:spacing w:after="0"/>
              <w:rPr>
                <w:sz w:val="21"/>
                <w:szCs w:val="21"/>
                <w:color w:val="auto"/>
              </w:rPr>
            </w:pPr>
          </w:p>
        </w:tc>
      </w:tr>
      <w:tr>
        <w:trPr>
          <w:trHeight w:val="358"/>
        </w:trPr>
        <w:tc>
          <w:tcPr>
            <w:tcW w:w="320" w:type="dxa"/>
            <w:vAlign w:val="bottom"/>
          </w:tcPr>
          <w:p>
            <w:pPr>
              <w:spacing w:after="0"/>
              <w:rPr>
                <w:sz w:val="24"/>
                <w:szCs w:val="24"/>
                <w:color w:val="auto"/>
              </w:rPr>
            </w:pPr>
          </w:p>
        </w:tc>
        <w:tc>
          <w:tcPr>
            <w:tcW w:w="8800" w:type="dxa"/>
            <w:vAlign w:val="bottom"/>
            <w:gridSpan w:val="8"/>
          </w:tcPr>
          <w:p>
            <w:pPr>
              <w:ind w:left="340"/>
              <w:spacing w:after="0"/>
              <w:rPr>
                <w:sz w:val="20"/>
                <w:szCs w:val="20"/>
                <w:color w:val="auto"/>
              </w:rPr>
            </w:pPr>
            <w:r>
              <w:rPr>
                <w:rFonts w:ascii="Arial" w:cs="Arial" w:eastAsia="Arial" w:hAnsi="Arial"/>
                <w:sz w:val="22"/>
                <w:szCs w:val="22"/>
                <w:color w:val="auto"/>
              </w:rPr>
              <w:t>The undersigned hereby acknowledges receipt of a photocopy of Certificate No.</w:t>
            </w:r>
          </w:p>
        </w:tc>
      </w:tr>
      <w:tr>
        <w:trPr>
          <w:trHeight w:val="209"/>
        </w:trPr>
        <w:tc>
          <w:tcPr>
            <w:tcW w:w="320" w:type="dxa"/>
            <w:vAlign w:val="bottom"/>
          </w:tcPr>
          <w:p>
            <w:pPr>
              <w:spacing w:after="0" w:line="209" w:lineRule="exact"/>
              <w:rPr>
                <w:sz w:val="20"/>
                <w:szCs w:val="20"/>
                <w:color w:val="auto"/>
              </w:rPr>
            </w:pPr>
            <w:r>
              <w:rPr>
                <w:rFonts w:ascii="Arial" w:cs="Arial" w:eastAsia="Arial" w:hAnsi="Arial"/>
                <w:sz w:val="22"/>
                <w:szCs w:val="22"/>
                <w:color w:val="auto"/>
              </w:rPr>
              <w:t>for</w:t>
            </w:r>
          </w:p>
        </w:tc>
        <w:tc>
          <w:tcPr>
            <w:tcW w:w="1500" w:type="dxa"/>
            <w:vAlign w:val="bottom"/>
          </w:tcPr>
          <w:p>
            <w:pPr>
              <w:spacing w:after="0"/>
              <w:rPr>
                <w:sz w:val="18"/>
                <w:szCs w:val="18"/>
                <w:color w:val="auto"/>
              </w:rPr>
            </w:pPr>
          </w:p>
        </w:tc>
        <w:tc>
          <w:tcPr>
            <w:tcW w:w="5820" w:type="dxa"/>
            <w:vAlign w:val="bottom"/>
            <w:gridSpan w:val="3"/>
          </w:tcPr>
          <w:p>
            <w:pPr>
              <w:ind w:left="60"/>
              <w:spacing w:after="0" w:line="209" w:lineRule="exact"/>
              <w:rPr>
                <w:sz w:val="20"/>
                <w:szCs w:val="20"/>
                <w:color w:val="auto"/>
              </w:rPr>
            </w:pPr>
            <w:r>
              <w:rPr>
                <w:rFonts w:ascii="Arial" w:cs="Arial" w:eastAsia="Arial" w:hAnsi="Arial"/>
                <w:sz w:val="22"/>
                <w:szCs w:val="22"/>
                <w:color w:val="auto"/>
                <w:w w:val="91"/>
              </w:rPr>
              <w:t>shares of Common Stock of PROCEPT BioRobotics Corporation</w:t>
            </w:r>
          </w:p>
        </w:tc>
        <w:tc>
          <w:tcPr>
            <w:tcW w:w="540" w:type="dxa"/>
            <w:vAlign w:val="bottom"/>
            <w:tcBorders>
              <w:top w:val="single" w:sz="8" w:color="auto"/>
            </w:tcBorders>
            <w:gridSpan w:val="2"/>
          </w:tcPr>
          <w:p>
            <w:pPr>
              <w:spacing w:after="0" w:line="209" w:lineRule="exact"/>
              <w:rPr>
                <w:sz w:val="20"/>
                <w:szCs w:val="20"/>
                <w:color w:val="auto"/>
              </w:rPr>
            </w:pPr>
            <w:r>
              <w:rPr>
                <w:rFonts w:ascii="Arial" w:cs="Arial" w:eastAsia="Arial" w:hAnsi="Arial"/>
                <w:sz w:val="22"/>
                <w:szCs w:val="22"/>
                <w:color w:val="auto"/>
              </w:rPr>
              <w:t>(the “</w:t>
            </w:r>
          </w:p>
        </w:tc>
        <w:tc>
          <w:tcPr>
            <w:tcW w:w="940" w:type="dxa"/>
            <w:vAlign w:val="bottom"/>
            <w:gridSpan w:val="2"/>
          </w:tcPr>
          <w:p>
            <w:pPr>
              <w:spacing w:after="0" w:line="209" w:lineRule="exact"/>
              <w:rPr>
                <w:sz w:val="20"/>
                <w:szCs w:val="20"/>
                <w:color w:val="auto"/>
              </w:rPr>
            </w:pPr>
            <w:r>
              <w:rPr>
                <w:rFonts w:ascii="Arial" w:cs="Arial" w:eastAsia="Arial" w:hAnsi="Arial"/>
                <w:sz w:val="22"/>
                <w:szCs w:val="22"/>
                <w:color w:val="auto"/>
                <w:w w:val="80"/>
              </w:rPr>
              <w:t>Company”).</w:t>
            </w:r>
          </w:p>
        </w:tc>
      </w:tr>
      <w:tr>
        <w:trPr>
          <w:trHeight w:val="20"/>
        </w:trPr>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7" w:lineRule="exact"/>
        <w:rPr>
          <w:sz w:val="20"/>
          <w:szCs w:val="20"/>
          <w:color w:val="auto"/>
        </w:rPr>
      </w:pPr>
    </w:p>
    <w:p>
      <w:pPr>
        <w:ind w:firstLine="648"/>
        <w:spacing w:after="0" w:line="228" w:lineRule="auto"/>
        <w:rPr>
          <w:sz w:val="20"/>
          <w:szCs w:val="20"/>
          <w:color w:val="auto"/>
        </w:rPr>
      </w:pPr>
      <w:r>
        <w:rPr>
          <w:rFonts w:ascii="Arial" w:cs="Arial" w:eastAsia="Arial" w:hAnsi="Arial"/>
          <w:sz w:val="22"/>
          <w:szCs w:val="22"/>
          <w:color w:val="auto"/>
        </w:rPr>
        <w:t>The undersigned further acknowledges that the Secretary of the Company, or his or her designee, is acting as escrow holder pursuant to the Early Exercise Notice and Restricted Stock Purchase Agreement Purchaser has previously entered into with the Company. As escrow holder, the Secretary of the Company, or his or her designee, holds the original of the aforementioned certificate issued in the undersigned’s name.</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27305</wp:posOffset>
            </wp:positionV>
            <wp:extent cx="52374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4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820"/>
          </w:cols>
          <w:pgMar w:left="320" w:top="1385" w:right="759" w:bottom="1440" w:gutter="0" w:footer="0" w:header="0"/>
        </w:sectPr>
      </w:pPr>
    </w:p>
    <w:bookmarkStart w:id="358" w:name="page359"/>
    <w:bookmarkEnd w:id="358"/>
    <w:p>
      <w:pPr>
        <w:jc w:val="center"/>
        <w:spacing w:after="0"/>
        <w:rPr>
          <w:sz w:val="20"/>
          <w:szCs w:val="20"/>
          <w:color w:val="auto"/>
        </w:rPr>
      </w:pPr>
      <w:r>
        <w:rPr>
          <w:rFonts w:ascii="Arial" w:cs="Arial" w:eastAsia="Arial" w:hAnsi="Arial"/>
          <w:sz w:val="22"/>
          <w:szCs w:val="22"/>
          <w:u w:val="single" w:color="auto"/>
          <w:color w:val="auto"/>
        </w:rPr>
        <w:t>EXHIBIT B</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PROCEPT BIOROBOTICS 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2008 STOCK PLAN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EXERCISE NOTICE AND RESTRICTED STOCK PURCHASE AGREEMENT</w:t>
      </w:r>
    </w:p>
    <w:p>
      <w:pPr>
        <w:spacing w:after="0" w:line="126" w:lineRule="exact"/>
        <w:rPr>
          <w:sz w:val="20"/>
          <w:szCs w:val="20"/>
          <w:color w:val="auto"/>
        </w:rPr>
      </w:pPr>
    </w:p>
    <w:p>
      <w:pPr>
        <w:ind w:left="660"/>
        <w:spacing w:after="0"/>
        <w:tabs>
          <w:tab w:leader="none" w:pos="5920" w:val="left"/>
        </w:tabs>
        <w:rPr>
          <w:sz w:val="20"/>
          <w:szCs w:val="20"/>
          <w:color w:val="auto"/>
        </w:rPr>
      </w:pPr>
      <w:r>
        <w:rPr>
          <w:rFonts w:ascii="Arial" w:cs="Arial" w:eastAsia="Arial" w:hAnsi="Arial"/>
          <w:sz w:val="22"/>
          <w:szCs w:val="22"/>
          <w:color w:val="auto"/>
        </w:rPr>
        <w:t>This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w:t>
      </w:r>
      <w:r>
        <w:rPr>
          <w:sz w:val="20"/>
          <w:szCs w:val="20"/>
          <w:color w:val="auto"/>
        </w:rPr>
        <w:tab/>
      </w:r>
      <w:r>
        <w:rPr>
          <w:rFonts w:ascii="Arial" w:cs="Arial" w:eastAsia="Arial" w:hAnsi="Arial"/>
          <w:sz w:val="19"/>
          <w:szCs w:val="19"/>
          <w:color w:val="auto"/>
        </w:rPr>
        <w:t>, by and between PROCEPT BioRobotics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-14605</wp:posOffset>
            </wp:positionV>
            <wp:extent cx="8229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right="560"/>
        <w:spacing w:after="0" w:line="293" w:lineRule="auto"/>
        <w:rPr>
          <w:sz w:val="20"/>
          <w:szCs w:val="20"/>
          <w:color w:val="auto"/>
        </w:rPr>
      </w:pPr>
      <w:r>
        <w:rPr>
          <w:rFonts w:ascii="Arial" w:cs="Arial" w:eastAsia="Arial" w:hAnsi="Arial"/>
          <w:sz w:val="19"/>
          <w:szCs w:val="19"/>
          <w:color w:val="auto"/>
        </w:rPr>
        <w:t>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«HolderName» (“</w:t>
      </w:r>
      <w:r>
        <w:rPr>
          <w:rFonts w:ascii="Arial" w:cs="Arial" w:eastAsia="Arial" w:hAnsi="Arial"/>
          <w:sz w:val="19"/>
          <w:szCs w:val="19"/>
          <w:u w:val="single" w:color="auto"/>
          <w:color w:val="auto"/>
        </w:rPr>
        <w:t>Purchaser</w:t>
      </w:r>
      <w:r>
        <w:rPr>
          <w:rFonts w:ascii="Arial" w:cs="Arial" w:eastAsia="Arial" w:hAnsi="Arial"/>
          <w:sz w:val="19"/>
          <w:szCs w:val="19"/>
          <w:color w:val="auto"/>
        </w:rPr>
        <w:t>”). To the extent any capitalized terms used in this Agreement are not defined, they shall have the meaning ascribed to them in the Company’s 2008 Stock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8"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b w:val="1"/>
          <w:bCs w:val="1"/>
          <w:color w:val="auto"/>
        </w:rPr>
        <w:t>Exercise of Option</w:t>
      </w:r>
      <w:r>
        <w:rPr>
          <w:rFonts w:ascii="Arial" w:cs="Arial" w:eastAsia="Arial" w:hAnsi="Arial"/>
          <w:sz w:val="19"/>
          <w:szCs w:val="19"/>
          <w:color w:val="auto"/>
        </w:rPr>
        <w:t>. Subject to the terms and conditions hereof, Purchaser hereby elects to exercise his or her option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Arial" w:cs="Arial" w:eastAsia="Arial" w:hAnsi="Arial"/>
                <w:sz w:val="21"/>
                <w:szCs w:val="21"/>
                <w:color w:val="auto"/>
                <w:w w:val="89"/>
              </w:rPr>
              <w:t>to purchase</w:t>
            </w: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920" w:type="dxa"/>
            <w:vAlign w:val="bottom"/>
            <w:gridSpan w:val="9"/>
          </w:tcPr>
          <w:p>
            <w:pPr>
              <w:spacing w:after="0" w:line="190" w:lineRule="exact"/>
              <w:rPr>
                <w:sz w:val="20"/>
                <w:szCs w:val="20"/>
                <w:color w:val="auto"/>
              </w:rPr>
            </w:pPr>
            <w:r>
              <w:rPr>
                <w:rFonts w:ascii="Arial" w:cs="Arial" w:eastAsia="Arial" w:hAnsi="Arial"/>
                <w:sz w:val="21"/>
                <w:szCs w:val="21"/>
                <w:color w:val="auto"/>
                <w:w w:val="95"/>
              </w:rPr>
              <w:t>shares of the Common Stock (the “Shares”) of the Company under and pursuant to the Plan and the</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3040" w:type="dxa"/>
            <w:vAlign w:val="bottom"/>
            <w:gridSpan w:val="3"/>
            <w:vMerge w:val="restart"/>
          </w:tcPr>
          <w:p>
            <w:pPr>
              <w:ind w:left="40"/>
              <w:spacing w:after="0" w:line="229" w:lineRule="exact"/>
              <w:rPr>
                <w:sz w:val="20"/>
                <w:szCs w:val="20"/>
                <w:color w:val="auto"/>
              </w:rPr>
            </w:pPr>
            <w:r>
              <w:rPr>
                <w:rFonts w:ascii="Arial" w:cs="Arial" w:eastAsia="Arial" w:hAnsi="Arial"/>
                <w:sz w:val="22"/>
                <w:szCs w:val="22"/>
                <w:color w:val="auto"/>
                <w:w w:val="90"/>
              </w:rPr>
              <w:t>granted «GrantDate» (the “Option</w:t>
            </w: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80" w:type="dxa"/>
            <w:vAlign w:val="bottom"/>
            <w:gridSpan w:val="3"/>
          </w:tcPr>
          <w:p>
            <w:pPr>
              <w:spacing w:after="0" w:line="209" w:lineRule="exact"/>
              <w:rPr>
                <w:sz w:val="20"/>
                <w:szCs w:val="20"/>
                <w:color w:val="auto"/>
              </w:rPr>
            </w:pPr>
            <w:r>
              <w:rPr>
                <w:rFonts w:ascii="Arial" w:cs="Arial" w:eastAsia="Arial" w:hAnsi="Arial"/>
                <w:sz w:val="22"/>
                <w:szCs w:val="22"/>
                <w:color w:val="auto"/>
                <w:w w:val="90"/>
              </w:rPr>
              <w:t>Stock Option Agreement</w:t>
            </w:r>
          </w:p>
        </w:tc>
        <w:tc>
          <w:tcPr>
            <w:tcW w:w="3040" w:type="dxa"/>
            <w:vAlign w:val="bottom"/>
            <w:gridSpan w:val="3"/>
            <w:vMerge w:val="continue"/>
          </w:tcPr>
          <w:p>
            <w:pPr>
              <w:spacing w:after="0"/>
              <w:rPr>
                <w:sz w:val="18"/>
                <w:szCs w:val="18"/>
                <w:color w:val="auto"/>
              </w:rPr>
            </w:pPr>
          </w:p>
        </w:tc>
        <w:tc>
          <w:tcPr>
            <w:tcW w:w="5880" w:type="dxa"/>
            <w:vAlign w:val="bottom"/>
            <w:gridSpan w:val="6"/>
          </w:tcPr>
          <w:p>
            <w:pPr>
              <w:ind w:left="20"/>
              <w:spacing w:after="0" w:line="209" w:lineRule="exact"/>
              <w:rPr>
                <w:sz w:val="20"/>
                <w:szCs w:val="20"/>
                <w:color w:val="auto"/>
              </w:rPr>
            </w:pPr>
            <w:r>
              <w:rPr>
                <w:rFonts w:ascii="Arial" w:cs="Arial" w:eastAsia="Arial" w:hAnsi="Arial"/>
                <w:sz w:val="22"/>
                <w:szCs w:val="22"/>
                <w:color w:val="auto"/>
              </w:rPr>
              <w:t>Agreement”). The purchase price for the Shares shall be</w:t>
            </w:r>
          </w:p>
        </w:tc>
        <w:tc>
          <w:tcPr>
            <w:tcW w:w="0" w:type="dxa"/>
            <w:vAlign w:val="bottom"/>
          </w:tcPr>
          <w:p>
            <w:pPr>
              <w:spacing w:after="0"/>
              <w:rPr>
                <w:sz w:val="1"/>
                <w:szCs w:val="1"/>
                <w:color w:val="auto"/>
              </w:rPr>
            </w:pPr>
          </w:p>
        </w:tc>
      </w:tr>
      <w:tr>
        <w:trPr>
          <w:trHeight w:val="20"/>
        </w:trPr>
        <w:tc>
          <w:tcPr>
            <w:tcW w:w="4580" w:type="dxa"/>
            <w:vAlign w:val="bottom"/>
            <w:gridSpan w:val="5"/>
          </w:tcPr>
          <w:p>
            <w:pPr>
              <w:spacing w:after="0" w:line="20" w:lineRule="exact"/>
              <w:rPr>
                <w:sz w:val="1"/>
                <w:szCs w:val="1"/>
                <w:color w:val="auto"/>
              </w:rPr>
            </w:pPr>
          </w:p>
        </w:tc>
        <w:tc>
          <w:tcPr>
            <w:tcW w:w="122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740" w:type="dxa"/>
            <w:vAlign w:val="bottom"/>
            <w:gridSpan w:val="3"/>
            <w:vMerge w:val="restart"/>
          </w:tcPr>
          <w:p>
            <w:pPr>
              <w:spacing w:after="0" w:line="229" w:lineRule="exact"/>
              <w:rPr>
                <w:sz w:val="20"/>
                <w:szCs w:val="20"/>
                <w:color w:val="auto"/>
              </w:rPr>
            </w:pPr>
            <w:r>
              <w:rPr>
                <w:rFonts w:ascii="Arial" w:cs="Arial" w:eastAsia="Arial" w:hAnsi="Arial"/>
                <w:sz w:val="22"/>
                <w:szCs w:val="22"/>
                <w:color w:val="auto"/>
                <w:w w:val="87"/>
              </w:rPr>
              <w:t>. The term “Shares” refers to the purchased Shares and</w:t>
            </w:r>
          </w:p>
        </w:tc>
        <w:tc>
          <w:tcPr>
            <w:tcW w:w="0" w:type="dxa"/>
            <w:vAlign w:val="bottom"/>
          </w:tcPr>
          <w:p>
            <w:pPr>
              <w:spacing w:after="0" w:line="20" w:lineRule="exact"/>
              <w:rPr>
                <w:sz w:val="1"/>
                <w:szCs w:val="1"/>
                <w:color w:val="auto"/>
              </w:rPr>
            </w:pPr>
          </w:p>
        </w:tc>
      </w:tr>
      <w:tr>
        <w:trPr>
          <w:trHeight w:val="209"/>
        </w:trPr>
        <w:tc>
          <w:tcPr>
            <w:tcW w:w="5800" w:type="dxa"/>
            <w:vAlign w:val="bottom"/>
            <w:gridSpan w:val="7"/>
          </w:tcPr>
          <w:p>
            <w:pPr>
              <w:spacing w:after="0" w:line="209" w:lineRule="exact"/>
              <w:rPr>
                <w:sz w:val="20"/>
                <w:szCs w:val="20"/>
                <w:color w:val="auto"/>
              </w:rPr>
            </w:pPr>
            <w:r>
              <w:rPr>
                <w:rFonts w:ascii="Arial" w:cs="Arial" w:eastAsia="Arial" w:hAnsi="Arial"/>
                <w:sz w:val="22"/>
                <w:szCs w:val="22"/>
                <w:color w:val="auto"/>
                <w:w w:val="87"/>
              </w:rPr>
              <w:t>$«ExercisePricePerShare» per Share for a total purchase price of $</w:t>
            </w:r>
          </w:p>
        </w:tc>
        <w:tc>
          <w:tcPr>
            <w:tcW w:w="4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4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00"/>
        <w:spacing w:after="0"/>
        <w:rPr>
          <w:sz w:val="20"/>
          <w:szCs w:val="20"/>
          <w:color w:val="auto"/>
        </w:rPr>
      </w:pPr>
      <w:r>
        <w:rPr>
          <w:rFonts w:ascii="Arial" w:cs="Arial" w:eastAsia="Arial" w:hAnsi="Arial"/>
          <w:sz w:val="21"/>
          <w:szCs w:val="21"/>
          <w:color w:val="auto"/>
        </w:rPr>
        <w:t>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99" w:lineRule="exact"/>
        <w:rPr>
          <w:sz w:val="20"/>
          <w:szCs w:val="20"/>
          <w:color w:val="auto"/>
        </w:rPr>
      </w:pPr>
    </w:p>
    <w:p>
      <w:pPr>
        <w:ind w:right="140" w:firstLine="656"/>
        <w:spacing w:after="0" w:line="238" w:lineRule="auto"/>
        <w:tabs>
          <w:tab w:leader="none" w:pos="1026" w:val="left"/>
        </w:tabs>
        <w:numPr>
          <w:ilvl w:val="0"/>
          <w:numId w:val="282"/>
        </w:numPr>
        <w:rPr>
          <w:rFonts w:ascii="Arial" w:cs="Arial" w:eastAsia="Arial" w:hAnsi="Arial"/>
          <w:sz w:val="21"/>
          <w:szCs w:val="21"/>
          <w:color w:val="auto"/>
        </w:rPr>
      </w:pPr>
      <w:r>
        <w:rPr>
          <w:rFonts w:ascii="Arial" w:cs="Arial" w:eastAsia="Arial" w:hAnsi="Arial"/>
          <w:sz w:val="21"/>
          <w:szCs w:val="21"/>
          <w:b w:val="1"/>
          <w:bCs w:val="1"/>
          <w:u w:val="single" w:color="auto"/>
          <w:color w:val="auto"/>
        </w:rPr>
        <w:t>Time and Place of Exercise</w:t>
      </w:r>
      <w:r>
        <w:rPr>
          <w:rFonts w:ascii="Arial" w:cs="Arial" w:eastAsia="Arial" w:hAnsi="Arial"/>
          <w:sz w:val="21"/>
          <w:szCs w:val="21"/>
          <w:color w:val="auto"/>
        </w:rPr>
        <w:t>. The purchase and sale of the Shares under this Agreement shall occur at the principal</w:t>
      </w:r>
      <w:r>
        <w:rPr>
          <w:rFonts w:ascii="Arial" w:cs="Arial" w:eastAsia="Arial" w:hAnsi="Arial"/>
          <w:sz w:val="21"/>
          <w:szCs w:val="21"/>
          <w:b w:val="1"/>
          <w:bCs w:val="1"/>
          <w:color w:val="auto"/>
        </w:rPr>
        <w:t xml:space="preserve"> </w:t>
      </w:r>
      <w:r>
        <w:rPr>
          <w:rFonts w:ascii="Arial" w:cs="Arial" w:eastAsia="Arial" w:hAnsi="Arial"/>
          <w:sz w:val="21"/>
          <w:szCs w:val="21"/>
          <w:color w:val="auto"/>
        </w:rPr>
        <w:t>office of the Company simultaneously with the execution and delivery of this Agreement in accordance with the provisions of Section 3(b) of the Option Agreement. On such date, the Company will deliver to Purchaser a certificate representing the Shares to be purchased by Purchaser (which shall be issued in Purchaser’s name) against payment of the exercise price therefor by Purchaser by any method listed in Section 4 of the Option Agreement.</w:t>
      </w:r>
    </w:p>
    <w:p>
      <w:pPr>
        <w:spacing w:after="0" w:line="98" w:lineRule="exact"/>
        <w:rPr>
          <w:rFonts w:ascii="Arial" w:cs="Arial" w:eastAsia="Arial" w:hAnsi="Arial"/>
          <w:sz w:val="21"/>
          <w:szCs w:val="21"/>
          <w:color w:val="auto"/>
        </w:rPr>
      </w:pPr>
    </w:p>
    <w:p>
      <w:pPr>
        <w:ind w:right="100" w:firstLine="656"/>
        <w:spacing w:after="0" w:line="233" w:lineRule="auto"/>
        <w:tabs>
          <w:tab w:leader="none" w:pos="1026" w:val="left"/>
        </w:tabs>
        <w:numPr>
          <w:ilvl w:val="0"/>
          <w:numId w:val="282"/>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Limitations on Transfer</w:t>
      </w:r>
      <w:r>
        <w:rPr>
          <w:rFonts w:ascii="Arial" w:cs="Arial" w:eastAsia="Arial" w:hAnsi="Arial"/>
          <w:sz w:val="22"/>
          <w:szCs w:val="22"/>
          <w:color w:val="auto"/>
        </w:rPr>
        <w:t>. In addition to any other limitation on transfer created by applicable securities laws,</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shall not assign, encumber or dispose of any interest in the Shares except in compliance with the provisions below and applicable securities laws.</w:t>
      </w:r>
    </w:p>
    <w:p>
      <w:pPr>
        <w:spacing w:after="0" w:line="86" w:lineRule="exact"/>
        <w:rPr>
          <w:rFonts w:ascii="Arial" w:cs="Arial" w:eastAsia="Arial" w:hAnsi="Arial"/>
          <w:sz w:val="22"/>
          <w:szCs w:val="22"/>
          <w:color w:val="auto"/>
        </w:rPr>
      </w:pPr>
    </w:p>
    <w:p>
      <w:pPr>
        <w:ind w:right="60" w:firstLine="1304"/>
        <w:spacing w:after="0" w:line="269" w:lineRule="auto"/>
        <w:tabs>
          <w:tab w:leader="none" w:pos="1752" w:val="left"/>
        </w:tabs>
        <w:numPr>
          <w:ilvl w:val="1"/>
          <w:numId w:val="282"/>
        </w:numPr>
        <w:rPr>
          <w:rFonts w:ascii="Arial" w:cs="Arial" w:eastAsia="Arial" w:hAnsi="Arial"/>
          <w:sz w:val="19"/>
          <w:szCs w:val="19"/>
          <w:color w:val="auto"/>
        </w:rPr>
      </w:pPr>
      <w:r>
        <w:rPr>
          <w:rFonts w:ascii="Arial" w:cs="Arial" w:eastAsia="Arial" w:hAnsi="Arial"/>
          <w:sz w:val="19"/>
          <w:szCs w:val="19"/>
          <w:b w:val="1"/>
          <w:bCs w:val="1"/>
          <w:u w:val="single" w:color="auto"/>
          <w:color w:val="auto"/>
        </w:rPr>
        <w:t>Private Company</w:t>
      </w:r>
      <w:r>
        <w:rPr>
          <w:rFonts w:ascii="Arial" w:cs="Arial" w:eastAsia="Arial" w:hAnsi="Arial"/>
          <w:sz w:val="19"/>
          <w:szCs w:val="19"/>
          <w:color w:val="auto"/>
        </w:rPr>
        <w:t>. Purchaser acknowledges that the Company shall have the right, but not the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90 days after the termination of Purchaser’s Continuous Service Status for any reason or after exercise of the Option if the Option is exercised after termination of Purchaser’s Continuous Service Status for any reason, to repurchase the Shares. The repurchase price shall be the Fair Market Value of those Shares as of the date of the Termination. The Fair Market Value per Share will be determined as set forth in Section 3(c)(ii) of this Agreement. The repurchase price shall be paid in cash.</w:t>
      </w:r>
    </w:p>
    <w:p>
      <w:pPr>
        <w:spacing w:after="0" w:line="71" w:lineRule="exact"/>
        <w:rPr>
          <w:rFonts w:ascii="Arial" w:cs="Arial" w:eastAsia="Arial" w:hAnsi="Arial"/>
          <w:sz w:val="19"/>
          <w:szCs w:val="19"/>
          <w:color w:val="auto"/>
        </w:rPr>
      </w:pPr>
    </w:p>
    <w:p>
      <w:pPr>
        <w:jc w:val="both"/>
        <w:ind w:right="60" w:firstLine="1304"/>
        <w:spacing w:after="0" w:line="229" w:lineRule="auto"/>
        <w:tabs>
          <w:tab w:leader="none" w:pos="1764" w:val="left"/>
        </w:tabs>
        <w:numPr>
          <w:ilvl w:val="1"/>
          <w:numId w:val="282"/>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of First Refusal</w:t>
      </w:r>
      <w:r>
        <w:rPr>
          <w:rFonts w:ascii="Arial" w:cs="Arial" w:eastAsia="Arial" w:hAnsi="Arial"/>
          <w:sz w:val="22"/>
          <w:szCs w:val="22"/>
          <w:color w:val="auto"/>
        </w:rPr>
        <w:t>. Before any Shares held by Purchaser or any transferee of Purchaser (either being</w:t>
      </w:r>
      <w:r>
        <w:rPr>
          <w:rFonts w:ascii="Arial" w:cs="Arial" w:eastAsia="Arial" w:hAnsi="Arial"/>
          <w:sz w:val="22"/>
          <w:szCs w:val="22"/>
          <w:b w:val="1"/>
          <w:bCs w:val="1"/>
          <w:color w:val="auto"/>
        </w:rPr>
        <w:t xml:space="preserve"> </w:t>
      </w:r>
      <w:r>
        <w:rPr>
          <w:rFonts w:ascii="Arial" w:cs="Arial" w:eastAsia="Arial" w:hAnsi="Arial"/>
          <w:sz w:val="22"/>
          <w:szCs w:val="22"/>
          <w:color w:val="auto"/>
        </w:rPr>
        <w:t>sometimes referred to herein as the “</w:t>
      </w:r>
      <w:r>
        <w:rPr>
          <w:rFonts w:ascii="Arial" w:cs="Arial" w:eastAsia="Arial" w:hAnsi="Arial"/>
          <w:sz w:val="22"/>
          <w:szCs w:val="22"/>
          <w:u w:val="single" w:color="auto"/>
          <w:color w:val="auto"/>
        </w:rPr>
        <w:t>Holder</w:t>
      </w:r>
      <w:r>
        <w:rPr>
          <w:rFonts w:ascii="Arial" w:cs="Arial" w:eastAsia="Arial" w:hAnsi="Arial"/>
          <w:sz w:val="22"/>
          <w:szCs w:val="22"/>
          <w:color w:val="auto"/>
        </w:rPr>
        <w:t>”) may be sold or otherwise transferred (including transfer by gift or operation of law), the Company or its assignee(s) shall have a right of first refusal to purchase the Shares on the terms and conditions set forth in this Section 3(b) (the “</w:t>
      </w:r>
      <w:r>
        <w:rPr>
          <w:rFonts w:ascii="Arial" w:cs="Arial" w:eastAsia="Arial" w:hAnsi="Arial"/>
          <w:sz w:val="22"/>
          <w:szCs w:val="22"/>
          <w:u w:val="single" w:color="auto"/>
          <w:color w:val="auto"/>
        </w:rPr>
        <w:t>Right of First Refusal</w:t>
      </w:r>
      <w:r>
        <w:rPr>
          <w:rFonts w:ascii="Arial" w:cs="Arial" w:eastAsia="Arial" w:hAnsi="Arial"/>
          <w:sz w:val="22"/>
          <w:szCs w:val="22"/>
          <w:color w:val="auto"/>
        </w:rPr>
        <w:t>”).</w:t>
      </w:r>
    </w:p>
    <w:p>
      <w:pPr>
        <w:spacing w:after="0" w:line="101" w:lineRule="exact"/>
        <w:rPr>
          <w:rFonts w:ascii="Arial" w:cs="Arial" w:eastAsia="Arial" w:hAnsi="Arial"/>
          <w:sz w:val="22"/>
          <w:szCs w:val="22"/>
          <w:color w:val="auto"/>
        </w:rPr>
      </w:pPr>
    </w:p>
    <w:p>
      <w:pPr>
        <w:jc w:val="both"/>
        <w:ind w:firstLine="1952"/>
        <w:spacing w:after="0" w:line="233" w:lineRule="auto"/>
        <w:tabs>
          <w:tab w:leader="none" w:pos="2364" w:val="left"/>
        </w:tabs>
        <w:numPr>
          <w:ilvl w:val="2"/>
          <w:numId w:val="282"/>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 of Proposed Transfer</w:t>
      </w:r>
      <w:r>
        <w:rPr>
          <w:rFonts w:ascii="Arial" w:cs="Arial" w:eastAsia="Arial" w:hAnsi="Arial"/>
          <w:sz w:val="22"/>
          <w:szCs w:val="22"/>
          <w:color w:val="auto"/>
        </w:rPr>
        <w:t>. The Holder of the Shares shall deliver to the Company a written notice</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u w:val="single" w:color="auto"/>
          <w:color w:val="auto"/>
        </w:rPr>
        <w:t>Notice</w:t>
      </w:r>
      <w:r>
        <w:rPr>
          <w:rFonts w:ascii="Arial" w:cs="Arial" w:eastAsia="Arial" w:hAnsi="Arial"/>
          <w:sz w:val="22"/>
          <w:szCs w:val="22"/>
          <w:color w:val="auto"/>
        </w:rPr>
        <w:t>”) stating: (i) the Holder’s bona fide intention to sell or otherwise transfer such Shares; (ii) the name of each proposed purchaser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14" w:right="339" w:bottom="1440" w:gutter="0" w:footer="0" w:header="0"/>
        </w:sectPr>
      </w:pPr>
    </w:p>
    <w:bookmarkStart w:id="359" w:name="page360"/>
    <w:bookmarkEnd w:id="359"/>
    <w:p>
      <w:pPr>
        <w:jc w:val="both"/>
        <w:ind w:right="200"/>
        <w:spacing w:after="0" w:line="282" w:lineRule="auto"/>
        <w:rPr>
          <w:sz w:val="20"/>
          <w:szCs w:val="20"/>
          <w:color w:val="auto"/>
        </w:rPr>
      </w:pPr>
      <w:r>
        <w:rPr>
          <w:rFonts w:ascii="Arial" w:cs="Arial" w:eastAsia="Arial" w:hAnsi="Arial"/>
          <w:sz w:val="19"/>
          <w:szCs w:val="19"/>
          <w:color w:val="auto"/>
        </w:rPr>
        <w:t>other transferee (“</w:t>
      </w:r>
      <w:r>
        <w:rPr>
          <w:rFonts w:ascii="Arial" w:cs="Arial" w:eastAsia="Arial" w:hAnsi="Arial"/>
          <w:sz w:val="19"/>
          <w:szCs w:val="19"/>
          <w:u w:val="single" w:color="auto"/>
          <w:color w:val="auto"/>
        </w:rPr>
        <w:t>Proposed Transferee</w:t>
      </w:r>
      <w:r>
        <w:rPr>
          <w:rFonts w:ascii="Arial" w:cs="Arial" w:eastAsia="Arial" w:hAnsi="Arial"/>
          <w:sz w:val="19"/>
          <w:szCs w:val="19"/>
          <w:color w:val="auto"/>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9"/>
          <w:szCs w:val="19"/>
          <w:u w:val="single" w:color="auto"/>
          <w:color w:val="auto"/>
        </w:rPr>
        <w:t>Offered Price</w:t>
      </w:r>
      <w:r>
        <w:rPr>
          <w:rFonts w:ascii="Arial" w:cs="Arial" w:eastAsia="Arial" w:hAnsi="Arial"/>
          <w:sz w:val="19"/>
          <w:szCs w:val="19"/>
          <w:color w:val="auto"/>
        </w:rPr>
        <w:t>”) and upon the same terms (or terms as similar as reasonably possible) to the Company or its assignee(s).</w:t>
      </w:r>
    </w:p>
    <w:p>
      <w:pPr>
        <w:spacing w:after="0" w:line="61" w:lineRule="exact"/>
        <w:rPr>
          <w:sz w:val="20"/>
          <w:szCs w:val="20"/>
          <w:color w:val="auto"/>
        </w:rPr>
      </w:pPr>
    </w:p>
    <w:p>
      <w:pPr>
        <w:ind w:firstLine="1952"/>
        <w:spacing w:after="0" w:line="229" w:lineRule="auto"/>
        <w:tabs>
          <w:tab w:leader="none" w:pos="2424" w:val="left"/>
        </w:tabs>
        <w:numPr>
          <w:ilvl w:val="1"/>
          <w:numId w:val="283"/>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of Right of First Refusal</w:t>
      </w:r>
      <w:r>
        <w:rPr>
          <w:rFonts w:ascii="Arial" w:cs="Arial" w:eastAsia="Arial" w:hAnsi="Arial"/>
          <w:sz w:val="22"/>
          <w:szCs w:val="22"/>
          <w:color w:val="auto"/>
        </w:rPr>
        <w:t>. At any time within thirty (30) days after receipt of the Notice,</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and/or its assignee(s) may, by giving written notice to the Holder, elect to purchase all, but not less than all, of the Shares proposed to be transferred to any one or more of the Proposed Transferees, at the purchase price determined in accordance with subsection (iii) below.</w:t>
      </w:r>
    </w:p>
    <w:p>
      <w:pPr>
        <w:spacing w:after="0" w:line="87" w:lineRule="exact"/>
        <w:rPr>
          <w:rFonts w:ascii="Arial" w:cs="Arial" w:eastAsia="Arial" w:hAnsi="Arial"/>
          <w:sz w:val="22"/>
          <w:szCs w:val="22"/>
          <w:color w:val="auto"/>
        </w:rPr>
      </w:pPr>
    </w:p>
    <w:p>
      <w:pPr>
        <w:ind w:right="20" w:firstLine="1952"/>
        <w:spacing w:after="0" w:line="286" w:lineRule="auto"/>
        <w:tabs>
          <w:tab w:leader="none" w:pos="2484" w:val="left"/>
        </w:tabs>
        <w:numPr>
          <w:ilvl w:val="1"/>
          <w:numId w:val="283"/>
        </w:numPr>
        <w:rPr>
          <w:rFonts w:ascii="Arial" w:cs="Arial" w:eastAsia="Arial" w:hAnsi="Arial"/>
          <w:sz w:val="19"/>
          <w:szCs w:val="19"/>
          <w:color w:val="auto"/>
        </w:rPr>
      </w:pPr>
      <w:r>
        <w:rPr>
          <w:rFonts w:ascii="Arial" w:cs="Arial" w:eastAsia="Arial" w:hAnsi="Arial"/>
          <w:sz w:val="19"/>
          <w:szCs w:val="19"/>
          <w:b w:val="1"/>
          <w:bCs w:val="1"/>
          <w:u w:val="single" w:color="auto"/>
          <w:color w:val="auto"/>
        </w:rPr>
        <w:t>Purchase Price</w:t>
      </w:r>
      <w:r>
        <w:rPr>
          <w:rFonts w:ascii="Arial" w:cs="Arial" w:eastAsia="Arial" w:hAnsi="Arial"/>
          <w:sz w:val="19"/>
          <w:szCs w:val="19"/>
          <w:color w:val="auto"/>
        </w:rPr>
        <w:t>. The purchase price (“</w:t>
      </w:r>
      <w:r>
        <w:rPr>
          <w:rFonts w:ascii="Arial" w:cs="Arial" w:eastAsia="Arial" w:hAnsi="Arial"/>
          <w:sz w:val="19"/>
          <w:szCs w:val="19"/>
          <w:u w:val="single" w:color="auto"/>
          <w:color w:val="auto"/>
        </w:rPr>
        <w:t>Purchase Price</w:t>
      </w:r>
      <w:r>
        <w:rPr>
          <w:rFonts w:ascii="Arial" w:cs="Arial" w:eastAsia="Arial" w:hAnsi="Arial"/>
          <w:sz w:val="19"/>
          <w:szCs w:val="19"/>
          <w:color w:val="auto"/>
        </w:rPr>
        <w:t>”) for the Shares purchased by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its assignee(s) under this Section 3(b) shall be the Offered Price. If the Offered Price includes consideration other than cash, the cash equivalent value of the non-cash consideration shall be determined by the Board of Directors of the Company in good faith.</w:t>
      </w:r>
    </w:p>
    <w:p>
      <w:pPr>
        <w:spacing w:after="0" w:line="55" w:lineRule="exact"/>
        <w:rPr>
          <w:rFonts w:ascii="Arial" w:cs="Arial" w:eastAsia="Arial" w:hAnsi="Arial"/>
          <w:sz w:val="19"/>
          <w:szCs w:val="19"/>
          <w:color w:val="auto"/>
        </w:rPr>
      </w:pPr>
    </w:p>
    <w:p>
      <w:pPr>
        <w:ind w:right="20" w:firstLine="1952"/>
        <w:spacing w:after="0" w:line="247" w:lineRule="auto"/>
        <w:tabs>
          <w:tab w:leader="none" w:pos="2472" w:val="left"/>
        </w:tabs>
        <w:numPr>
          <w:ilvl w:val="1"/>
          <w:numId w:val="283"/>
        </w:numPr>
        <w:rPr>
          <w:rFonts w:ascii="Arial" w:cs="Arial" w:eastAsia="Arial" w:hAnsi="Arial"/>
          <w:sz w:val="21"/>
          <w:szCs w:val="21"/>
          <w:color w:val="auto"/>
        </w:rPr>
      </w:pPr>
      <w:r>
        <w:rPr>
          <w:rFonts w:ascii="Arial" w:cs="Arial" w:eastAsia="Arial" w:hAnsi="Arial"/>
          <w:sz w:val="21"/>
          <w:szCs w:val="21"/>
          <w:b w:val="1"/>
          <w:bCs w:val="1"/>
          <w:u w:val="single" w:color="auto"/>
          <w:color w:val="auto"/>
        </w:rPr>
        <w:t>Payment</w:t>
      </w:r>
      <w:r>
        <w:rPr>
          <w:rFonts w:ascii="Arial" w:cs="Arial" w:eastAsia="Arial" w:hAnsi="Arial"/>
          <w:sz w:val="21"/>
          <w:szCs w:val="21"/>
          <w:color w:val="auto"/>
        </w:rPr>
        <w:t>. Payment of the Purchase Price shall be made, at the option of the Company or its</w:t>
      </w:r>
      <w:r>
        <w:rPr>
          <w:rFonts w:ascii="Arial" w:cs="Arial" w:eastAsia="Arial" w:hAnsi="Arial"/>
          <w:sz w:val="21"/>
          <w:szCs w:val="21"/>
          <w:b w:val="1"/>
          <w:bCs w:val="1"/>
          <w:color w:val="auto"/>
        </w:rPr>
        <w:t xml:space="preserve"> </w:t>
      </w:r>
      <w:r>
        <w:rPr>
          <w:rFonts w:ascii="Arial" w:cs="Arial" w:eastAsia="Arial" w:hAnsi="Arial"/>
          <w:sz w:val="21"/>
          <w:szCs w:val="21"/>
          <w:color w:val="auto"/>
        </w:rPr>
        <w:t>assignee(s), in cash (by check), by cancellation of all or a portion of any outstanding indebtedness, or by any combination thereof within 30 days after receipt of the Notice or in the manner and at the times set forth in the Notice.</w:t>
      </w:r>
    </w:p>
    <w:p>
      <w:pPr>
        <w:spacing w:after="0" w:line="91" w:lineRule="exact"/>
        <w:rPr>
          <w:rFonts w:ascii="Arial" w:cs="Arial" w:eastAsia="Arial" w:hAnsi="Arial"/>
          <w:sz w:val="21"/>
          <w:szCs w:val="21"/>
          <w:color w:val="auto"/>
        </w:rPr>
      </w:pPr>
    </w:p>
    <w:p>
      <w:pPr>
        <w:ind w:firstLine="1952"/>
        <w:spacing w:after="0" w:line="233" w:lineRule="auto"/>
        <w:tabs>
          <w:tab w:leader="none" w:pos="2412" w:val="left"/>
        </w:tabs>
        <w:numPr>
          <w:ilvl w:val="1"/>
          <w:numId w:val="283"/>
        </w:numPr>
        <w:rPr>
          <w:rFonts w:ascii="Arial" w:cs="Arial" w:eastAsia="Arial" w:hAnsi="Arial"/>
          <w:sz w:val="21"/>
          <w:szCs w:val="21"/>
          <w:color w:val="auto"/>
        </w:rPr>
      </w:pPr>
      <w:r>
        <w:rPr>
          <w:rFonts w:ascii="Arial" w:cs="Arial" w:eastAsia="Arial" w:hAnsi="Arial"/>
          <w:sz w:val="21"/>
          <w:szCs w:val="21"/>
          <w:b w:val="1"/>
          <w:bCs w:val="1"/>
          <w:u w:val="single" w:color="auto"/>
          <w:color w:val="auto"/>
        </w:rPr>
        <w:t>Holder’s Right to Transfer</w:t>
      </w:r>
      <w:r>
        <w:rPr>
          <w:rFonts w:ascii="Arial" w:cs="Arial" w:eastAsia="Arial" w:hAnsi="Arial"/>
          <w:sz w:val="21"/>
          <w:szCs w:val="21"/>
          <w:color w:val="auto"/>
        </w:rPr>
        <w:t>. If all of the Shares proposed in the Notice to be transferred to a given</w:t>
      </w:r>
      <w:r>
        <w:rPr>
          <w:rFonts w:ascii="Arial" w:cs="Arial" w:eastAsia="Arial" w:hAnsi="Arial"/>
          <w:sz w:val="21"/>
          <w:szCs w:val="21"/>
          <w:b w:val="1"/>
          <w:bCs w:val="1"/>
          <w:color w:val="auto"/>
        </w:rPr>
        <w:t xml:space="preserve"> </w:t>
      </w:r>
      <w:r>
        <w:rPr>
          <w:rFonts w:ascii="Arial" w:cs="Arial" w:eastAsia="Arial" w:hAnsi="Arial"/>
          <w:sz w:val="21"/>
          <w:szCs w:val="21"/>
          <w:color w:val="auto"/>
        </w:rPr>
        <w:t>Proposed Transferee are not purchased by the Company and/or its assignee(s) as provided in this Section 3(b), then the Holder may sell or otherwise transfer such Shares to that Proposed Transferee at the Offered Price or at a higher price, provided that such sale or other transfer is consummated within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85" w:lineRule="exact"/>
        <w:rPr>
          <w:rFonts w:ascii="Arial" w:cs="Arial" w:eastAsia="Arial" w:hAnsi="Arial"/>
          <w:sz w:val="21"/>
          <w:szCs w:val="21"/>
          <w:color w:val="auto"/>
        </w:rPr>
      </w:pPr>
    </w:p>
    <w:p>
      <w:pPr>
        <w:ind w:right="20" w:firstLine="1952"/>
        <w:spacing w:after="0" w:line="265" w:lineRule="auto"/>
        <w:tabs>
          <w:tab w:leader="none" w:pos="2472" w:val="left"/>
        </w:tabs>
        <w:numPr>
          <w:ilvl w:val="1"/>
          <w:numId w:val="283"/>
        </w:numPr>
        <w:rPr>
          <w:rFonts w:ascii="Arial" w:cs="Arial" w:eastAsia="Arial" w:hAnsi="Arial"/>
          <w:sz w:val="19"/>
          <w:szCs w:val="19"/>
          <w:color w:val="auto"/>
        </w:rPr>
      </w:pPr>
      <w:r>
        <w:rPr>
          <w:rFonts w:ascii="Arial" w:cs="Arial" w:eastAsia="Arial" w:hAnsi="Arial"/>
          <w:sz w:val="19"/>
          <w:szCs w:val="19"/>
          <w:b w:val="1"/>
          <w:bCs w:val="1"/>
          <w:u w:val="single" w:color="auto"/>
          <w:color w:val="auto"/>
        </w:rPr>
        <w:t>Exception for Certain Family Transfers</w:t>
      </w:r>
      <w:r>
        <w:rPr>
          <w:rFonts w:ascii="Arial" w:cs="Arial" w:eastAsia="Arial" w:hAnsi="Arial"/>
          <w:sz w:val="19"/>
          <w:szCs w:val="19"/>
          <w:color w:val="auto"/>
        </w:rPr>
        <w:t>. Anything to the contrary contained in this Section 3(b)</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transfer of any or all of the Shares during Purchaser’s lifetime or on Purchaser’s death by will or intestacy to Purchaser’s Immediate Family or a trust for the benefit of Purchaser’s Immediate Family shall be exempt from the provisions of this Section 3(b). “</w:t>
      </w:r>
      <w:r>
        <w:rPr>
          <w:rFonts w:ascii="Arial" w:cs="Arial" w:eastAsia="Arial" w:hAnsi="Arial"/>
          <w:sz w:val="19"/>
          <w:szCs w:val="19"/>
          <w:u w:val="single" w:color="auto"/>
          <w:color w:val="auto"/>
        </w:rPr>
        <w:t>Immediate Family</w:t>
      </w:r>
      <w:r>
        <w:rPr>
          <w:rFonts w:ascii="Arial" w:cs="Arial" w:eastAsia="Arial" w:hAnsi="Arial"/>
          <w:sz w:val="19"/>
          <w:szCs w:val="19"/>
          <w:color w:val="auto"/>
        </w:rPr>
        <w:t>” as used herein shall mean spouse, lineal descendant or antecedent, father, mother, brother or sister. In such case, the transferee or other recipient shall receive and hold the Shares so transferred subject to the provisions of this Section, and there shall be no further transfer of such Shares except in accordance with the terms of this Section 3.</w:t>
      </w:r>
    </w:p>
    <w:p>
      <w:pPr>
        <w:spacing w:after="0" w:line="78" w:lineRule="exact"/>
        <w:rPr>
          <w:rFonts w:ascii="Arial" w:cs="Arial" w:eastAsia="Arial" w:hAnsi="Arial"/>
          <w:sz w:val="19"/>
          <w:szCs w:val="19"/>
          <w:color w:val="auto"/>
        </w:rPr>
      </w:pPr>
    </w:p>
    <w:p>
      <w:pPr>
        <w:ind w:left="1760" w:hanging="456"/>
        <w:spacing w:after="0"/>
        <w:tabs>
          <w:tab w:leader="none" w:pos="1760" w:val="left"/>
        </w:tabs>
        <w:numPr>
          <w:ilvl w:val="0"/>
          <w:numId w:val="284"/>
        </w:numPr>
        <w:rPr>
          <w:rFonts w:ascii="Arial" w:cs="Arial" w:eastAsia="Arial" w:hAnsi="Arial"/>
          <w:sz w:val="22"/>
          <w:szCs w:val="22"/>
          <w:color w:val="auto"/>
        </w:rPr>
      </w:pPr>
      <w:r>
        <w:rPr>
          <w:rFonts w:ascii="Arial" w:cs="Arial" w:eastAsia="Arial" w:hAnsi="Arial"/>
          <w:sz w:val="22"/>
          <w:szCs w:val="22"/>
          <w:b w:val="1"/>
          <w:bCs w:val="1"/>
          <w:u w:val="single" w:color="auto"/>
          <w:color w:val="auto"/>
        </w:rPr>
        <w:t>Involuntary Transfer</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jc w:val="both"/>
        <w:ind w:right="180" w:firstLine="1952"/>
        <w:spacing w:after="0" w:line="286" w:lineRule="auto"/>
        <w:tabs>
          <w:tab w:leader="none" w:pos="2364" w:val="left"/>
        </w:tabs>
        <w:numPr>
          <w:ilvl w:val="1"/>
          <w:numId w:val="284"/>
        </w:numPr>
        <w:rPr>
          <w:rFonts w:ascii="Arial" w:cs="Arial" w:eastAsia="Arial" w:hAnsi="Arial"/>
          <w:sz w:val="19"/>
          <w:szCs w:val="19"/>
          <w:color w:val="auto"/>
        </w:rPr>
      </w:pPr>
      <w:r>
        <w:rPr>
          <w:rFonts w:ascii="Arial" w:cs="Arial" w:eastAsia="Arial" w:hAnsi="Arial"/>
          <w:sz w:val="19"/>
          <w:szCs w:val="19"/>
          <w:b w:val="1"/>
          <w:bCs w:val="1"/>
          <w:u w:val="single" w:color="auto"/>
          <w:color w:val="auto"/>
        </w:rPr>
        <w:t>Company’s Right to Purchase upon Involuntary Transfer</w:t>
      </w:r>
      <w:r>
        <w:rPr>
          <w:rFonts w:ascii="Arial" w:cs="Arial" w:eastAsia="Arial" w:hAnsi="Arial"/>
          <w:sz w:val="19"/>
          <w:szCs w:val="19"/>
          <w:color w:val="auto"/>
        </w:rPr>
        <w:t>. In the event, at any time after the date</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Agreement, of any transfer by operation of law or other involuntary transfer (including death or divorce, but excluding a transfer to Immediate Family as set forth in Section 3(b)(vi) above) of all or a portion of the Shares by the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20"/>
          </w:cols>
          <w:pgMar w:left="320" w:top="1414" w:right="359" w:bottom="1440" w:gutter="0" w:footer="0" w:header="0"/>
        </w:sectPr>
      </w:pPr>
    </w:p>
    <w:bookmarkStart w:id="360" w:name="page361"/>
    <w:bookmarkEnd w:id="360"/>
    <w:p>
      <w:pPr>
        <w:spacing w:after="0" w:line="267" w:lineRule="auto"/>
        <w:rPr>
          <w:sz w:val="20"/>
          <w:szCs w:val="20"/>
          <w:color w:val="auto"/>
        </w:rPr>
      </w:pPr>
      <w:r>
        <w:rPr>
          <w:rFonts w:ascii="Arial" w:cs="Arial" w:eastAsia="Arial" w:hAnsi="Arial"/>
          <w:sz w:val="19"/>
          <w:szCs w:val="19"/>
          <w:color w:val="auto"/>
        </w:rPr>
        <w:t>holder thereof, the Company shall have an option to purchase all of the Shares transferred at the greater of the purchase price paid by Purchaser for the Shares pursuant to this Agreement (as adjusted for any stock splits, stock dividends and the like) or the Fair Market Value of the Shares on the date of transfer.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75" w:lineRule="exact"/>
        <w:rPr>
          <w:sz w:val="20"/>
          <w:szCs w:val="20"/>
          <w:color w:val="auto"/>
        </w:rPr>
      </w:pPr>
    </w:p>
    <w:p>
      <w:pPr>
        <w:ind w:right="20" w:firstLine="1952"/>
        <w:spacing w:after="0" w:line="234" w:lineRule="auto"/>
        <w:tabs>
          <w:tab w:leader="none" w:pos="2424" w:val="left"/>
        </w:tabs>
        <w:numPr>
          <w:ilvl w:val="2"/>
          <w:numId w:val="285"/>
        </w:numPr>
        <w:rPr>
          <w:rFonts w:ascii="Arial" w:cs="Arial" w:eastAsia="Arial" w:hAnsi="Arial"/>
          <w:sz w:val="21"/>
          <w:szCs w:val="21"/>
          <w:color w:val="auto"/>
        </w:rPr>
      </w:pPr>
      <w:r>
        <w:rPr>
          <w:rFonts w:ascii="Arial" w:cs="Arial" w:eastAsia="Arial" w:hAnsi="Arial"/>
          <w:sz w:val="21"/>
          <w:szCs w:val="21"/>
          <w:b w:val="1"/>
          <w:bCs w:val="1"/>
          <w:u w:val="single" w:color="auto"/>
          <w:color w:val="auto"/>
        </w:rPr>
        <w:t>Price for Involuntary Transfer</w:t>
      </w:r>
      <w:r>
        <w:rPr>
          <w:rFonts w:ascii="Arial" w:cs="Arial" w:eastAsia="Arial" w:hAnsi="Arial"/>
          <w:sz w:val="21"/>
          <w:szCs w:val="21"/>
          <w:color w:val="auto"/>
        </w:rPr>
        <w:t>. With respect to any stock to be transferred pursuant to Sections 3(a)</w:t>
      </w:r>
      <w:r>
        <w:rPr>
          <w:rFonts w:ascii="Arial" w:cs="Arial" w:eastAsia="Arial" w:hAnsi="Arial"/>
          <w:sz w:val="21"/>
          <w:szCs w:val="21"/>
          <w:b w:val="1"/>
          <w:bCs w:val="1"/>
          <w:color w:val="auto"/>
        </w:rPr>
        <w:t xml:space="preserve"> </w:t>
      </w:r>
      <w:r>
        <w:rPr>
          <w:rFonts w:ascii="Arial" w:cs="Arial" w:eastAsia="Arial" w:hAnsi="Arial"/>
          <w:sz w:val="21"/>
          <w:szCs w:val="21"/>
          <w:color w:val="auto"/>
        </w:rPr>
        <w:t>or 3(c)(i), the Fair Market Value per Share shall be a price set by the Board of Directors of the Company in good faith using a reasonable valuation method in a reasonable manner in accordance with Section 409A of the Code. The Company shall notify Purchaser or his or her executor of the price so determined within thirty (30) days after receipt by it of written notice of the transfer or proposed transfer of Shares. However, if the Purchaser does not agree with the valuation as determined by the Board of Directors of the Company, the Purchaser shall be entitled to have the valuation determined by an independent appraiser to be mutually agreed upon by the Company and the Purchaser and whose fees shall be borne equally by the Company and the Purchaser.</w:t>
      </w:r>
    </w:p>
    <w:p>
      <w:pPr>
        <w:spacing w:after="0" w:line="87" w:lineRule="exact"/>
        <w:rPr>
          <w:rFonts w:ascii="Arial" w:cs="Arial" w:eastAsia="Arial" w:hAnsi="Arial"/>
          <w:sz w:val="21"/>
          <w:szCs w:val="21"/>
          <w:color w:val="auto"/>
        </w:rPr>
      </w:pPr>
    </w:p>
    <w:p>
      <w:pPr>
        <w:ind w:right="320" w:firstLine="1304"/>
        <w:spacing w:after="0" w:line="243" w:lineRule="auto"/>
        <w:tabs>
          <w:tab w:leader="none" w:pos="1764" w:val="left"/>
        </w:tabs>
        <w:numPr>
          <w:ilvl w:val="1"/>
          <w:numId w:val="286"/>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r>
        <w:rPr>
          <w:rFonts w:ascii="Arial" w:cs="Arial" w:eastAsia="Arial" w:hAnsi="Arial"/>
          <w:sz w:val="22"/>
          <w:szCs w:val="22"/>
          <w:color w:val="auto"/>
        </w:rPr>
        <w:t>. The right of the Company to purchase any part of the Shares may be assigned in whole or in</w:t>
      </w:r>
      <w:r>
        <w:rPr>
          <w:rFonts w:ascii="Arial" w:cs="Arial" w:eastAsia="Arial" w:hAnsi="Arial"/>
          <w:sz w:val="22"/>
          <w:szCs w:val="22"/>
          <w:b w:val="1"/>
          <w:bCs w:val="1"/>
          <w:color w:val="auto"/>
        </w:rPr>
        <w:t xml:space="preserve"> </w:t>
      </w:r>
      <w:r>
        <w:rPr>
          <w:rFonts w:ascii="Arial" w:cs="Arial" w:eastAsia="Arial" w:hAnsi="Arial"/>
          <w:sz w:val="22"/>
          <w:szCs w:val="22"/>
          <w:color w:val="auto"/>
        </w:rPr>
        <w:t>part to any stockholder or stockholders of the Company or other persons or organizations.</w:t>
      </w:r>
    </w:p>
    <w:p>
      <w:pPr>
        <w:spacing w:after="0" w:line="95" w:lineRule="exact"/>
        <w:rPr>
          <w:rFonts w:ascii="Arial" w:cs="Arial" w:eastAsia="Arial" w:hAnsi="Arial"/>
          <w:sz w:val="22"/>
          <w:szCs w:val="22"/>
          <w:color w:val="auto"/>
        </w:rPr>
      </w:pPr>
    </w:p>
    <w:p>
      <w:pPr>
        <w:ind w:right="120" w:firstLine="1304"/>
        <w:spacing w:after="0" w:line="233" w:lineRule="auto"/>
        <w:tabs>
          <w:tab w:leader="none" w:pos="1752" w:val="left"/>
        </w:tabs>
        <w:numPr>
          <w:ilvl w:val="1"/>
          <w:numId w:val="286"/>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Restrictions Binding on Transferees</w:t>
      </w:r>
      <w:r>
        <w:rPr>
          <w:rFonts w:ascii="Arial" w:cs="Arial" w:eastAsia="Arial" w:hAnsi="Arial"/>
          <w:sz w:val="22"/>
          <w:szCs w:val="22"/>
          <w:color w:val="auto"/>
        </w:rPr>
        <w:t>. All transferees of Shares or any interest therein will receive and hold</w:t>
      </w:r>
      <w:r>
        <w:rPr>
          <w:rFonts w:ascii="Arial" w:cs="Arial" w:eastAsia="Arial" w:hAnsi="Arial"/>
          <w:sz w:val="22"/>
          <w:szCs w:val="22"/>
          <w:b w:val="1"/>
          <w:bCs w:val="1"/>
          <w:color w:val="auto"/>
        </w:rPr>
        <w:t xml:space="preserve"> </w:t>
      </w:r>
      <w:r>
        <w:rPr>
          <w:rFonts w:ascii="Arial" w:cs="Arial" w:eastAsia="Arial" w:hAnsi="Arial"/>
          <w:sz w:val="22"/>
          <w:szCs w:val="22"/>
          <w:color w:val="auto"/>
        </w:rPr>
        <w:t>such Shares or interest subject to the provisions of this Agreement. Any sale or transfer of the Company’s Shares shall be void unless the provisions of this Agreement are satisfied.</w:t>
      </w:r>
    </w:p>
    <w:p>
      <w:pPr>
        <w:spacing w:after="0" w:line="100" w:lineRule="exact"/>
        <w:rPr>
          <w:rFonts w:ascii="Arial" w:cs="Arial" w:eastAsia="Arial" w:hAnsi="Arial"/>
          <w:sz w:val="22"/>
          <w:szCs w:val="22"/>
          <w:color w:val="auto"/>
        </w:rPr>
      </w:pPr>
    </w:p>
    <w:p>
      <w:pPr>
        <w:ind w:right="60" w:firstLine="1304"/>
        <w:spacing w:after="0" w:line="263" w:lineRule="auto"/>
        <w:tabs>
          <w:tab w:leader="none" w:pos="1728" w:val="left"/>
        </w:tabs>
        <w:numPr>
          <w:ilvl w:val="1"/>
          <w:numId w:val="286"/>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Rights</w:t>
      </w:r>
      <w:r>
        <w:rPr>
          <w:rFonts w:ascii="Arial" w:cs="Arial" w:eastAsia="Arial" w:hAnsi="Arial"/>
          <w:sz w:val="19"/>
          <w:szCs w:val="19"/>
          <w:color w:val="auto"/>
        </w:rPr>
        <w:t>. The right of repurchase granted by the Company in Section 3(a) above, the right of</w:t>
      </w:r>
      <w:r>
        <w:rPr>
          <w:rFonts w:ascii="Arial" w:cs="Arial" w:eastAsia="Arial" w:hAnsi="Arial"/>
          <w:sz w:val="19"/>
          <w:szCs w:val="19"/>
          <w:b w:val="1"/>
          <w:bCs w:val="1"/>
          <w:color w:val="auto"/>
        </w:rPr>
        <w:t xml:space="preserve"> </w:t>
      </w:r>
      <w:r>
        <w:rPr>
          <w:rFonts w:ascii="Arial" w:cs="Arial" w:eastAsia="Arial" w:hAnsi="Arial"/>
          <w:sz w:val="19"/>
          <w:szCs w:val="19"/>
          <w:color w:val="auto"/>
        </w:rPr>
        <w:t>first refusal granted the Company by Section 3(b) above and the option to repurchase the Shares in the event of an involuntary transfer granted the Company by Section 3(c)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Upon termination of the rights to repurchase and the right of first refusal described in Sections 3(a), 3(b) and 3(c) above, a new certificate or certificates representing the Shares not repurchased shall be issued, on request, without the legend referred to in Section 5(a)(ii) herein and delivered to Purchaser.</w:t>
      </w:r>
    </w:p>
    <w:p>
      <w:pPr>
        <w:spacing w:after="0" w:line="65" w:lineRule="exact"/>
        <w:rPr>
          <w:rFonts w:ascii="Arial" w:cs="Arial" w:eastAsia="Arial" w:hAnsi="Arial"/>
          <w:sz w:val="19"/>
          <w:szCs w:val="19"/>
          <w:color w:val="auto"/>
        </w:rPr>
      </w:pPr>
    </w:p>
    <w:p>
      <w:pPr>
        <w:ind w:right="220" w:firstLine="656"/>
        <w:spacing w:after="0" w:line="243" w:lineRule="auto"/>
        <w:tabs>
          <w:tab w:leader="none" w:pos="1026" w:val="left"/>
        </w:tabs>
        <w:numPr>
          <w:ilvl w:val="0"/>
          <w:numId w:val="287"/>
        </w:numPr>
        <w:rPr>
          <w:rFonts w:ascii="Arial" w:cs="Arial" w:eastAsia="Arial" w:hAnsi="Arial"/>
          <w:sz w:val="22"/>
          <w:szCs w:val="22"/>
          <w:color w:val="auto"/>
        </w:rPr>
      </w:pPr>
      <w:r>
        <w:rPr>
          <w:rFonts w:ascii="Arial" w:cs="Arial" w:eastAsia="Arial" w:hAnsi="Arial"/>
          <w:sz w:val="22"/>
          <w:szCs w:val="22"/>
          <w:b w:val="1"/>
          <w:bCs w:val="1"/>
          <w:u w:val="single" w:color="auto"/>
          <w:color w:val="auto"/>
        </w:rPr>
        <w:t>Investment and Taxation Representations</w:t>
      </w:r>
      <w:r>
        <w:rPr>
          <w:rFonts w:ascii="Arial" w:cs="Arial" w:eastAsia="Arial" w:hAnsi="Arial"/>
          <w:sz w:val="22"/>
          <w:szCs w:val="22"/>
          <w:color w:val="auto"/>
        </w:rPr>
        <w:t>. In connection with the purchase of the Shares, Purchaser represents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the following:</w:t>
      </w:r>
    </w:p>
    <w:p>
      <w:pPr>
        <w:spacing w:after="0" w:line="101" w:lineRule="exact"/>
        <w:rPr>
          <w:rFonts w:ascii="Arial" w:cs="Arial" w:eastAsia="Arial" w:hAnsi="Arial"/>
          <w:sz w:val="22"/>
          <w:szCs w:val="22"/>
          <w:color w:val="auto"/>
        </w:rPr>
      </w:pPr>
    </w:p>
    <w:p>
      <w:pPr>
        <w:ind w:right="100" w:firstLine="1304"/>
        <w:spacing w:after="0" w:line="237" w:lineRule="auto"/>
        <w:tabs>
          <w:tab w:leader="none" w:pos="1752" w:val="left"/>
        </w:tabs>
        <w:numPr>
          <w:ilvl w:val="1"/>
          <w:numId w:val="287"/>
        </w:numPr>
        <w:rPr>
          <w:rFonts w:ascii="Arial" w:cs="Arial" w:eastAsia="Arial" w:hAnsi="Arial"/>
          <w:sz w:val="21"/>
          <w:szCs w:val="21"/>
          <w:color w:val="auto"/>
        </w:rPr>
      </w:pPr>
      <w:r>
        <w:rPr>
          <w:rFonts w:ascii="Arial" w:cs="Arial" w:eastAsia="Arial" w:hAnsi="Arial"/>
          <w:sz w:val="21"/>
          <w:szCs w:val="21"/>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14" w:right="339" w:bottom="1440" w:gutter="0" w:footer="0" w:header="0"/>
        </w:sectPr>
      </w:pPr>
    </w:p>
    <w:bookmarkStart w:id="361" w:name="page362"/>
    <w:bookmarkEnd w:id="361"/>
    <w:p>
      <w:pPr>
        <w:ind w:left="-40" w:right="600" w:firstLine="1304"/>
        <w:spacing w:after="0" w:line="231" w:lineRule="auto"/>
        <w:tabs>
          <w:tab w:leader="none" w:pos="1724" w:val="left"/>
        </w:tabs>
        <w:numPr>
          <w:ilvl w:val="0"/>
          <w:numId w:val="288"/>
        </w:numPr>
        <w:rPr>
          <w:rFonts w:ascii="Arial" w:cs="Arial" w:eastAsia="Arial" w:hAnsi="Arial"/>
          <w:sz w:val="22"/>
          <w:szCs w:val="22"/>
          <w:color w:val="auto"/>
        </w:rPr>
      </w:pPr>
      <w:r>
        <w:rPr>
          <w:rFonts w:ascii="Arial" w:cs="Arial" w:eastAsia="Arial" w:hAnsi="Arial"/>
          <w:sz w:val="22"/>
          <w:szCs w:val="22"/>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06" w:lineRule="exact"/>
        <w:rPr>
          <w:rFonts w:ascii="Arial" w:cs="Arial" w:eastAsia="Arial" w:hAnsi="Arial"/>
          <w:sz w:val="22"/>
          <w:szCs w:val="22"/>
          <w:color w:val="auto"/>
        </w:rPr>
      </w:pPr>
    </w:p>
    <w:p>
      <w:pPr>
        <w:ind w:left="-40" w:right="100" w:firstLine="1304"/>
        <w:spacing w:after="0" w:line="267" w:lineRule="auto"/>
        <w:tabs>
          <w:tab w:leader="none" w:pos="1712" w:val="left"/>
        </w:tabs>
        <w:numPr>
          <w:ilvl w:val="0"/>
          <w:numId w:val="288"/>
        </w:numPr>
        <w:rPr>
          <w:rFonts w:ascii="Arial" w:cs="Arial" w:eastAsia="Arial" w:hAnsi="Arial"/>
          <w:sz w:val="19"/>
          <w:szCs w:val="19"/>
          <w:color w:val="auto"/>
        </w:rPr>
      </w:pPr>
      <w:r>
        <w:rPr>
          <w:rFonts w:ascii="Arial" w:cs="Arial" w:eastAsia="Arial" w:hAnsi="Arial"/>
          <w:sz w:val="19"/>
          <w:szCs w:val="19"/>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67" w:lineRule="exact"/>
        <w:rPr>
          <w:rFonts w:ascii="Arial" w:cs="Arial" w:eastAsia="Arial" w:hAnsi="Arial"/>
          <w:sz w:val="19"/>
          <w:szCs w:val="19"/>
          <w:color w:val="auto"/>
        </w:rPr>
      </w:pPr>
    </w:p>
    <w:p>
      <w:pPr>
        <w:ind w:left="-40" w:firstLine="1304"/>
        <w:spacing w:after="0" w:line="259" w:lineRule="auto"/>
        <w:tabs>
          <w:tab w:leader="none" w:pos="1724" w:val="left"/>
        </w:tabs>
        <w:numPr>
          <w:ilvl w:val="0"/>
          <w:numId w:val="288"/>
        </w:numPr>
        <w:rPr>
          <w:rFonts w:ascii="Arial" w:cs="Arial" w:eastAsia="Arial" w:hAnsi="Arial"/>
          <w:sz w:val="19"/>
          <w:szCs w:val="19"/>
          <w:color w:val="auto"/>
        </w:rPr>
      </w:pPr>
      <w:r>
        <w:rPr>
          <w:rFonts w:ascii="Arial" w:cs="Arial" w:eastAsia="Arial" w:hAnsi="Arial"/>
          <w:sz w:val="19"/>
          <w:szCs w:val="19"/>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91" w:lineRule="exact"/>
        <w:rPr>
          <w:rFonts w:ascii="Arial" w:cs="Arial" w:eastAsia="Arial" w:hAnsi="Arial"/>
          <w:sz w:val="19"/>
          <w:szCs w:val="19"/>
          <w:color w:val="auto"/>
        </w:rPr>
      </w:pPr>
    </w:p>
    <w:p>
      <w:pPr>
        <w:ind w:left="-40" w:right="40" w:firstLine="1304"/>
        <w:spacing w:after="0" w:line="234" w:lineRule="auto"/>
        <w:tabs>
          <w:tab w:leader="none" w:pos="1712" w:val="left"/>
        </w:tabs>
        <w:numPr>
          <w:ilvl w:val="0"/>
          <w:numId w:val="288"/>
        </w:numPr>
        <w:rPr>
          <w:rFonts w:ascii="Arial" w:cs="Arial" w:eastAsia="Arial" w:hAnsi="Arial"/>
          <w:sz w:val="21"/>
          <w:szCs w:val="21"/>
          <w:color w:val="auto"/>
        </w:rPr>
      </w:pPr>
      <w:r>
        <w:rPr>
          <w:rFonts w:ascii="Arial" w:cs="Arial" w:eastAsia="Arial" w:hAnsi="Arial"/>
          <w:sz w:val="21"/>
          <w:szCs w:val="21"/>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06" w:lineRule="exact"/>
        <w:rPr>
          <w:rFonts w:ascii="Arial" w:cs="Arial" w:eastAsia="Arial" w:hAnsi="Arial"/>
          <w:sz w:val="21"/>
          <w:szCs w:val="21"/>
          <w:color w:val="auto"/>
        </w:rPr>
      </w:pPr>
    </w:p>
    <w:p>
      <w:pPr>
        <w:ind w:left="-40" w:right="160" w:firstLine="1304"/>
        <w:spacing w:after="0" w:line="228" w:lineRule="auto"/>
        <w:tabs>
          <w:tab w:leader="none" w:pos="1688" w:val="left"/>
        </w:tabs>
        <w:numPr>
          <w:ilvl w:val="0"/>
          <w:numId w:val="288"/>
        </w:numPr>
        <w:rPr>
          <w:rFonts w:ascii="Arial" w:cs="Arial" w:eastAsia="Arial" w:hAnsi="Arial"/>
          <w:sz w:val="22"/>
          <w:szCs w:val="22"/>
          <w:color w:val="auto"/>
        </w:rPr>
      </w:pPr>
      <w:r>
        <w:rPr>
          <w:rFonts w:ascii="Arial" w:cs="Arial" w:eastAsia="Arial" w:hAnsi="Arial"/>
          <w:sz w:val="22"/>
          <w:szCs w:val="22"/>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91" w:lineRule="exact"/>
        <w:rPr>
          <w:rFonts w:ascii="Arial" w:cs="Arial" w:eastAsia="Arial" w:hAnsi="Arial"/>
          <w:sz w:val="22"/>
          <w:szCs w:val="22"/>
          <w:color w:val="auto"/>
        </w:rPr>
      </w:pPr>
    </w:p>
    <w:p>
      <w:pPr>
        <w:ind w:left="-40" w:firstLine="1304"/>
        <w:spacing w:after="0" w:line="224" w:lineRule="auto"/>
        <w:tabs>
          <w:tab w:leader="none" w:pos="1724" w:val="left"/>
        </w:tabs>
        <w:numPr>
          <w:ilvl w:val="0"/>
          <w:numId w:val="288"/>
        </w:numPr>
        <w:rPr>
          <w:rFonts w:ascii="Arial" w:cs="Arial" w:eastAsia="Arial" w:hAnsi="Arial"/>
          <w:sz w:val="22"/>
          <w:szCs w:val="22"/>
          <w:color w:val="auto"/>
        </w:rPr>
      </w:pPr>
      <w:r>
        <w:rPr>
          <w:rFonts w:ascii="Arial" w:cs="Arial" w:eastAsia="Arial" w:hAnsi="Arial"/>
          <w:sz w:val="22"/>
          <w:szCs w:val="22"/>
          <w:color w:val="auto"/>
        </w:rPr>
        <w:t>Purchaser understands that the per share “</w:t>
      </w:r>
      <w:r>
        <w:rPr>
          <w:rFonts w:ascii="Arial" w:cs="Arial" w:eastAsia="Arial" w:hAnsi="Arial"/>
          <w:sz w:val="22"/>
          <w:szCs w:val="22"/>
          <w:u w:val="single" w:color="auto"/>
          <w:color w:val="auto"/>
        </w:rPr>
        <w:t>Exercise Price</w:t>
      </w:r>
      <w:r>
        <w:rPr>
          <w:rFonts w:ascii="Arial" w:cs="Arial" w:eastAsia="Arial" w:hAnsi="Arial"/>
          <w:sz w:val="22"/>
          <w:szCs w:val="22"/>
          <w:color w:val="auto"/>
        </w:rPr>
        <w:t>” for the Shares is intended to be at least equal to the fair market value of the Company’s Common Stock at the date of grant and that the Company has attempted in good faith to make the fair market value determination in compliance with applicable tax law although there can be no certainty that the IRS will agree. Purchaser understands that if the IRS does not agree and asserts that the fair market value at the time of grant is higher than the Exercise Price, the IRS could seek to impose greater taxes on Purchaser, including interest and penalties under Internal Revenue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160"/>
          </w:cols>
          <w:pgMar w:left="360" w:top="1414" w:right="379" w:bottom="1440" w:gutter="0" w:footer="0" w:header="0"/>
        </w:sectPr>
      </w:pPr>
    </w:p>
    <w:bookmarkStart w:id="362" w:name="page363"/>
    <w:bookmarkEnd w:id="362"/>
    <w:p>
      <w:pPr>
        <w:ind w:left="1020" w:hanging="384"/>
        <w:spacing w:after="0"/>
        <w:tabs>
          <w:tab w:leader="none" w:pos="1020" w:val="left"/>
        </w:tabs>
        <w:numPr>
          <w:ilvl w:val="0"/>
          <w:numId w:val="289"/>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Legends and Stop-Transfer Orders</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ind w:left="-20" w:right="260" w:firstLine="1304"/>
        <w:spacing w:after="0" w:line="243" w:lineRule="auto"/>
        <w:tabs>
          <w:tab w:leader="none" w:pos="1732" w:val="left"/>
        </w:tabs>
        <w:numPr>
          <w:ilvl w:val="1"/>
          <w:numId w:val="289"/>
        </w:numPr>
        <w:rPr>
          <w:rFonts w:ascii="Arial" w:cs="Arial" w:eastAsia="Arial" w:hAnsi="Arial"/>
          <w:sz w:val="22"/>
          <w:szCs w:val="22"/>
          <w:color w:val="auto"/>
        </w:rPr>
      </w:pPr>
      <w:r>
        <w:rPr>
          <w:rFonts w:ascii="Arial" w:cs="Arial" w:eastAsia="Arial" w:hAnsi="Arial"/>
          <w:sz w:val="22"/>
          <w:szCs w:val="22"/>
          <w:b w:val="1"/>
          <w:bCs w:val="1"/>
          <w:u w:val="single" w:color="auto"/>
          <w:color w:val="auto"/>
        </w:rPr>
        <w:t>Legends</w:t>
      </w:r>
      <w:r>
        <w:rPr>
          <w:rFonts w:ascii="Arial" w:cs="Arial" w:eastAsia="Arial" w:hAnsi="Arial"/>
          <w:sz w:val="22"/>
          <w:szCs w:val="22"/>
          <w:color w:val="auto"/>
        </w:rPr>
        <w:t>. The certificate or certificates representing the Shares shall bear the following legends (as well as</w:t>
      </w:r>
      <w:r>
        <w:rPr>
          <w:rFonts w:ascii="Arial" w:cs="Arial" w:eastAsia="Arial" w:hAnsi="Arial"/>
          <w:sz w:val="22"/>
          <w:szCs w:val="22"/>
          <w:b w:val="1"/>
          <w:bCs w:val="1"/>
          <w:color w:val="auto"/>
        </w:rPr>
        <w:t xml:space="preserve"> </w:t>
      </w:r>
      <w:r>
        <w:rPr>
          <w:rFonts w:ascii="Arial" w:cs="Arial" w:eastAsia="Arial" w:hAnsi="Arial"/>
          <w:sz w:val="22"/>
          <w:szCs w:val="22"/>
          <w:color w:val="auto"/>
        </w:rPr>
        <w:t>any legends required by applicable state and federal corporate and securities laws):</w:t>
      </w:r>
    </w:p>
    <w:p>
      <w:pPr>
        <w:spacing w:after="0" w:line="87" w:lineRule="exact"/>
        <w:rPr>
          <w:rFonts w:ascii="Arial" w:cs="Arial" w:eastAsia="Arial" w:hAnsi="Arial"/>
          <w:sz w:val="22"/>
          <w:szCs w:val="22"/>
          <w:color w:val="auto"/>
        </w:rPr>
      </w:pPr>
    </w:p>
    <w:p>
      <w:pPr>
        <w:ind w:left="2580" w:right="220" w:hanging="648"/>
        <w:spacing w:after="0" w:line="233" w:lineRule="auto"/>
        <w:tabs>
          <w:tab w:leader="none" w:pos="2348" w:val="left"/>
        </w:tabs>
        <w:numPr>
          <w:ilvl w:val="2"/>
          <w:numId w:val="289"/>
        </w:numPr>
        <w:rPr>
          <w:rFonts w:ascii="Arial" w:cs="Arial" w:eastAsia="Arial" w:hAnsi="Arial"/>
          <w:sz w:val="21"/>
          <w:szCs w:val="21"/>
          <w:color w:val="auto"/>
        </w:rPr>
      </w:pPr>
      <w:r>
        <w:rPr>
          <w:rFonts w:ascii="Arial" w:cs="Arial" w:eastAsia="Arial" w:hAnsi="Arial"/>
          <w:sz w:val="21"/>
          <w:szCs w:val="21"/>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UNLESS EFFECTED PURSUANT TO AN EFFECTIVE REGISTRATION STATEMENT RELATED THERETO OR UNDER ANOTHER EXEMPTION AVAILABLE UNDER THE SECURITIES ACT OF 1933 (AS TO WHICH AVAILABILITY THE COMPANY MAY REQUIRE THE SELLER/TRANSFEROR TO PROVIDE AN OPINION OF COUNSEL SATISFACTORY TO THE COMPANY).</w:t>
      </w:r>
    </w:p>
    <w:p>
      <w:pPr>
        <w:spacing w:after="0" w:line="104" w:lineRule="exact"/>
        <w:rPr>
          <w:rFonts w:ascii="Arial" w:cs="Arial" w:eastAsia="Arial" w:hAnsi="Arial"/>
          <w:sz w:val="21"/>
          <w:szCs w:val="21"/>
          <w:color w:val="auto"/>
        </w:rPr>
      </w:pPr>
    </w:p>
    <w:p>
      <w:pPr>
        <w:ind w:left="2580" w:hanging="648"/>
        <w:spacing w:after="0" w:line="228" w:lineRule="auto"/>
        <w:tabs>
          <w:tab w:leader="none" w:pos="2408" w:val="left"/>
        </w:tabs>
        <w:numPr>
          <w:ilvl w:val="2"/>
          <w:numId w:val="289"/>
        </w:numPr>
        <w:rPr>
          <w:rFonts w:ascii="Arial" w:cs="Arial" w:eastAsia="Arial" w:hAnsi="Arial"/>
          <w:sz w:val="22"/>
          <w:szCs w:val="22"/>
          <w:color w:val="auto"/>
        </w:rPr>
      </w:pPr>
      <w:r>
        <w:rPr>
          <w:rFonts w:ascii="Arial" w:cs="Arial" w:eastAsia="Arial" w:hAnsi="Arial"/>
          <w:sz w:val="22"/>
          <w:szCs w:val="22"/>
          <w:color w:val="auto"/>
        </w:rPr>
        <w:t>THE SHARES REPRESENTED BY THIS CERTIFICATE MAY BE TRANSFERRED ONLY IN ACCORDANCE WITH THE TERMS OF AN AGREEMENT BETWEEN THE COMPANY AND THE STOCKHOLDER, A COPY OF WHICH IS ON FILE WITH THE SECRETARY OF THE COMPANY.</w:t>
      </w:r>
    </w:p>
    <w:p>
      <w:pPr>
        <w:spacing w:after="0" w:line="99" w:lineRule="exact"/>
        <w:rPr>
          <w:rFonts w:ascii="Arial" w:cs="Arial" w:eastAsia="Arial" w:hAnsi="Arial"/>
          <w:sz w:val="22"/>
          <w:szCs w:val="22"/>
          <w:color w:val="auto"/>
        </w:rPr>
      </w:pPr>
    </w:p>
    <w:p>
      <w:pPr>
        <w:ind w:left="-20" w:right="100" w:firstLine="1304"/>
        <w:spacing w:after="0" w:line="247" w:lineRule="auto"/>
        <w:tabs>
          <w:tab w:leader="none" w:pos="1744" w:val="left"/>
        </w:tabs>
        <w:numPr>
          <w:ilvl w:val="1"/>
          <w:numId w:val="289"/>
        </w:numPr>
        <w:rPr>
          <w:rFonts w:ascii="Arial" w:cs="Arial" w:eastAsia="Arial" w:hAnsi="Arial"/>
          <w:sz w:val="21"/>
          <w:szCs w:val="21"/>
          <w:color w:val="auto"/>
        </w:rPr>
      </w:pPr>
      <w:r>
        <w:rPr>
          <w:rFonts w:ascii="Arial" w:cs="Arial" w:eastAsia="Arial" w:hAnsi="Arial"/>
          <w:sz w:val="21"/>
          <w:szCs w:val="21"/>
          <w:b w:val="1"/>
          <w:bCs w:val="1"/>
          <w:u w:val="single" w:color="auto"/>
          <w:color w:val="auto"/>
        </w:rPr>
        <w:t>Stop-Transfer Notices</w:t>
      </w:r>
      <w:r>
        <w:rPr>
          <w:rFonts w:ascii="Arial" w:cs="Arial" w:eastAsia="Arial" w:hAnsi="Arial"/>
          <w:sz w:val="21"/>
          <w:szCs w:val="21"/>
          <w:color w:val="auto"/>
        </w:rPr>
        <w:t>. Purchaser agrees that, in order to ensure compliance with the restrictions referred to</w:t>
      </w:r>
      <w:r>
        <w:rPr>
          <w:rFonts w:ascii="Arial" w:cs="Arial" w:eastAsia="Arial" w:hAnsi="Arial"/>
          <w:sz w:val="21"/>
          <w:szCs w:val="21"/>
          <w:b w:val="1"/>
          <w:bCs w:val="1"/>
          <w:color w:val="auto"/>
        </w:rPr>
        <w:t xml:space="preserve"> </w:t>
      </w:r>
      <w:r>
        <w:rPr>
          <w:rFonts w:ascii="Arial" w:cs="Arial" w:eastAsia="Arial" w:hAnsi="Arial"/>
          <w:sz w:val="21"/>
          <w:szCs w:val="21"/>
          <w:color w:val="auto"/>
        </w:rPr>
        <w:t>herein, the Company may issue appropriate “stop transfer” instructions to its transfer agent, if any, and that, if the Company transfers its own securities, it may make appropriate notations to the same effect in its own records.</w:t>
      </w:r>
    </w:p>
    <w:p>
      <w:pPr>
        <w:spacing w:after="0" w:line="77" w:lineRule="exact"/>
        <w:rPr>
          <w:rFonts w:ascii="Arial" w:cs="Arial" w:eastAsia="Arial" w:hAnsi="Arial"/>
          <w:sz w:val="21"/>
          <w:szCs w:val="21"/>
          <w:color w:val="auto"/>
        </w:rPr>
      </w:pPr>
    </w:p>
    <w:p>
      <w:pPr>
        <w:ind w:left="-20" w:right="180" w:firstLine="1304"/>
        <w:spacing w:after="0" w:line="229" w:lineRule="auto"/>
        <w:tabs>
          <w:tab w:leader="none" w:pos="1732" w:val="left"/>
        </w:tabs>
        <w:numPr>
          <w:ilvl w:val="1"/>
          <w:numId w:val="289"/>
        </w:numPr>
        <w:rPr>
          <w:rFonts w:ascii="Arial" w:cs="Arial" w:eastAsia="Arial" w:hAnsi="Arial"/>
          <w:sz w:val="22"/>
          <w:szCs w:val="22"/>
          <w:color w:val="auto"/>
        </w:rPr>
      </w:pPr>
      <w:r>
        <w:rPr>
          <w:rFonts w:ascii="Arial" w:cs="Arial" w:eastAsia="Arial" w:hAnsi="Arial"/>
          <w:sz w:val="22"/>
          <w:szCs w:val="22"/>
          <w:b w:val="1"/>
          <w:bCs w:val="1"/>
          <w:u w:val="single" w:color="auto"/>
          <w:color w:val="auto"/>
        </w:rPr>
        <w:t>Refusal to Transfer</w:t>
      </w:r>
      <w:r>
        <w:rPr>
          <w:rFonts w:ascii="Arial" w:cs="Arial" w:eastAsia="Arial" w:hAnsi="Arial"/>
          <w:sz w:val="22"/>
          <w:szCs w:val="22"/>
          <w:color w:val="auto"/>
        </w:rPr>
        <w:t>. The Company shall not be required (i) to transfer on its books any Shares that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01" w:lineRule="exact"/>
        <w:rPr>
          <w:rFonts w:ascii="Arial" w:cs="Arial" w:eastAsia="Arial" w:hAnsi="Arial"/>
          <w:sz w:val="22"/>
          <w:szCs w:val="22"/>
          <w:color w:val="auto"/>
        </w:rPr>
      </w:pPr>
    </w:p>
    <w:p>
      <w:pPr>
        <w:ind w:left="-20" w:right="140" w:firstLine="656"/>
        <w:spacing w:after="0" w:line="233" w:lineRule="auto"/>
        <w:tabs>
          <w:tab w:leader="none" w:pos="1006" w:val="left"/>
        </w:tabs>
        <w:numPr>
          <w:ilvl w:val="0"/>
          <w:numId w:val="289"/>
        </w:numPr>
        <w:rPr>
          <w:rFonts w:ascii="Arial" w:cs="Arial" w:eastAsia="Arial" w:hAnsi="Arial"/>
          <w:sz w:val="22"/>
          <w:szCs w:val="22"/>
          <w:color w:val="auto"/>
        </w:rPr>
      </w:pPr>
      <w:r>
        <w:rPr>
          <w:rFonts w:ascii="Arial" w:cs="Arial" w:eastAsia="Arial" w:hAnsi="Arial"/>
          <w:sz w:val="22"/>
          <w:szCs w:val="22"/>
          <w:b w:val="1"/>
          <w:bCs w:val="1"/>
          <w:u w:val="single" w:color="auto"/>
          <w:color w:val="auto"/>
        </w:rPr>
        <w:t>No Employment Rights</w:t>
      </w:r>
      <w:r>
        <w:rPr>
          <w:rFonts w:ascii="Arial" w:cs="Arial" w:eastAsia="Arial" w:hAnsi="Arial"/>
          <w:sz w:val="22"/>
          <w:szCs w:val="22"/>
          <w:color w:val="auto"/>
        </w:rPr>
        <w:t>. Nothing in this Agreement shall affect in any manner whatsoever the right or power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 parent or subsidiary of the Company, to terminate Purchaser’s employment or consulting relationship, for any reason, with or without cause.</w:t>
      </w:r>
    </w:p>
    <w:p>
      <w:pPr>
        <w:spacing w:after="0" w:line="100" w:lineRule="exact"/>
        <w:rPr>
          <w:rFonts w:ascii="Arial" w:cs="Arial" w:eastAsia="Arial" w:hAnsi="Arial"/>
          <w:sz w:val="22"/>
          <w:szCs w:val="22"/>
          <w:color w:val="auto"/>
        </w:rPr>
      </w:pPr>
    </w:p>
    <w:p>
      <w:pPr>
        <w:ind w:left="-20" w:firstLine="656"/>
        <w:spacing w:after="0" w:line="234" w:lineRule="auto"/>
        <w:tabs>
          <w:tab w:leader="none" w:pos="1006" w:val="left"/>
        </w:tabs>
        <w:numPr>
          <w:ilvl w:val="0"/>
          <w:numId w:val="289"/>
        </w:numPr>
        <w:rPr>
          <w:rFonts w:ascii="Arial" w:cs="Arial" w:eastAsia="Arial" w:hAnsi="Arial"/>
          <w:sz w:val="21"/>
          <w:szCs w:val="21"/>
          <w:color w:val="auto"/>
        </w:rPr>
      </w:pPr>
      <w:r>
        <w:rPr>
          <w:rFonts w:ascii="Arial" w:cs="Arial" w:eastAsia="Arial" w:hAnsi="Arial"/>
          <w:sz w:val="21"/>
          <w:szCs w:val="21"/>
          <w:b w:val="1"/>
          <w:bCs w:val="1"/>
          <w:u w:val="single" w:color="auto"/>
          <w:color w:val="auto"/>
        </w:rPr>
        <w:t>Lock-Up Agreement</w:t>
      </w:r>
      <w:r>
        <w:rPr>
          <w:rFonts w:ascii="Arial" w:cs="Arial" w:eastAsia="Arial" w:hAnsi="Arial"/>
          <w:sz w:val="21"/>
          <w:szCs w:val="21"/>
          <w:color w:val="auto"/>
        </w:rPr>
        <w:t>. In connection with the initial public offering of the Company’s securities and upon request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or the 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but subject to such extension or extensions as may be required by the underwriters in order to publish research reports while complying with Rule 2711 of the Financial Industry Regulatory Authority) from the effective date of such registration as may be requested by the Company or such managing underwriters and to execute 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20"/>
          </w:cols>
          <w:pgMar w:left="340" w:top="1408" w:right="339" w:bottom="1440" w:gutter="0" w:footer="0" w:header="0"/>
        </w:sectPr>
      </w:pPr>
    </w:p>
    <w:bookmarkStart w:id="363" w:name="page364"/>
    <w:bookmarkEnd w:id="363"/>
    <w:p>
      <w:pPr>
        <w:spacing w:after="0"/>
        <w:rPr>
          <w:sz w:val="20"/>
          <w:szCs w:val="20"/>
          <w:color w:val="auto"/>
        </w:rPr>
      </w:pPr>
      <w:r>
        <w:rPr>
          <w:rFonts w:ascii="Arial" w:cs="Arial" w:eastAsia="Arial" w:hAnsi="Arial"/>
          <w:sz w:val="22"/>
          <w:szCs w:val="22"/>
          <w:color w:val="auto"/>
        </w:rPr>
        <w:t>reflecting the foregoing as may be requested by the underwriters at the time of the public offering.</w:t>
      </w:r>
    </w:p>
    <w:p>
      <w:pPr>
        <w:spacing w:after="0" w:line="119" w:lineRule="exact"/>
        <w:rPr>
          <w:sz w:val="20"/>
          <w:szCs w:val="20"/>
          <w:color w:val="auto"/>
        </w:rPr>
      </w:pPr>
    </w:p>
    <w:p>
      <w:pPr>
        <w:ind w:right="80" w:firstLine="656"/>
        <w:spacing w:after="0" w:line="229" w:lineRule="auto"/>
        <w:tabs>
          <w:tab w:leader="none" w:pos="1026" w:val="left"/>
        </w:tabs>
        <w:numPr>
          <w:ilvl w:val="0"/>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Purchaser should obtain advice from an appropriate independent professional adviser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taxation implications of the grant, issuance, purchase, retention, assignment, release, cancellation, sale or any other disposal of the Shares (each, a “</w:t>
      </w:r>
      <w:r>
        <w:rPr>
          <w:rFonts w:ascii="Arial" w:cs="Arial" w:eastAsia="Arial" w:hAnsi="Arial"/>
          <w:sz w:val="22"/>
          <w:szCs w:val="22"/>
          <w:u w:val="single" w:color="auto"/>
          <w:color w:val="auto"/>
        </w:rPr>
        <w:t>Trigger Event</w:t>
      </w:r>
      <w:r>
        <w:rPr>
          <w:rFonts w:ascii="Arial" w:cs="Arial" w:eastAsia="Arial" w:hAnsi="Arial"/>
          <w:sz w:val="22"/>
          <w:szCs w:val="22"/>
          <w:color w:val="auto"/>
        </w:rPr>
        <w:t>”). Participant should also take advice in respect of the taxation indemnity provisions under Section 9 below.</w:t>
      </w:r>
    </w:p>
    <w:p>
      <w:pPr>
        <w:spacing w:after="0" w:line="87" w:lineRule="exact"/>
        <w:rPr>
          <w:rFonts w:ascii="Arial" w:cs="Arial" w:eastAsia="Arial" w:hAnsi="Arial"/>
          <w:sz w:val="22"/>
          <w:szCs w:val="22"/>
          <w:color w:val="auto"/>
        </w:rPr>
      </w:pPr>
    </w:p>
    <w:p>
      <w:pPr>
        <w:ind w:left="1040" w:hanging="384"/>
        <w:spacing w:after="0"/>
        <w:tabs>
          <w:tab w:leader="none" w:pos="1040" w:val="left"/>
        </w:tabs>
        <w:numPr>
          <w:ilvl w:val="0"/>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Purchaser’s Taxation Indemnity</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ind w:right="340" w:firstLine="1304"/>
        <w:spacing w:after="0" w:line="228" w:lineRule="auto"/>
        <w:tabs>
          <w:tab w:leader="none" w:pos="1748" w:val="left"/>
        </w:tabs>
        <w:numPr>
          <w:ilvl w:val="1"/>
          <w:numId w:val="290"/>
        </w:numPr>
        <w:rPr>
          <w:rFonts w:ascii="Arial" w:cs="Arial" w:eastAsia="Arial" w:hAnsi="Arial"/>
          <w:sz w:val="22"/>
          <w:szCs w:val="22"/>
          <w:color w:val="auto"/>
        </w:rPr>
      </w:pPr>
      <w:r>
        <w:rPr>
          <w:rFonts w:ascii="Arial" w:cs="Arial" w:eastAsia="Arial" w:hAnsi="Arial"/>
          <w:sz w:val="22"/>
          <w:szCs w:val="22"/>
          <w:color w:val="auto"/>
        </w:rPr>
        <w:t>To the extent permitted by law, Purchaser hereby agrees to indemnify and keep indemnified the Company and the Company as trustee for and on behalf of any affiliate entity, in respect of any liability or obligation of the Company and/or any affiliate entity to account for income tax or any other taxation provisions under the laws of Purchaser’s country or citizenship and/or residence to the extent arising from a Trigger Event.</w:t>
      </w:r>
    </w:p>
    <w:p>
      <w:pPr>
        <w:spacing w:after="0" w:line="105" w:lineRule="exact"/>
        <w:rPr>
          <w:rFonts w:ascii="Arial" w:cs="Arial" w:eastAsia="Arial" w:hAnsi="Arial"/>
          <w:sz w:val="22"/>
          <w:szCs w:val="22"/>
          <w:color w:val="auto"/>
        </w:rPr>
      </w:pPr>
    </w:p>
    <w:p>
      <w:pPr>
        <w:ind w:right="20" w:firstLine="1304"/>
        <w:spacing w:after="0" w:line="224" w:lineRule="auto"/>
        <w:tabs>
          <w:tab w:leader="none" w:pos="1760" w:val="left"/>
        </w:tabs>
        <w:numPr>
          <w:ilvl w:val="1"/>
          <w:numId w:val="290"/>
        </w:numPr>
        <w:rPr>
          <w:rFonts w:ascii="Arial" w:cs="Arial" w:eastAsia="Arial" w:hAnsi="Arial"/>
          <w:sz w:val="22"/>
          <w:szCs w:val="22"/>
          <w:color w:val="auto"/>
        </w:rPr>
      </w:pPr>
      <w:r>
        <w:rPr>
          <w:rFonts w:ascii="Arial" w:cs="Arial" w:eastAsia="Arial" w:hAnsi="Arial"/>
          <w:sz w:val="22"/>
          <w:szCs w:val="22"/>
          <w:color w:val="auto"/>
        </w:rPr>
        <w:t>The Company shall not be obliged to allot and issue any of the Shares or any interest in the Shares unless and until Purchaser has paid to the Company such sum as is, in the opinion of the Company, sufficient to indemnify the Company in full against any liability the Company has for any amount of, or representing, income tax or any other tax arising from a Trigger Event (the “</w:t>
      </w:r>
      <w:r>
        <w:rPr>
          <w:rFonts w:ascii="Arial" w:cs="Arial" w:eastAsia="Arial" w:hAnsi="Arial"/>
          <w:sz w:val="22"/>
          <w:szCs w:val="22"/>
          <w:u w:val="single" w:color="auto"/>
          <w:color w:val="auto"/>
        </w:rPr>
        <w:t>Shares Tax Liability</w:t>
      </w:r>
      <w:r>
        <w:rPr>
          <w:rFonts w:ascii="Arial" w:cs="Arial" w:eastAsia="Arial" w:hAnsi="Arial"/>
          <w:sz w:val="22"/>
          <w:szCs w:val="22"/>
          <w:color w:val="auto"/>
        </w:rPr>
        <w:t>”), or Purchaser has made such other arrangement as in the opinion of the Company will ensure that the full amount of any Shares Tax Liability will be recovered from Purchaser within such period as the Company may then determine.</w:t>
      </w:r>
    </w:p>
    <w:p>
      <w:pPr>
        <w:spacing w:after="0" w:line="89" w:lineRule="exact"/>
        <w:rPr>
          <w:rFonts w:ascii="Arial" w:cs="Arial" w:eastAsia="Arial" w:hAnsi="Arial"/>
          <w:sz w:val="22"/>
          <w:szCs w:val="22"/>
          <w:color w:val="auto"/>
        </w:rPr>
      </w:pPr>
    </w:p>
    <w:p>
      <w:pPr>
        <w:ind w:left="1140" w:hanging="484"/>
        <w:spacing w:after="0"/>
        <w:tabs>
          <w:tab w:leader="none" w:pos="1140" w:val="left"/>
        </w:tabs>
        <w:numPr>
          <w:ilvl w:val="0"/>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Protection</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ind w:right="240" w:firstLine="1304"/>
        <w:spacing w:after="0" w:line="224" w:lineRule="auto"/>
        <w:tabs>
          <w:tab w:leader="none" w:pos="1748" w:val="left"/>
        </w:tabs>
        <w:numPr>
          <w:ilvl w:val="1"/>
          <w:numId w:val="290"/>
        </w:numPr>
        <w:rPr>
          <w:rFonts w:ascii="Arial" w:cs="Arial" w:eastAsia="Arial" w:hAnsi="Arial"/>
          <w:sz w:val="22"/>
          <w:szCs w:val="22"/>
          <w:color w:val="auto"/>
        </w:rPr>
      </w:pPr>
      <w:r>
        <w:rPr>
          <w:rFonts w:ascii="Arial" w:cs="Arial" w:eastAsia="Arial" w:hAnsi="Arial"/>
          <w:sz w:val="22"/>
          <w:szCs w:val="22"/>
          <w:color w:val="auto"/>
        </w:rPr>
        <w:t>To facilitate the administration of the Plan and this Agreement, it will be necessary for the Company (or its payroll administrators) to collect, hold and process certain personal information about Purchaser and to transfer this data to certain third parties such as brokers with whom Purchaser may elect to deposit any share capital under the Plan. Purchaser consents to the Company (or its payroll administrators) collecting, holding and processing Purchaser’s personal data and transferring this data to the Company or any other third parties insofar as is reasonably necessary to implement, administer and manage the Plan.</w:t>
      </w:r>
    </w:p>
    <w:p>
      <w:pPr>
        <w:spacing w:after="0" w:line="108" w:lineRule="exact"/>
        <w:rPr>
          <w:rFonts w:ascii="Arial" w:cs="Arial" w:eastAsia="Arial" w:hAnsi="Arial"/>
          <w:sz w:val="22"/>
          <w:szCs w:val="22"/>
          <w:color w:val="auto"/>
        </w:rPr>
      </w:pPr>
    </w:p>
    <w:p>
      <w:pPr>
        <w:ind w:firstLine="1304"/>
        <w:spacing w:after="0" w:line="228" w:lineRule="auto"/>
        <w:tabs>
          <w:tab w:leader="none" w:pos="1764" w:val="left"/>
        </w:tabs>
        <w:numPr>
          <w:ilvl w:val="1"/>
          <w:numId w:val="290"/>
        </w:numPr>
        <w:rPr>
          <w:rFonts w:ascii="Arial" w:cs="Arial" w:eastAsia="Arial" w:hAnsi="Arial"/>
          <w:sz w:val="22"/>
          <w:szCs w:val="22"/>
          <w:color w:val="auto"/>
        </w:rPr>
      </w:pPr>
      <w:r>
        <w:rPr>
          <w:rFonts w:ascii="Arial" w:cs="Arial" w:eastAsia="Arial" w:hAnsi="Arial"/>
          <w:sz w:val="22"/>
          <w:szCs w:val="22"/>
          <w:color w:val="auto"/>
        </w:rPr>
        <w:t>Purchaser understands that Purchaser may, at any time, view Purchaser’s personal data, require any necessary corrections to it or withdraw the consents herein in writing by contacting the Company, but acknowledges that without the use of such data it may not be practicable for the Company to administer Purchaser’s involvement in the Plan in a timely fashion or at all and this may be detrimental to Purchaser.</w:t>
      </w:r>
    </w:p>
    <w:p>
      <w:pPr>
        <w:spacing w:after="0" w:line="85" w:lineRule="exact"/>
        <w:rPr>
          <w:rFonts w:ascii="Arial" w:cs="Arial" w:eastAsia="Arial" w:hAnsi="Arial"/>
          <w:sz w:val="22"/>
          <w:szCs w:val="22"/>
          <w:color w:val="auto"/>
        </w:rPr>
      </w:pPr>
    </w:p>
    <w:p>
      <w:pPr>
        <w:ind w:left="1140" w:hanging="484"/>
        <w:spacing w:after="0"/>
        <w:tabs>
          <w:tab w:leader="none" w:pos="1140" w:val="left"/>
        </w:tabs>
        <w:numPr>
          <w:ilvl w:val="0"/>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ind w:right="40" w:firstLine="1304"/>
        <w:spacing w:after="0" w:line="233" w:lineRule="auto"/>
        <w:tabs>
          <w:tab w:leader="none" w:pos="1752" w:val="left"/>
        </w:tabs>
        <w:numPr>
          <w:ilvl w:val="1"/>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all acts and transactions pursuant hereto and the rights and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 shall be governed, construed and interpreted in accordance with the laws of the State of California, without giving effect to principles of conflicts of law.</w:t>
      </w:r>
    </w:p>
    <w:p>
      <w:pPr>
        <w:spacing w:after="0" w:line="100" w:lineRule="exact"/>
        <w:rPr>
          <w:rFonts w:ascii="Arial" w:cs="Arial" w:eastAsia="Arial" w:hAnsi="Arial"/>
          <w:sz w:val="22"/>
          <w:szCs w:val="22"/>
          <w:color w:val="auto"/>
        </w:rPr>
      </w:pPr>
    </w:p>
    <w:p>
      <w:pPr>
        <w:ind w:right="100" w:firstLine="1304"/>
        <w:spacing w:after="0" w:line="229" w:lineRule="auto"/>
        <w:tabs>
          <w:tab w:leader="none" w:pos="1764" w:val="left"/>
        </w:tabs>
        <w:numPr>
          <w:ilvl w:val="1"/>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This Agreement sets forth the entire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of the parties relating to the subject matter herein and merges all prior discussions between them. No modification of or amendment to this Agreement, nor any waiver of any rights under this Agreement, shall be effective unless in writing 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14" w:right="339" w:bottom="1440" w:gutter="0" w:footer="0" w:header="0"/>
        </w:sectPr>
      </w:pPr>
    </w:p>
    <w:bookmarkStart w:id="364" w:name="page365"/>
    <w:bookmarkEnd w:id="364"/>
    <w:p>
      <w:pPr>
        <w:ind w:right="260"/>
        <w:spacing w:after="0" w:line="239" w:lineRule="auto"/>
        <w:rPr>
          <w:sz w:val="20"/>
          <w:szCs w:val="20"/>
          <w:color w:val="auto"/>
        </w:rPr>
      </w:pPr>
      <w:r>
        <w:rPr>
          <w:rFonts w:ascii="Arial" w:cs="Arial" w:eastAsia="Arial" w:hAnsi="Arial"/>
          <w:sz w:val="22"/>
          <w:szCs w:val="22"/>
          <w:color w:val="auto"/>
        </w:rPr>
        <w:t>the parties to this Agreement. The failure by either party to enforce any rights under this Agreement shall not be construed as a waiver of any rights of such party.</w:t>
      </w:r>
    </w:p>
    <w:p>
      <w:pPr>
        <w:spacing w:after="0" w:line="98" w:lineRule="exact"/>
        <w:rPr>
          <w:sz w:val="20"/>
          <w:szCs w:val="20"/>
          <w:color w:val="auto"/>
        </w:rPr>
      </w:pPr>
    </w:p>
    <w:p>
      <w:pPr>
        <w:ind w:right="40" w:firstLine="1304"/>
        <w:spacing w:after="0" w:line="227" w:lineRule="auto"/>
        <w:tabs>
          <w:tab w:leader="none" w:pos="1752" w:val="left"/>
        </w:tabs>
        <w:numPr>
          <w:ilvl w:val="0"/>
          <w:numId w:val="291"/>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this Agreement are held to be unenforceable under applicable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to 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86" w:lineRule="exact"/>
        <w:rPr>
          <w:rFonts w:ascii="Arial" w:cs="Arial" w:eastAsia="Arial" w:hAnsi="Arial"/>
          <w:sz w:val="22"/>
          <w:szCs w:val="22"/>
          <w:color w:val="auto"/>
        </w:rPr>
      </w:pPr>
    </w:p>
    <w:p>
      <w:pPr>
        <w:ind w:right="280" w:firstLine="1304"/>
        <w:spacing w:after="0" w:line="286" w:lineRule="auto"/>
        <w:tabs>
          <w:tab w:leader="none" w:pos="1764" w:val="left"/>
        </w:tabs>
        <w:numPr>
          <w:ilvl w:val="0"/>
          <w:numId w:val="291"/>
        </w:numPr>
        <w:rPr>
          <w:rFonts w:ascii="Arial" w:cs="Arial" w:eastAsia="Arial" w:hAnsi="Arial"/>
          <w:sz w:val="19"/>
          <w:szCs w:val="19"/>
          <w:color w:val="auto"/>
        </w:rPr>
      </w:pPr>
      <w:r>
        <w:rPr>
          <w:rFonts w:ascii="Arial" w:cs="Arial" w:eastAsia="Arial" w:hAnsi="Arial"/>
          <w:sz w:val="19"/>
          <w:szCs w:val="19"/>
          <w:b w:val="1"/>
          <w:bCs w:val="1"/>
          <w:u w:val="single" w:color="auto"/>
          <w:color w:val="auto"/>
        </w:rPr>
        <w:t>Construction</w:t>
      </w:r>
      <w:r>
        <w:rPr>
          <w:rFonts w:ascii="Arial" w:cs="Arial" w:eastAsia="Arial" w:hAnsi="Arial"/>
          <w:sz w:val="19"/>
          <w:szCs w:val="19"/>
          <w:color w:val="auto"/>
        </w:rPr>
        <w:t>. This Agreement is the result of negotiations between and has been reviewed by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and their respective counsel, if any; accordingly, this Agreement shall be deemed to be the product of all of the parties hereto, and no ambiguity shall be construed in favor of or against any one of the parties hereto.</w:t>
      </w:r>
    </w:p>
    <w:p>
      <w:pPr>
        <w:spacing w:after="0" w:line="55" w:lineRule="exact"/>
        <w:rPr>
          <w:rFonts w:ascii="Arial" w:cs="Arial" w:eastAsia="Arial" w:hAnsi="Arial"/>
          <w:sz w:val="19"/>
          <w:szCs w:val="19"/>
          <w:color w:val="auto"/>
        </w:rPr>
      </w:pPr>
    </w:p>
    <w:p>
      <w:pPr>
        <w:ind w:right="60" w:firstLine="1304"/>
        <w:spacing w:after="0" w:line="229" w:lineRule="auto"/>
        <w:tabs>
          <w:tab w:leader="none" w:pos="1752" w:val="left"/>
        </w:tabs>
        <w:numPr>
          <w:ilvl w:val="0"/>
          <w:numId w:val="291"/>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required or permitted by this Agreement shall be in writing and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when delivered personally or sent by 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01" w:lineRule="exact"/>
        <w:rPr>
          <w:rFonts w:ascii="Arial" w:cs="Arial" w:eastAsia="Arial" w:hAnsi="Arial"/>
          <w:sz w:val="22"/>
          <w:szCs w:val="22"/>
          <w:color w:val="auto"/>
        </w:rPr>
      </w:pPr>
    </w:p>
    <w:p>
      <w:pPr>
        <w:ind w:firstLine="1304"/>
        <w:spacing w:after="0" w:line="243" w:lineRule="auto"/>
        <w:tabs>
          <w:tab w:leader="none" w:pos="1728" w:val="left"/>
        </w:tabs>
        <w:numPr>
          <w:ilvl w:val="0"/>
          <w:numId w:val="291"/>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two or more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and all of which together shall constitute one instrument.</w:t>
      </w:r>
    </w:p>
    <w:p>
      <w:pPr>
        <w:spacing w:after="0" w:line="81" w:lineRule="exact"/>
        <w:rPr>
          <w:rFonts w:ascii="Arial" w:cs="Arial" w:eastAsia="Arial" w:hAnsi="Arial"/>
          <w:sz w:val="22"/>
          <w:szCs w:val="22"/>
          <w:color w:val="auto"/>
        </w:rPr>
      </w:pPr>
    </w:p>
    <w:p>
      <w:pPr>
        <w:ind w:right="20" w:firstLine="1304"/>
        <w:spacing w:after="0" w:line="233" w:lineRule="auto"/>
        <w:tabs>
          <w:tab w:leader="none" w:pos="1764" w:val="left"/>
        </w:tabs>
        <w:numPr>
          <w:ilvl w:val="0"/>
          <w:numId w:val="291"/>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 The rights and obligations of Purchaser under this Agreement may only be assigned with the prior written consent of the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20"/>
          </w:cols>
          <w:pgMar w:left="320" w:top="1414" w:right="359" w:bottom="1440" w:gutter="0" w:footer="0" w:header="0"/>
        </w:sectPr>
      </w:pPr>
    </w:p>
    <w:bookmarkStart w:id="365" w:name="page366"/>
    <w:bookmarkEnd w:id="365"/>
    <w:p>
      <w:pPr>
        <w:spacing w:after="0"/>
        <w:rPr>
          <w:sz w:val="20"/>
          <w:szCs w:val="20"/>
          <w:color w:val="auto"/>
        </w:rPr>
      </w:pPr>
      <w:r>
        <w:rPr>
          <w:rFonts w:ascii="Arial" w:cs="Arial" w:eastAsia="Arial" w:hAnsi="Arial"/>
          <w:sz w:val="19"/>
          <w:szCs w:val="19"/>
          <w:color w:val="auto"/>
        </w:rPr>
        <w:t>The parties have executed this Exercise Notice and Restricted Stock Purchase Agreement as of the date first set forth above.</w:t>
      </w:r>
    </w:p>
    <w:p>
      <w:pPr>
        <w:sectPr>
          <w:pgSz w:w="11900" w:h="16838" w:orient="portrait"/>
          <w:cols w:equalWidth="0" w:num="1">
            <w:col w:w="10740"/>
          </w:cols>
          <w:pgMar w:left="320" w:top="1414" w:right="839" w:bottom="1440" w:gutter="0" w:footer="0" w:header="0"/>
        </w:sectPr>
      </w:pPr>
    </w:p>
    <w:p>
      <w:pPr>
        <w:spacing w:after="0" w:line="221" w:lineRule="exact"/>
        <w:rPr>
          <w:sz w:val="20"/>
          <w:szCs w:val="20"/>
          <w:color w:val="auto"/>
        </w:rPr>
      </w:pPr>
    </w:p>
    <w:p>
      <w:pPr>
        <w:ind w:left="5760"/>
        <w:spacing w:after="0"/>
        <w:rPr>
          <w:sz w:val="20"/>
          <w:szCs w:val="20"/>
          <w:color w:val="auto"/>
        </w:rPr>
      </w:pPr>
      <w:r>
        <w:rPr>
          <w:rFonts w:ascii="Arial" w:cs="Arial" w:eastAsia="Arial" w:hAnsi="Arial"/>
          <w:sz w:val="22"/>
          <w:szCs w:val="22"/>
          <w:b w:val="1"/>
          <w:bCs w:val="1"/>
          <w:color w:val="auto"/>
        </w:rPr>
        <w:t>COMPANY:</w:t>
      </w:r>
    </w:p>
    <w:p>
      <w:pPr>
        <w:spacing w:after="0" w:line="314" w:lineRule="exact"/>
        <w:rPr>
          <w:sz w:val="20"/>
          <w:szCs w:val="20"/>
          <w:color w:val="auto"/>
        </w:rPr>
      </w:pPr>
    </w:p>
    <w:p>
      <w:pPr>
        <w:ind w:left="5760"/>
        <w:spacing w:after="0"/>
        <w:rPr>
          <w:sz w:val="20"/>
          <w:szCs w:val="20"/>
          <w:color w:val="auto"/>
        </w:rPr>
      </w:pPr>
      <w:r>
        <w:rPr>
          <w:rFonts w:ascii="Arial" w:cs="Arial" w:eastAsia="Arial" w:hAnsi="Arial"/>
          <w:sz w:val="21"/>
          <w:szCs w:val="21"/>
          <w:b w:val="1"/>
          <w:bCs w:val="1"/>
          <w:color w:val="auto"/>
        </w:rPr>
        <w:t>PROCEPT BIOROBOTICS CORPORATION</w:t>
      </w:r>
    </w:p>
    <w:p>
      <w:pPr>
        <w:spacing w:after="0" w:line="345"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24130</wp:posOffset>
            </wp:positionV>
            <wp:extent cx="22720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51" w:lineRule="exact"/>
        <w:rPr>
          <w:sz w:val="20"/>
          <w:szCs w:val="20"/>
          <w:color w:val="auto"/>
        </w:rPr>
      </w:pPr>
    </w:p>
    <w:p>
      <w:pPr>
        <w:ind w:left="8180"/>
        <w:spacing w:after="0"/>
        <w:rPr>
          <w:sz w:val="20"/>
          <w:szCs w:val="20"/>
          <w:color w:val="auto"/>
        </w:rPr>
      </w:pPr>
      <w:r>
        <w:rPr>
          <w:rFonts w:ascii="Arial" w:cs="Arial" w:eastAsia="Arial" w:hAnsi="Arial"/>
          <w:sz w:val="22"/>
          <w:szCs w:val="22"/>
          <w:color w:val="auto"/>
        </w:rPr>
        <w:t>(Signature)</w:t>
      </w:r>
    </w:p>
    <w:p>
      <w:pPr>
        <w:spacing w:after="0" w:line="58"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24130</wp:posOffset>
            </wp:positionV>
            <wp:extent cx="22720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51" w:lineRule="exact"/>
        <w:rPr>
          <w:sz w:val="20"/>
          <w:szCs w:val="20"/>
          <w:color w:val="auto"/>
        </w:rPr>
      </w:pPr>
    </w:p>
    <w:p>
      <w:pPr>
        <w:ind w:left="8000"/>
        <w:spacing w:after="0"/>
        <w:rPr>
          <w:sz w:val="20"/>
          <w:szCs w:val="20"/>
          <w:color w:val="auto"/>
        </w:rPr>
      </w:pPr>
      <w:r>
        <w:rPr>
          <w:rFonts w:ascii="Arial" w:cs="Arial" w:eastAsia="Arial" w:hAnsi="Arial"/>
          <w:sz w:val="22"/>
          <w:szCs w:val="22"/>
          <w:color w:val="auto"/>
        </w:rPr>
        <w:t>(Printed Name)</w:t>
      </w:r>
    </w:p>
    <w:p>
      <w:pPr>
        <w:spacing w:after="0" w:line="58"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24130</wp:posOffset>
            </wp:positionV>
            <wp:extent cx="2272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227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760"/>
        <w:spacing w:after="0"/>
        <w:rPr>
          <w:sz w:val="20"/>
          <w:szCs w:val="20"/>
          <w:color w:val="auto"/>
        </w:rPr>
      </w:pPr>
      <w:r>
        <w:rPr>
          <w:rFonts w:ascii="Arial" w:cs="Arial" w:eastAsia="Arial" w:hAnsi="Arial"/>
          <w:sz w:val="22"/>
          <w:szCs w:val="22"/>
          <w:b w:val="1"/>
          <w:bCs w:val="1"/>
          <w:color w:val="auto"/>
        </w:rPr>
        <w:t>PURCHASER: «HolderName»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508000</wp:posOffset>
            </wp:positionV>
            <wp:extent cx="31972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(Signature)</w:t>
      </w:r>
    </w:p>
    <w:p>
      <w:pPr>
        <w:spacing w:after="0" w:line="328"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195580</wp:posOffset>
            </wp:positionV>
            <wp:extent cx="22720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227203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24130</wp:posOffset>
            </wp:positionV>
            <wp:extent cx="22720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19"/>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0740"/>
          </w:cols>
          <w:pgMar w:left="320" w:top="1414" w:right="839" w:bottom="1440" w:gutter="0" w:footer="0" w:header="0"/>
          <w:type w:val="continuous"/>
        </w:sectPr>
      </w:pPr>
    </w:p>
    <w:bookmarkStart w:id="366" w:name="page367"/>
    <w:bookmarkEnd w:id="366"/>
    <w:p>
      <w:pPr>
        <w:ind w:left="10320"/>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PROCEPT BIOROBOTICS CORPORATION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AND ADVANCEMENT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THIS INDEMNIFICATION AND ADVANCEMENT AGREEMENT </w:t>
      </w: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effective as of [____], 2021, by and</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between PROCEPT BioRobotics Corporation,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the undersigned individual (“</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 This Agreement supersedes and replaces any and all previous Agreements between the Company and Indemnitee covering indemnification and advancement.</w:t>
      </w:r>
    </w:p>
    <w:p>
      <w:pPr>
        <w:spacing w:after="0" w:line="13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believes that highly competent persons have become more</w:t>
      </w:r>
      <w:r>
        <w:rPr>
          <w:rFonts w:ascii="Arial" w:cs="Arial" w:eastAsia="Arial" w:hAnsi="Arial"/>
          <w:sz w:val="20"/>
          <w:szCs w:val="20"/>
          <w:b w:val="1"/>
          <w:bCs w:val="1"/>
          <w:color w:val="auto"/>
        </w:rPr>
        <w:t xml:space="preserve"> </w:t>
      </w:r>
      <w:r>
        <w:rPr>
          <w:rFonts w:ascii="Arial" w:cs="Arial" w:eastAsia="Arial" w:hAnsi="Arial"/>
          <w:sz w:val="20"/>
          <w:szCs w:val="20"/>
          <w:color w:val="auto"/>
        </w:rPr>
        <w:t>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Board has determined that, in order to attract and retain qualified individuals, the Company will attempt to maintain</w:t>
      </w:r>
      <w:r>
        <w:rPr>
          <w:rFonts w:ascii="Arial" w:cs="Arial" w:eastAsia="Arial" w:hAnsi="Arial"/>
          <w:sz w:val="19"/>
          <w:szCs w:val="19"/>
          <w:b w:val="1"/>
          <w:bCs w:val="1"/>
          <w:color w:val="auto"/>
        </w:rPr>
        <w:t xml:space="preserve"> </w:t>
      </w:r>
      <w:r>
        <w:rPr>
          <w:rFonts w:ascii="Arial" w:cs="Arial" w:eastAsia="Arial" w:hAnsi="Arial"/>
          <w:sz w:val="19"/>
          <w:szCs w:val="19"/>
          <w:color w:val="auto"/>
        </w:rPr>
        <w:t>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Company’s Bylaws, as amended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 and/or Company’s Certificate of Incorporation, as amended (the “</w:t>
      </w:r>
      <w:r>
        <w:rPr>
          <w:rFonts w:ascii="Arial" w:cs="Arial" w:eastAsia="Arial" w:hAnsi="Arial"/>
          <w:sz w:val="19"/>
          <w:szCs w:val="19"/>
          <w:b w:val="1"/>
          <w:bCs w:val="1"/>
          <w:i w:val="1"/>
          <w:iCs w:val="1"/>
          <w:color w:val="auto"/>
        </w:rPr>
        <w:t>Certificate of Incorporation</w:t>
      </w:r>
      <w:r>
        <w:rPr>
          <w:rFonts w:ascii="Arial" w:cs="Arial" w:eastAsia="Arial" w:hAnsi="Arial"/>
          <w:sz w:val="19"/>
          <w:szCs w:val="19"/>
          <w:color w:val="auto"/>
        </w:rPr>
        <w:t>”) may require indemnification of the officers and directors of the Company. Indemnitee may also be entitled to indemnification pursuant to the General Corporation Law of the State of Delaware, as amended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The Bylaws, Certificate of Incorporation,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and advancement of expenses;</w:t>
      </w:r>
    </w:p>
    <w:p>
      <w:pPr>
        <w:spacing w:after="0" w:line="12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uncertainties relating to such insurance, to indemnification, and to advancement of expenses may increase the</w:t>
      </w:r>
      <w:r>
        <w:rPr>
          <w:rFonts w:ascii="Arial" w:cs="Arial" w:eastAsia="Arial" w:hAnsi="Arial"/>
          <w:sz w:val="20"/>
          <w:szCs w:val="20"/>
          <w:b w:val="1"/>
          <w:bCs w:val="1"/>
          <w:color w:val="auto"/>
        </w:rPr>
        <w:t xml:space="preserve"> </w:t>
      </w:r>
      <w:r>
        <w:rPr>
          <w:rFonts w:ascii="Arial" w:cs="Arial" w:eastAsia="Arial" w:hAnsi="Arial"/>
          <w:sz w:val="20"/>
          <w:szCs w:val="20"/>
          <w:color w:val="auto"/>
        </w:rPr>
        <w:t>difficulty of attracting and retaining such persons;</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Board has determined that the increased difficulty in attracting and retaining such persons is detrimental to the best</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interests of the Company and its stockholders and that the Company should act to assure such persons that there will be increased certainty of such protection in the future;</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it is reasonable, prudent and necessary for the Company contractually to obligate itself to indemnify, and to advance</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on behalf of, such persons to the fullest extent permitted by applicable law so that they will serve or continue to serve the Company free from undue concern that they will not be so indemnified;</w:t>
      </w:r>
    </w:p>
    <w:p>
      <w:pPr>
        <w:spacing w:after="0" w:line="12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Bylaws, Certificate of Incorporation and any resolutions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pursuant thereto, and is not a substitute therefor, nor diminishes or abrogates any rights of Indemnitee thereunder; and</w:t>
      </w:r>
    </w:p>
    <w:p>
      <w:pPr>
        <w:spacing w:after="0" w:line="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Indemnitee does not regard the protection available under the Bylaws, Certificate of Incorporation, DGCL and</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as adequate in the present circumstances, and may not be willing to</w:t>
      </w:r>
    </w:p>
    <w:p>
      <w:pPr>
        <w:sectPr>
          <w:pgSz w:w="11900" w:h="16838" w:orient="portrait"/>
          <w:cols w:equalWidth="0" w:num="1">
            <w:col w:w="11240"/>
          </w:cols>
          <w:pgMar w:left="320" w:top="121" w:right="339" w:bottom="1440" w:gutter="0" w:footer="0" w:header="0"/>
        </w:sectPr>
      </w:pPr>
    </w:p>
    <w:bookmarkStart w:id="367" w:name="page368"/>
    <w:bookmarkEnd w:id="367"/>
    <w:p>
      <w:pPr>
        <w:jc w:val="both"/>
        <w:spacing w:after="0" w:line="269" w:lineRule="auto"/>
        <w:rPr>
          <w:sz w:val="20"/>
          <w:szCs w:val="20"/>
          <w:color w:val="auto"/>
        </w:rPr>
      </w:pPr>
      <w:r>
        <w:rPr>
          <w:rFonts w:ascii="Arial" w:cs="Arial" w:eastAsia="Arial" w:hAnsi="Arial"/>
          <w:sz w:val="19"/>
          <w:szCs w:val="19"/>
          <w:color w:val="auto"/>
        </w:rPr>
        <w:t>serve or continue to serve as an officer or director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covenants contained herein, the Company and Indemnitee do hereby</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 and agree as follows:</w:t>
      </w:r>
    </w:p>
    <w:p>
      <w:pPr>
        <w:spacing w:after="0" w:line="10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Section 1. </w:t>
      </w:r>
      <w:r>
        <w:rPr>
          <w:rFonts w:ascii="Arial" w:cs="Arial" w:eastAsia="Arial" w:hAnsi="Arial"/>
          <w:sz w:val="19"/>
          <w:szCs w:val="19"/>
          <w:u w:val="single" w:color="auto"/>
          <w:color w:val="auto"/>
        </w:rPr>
        <w:t>Services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Indemnitee agrees to serve as a director and/or an officer of the Company. Indemnitee may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1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8"/>
          <w:szCs w:val="18"/>
          <w:u w:val="single" w:color="auto"/>
          <w:color w:val="auto"/>
        </w:rPr>
        <w:t xml:space="preserve">Definitions. </w:t>
      </w:r>
      <w:r>
        <w:rPr>
          <w:rFonts w:ascii="Arial" w:cs="Arial" w:eastAsia="Arial" w:hAnsi="Arial"/>
          <w:sz w:val="18"/>
          <w:szCs w:val="18"/>
          <w:color w:val="auto"/>
        </w:rPr>
        <w:t>As used in this Agreement:</w:t>
      </w:r>
    </w:p>
    <w:p>
      <w:pPr>
        <w:spacing w:after="0" w:line="168" w:lineRule="exact"/>
        <w:rPr>
          <w:sz w:val="20"/>
          <w:szCs w:val="20"/>
          <w:color w:val="auto"/>
        </w:rPr>
      </w:pPr>
    </w:p>
    <w:p>
      <w:pPr>
        <w:ind w:firstLine="1304"/>
        <w:spacing w:after="0" w:line="260" w:lineRule="auto"/>
        <w:tabs>
          <w:tab w:leader="none" w:pos="1765" w:val="left"/>
        </w:tabs>
        <w:numPr>
          <w:ilvl w:val="0"/>
          <w:numId w:val="29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w:t>
      </w:r>
      <w:r>
        <w:rPr>
          <w:rFonts w:ascii="Arial" w:cs="Arial" w:eastAsia="Arial" w:hAnsi="Arial"/>
          <w:sz w:val="20"/>
          <w:szCs w:val="20"/>
          <w:color w:val="auto"/>
        </w:rPr>
        <w:t>” means any person who is authorized by the Company or an Enterprise to act for or represent the interests of the Company or an Enterprise, respectively.</w:t>
      </w:r>
    </w:p>
    <w:p>
      <w:pPr>
        <w:spacing w:after="0" w:line="122" w:lineRule="exact"/>
        <w:rPr>
          <w:rFonts w:ascii="Arial" w:cs="Arial" w:eastAsia="Arial" w:hAnsi="Arial"/>
          <w:sz w:val="20"/>
          <w:szCs w:val="20"/>
          <w:b w:val="1"/>
          <w:bCs w:val="1"/>
          <w:color w:val="auto"/>
        </w:rPr>
      </w:pPr>
    </w:p>
    <w:p>
      <w:pPr>
        <w:jc w:val="both"/>
        <w:ind w:right="20" w:firstLine="1304"/>
        <w:spacing w:after="0" w:line="250" w:lineRule="auto"/>
        <w:tabs>
          <w:tab w:leader="none" w:pos="1790" w:val="left"/>
        </w:tabs>
        <w:numPr>
          <w:ilvl w:val="0"/>
          <w:numId w:val="29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w:t>
      </w:r>
      <w:r>
        <w:rPr>
          <w:rFonts w:ascii="Arial" w:cs="Arial" w:eastAsia="Arial" w:hAnsi="Arial"/>
          <w:sz w:val="20"/>
          <w:szCs w:val="20"/>
          <w:color w:val="auto"/>
        </w:rPr>
        <w:t xml:space="preserve">” has the meaning given to such term in Rule 13d-3 under the Exchange Act;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Beneficial Owner excludes any Person otherwise becoming a Beneficial Owner by reason of the stockholders of the Company approving a merger of the Company with another entity.</w:t>
      </w:r>
    </w:p>
    <w:p>
      <w:pPr>
        <w:spacing w:after="0" w:line="131" w:lineRule="exact"/>
        <w:rPr>
          <w:rFonts w:ascii="Arial" w:cs="Arial" w:eastAsia="Arial" w:hAnsi="Arial"/>
          <w:sz w:val="20"/>
          <w:szCs w:val="20"/>
          <w:b w:val="1"/>
          <w:bCs w:val="1"/>
          <w:color w:val="auto"/>
        </w:rPr>
      </w:pPr>
    </w:p>
    <w:p>
      <w:pPr>
        <w:ind w:left="1820" w:hanging="516"/>
        <w:spacing w:after="0"/>
        <w:tabs>
          <w:tab w:leader="none" w:pos="1820" w:val="left"/>
        </w:tabs>
        <w:numPr>
          <w:ilvl w:val="0"/>
          <w:numId w:val="292"/>
        </w:numPr>
        <w:rPr>
          <w:rFonts w:ascii="Arial" w:cs="Arial" w:eastAsia="Arial" w:hAnsi="Arial"/>
          <w:sz w:val="19"/>
          <w:szCs w:val="19"/>
          <w:b w:val="1"/>
          <w:bCs w:val="1"/>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occurs upon the earliest to occur after the date of this Agreement of any of the following</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events:</w:t>
      </w:r>
    </w:p>
    <w:p>
      <w:pPr>
        <w:spacing w:after="0" w:line="145" w:lineRule="exact"/>
        <w:rPr>
          <w:rFonts w:ascii="Arial" w:cs="Arial" w:eastAsia="Arial" w:hAnsi="Arial"/>
          <w:sz w:val="19"/>
          <w:szCs w:val="19"/>
          <w:b w:val="1"/>
          <w:bCs w:val="1"/>
          <w:color w:val="auto"/>
        </w:rPr>
      </w:pPr>
    </w:p>
    <w:p>
      <w:pPr>
        <w:jc w:val="both"/>
        <w:ind w:firstLine="1952"/>
        <w:spacing w:after="0" w:line="244" w:lineRule="auto"/>
        <w:tabs>
          <w:tab w:leader="none" w:pos="2383" w:val="left"/>
        </w:tabs>
        <w:numPr>
          <w:ilvl w:val="1"/>
          <w:numId w:val="292"/>
        </w:numPr>
        <w:rPr>
          <w:rFonts w:ascii="Arial" w:cs="Arial" w:eastAsia="Arial" w:hAnsi="Arial"/>
          <w:sz w:val="20"/>
          <w:szCs w:val="20"/>
          <w:b w:val="1"/>
          <w:bCs w:val="1"/>
          <w:color w:val="auto"/>
        </w:rPr>
      </w:pPr>
      <w:r>
        <w:rPr>
          <w:rFonts w:ascii="Arial" w:cs="Arial" w:eastAsia="Arial" w:hAnsi="Arial"/>
          <w:sz w:val="20"/>
          <w:szCs w:val="20"/>
          <w:u w:val="single" w:color="auto"/>
          <w:color w:val="auto"/>
        </w:rPr>
        <w:t>Acquisition of Stock by Third Party</w:t>
      </w:r>
      <w:r>
        <w:rPr>
          <w:rFonts w:ascii="Arial" w:cs="Arial" w:eastAsia="Arial" w:hAnsi="Arial"/>
          <w:sz w:val="20"/>
          <w:szCs w:val="20"/>
          <w:color w:val="auto"/>
        </w:rPr>
        <w:t>.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40" w:lineRule="exact"/>
        <w:rPr>
          <w:rFonts w:ascii="Arial" w:cs="Arial" w:eastAsia="Arial" w:hAnsi="Arial"/>
          <w:sz w:val="20"/>
          <w:szCs w:val="20"/>
          <w:b w:val="1"/>
          <w:bCs w:val="1"/>
          <w:color w:val="auto"/>
        </w:rPr>
      </w:pPr>
    </w:p>
    <w:p>
      <w:pPr>
        <w:jc w:val="both"/>
        <w:ind w:firstLine="1952"/>
        <w:spacing w:after="0" w:line="276" w:lineRule="auto"/>
        <w:tabs>
          <w:tab w:leader="none" w:pos="2410" w:val="left"/>
        </w:tabs>
        <w:numPr>
          <w:ilvl w:val="1"/>
          <w:numId w:val="292"/>
        </w:numPr>
        <w:rPr>
          <w:rFonts w:ascii="Arial" w:cs="Arial" w:eastAsia="Arial" w:hAnsi="Arial"/>
          <w:sz w:val="18"/>
          <w:szCs w:val="18"/>
          <w:b w:val="1"/>
          <w:bCs w:val="1"/>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xml:space="preserve">.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w:t>
      </w:r>
      <w:r>
        <w:rPr>
          <w:rFonts w:ascii="Arial" w:cs="Arial" w:eastAsia="Arial" w:hAnsi="Arial"/>
          <w:sz w:val="18"/>
          <w:szCs w:val="18"/>
          <w:u w:val="single" w:color="auto"/>
          <w:color w:val="auto"/>
        </w:rPr>
        <w:t>Sections 2(c)(i)</w:t>
      </w:r>
      <w:r>
        <w:rPr>
          <w:rFonts w:ascii="Arial" w:cs="Arial" w:eastAsia="Arial" w:hAnsi="Arial"/>
          <w:sz w:val="18"/>
          <w:szCs w:val="18"/>
          <w:color w:val="auto"/>
        </w:rPr>
        <w:t xml:space="preserve">, </w:t>
      </w:r>
      <w:r>
        <w:rPr>
          <w:rFonts w:ascii="Arial" w:cs="Arial" w:eastAsia="Arial" w:hAnsi="Arial"/>
          <w:sz w:val="18"/>
          <w:szCs w:val="18"/>
          <w:u w:val="single" w:color="auto"/>
          <w:color w:val="auto"/>
        </w:rPr>
        <w:t>2(c)(iii)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2(c)(iv)</w:t>
      </w:r>
      <w:r>
        <w:rPr>
          <w:rFonts w:ascii="Arial" w:cs="Arial" w:eastAsia="Arial" w:hAnsi="Arial"/>
          <w:sz w:val="18"/>
          <w:szCs w:val="18"/>
          <w:color w:val="auto"/>
        </w:rPr>
        <w: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10" w:lineRule="exact"/>
        <w:rPr>
          <w:rFonts w:ascii="Arial" w:cs="Arial" w:eastAsia="Arial" w:hAnsi="Arial"/>
          <w:sz w:val="18"/>
          <w:szCs w:val="18"/>
          <w:b w:val="1"/>
          <w:bCs w:val="1"/>
          <w:color w:val="auto"/>
        </w:rPr>
      </w:pPr>
    </w:p>
    <w:p>
      <w:pPr>
        <w:jc w:val="both"/>
        <w:ind w:firstLine="1952"/>
        <w:spacing w:after="0" w:line="243" w:lineRule="auto"/>
        <w:tabs>
          <w:tab w:leader="none" w:pos="2452" w:val="left"/>
        </w:tabs>
        <w:numPr>
          <w:ilvl w:val="1"/>
          <w:numId w:val="292"/>
        </w:numPr>
        <w:rPr>
          <w:rFonts w:ascii="Arial" w:cs="Arial" w:eastAsia="Arial" w:hAnsi="Arial"/>
          <w:sz w:val="20"/>
          <w:szCs w:val="20"/>
          <w:b w:val="1"/>
          <w:bCs w:val="1"/>
          <w:color w:val="auto"/>
        </w:rPr>
      </w:pPr>
      <w:r>
        <w:rPr>
          <w:rFonts w:ascii="Arial" w:cs="Arial" w:eastAsia="Arial" w:hAnsi="Arial"/>
          <w:sz w:val="20"/>
          <w:szCs w:val="20"/>
          <w:u w:val="single" w:color="auto"/>
          <w:color w:val="auto"/>
        </w:rPr>
        <w:t>Corporate Transactions</w:t>
      </w:r>
      <w:r>
        <w:rPr>
          <w:rFonts w:ascii="Arial" w:cs="Arial" w:eastAsia="Arial" w:hAnsi="Arial"/>
          <w:sz w:val="20"/>
          <w:szCs w:val="20"/>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368" w:name="page369"/>
    <w:bookmarkEnd w:id="368"/>
    <w:p>
      <w:pPr>
        <w:ind w:right="20" w:firstLine="1952"/>
        <w:spacing w:after="0" w:line="260" w:lineRule="auto"/>
        <w:tabs>
          <w:tab w:leader="none" w:pos="2427" w:val="left"/>
        </w:tabs>
        <w:numPr>
          <w:ilvl w:val="2"/>
          <w:numId w:val="293"/>
        </w:numPr>
        <w:rPr>
          <w:rFonts w:ascii="Arial" w:cs="Arial" w:eastAsia="Arial" w:hAnsi="Arial"/>
          <w:sz w:val="20"/>
          <w:szCs w:val="20"/>
          <w:b w:val="1"/>
          <w:bCs w:val="1"/>
          <w:color w:val="auto"/>
        </w:rPr>
      </w:pPr>
      <w:r>
        <w:rPr>
          <w:rFonts w:ascii="Arial" w:cs="Arial" w:eastAsia="Arial" w:hAnsi="Arial"/>
          <w:sz w:val="20"/>
          <w:szCs w:val="20"/>
          <w:u w:val="single" w:color="auto"/>
          <w:color w:val="auto"/>
        </w:rPr>
        <w:t>Liquidation</w:t>
      </w:r>
      <w:r>
        <w:rPr>
          <w:rFonts w:ascii="Arial" w:cs="Arial" w:eastAsia="Arial" w:hAnsi="Arial"/>
          <w:sz w:val="20"/>
          <w:szCs w:val="20"/>
          <w:color w:val="auto"/>
        </w:rPr>
        <w:t>. The approval by the stockholders of the Company of a complete liquidation of the Company or an agreement for the sale or disposition by the Company of all or substantially all of the Company’s assets; and</w:t>
      </w:r>
    </w:p>
    <w:p>
      <w:pPr>
        <w:spacing w:after="0" w:line="122" w:lineRule="exact"/>
        <w:rPr>
          <w:rFonts w:ascii="Arial" w:cs="Arial" w:eastAsia="Arial" w:hAnsi="Arial"/>
          <w:sz w:val="20"/>
          <w:szCs w:val="20"/>
          <w:b w:val="1"/>
          <w:bCs w:val="1"/>
          <w:color w:val="auto"/>
        </w:rPr>
      </w:pPr>
    </w:p>
    <w:p>
      <w:pPr>
        <w:jc w:val="both"/>
        <w:ind w:firstLine="1952"/>
        <w:spacing w:after="0" w:line="269" w:lineRule="auto"/>
        <w:tabs>
          <w:tab w:leader="none" w:pos="2440" w:val="left"/>
        </w:tabs>
        <w:numPr>
          <w:ilvl w:val="2"/>
          <w:numId w:val="293"/>
        </w:numPr>
        <w:rPr>
          <w:rFonts w:ascii="Arial" w:cs="Arial" w:eastAsia="Arial" w:hAnsi="Arial"/>
          <w:sz w:val="19"/>
          <w:szCs w:val="19"/>
          <w:b w:val="1"/>
          <w:bCs w:val="1"/>
          <w:color w:val="auto"/>
        </w:rPr>
      </w:pPr>
      <w:r>
        <w:rPr>
          <w:rFonts w:ascii="Arial" w:cs="Arial" w:eastAsia="Arial" w:hAnsi="Arial"/>
          <w:sz w:val="19"/>
          <w:szCs w:val="19"/>
          <w:u w:val="single" w:color="auto"/>
          <w:color w:val="auto"/>
        </w:rPr>
        <w:t>Other Events</w:t>
      </w:r>
      <w:r>
        <w:rPr>
          <w:rFonts w:ascii="Arial" w:cs="Arial" w:eastAsia="Arial" w:hAnsi="Arial"/>
          <w:sz w:val="19"/>
          <w:szCs w:val="19"/>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15" w:lineRule="exact"/>
        <w:rPr>
          <w:rFonts w:ascii="Arial" w:cs="Arial" w:eastAsia="Arial" w:hAnsi="Arial"/>
          <w:sz w:val="19"/>
          <w:szCs w:val="19"/>
          <w:b w:val="1"/>
          <w:bCs w:val="1"/>
          <w:color w:val="auto"/>
        </w:rPr>
      </w:pPr>
    </w:p>
    <w:p>
      <w:pPr>
        <w:ind w:firstLine="1304"/>
        <w:spacing w:after="0" w:line="260" w:lineRule="auto"/>
        <w:tabs>
          <w:tab w:leader="none" w:pos="1763" w:val="left"/>
        </w:tabs>
        <w:numPr>
          <w:ilvl w:val="1"/>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Status</w:t>
      </w:r>
      <w:r>
        <w:rPr>
          <w:rFonts w:ascii="Arial" w:cs="Arial" w:eastAsia="Arial" w:hAnsi="Arial"/>
          <w:sz w:val="20"/>
          <w:szCs w:val="20"/>
          <w:color w:val="auto"/>
        </w:rPr>
        <w:t>” describes the status of a person who is or was acting as a director, officer, employee, fiduciary, or Agent of the Company or an Enterprise.</w:t>
      </w:r>
    </w:p>
    <w:p>
      <w:pPr>
        <w:spacing w:after="0" w:line="122" w:lineRule="exact"/>
        <w:rPr>
          <w:rFonts w:ascii="Arial" w:cs="Arial" w:eastAsia="Arial" w:hAnsi="Arial"/>
          <w:sz w:val="20"/>
          <w:szCs w:val="20"/>
          <w:b w:val="1"/>
          <w:bCs w:val="1"/>
          <w:color w:val="auto"/>
        </w:rPr>
      </w:pPr>
    </w:p>
    <w:p>
      <w:pPr>
        <w:ind w:firstLine="1304"/>
        <w:spacing w:after="0" w:line="260" w:lineRule="auto"/>
        <w:tabs>
          <w:tab w:leader="none" w:pos="1727" w:val="left"/>
        </w:tabs>
        <w:numPr>
          <w:ilvl w:val="1"/>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Disinterested Director</w:t>
      </w:r>
      <w:r>
        <w:rPr>
          <w:rFonts w:ascii="Arial" w:cs="Arial" w:eastAsia="Arial" w:hAnsi="Arial"/>
          <w:sz w:val="20"/>
          <w:szCs w:val="20"/>
          <w:color w:val="auto"/>
        </w:rPr>
        <w:t>” means a director of the Company who is not and was not a party to the Proceeding in respect of which indemnification is sought by Indemnitee.</w:t>
      </w:r>
    </w:p>
    <w:p>
      <w:pPr>
        <w:spacing w:after="0" w:line="122" w:lineRule="exact"/>
        <w:rPr>
          <w:rFonts w:ascii="Arial" w:cs="Arial" w:eastAsia="Arial" w:hAnsi="Arial"/>
          <w:sz w:val="20"/>
          <w:szCs w:val="20"/>
          <w:b w:val="1"/>
          <w:bCs w:val="1"/>
          <w:color w:val="auto"/>
        </w:rPr>
      </w:pPr>
    </w:p>
    <w:p>
      <w:pPr>
        <w:ind w:firstLine="1304"/>
        <w:spacing w:after="0" w:line="316" w:lineRule="auto"/>
        <w:tabs>
          <w:tab w:leader="none" w:pos="1705" w:val="left"/>
        </w:tabs>
        <w:numPr>
          <w:ilvl w:val="1"/>
          <w:numId w:val="2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means any other corporation, limited liability company, partnership, joint venture, trust, employee benefit plan or other entity for which Indemnitee is or was serving at the request of the Company as a director, officer, employee, or Agent.</w:t>
      </w:r>
    </w:p>
    <w:p>
      <w:pPr>
        <w:spacing w:after="0" w:line="75" w:lineRule="exact"/>
        <w:rPr>
          <w:rFonts w:ascii="Arial" w:cs="Arial" w:eastAsia="Arial" w:hAnsi="Arial"/>
          <w:sz w:val="18"/>
          <w:szCs w:val="18"/>
          <w:b w:val="1"/>
          <w:bCs w:val="1"/>
          <w:color w:val="auto"/>
        </w:rPr>
      </w:pPr>
    </w:p>
    <w:p>
      <w:pPr>
        <w:ind w:left="1740" w:hanging="436"/>
        <w:spacing w:after="0"/>
        <w:tabs>
          <w:tab w:leader="none" w:pos="1740" w:val="left"/>
        </w:tabs>
        <w:numPr>
          <w:ilvl w:val="1"/>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Exchange Act of 1934, as amended from time to time.</w:t>
      </w:r>
    </w:p>
    <w:p>
      <w:pPr>
        <w:spacing w:after="0" w:line="161" w:lineRule="exact"/>
        <w:rPr>
          <w:rFonts w:ascii="Arial" w:cs="Arial" w:eastAsia="Arial" w:hAnsi="Arial"/>
          <w:sz w:val="20"/>
          <w:szCs w:val="20"/>
          <w:b w:val="1"/>
          <w:bCs w:val="1"/>
          <w:color w:val="auto"/>
        </w:rPr>
      </w:pPr>
    </w:p>
    <w:p>
      <w:pPr>
        <w:jc w:val="both"/>
        <w:ind w:firstLine="1304"/>
        <w:spacing w:after="0" w:line="268" w:lineRule="auto"/>
        <w:tabs>
          <w:tab w:leader="none" w:pos="1817" w:val="left"/>
        </w:tabs>
        <w:numPr>
          <w:ilvl w:val="1"/>
          <w:numId w:val="2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includes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w:t>
      </w:r>
    </w:p>
    <w:p>
      <w:pPr>
        <w:spacing w:after="0" w:line="4" w:lineRule="exact"/>
        <w:rPr>
          <w:rFonts w:ascii="Arial" w:cs="Arial" w:eastAsia="Arial" w:hAnsi="Arial"/>
          <w:sz w:val="18"/>
          <w:szCs w:val="18"/>
          <w:b w:val="1"/>
          <w:bCs w:val="1"/>
          <w:color w:val="auto"/>
        </w:rPr>
      </w:pPr>
    </w:p>
    <w:p>
      <w:pPr>
        <w:jc w:val="both"/>
        <w:ind w:firstLine="8"/>
        <w:spacing w:after="0"/>
        <w:tabs>
          <w:tab w:leader="none" w:pos="311" w:val="left"/>
        </w:tabs>
        <w:numPr>
          <w:ilvl w:val="0"/>
          <w:numId w:val="295"/>
        </w:numPr>
        <w:rPr>
          <w:rFonts w:ascii="Arial" w:cs="Arial" w:eastAsia="Arial" w:hAnsi="Arial"/>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14(d)</w:t>
      </w:r>
      <w:r>
        <w:rPr>
          <w:rFonts w:ascii="Arial" w:cs="Arial" w:eastAsia="Arial" w:hAnsi="Arial"/>
          <w:sz w:val="20"/>
          <w:szCs w:val="20"/>
          <w:color w:val="auto"/>
        </w:rPr>
        <w:t xml:space="preserve">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will be presumed conclusively to be reasonable. Expenses, however, do not include amounts paid in settlement by Indemnitee or the amount of judgments or fines against Indemnitee.</w:t>
      </w:r>
    </w:p>
    <w:p>
      <w:pPr>
        <w:spacing w:after="0" w:line="143" w:lineRule="exact"/>
        <w:rPr>
          <w:rFonts w:ascii="Arial" w:cs="Arial" w:eastAsia="Arial" w:hAnsi="Arial"/>
          <w:sz w:val="20"/>
          <w:szCs w:val="20"/>
          <w:color w:val="auto"/>
        </w:rPr>
      </w:pPr>
    </w:p>
    <w:p>
      <w:pPr>
        <w:jc w:val="both"/>
        <w:ind w:firstLine="1304"/>
        <w:spacing w:after="0" w:line="243" w:lineRule="auto"/>
        <w:tabs>
          <w:tab w:leader="none" w:pos="1694" w:val="left"/>
        </w:tabs>
        <w:numPr>
          <w:ilvl w:val="1"/>
          <w:numId w:val="29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Independent Counsel</w:t>
      </w:r>
      <w:r>
        <w:rPr>
          <w:rFonts w:ascii="Arial" w:cs="Arial" w:eastAsia="Arial" w:hAnsi="Arial"/>
          <w:sz w:val="20"/>
          <w:szCs w:val="20"/>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369" w:name="page370"/>
    <w:bookmarkEnd w:id="369"/>
    <w:p>
      <w:pPr>
        <w:jc w:val="both"/>
        <w:ind w:firstLine="1304"/>
        <w:spacing w:after="0" w:line="246" w:lineRule="auto"/>
        <w:tabs>
          <w:tab w:leader="none" w:pos="1719" w:val="left"/>
        </w:tabs>
        <w:numPr>
          <w:ilvl w:val="0"/>
          <w:numId w:val="29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xml:space="preserve">” has the meaning as set forth in </w:t>
      </w:r>
      <w:r>
        <w:rPr>
          <w:rFonts w:ascii="Arial" w:cs="Arial" w:eastAsia="Arial" w:hAnsi="Arial"/>
          <w:sz w:val="20"/>
          <w:szCs w:val="20"/>
          <w:u w:val="single" w:color="auto"/>
          <w:color w:val="auto"/>
        </w:rPr>
        <w:t>Section 13(d)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14(d)</w:t>
      </w:r>
      <w:r>
        <w:rPr>
          <w:rFonts w:ascii="Arial" w:cs="Arial" w:eastAsia="Arial" w:hAnsi="Arial"/>
          <w:sz w:val="20"/>
          <w:szCs w:val="20"/>
          <w:color w:val="auto"/>
        </w:rPr>
        <w:t xml:space="preserve"> of the Exchange Act;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Person excludes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37" w:lineRule="exact"/>
        <w:rPr>
          <w:rFonts w:ascii="Arial" w:cs="Arial" w:eastAsia="Arial" w:hAnsi="Arial"/>
          <w:sz w:val="20"/>
          <w:szCs w:val="20"/>
          <w:b w:val="1"/>
          <w:bCs w:val="1"/>
          <w:color w:val="auto"/>
        </w:rPr>
      </w:pPr>
    </w:p>
    <w:p>
      <w:pPr>
        <w:jc w:val="both"/>
        <w:ind w:firstLine="1304"/>
        <w:spacing w:after="0" w:line="272" w:lineRule="auto"/>
        <w:tabs>
          <w:tab w:leader="none" w:pos="1786"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16" w:lineRule="exact"/>
        <w:rPr>
          <w:rFonts w:ascii="Arial" w:cs="Arial" w:eastAsia="Arial" w:hAnsi="Arial"/>
          <w:sz w:val="18"/>
          <w:szCs w:val="18"/>
          <w:b w:val="1"/>
          <w:bCs w:val="1"/>
          <w:color w:val="auto"/>
        </w:rPr>
      </w:pPr>
    </w:p>
    <w:p>
      <w:pPr>
        <w:ind w:firstLine="1304"/>
        <w:spacing w:after="0" w:line="260" w:lineRule="auto"/>
        <w:tabs>
          <w:tab w:leader="none" w:pos="1856" w:val="left"/>
        </w:tabs>
        <w:numPr>
          <w:ilvl w:val="0"/>
          <w:numId w:val="29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Sponsor Entities</w:t>
      </w:r>
      <w:r>
        <w:rPr>
          <w:rFonts w:ascii="Arial" w:cs="Arial" w:eastAsia="Arial" w:hAnsi="Arial"/>
          <w:sz w:val="20"/>
          <w:szCs w:val="20"/>
          <w:color w:val="auto"/>
        </w:rPr>
        <w:t>” means the stockholder(s) of the Company set forth on the signature page hereto who have designated the Indemnitee as a director of the Company.</w:t>
      </w:r>
    </w:p>
    <w:p>
      <w:pPr>
        <w:spacing w:after="0" w:line="11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u w:val="single" w:color="auto"/>
          <w:color w:val="auto"/>
        </w:rPr>
        <w:t>Indemnity in Third-Party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indemnify Indemnitee in accordance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if Indemnitee is, or is threatened to be made, a party to or a participant in any Proceeding, other than a Proceeding by or in the right of the Company to procure a judgment in its favor. Pursuant to this </w:t>
      </w:r>
      <w:r>
        <w:rPr>
          <w:rFonts w:ascii="Arial" w:cs="Arial" w:eastAsia="Arial" w:hAnsi="Arial"/>
          <w:sz w:val="18"/>
          <w:szCs w:val="18"/>
          <w:u w:val="single" w:color="auto"/>
          <w:color w:val="auto"/>
        </w:rPr>
        <w:t>Section 3</w:t>
      </w:r>
      <w:r>
        <w:rPr>
          <w:rFonts w:ascii="Arial" w:cs="Arial" w:eastAsia="Arial" w:hAnsi="Arial"/>
          <w:sz w:val="18"/>
          <w:szCs w:val="18"/>
          <w:color w:val="auto"/>
        </w:rPr>
        <w:t>,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u w:val="single" w:color="auto"/>
          <w:color w:val="auto"/>
        </w:rPr>
        <w:t>Indemnity in Proceedings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indemnify Indemnitee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if Indemnitee is, or is threatened to be made, a party to or a participant in any Proceeding by or in the right of the Company to procure a judgment in its favor.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related to any claim, issue or matter in a Proceeding for which Indemnitee has been finally adjudged by a court to be liable to the Company, unless, and only to the extent that, the Delaware Court of Chancery (the “</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1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u w:val="single" w:color="auto"/>
          <w:color w:val="auto"/>
        </w:rPr>
        <w:t>Indemnification for Expenses of a Party Who is Wholly or Partly Successful.</w:t>
      </w:r>
      <w:r>
        <w:rPr>
          <w:rFonts w:ascii="Arial" w:cs="Arial" w:eastAsia="Arial" w:hAnsi="Arial"/>
          <w:sz w:val="20"/>
          <w:szCs w:val="20"/>
          <w:b w:val="1"/>
          <w:bCs w:val="1"/>
          <w:color w:val="auto"/>
        </w:rPr>
        <w:t xml:space="preserve"> </w:t>
      </w:r>
      <w:r>
        <w:rPr>
          <w:rFonts w:ascii="Arial" w:cs="Arial" w:eastAsia="Arial" w:hAnsi="Arial"/>
          <w:sz w:val="20"/>
          <w:szCs w:val="20"/>
          <w:color w:val="auto"/>
        </w:rPr>
        <w:t>To the fullest extent permitted by</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 the Company will indemnify Indemnitee against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370" w:name="page371"/>
    <w:bookmarkEnd w:id="370"/>
    <w:p>
      <w:pPr>
        <w:jc w:val="both"/>
        <w:spacing w:after="0" w:line="316" w:lineRule="auto"/>
        <w:rPr>
          <w:sz w:val="20"/>
          <w:szCs w:val="20"/>
          <w:color w:val="auto"/>
        </w:rPr>
      </w:pPr>
      <w:r>
        <w:rPr>
          <w:rFonts w:ascii="Arial" w:cs="Arial" w:eastAsia="Arial" w:hAnsi="Arial"/>
          <w:sz w:val="16"/>
          <w:szCs w:val="16"/>
          <w:color w:val="auto"/>
        </w:rPr>
        <w:t xml:space="preserve">Expenses actually and reasonably incurred by Indemnitee in connection with any Proceeding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without limitation, the termination of any claim, issue or matter in such a Proceeding by dismissal, with or without prejudice, will be deemed to be a successful result as to such claim, issue or matter.</w:t>
      </w:r>
    </w:p>
    <w:p>
      <w:pPr>
        <w:spacing w:after="0" w:line="80"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u w:val="single" w:color="auto"/>
          <w:color w:val="auto"/>
        </w:rPr>
        <w:t>Indemnification For Expenses of a Witness.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applicable law,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Indemnitee against all Expenses actually and reasonably incurred by Indemnitee or on Indemnitee’s behalf in connection with any Proceeding to which Indemnitee is not a party but to which Indemnitee is a witness, deponent, interviewee, or otherwise asked to participate.</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20"/>
          <w:szCs w:val="20"/>
          <w:u w:val="single" w:color="auto"/>
          <w:color w:val="auto"/>
        </w:rPr>
        <w:t>Partial Indemnification.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Indemnitee is entitled under any provision of this Agreement to indemnification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for some or a portion of Expenses, but not, however, for the total amount thereof, the Company will indemnify Indemnitee for the portion thereof to which Indemnitee is entitled.</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u w:val="single" w:color="auto"/>
          <w:color w:val="auto"/>
        </w:rPr>
        <w:t>Additional Indemnification.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limitation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4</w:t>
      </w:r>
      <w:r>
        <w:rPr>
          <w:rFonts w:ascii="Arial" w:cs="Arial" w:eastAsia="Arial" w:hAnsi="Arial"/>
          <w:sz w:val="20"/>
          <w:szCs w:val="20"/>
          <w:color w:val="auto"/>
        </w:rPr>
        <w:t>, or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5</w:t>
      </w:r>
      <w:r>
        <w:rPr>
          <w:rFonts w:ascii="Arial" w:cs="Arial" w:eastAsia="Arial" w:hAnsi="Arial"/>
          <w:sz w:val="20"/>
          <w:szCs w:val="20"/>
          <w:color w:val="auto"/>
        </w:rPr>
        <w:t>, the Company will indemnify</w:t>
      </w:r>
      <w:r>
        <w:rPr>
          <w:rFonts w:ascii="Arial" w:cs="Arial" w:eastAsia="Arial" w:hAnsi="Arial"/>
          <w:sz w:val="20"/>
          <w:szCs w:val="20"/>
          <w:b w:val="1"/>
          <w:bCs w:val="1"/>
          <w:color w:val="auto"/>
        </w:rPr>
        <w:t xml:space="preserve"> </w:t>
      </w:r>
      <w:r>
        <w:rPr>
          <w:rFonts w:ascii="Arial" w:cs="Arial" w:eastAsia="Arial" w:hAnsi="Arial"/>
          <w:sz w:val="20"/>
          <w:szCs w:val="20"/>
          <w:color w:val="auto"/>
        </w:rPr>
        <w:t>Indemnitee to the fullest extent permitted by applicable law (including but not limited to, the DGCL and any amendments to or replacements of the DGCL adopted after the date of this Agreement that expand the Company’s ability to indemnify its officers and directors) if Indemnitee is a party to or threatened to be made a party to any Proceeding (including a Proceeding by or in the right of the Company to procure a judgment in its favor).</w:t>
      </w:r>
    </w:p>
    <w:p>
      <w:pPr>
        <w:spacing w:after="0" w:line="13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9. </w:t>
      </w:r>
      <w:r>
        <w:rPr>
          <w:rFonts w:ascii="Arial" w:cs="Arial" w:eastAsia="Arial" w:hAnsi="Arial"/>
          <w:sz w:val="20"/>
          <w:szCs w:val="20"/>
          <w:u w:val="single" w:color="auto"/>
          <w:color w:val="auto"/>
        </w:rPr>
        <w:t>Exclusions.</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in this Agreement, the Company is not obligated under this Agreement to</w:t>
      </w:r>
      <w:r>
        <w:rPr>
          <w:rFonts w:ascii="Arial" w:cs="Arial" w:eastAsia="Arial" w:hAnsi="Arial"/>
          <w:sz w:val="20"/>
          <w:szCs w:val="20"/>
          <w:b w:val="1"/>
          <w:bCs w:val="1"/>
          <w:color w:val="auto"/>
        </w:rPr>
        <w:t xml:space="preserve"> </w:t>
      </w:r>
      <w:r>
        <w:rPr>
          <w:rFonts w:ascii="Arial" w:cs="Arial" w:eastAsia="Arial" w:hAnsi="Arial"/>
          <w:sz w:val="20"/>
          <w:szCs w:val="20"/>
          <w:color w:val="auto"/>
        </w:rPr>
        <w:t>make any indemnification payment to Indemnitee in connection with any Proceeding:</w:t>
      </w:r>
    </w:p>
    <w:p>
      <w:pPr>
        <w:spacing w:after="0" w:line="115" w:lineRule="exact"/>
        <w:rPr>
          <w:sz w:val="20"/>
          <w:szCs w:val="20"/>
          <w:color w:val="auto"/>
        </w:rPr>
      </w:pPr>
    </w:p>
    <w:p>
      <w:pPr>
        <w:jc w:val="both"/>
        <w:ind w:firstLine="1304"/>
        <w:spacing w:after="0" w:line="250" w:lineRule="auto"/>
        <w:tabs>
          <w:tab w:leader="none" w:pos="1724" w:val="left"/>
        </w:tabs>
        <w:numPr>
          <w:ilvl w:val="0"/>
          <w:numId w:val="297"/>
        </w:numPr>
        <w:rPr>
          <w:rFonts w:ascii="Arial" w:cs="Arial" w:eastAsia="Arial" w:hAnsi="Arial"/>
          <w:sz w:val="20"/>
          <w:szCs w:val="20"/>
          <w:b w:val="1"/>
          <w:bCs w:val="1"/>
          <w:color w:val="auto"/>
        </w:rPr>
      </w:pPr>
      <w:r>
        <w:rPr>
          <w:rFonts w:ascii="Arial" w:cs="Arial" w:eastAsia="Arial" w:hAnsi="Arial"/>
          <w:sz w:val="20"/>
          <w:szCs w:val="20"/>
          <w:color w:val="auto"/>
        </w:rPr>
        <w:t>for which payment has actually been made to or on behalf of Indemnitee under any insurance policy or other indemnity provision, except to the extent provided in Section 16(b) and except with respect to any excess beyond the amount paid under any insurance policy or other indemnity provision; or</w:t>
      </w:r>
    </w:p>
    <w:p>
      <w:pPr>
        <w:spacing w:after="0" w:line="131" w:lineRule="exact"/>
        <w:rPr>
          <w:rFonts w:ascii="Arial" w:cs="Arial" w:eastAsia="Arial" w:hAnsi="Arial"/>
          <w:sz w:val="20"/>
          <w:szCs w:val="20"/>
          <w:b w:val="1"/>
          <w:bCs w:val="1"/>
          <w:color w:val="auto"/>
        </w:rPr>
      </w:pPr>
    </w:p>
    <w:p>
      <w:pPr>
        <w:jc w:val="both"/>
        <w:ind w:firstLine="1304"/>
        <w:spacing w:after="0" w:line="255" w:lineRule="auto"/>
        <w:tabs>
          <w:tab w:leader="none" w:pos="1776" w:val="left"/>
        </w:tabs>
        <w:numPr>
          <w:ilvl w:val="0"/>
          <w:numId w:val="297"/>
        </w:numPr>
        <w:rPr>
          <w:rFonts w:ascii="Arial" w:cs="Arial" w:eastAsia="Arial" w:hAnsi="Arial"/>
          <w:sz w:val="19"/>
          <w:szCs w:val="19"/>
          <w:b w:val="1"/>
          <w:bCs w:val="1"/>
          <w:color w:val="auto"/>
        </w:rPr>
      </w:pPr>
      <w:r>
        <w:rPr>
          <w:rFonts w:ascii="Arial" w:cs="Arial" w:eastAsia="Arial" w:hAnsi="Arial"/>
          <w:sz w:val="19"/>
          <w:szCs w:val="19"/>
          <w:color w:val="auto"/>
        </w:rPr>
        <w:t xml:space="preserve">for (i) an accounting of profits made from the purchase and sale (or sale and purchase) by Indemnitee of securities of the Company within the meaning of Section 16(b) of the Exchange Act (as defined in </w:t>
      </w:r>
      <w:r>
        <w:rPr>
          <w:rFonts w:ascii="Arial" w:cs="Arial" w:eastAsia="Arial" w:hAnsi="Arial"/>
          <w:sz w:val="19"/>
          <w:szCs w:val="19"/>
          <w:u w:val="single" w:color="auto"/>
          <w:color w:val="auto"/>
        </w:rPr>
        <w:t>Section 2(b)</w:t>
      </w:r>
      <w:r>
        <w:rPr>
          <w:rFonts w:ascii="Arial" w:cs="Arial" w:eastAsia="Arial" w:hAnsi="Arial"/>
          <w:sz w:val="19"/>
          <w:szCs w:val="19"/>
          <w:color w:val="auto"/>
        </w:rPr>
        <w:t>)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as amended (the “</w:t>
      </w:r>
      <w:r>
        <w:rPr>
          <w:rFonts w:ascii="Arial" w:cs="Arial" w:eastAsia="Arial" w:hAnsi="Arial"/>
          <w:sz w:val="19"/>
          <w:szCs w:val="19"/>
          <w:b w:val="1"/>
          <w:bCs w:val="1"/>
          <w:i w:val="1"/>
          <w:iCs w:val="1"/>
          <w:color w:val="auto"/>
        </w:rPr>
        <w:t>Sarbanes-Oxley Act</w:t>
      </w:r>
      <w:r>
        <w:rPr>
          <w:rFonts w:ascii="Arial" w:cs="Arial" w:eastAsia="Arial" w:hAnsi="Arial"/>
          <w:sz w:val="19"/>
          <w:szCs w:val="19"/>
          <w:color w:val="auto"/>
        </w:rPr>
        <w: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371" w:name="page372"/>
    <w:bookmarkEnd w:id="371"/>
    <w:p>
      <w:pPr>
        <w:jc w:val="both"/>
        <w:ind w:firstLine="1304"/>
        <w:spacing w:after="0" w:line="260" w:lineRule="auto"/>
        <w:tabs>
          <w:tab w:leader="none" w:pos="1754" w:val="left"/>
        </w:tabs>
        <w:numPr>
          <w:ilvl w:val="0"/>
          <w:numId w:val="298"/>
        </w:numPr>
        <w:rPr>
          <w:rFonts w:ascii="Arial" w:cs="Arial" w:eastAsia="Arial" w:hAnsi="Arial"/>
          <w:sz w:val="19"/>
          <w:szCs w:val="19"/>
          <w:b w:val="1"/>
          <w:bCs w:val="1"/>
          <w:color w:val="auto"/>
        </w:rPr>
      </w:pPr>
      <w:r>
        <w:rPr>
          <w:rFonts w:ascii="Arial" w:cs="Arial" w:eastAsia="Arial" w:hAnsi="Arial"/>
          <w:sz w:val="19"/>
          <w:szCs w:val="19"/>
          <w:color w:val="auto"/>
        </w:rPr>
        <w:t xml:space="preserve">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w:t>
      </w:r>
      <w:r>
        <w:rPr>
          <w:rFonts w:ascii="Arial" w:cs="Arial" w:eastAsia="Arial" w:hAnsi="Arial"/>
          <w:sz w:val="19"/>
          <w:szCs w:val="19"/>
          <w:u w:val="single" w:color="auto"/>
          <w:color w:val="auto"/>
        </w:rPr>
        <w:t>Section 14</w:t>
      </w:r>
      <w:r>
        <w:rPr>
          <w:rFonts w:ascii="Arial" w:cs="Arial" w:eastAsia="Arial" w:hAnsi="Arial"/>
          <w:sz w:val="19"/>
          <w:szCs w:val="19"/>
          <w:color w:val="auto"/>
        </w:rPr>
        <w:t>, (ii) the Board authorized the Proceeding (or any part of any Proceeding) prior to its initiation or (iii) the Company provides the indemnification, in its sole discretion, pursuant to the powers vested in the Company under applicable law.</w:t>
      </w:r>
    </w:p>
    <w:p>
      <w:pPr>
        <w:spacing w:after="0" w:line="12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16"/>
          <w:szCs w:val="16"/>
          <w:u w:val="single" w:color="auto"/>
          <w:color w:val="auto"/>
        </w:rPr>
        <w:t>Advances of Expenses.</w:t>
      </w:r>
    </w:p>
    <w:p>
      <w:pPr>
        <w:spacing w:after="0" w:line="168" w:lineRule="exact"/>
        <w:rPr>
          <w:sz w:val="20"/>
          <w:szCs w:val="20"/>
          <w:color w:val="auto"/>
        </w:rPr>
      </w:pPr>
    </w:p>
    <w:p>
      <w:pPr>
        <w:jc w:val="both"/>
        <w:ind w:firstLine="1304"/>
        <w:spacing w:after="0" w:line="243" w:lineRule="auto"/>
        <w:tabs>
          <w:tab w:leader="none" w:pos="1790" w:val="left"/>
        </w:tabs>
        <w:numPr>
          <w:ilvl w:val="0"/>
          <w:numId w:val="299"/>
        </w:numPr>
        <w:rPr>
          <w:rFonts w:ascii="Arial" w:cs="Arial" w:eastAsia="Arial" w:hAnsi="Arial"/>
          <w:sz w:val="20"/>
          <w:szCs w:val="20"/>
          <w:b w:val="1"/>
          <w:bCs w:val="1"/>
          <w:color w:val="auto"/>
        </w:rPr>
      </w:pPr>
      <w:r>
        <w:rPr>
          <w:rFonts w:ascii="Arial" w:cs="Arial" w:eastAsia="Arial" w:hAnsi="Arial"/>
          <w:sz w:val="20"/>
          <w:szCs w:val="20"/>
          <w:color w:val="auto"/>
        </w:rPr>
        <w:t xml:space="preserve">The Company will advance, to the extent not prohibited by law, the Expenses incurred by Indemnitee in connection with any Proceeding (or any part of any Proceeding) not initiated by Indemnitee or any Proceeding (or any part of any Proceeding) initiated by Indemnitee if (i) the Proceeding or part of any Proceeding is to enforce Indemnitee’s rights to obtain indemnification or advancement of Expenses from the Company or Enterprise, including a proceeding initiated pursuant to </w:t>
      </w:r>
      <w:r>
        <w:rPr>
          <w:rFonts w:ascii="Arial" w:cs="Arial" w:eastAsia="Arial" w:hAnsi="Arial"/>
          <w:sz w:val="20"/>
          <w:szCs w:val="20"/>
          <w:u w:val="single" w:color="auto"/>
          <w:color w:val="auto"/>
        </w:rPr>
        <w:t>Section 14</w:t>
      </w:r>
      <w:r>
        <w:rPr>
          <w:rFonts w:ascii="Arial" w:cs="Arial" w:eastAsia="Arial" w:hAnsi="Arial"/>
          <w:sz w:val="20"/>
          <w:szCs w:val="20"/>
          <w:color w:val="auto"/>
        </w:rPr>
        <w:t xml:space="preserve"> or (ii) the Board authorized the Proceeding (or any part of any Proceeding) prior to its initiation. The Company will advance the Expenses within thirty (30) days after the receipt by the Company of a statement or statements requesting such advances from time to time, whether prior to or after final disposition of any Proceeding.</w:t>
      </w:r>
    </w:p>
    <w:p>
      <w:pPr>
        <w:spacing w:after="0" w:line="138" w:lineRule="exact"/>
        <w:rPr>
          <w:rFonts w:ascii="Arial" w:cs="Arial" w:eastAsia="Arial" w:hAnsi="Arial"/>
          <w:sz w:val="20"/>
          <w:szCs w:val="20"/>
          <w:b w:val="1"/>
          <w:bCs w:val="1"/>
          <w:color w:val="auto"/>
        </w:rPr>
      </w:pPr>
    </w:p>
    <w:p>
      <w:pPr>
        <w:jc w:val="both"/>
        <w:ind w:firstLine="1304"/>
        <w:spacing w:after="0" w:line="260" w:lineRule="auto"/>
        <w:tabs>
          <w:tab w:leader="none" w:pos="1753" w:val="left"/>
        </w:tabs>
        <w:numPr>
          <w:ilvl w:val="0"/>
          <w:numId w:val="299"/>
        </w:numPr>
        <w:rPr>
          <w:rFonts w:ascii="Arial" w:cs="Arial" w:eastAsia="Arial" w:hAnsi="Arial"/>
          <w:sz w:val="19"/>
          <w:szCs w:val="19"/>
          <w:b w:val="1"/>
          <w:bCs w:val="1"/>
          <w:color w:val="auto"/>
        </w:rPr>
      </w:pPr>
      <w:r>
        <w:rPr>
          <w:rFonts w:ascii="Arial" w:cs="Arial" w:eastAsia="Arial" w:hAnsi="Arial"/>
          <w:sz w:val="19"/>
          <w:szCs w:val="19"/>
          <w:color w:val="auto"/>
        </w:rPr>
        <w:t>Advances will be unsecured and interest free. Indemnitee undertakes to repay the amounts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12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8"/>
          <w:szCs w:val="18"/>
          <w:u w:val="single" w:color="auto"/>
          <w:color w:val="auto"/>
        </w:rPr>
        <w:t>Procedure for Notification of Claim for Indemnification or Advancement.</w:t>
      </w:r>
    </w:p>
    <w:p>
      <w:pPr>
        <w:spacing w:after="0" w:line="168" w:lineRule="exact"/>
        <w:rPr>
          <w:sz w:val="20"/>
          <w:szCs w:val="20"/>
          <w:color w:val="auto"/>
        </w:rPr>
      </w:pPr>
    </w:p>
    <w:p>
      <w:pPr>
        <w:jc w:val="both"/>
        <w:ind w:firstLine="1304"/>
        <w:spacing w:after="0" w:line="256" w:lineRule="auto"/>
        <w:tabs>
          <w:tab w:leader="none" w:pos="1799" w:val="left"/>
        </w:tabs>
        <w:numPr>
          <w:ilvl w:val="0"/>
          <w:numId w:val="300"/>
        </w:numPr>
        <w:rPr>
          <w:rFonts w:ascii="Arial" w:cs="Arial" w:eastAsia="Arial" w:hAnsi="Arial"/>
          <w:sz w:val="19"/>
          <w:szCs w:val="19"/>
          <w:b w:val="1"/>
          <w:bCs w:val="1"/>
          <w:color w:val="auto"/>
        </w:rPr>
      </w:pPr>
      <w:r>
        <w:rPr>
          <w:rFonts w:ascii="Arial" w:cs="Arial" w:eastAsia="Arial" w:hAnsi="Arial"/>
          <w:sz w:val="19"/>
          <w:szCs w:val="19"/>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spacing w:after="0" w:line="130" w:lineRule="exact"/>
        <w:rPr>
          <w:rFonts w:ascii="Arial" w:cs="Arial" w:eastAsia="Arial" w:hAnsi="Arial"/>
          <w:sz w:val="19"/>
          <w:szCs w:val="19"/>
          <w:b w:val="1"/>
          <w:bCs w:val="1"/>
          <w:color w:val="auto"/>
        </w:rPr>
      </w:pPr>
    </w:p>
    <w:p>
      <w:pPr>
        <w:ind w:left="1740" w:hanging="436"/>
        <w:spacing w:after="0"/>
        <w:tabs>
          <w:tab w:leader="none" w:pos="1740" w:val="left"/>
        </w:tabs>
        <w:numPr>
          <w:ilvl w:val="0"/>
          <w:numId w:val="300"/>
        </w:numPr>
        <w:rPr>
          <w:rFonts w:ascii="Arial" w:cs="Arial" w:eastAsia="Arial" w:hAnsi="Arial"/>
          <w:sz w:val="20"/>
          <w:szCs w:val="20"/>
          <w:b w:val="1"/>
          <w:bCs w:val="1"/>
          <w:color w:val="auto"/>
        </w:rPr>
      </w:pPr>
      <w:r>
        <w:rPr>
          <w:rFonts w:ascii="Arial" w:cs="Arial" w:eastAsia="Arial" w:hAnsi="Arial"/>
          <w:sz w:val="20"/>
          <w:szCs w:val="20"/>
          <w:color w:val="auto"/>
        </w:rPr>
        <w:t>The Company will be entitled to participate in the Proceeding at its own expense.</w:t>
      </w:r>
    </w:p>
    <w:p>
      <w:pPr>
        <w:spacing w:after="0" w:line="15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8"/>
          <w:szCs w:val="18"/>
          <w:u w:val="single" w:color="auto"/>
          <w:color w:val="auto"/>
        </w:rPr>
        <w:t>Procedure Upon Application for Indemnification.</w:t>
      </w:r>
    </w:p>
    <w:p>
      <w:pPr>
        <w:spacing w:after="0" w:line="168" w:lineRule="exact"/>
        <w:rPr>
          <w:sz w:val="20"/>
          <w:szCs w:val="20"/>
          <w:color w:val="auto"/>
        </w:rPr>
      </w:pPr>
    </w:p>
    <w:p>
      <w:pPr>
        <w:ind w:left="1820" w:hanging="516"/>
        <w:spacing w:after="0"/>
        <w:tabs>
          <w:tab w:leader="none" w:pos="182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Unless a Change of Control has occurred, the determination of Indemnitee’s entitlement to indemnification will be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made:</w:t>
      </w:r>
    </w:p>
    <w:p>
      <w:pPr>
        <w:spacing w:after="0" w:line="146" w:lineRule="exact"/>
        <w:rPr>
          <w:sz w:val="20"/>
          <w:szCs w:val="20"/>
          <w:color w:val="auto"/>
        </w:rPr>
      </w:pPr>
    </w:p>
    <w:p>
      <w:pPr>
        <w:ind w:left="2340" w:hanging="388"/>
        <w:spacing w:after="0"/>
        <w:tabs>
          <w:tab w:leader="none" w:pos="2340" w:val="left"/>
        </w:tabs>
        <w:numPr>
          <w:ilvl w:val="0"/>
          <w:numId w:val="302"/>
        </w:numPr>
        <w:rPr>
          <w:rFonts w:ascii="Arial" w:cs="Arial" w:eastAsia="Arial" w:hAnsi="Arial"/>
          <w:sz w:val="20"/>
          <w:szCs w:val="20"/>
          <w:b w:val="1"/>
          <w:bCs w:val="1"/>
          <w:color w:val="auto"/>
        </w:rPr>
      </w:pPr>
      <w:r>
        <w:rPr>
          <w:rFonts w:ascii="Arial" w:cs="Arial" w:eastAsia="Arial" w:hAnsi="Arial"/>
          <w:sz w:val="20"/>
          <w:szCs w:val="20"/>
          <w:color w:val="auto"/>
        </w:rPr>
        <w:t>by a majority vote of the Disinterested Directors, even though less than a quorum of the Board;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9" w:lineRule="exact"/>
        <w:rPr>
          <w:rFonts w:ascii="Arial" w:cs="Arial" w:eastAsia="Arial" w:hAnsi="Arial"/>
          <w:sz w:val="20"/>
          <w:szCs w:val="20"/>
          <w:b w:val="1"/>
          <w:bCs w:val="1"/>
          <w:color w:val="auto"/>
        </w:rPr>
      </w:pPr>
    </w:p>
    <w:p>
      <w:pPr>
        <w:ind w:left="5580"/>
        <w:spacing w:after="0"/>
        <w:rPr>
          <w:rFonts w:ascii="Arial" w:cs="Arial" w:eastAsia="Arial" w:hAnsi="Arial"/>
          <w:sz w:val="20"/>
          <w:szCs w:val="20"/>
          <w:b w:val="1"/>
          <w:bCs w:val="1"/>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372" w:name="page373"/>
    <w:bookmarkEnd w:id="372"/>
    <w:p>
      <w:pPr>
        <w:ind w:firstLine="1952"/>
        <w:spacing w:after="0" w:line="260" w:lineRule="auto"/>
        <w:tabs>
          <w:tab w:leader="none" w:pos="2443" w:val="left"/>
        </w:tabs>
        <w:numPr>
          <w:ilvl w:val="1"/>
          <w:numId w:val="303"/>
        </w:numPr>
        <w:rPr>
          <w:rFonts w:ascii="Arial" w:cs="Arial" w:eastAsia="Arial" w:hAnsi="Arial"/>
          <w:sz w:val="20"/>
          <w:szCs w:val="20"/>
          <w:b w:val="1"/>
          <w:bCs w:val="1"/>
          <w:color w:val="auto"/>
        </w:rPr>
      </w:pPr>
      <w:r>
        <w:rPr>
          <w:rFonts w:ascii="Arial" w:cs="Arial" w:eastAsia="Arial" w:hAnsi="Arial"/>
          <w:sz w:val="20"/>
          <w:szCs w:val="20"/>
          <w:color w:val="auto"/>
        </w:rPr>
        <w:t>by a committee of Disinterested Directors designated by a majority vote of the Disinterested Directors, even though less than a quorum of the Board;</w:t>
      </w:r>
    </w:p>
    <w:p>
      <w:pPr>
        <w:spacing w:after="0" w:line="122" w:lineRule="exact"/>
        <w:rPr>
          <w:rFonts w:ascii="Arial" w:cs="Arial" w:eastAsia="Arial" w:hAnsi="Arial"/>
          <w:sz w:val="20"/>
          <w:szCs w:val="20"/>
          <w:b w:val="1"/>
          <w:bCs w:val="1"/>
          <w:color w:val="auto"/>
        </w:rPr>
      </w:pPr>
    </w:p>
    <w:p>
      <w:pPr>
        <w:ind w:firstLine="1952"/>
        <w:spacing w:after="0" w:line="260" w:lineRule="auto"/>
        <w:tabs>
          <w:tab w:leader="none" w:pos="2506" w:val="left"/>
        </w:tabs>
        <w:numPr>
          <w:ilvl w:val="1"/>
          <w:numId w:val="303"/>
        </w:numPr>
        <w:rPr>
          <w:rFonts w:ascii="Arial" w:cs="Arial" w:eastAsia="Arial" w:hAnsi="Arial"/>
          <w:sz w:val="20"/>
          <w:szCs w:val="20"/>
          <w:b w:val="1"/>
          <w:bCs w:val="1"/>
          <w:color w:val="auto"/>
        </w:rPr>
      </w:pPr>
      <w:r>
        <w:rPr>
          <w:rFonts w:ascii="Arial" w:cs="Arial" w:eastAsia="Arial" w:hAnsi="Arial"/>
          <w:sz w:val="20"/>
          <w:szCs w:val="20"/>
          <w:color w:val="auto"/>
        </w:rPr>
        <w:t>if there are no such Disinterested Directors or, if such Disinterested Directors so direct, by written opinion provided by Independent Counsel selected by the Board; or</w:t>
      </w:r>
    </w:p>
    <w:p>
      <w:pPr>
        <w:spacing w:after="0" w:line="122" w:lineRule="exact"/>
        <w:rPr>
          <w:rFonts w:ascii="Arial" w:cs="Arial" w:eastAsia="Arial" w:hAnsi="Arial"/>
          <w:sz w:val="20"/>
          <w:szCs w:val="20"/>
          <w:b w:val="1"/>
          <w:bCs w:val="1"/>
          <w:color w:val="auto"/>
        </w:rPr>
      </w:pPr>
    </w:p>
    <w:p>
      <w:pPr>
        <w:ind w:left="2440" w:hanging="488"/>
        <w:spacing w:after="0"/>
        <w:tabs>
          <w:tab w:leader="none" w:pos="2440" w:val="left"/>
        </w:tabs>
        <w:numPr>
          <w:ilvl w:val="1"/>
          <w:numId w:val="303"/>
        </w:numPr>
        <w:rPr>
          <w:rFonts w:ascii="Arial" w:cs="Arial" w:eastAsia="Arial" w:hAnsi="Arial"/>
          <w:sz w:val="20"/>
          <w:szCs w:val="20"/>
          <w:b w:val="1"/>
          <w:bCs w:val="1"/>
          <w:color w:val="auto"/>
        </w:rPr>
      </w:pPr>
      <w:r>
        <w:rPr>
          <w:rFonts w:ascii="Arial" w:cs="Arial" w:eastAsia="Arial" w:hAnsi="Arial"/>
          <w:sz w:val="20"/>
          <w:szCs w:val="20"/>
          <w:color w:val="auto"/>
        </w:rPr>
        <w:t>if so directed by the Board, by the stockholders of the Company.</w:t>
      </w:r>
    </w:p>
    <w:p>
      <w:pPr>
        <w:spacing w:after="0" w:line="161" w:lineRule="exact"/>
        <w:rPr>
          <w:rFonts w:ascii="Arial" w:cs="Arial" w:eastAsia="Arial" w:hAnsi="Arial"/>
          <w:sz w:val="20"/>
          <w:szCs w:val="20"/>
          <w:b w:val="1"/>
          <w:bCs w:val="1"/>
          <w:color w:val="auto"/>
        </w:rPr>
      </w:pPr>
    </w:p>
    <w:p>
      <w:pPr>
        <w:ind w:firstLine="1304"/>
        <w:spacing w:after="0" w:line="316" w:lineRule="auto"/>
        <w:tabs>
          <w:tab w:leader="none" w:pos="1759"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75" w:lineRule="exact"/>
        <w:rPr>
          <w:rFonts w:ascii="Arial" w:cs="Arial" w:eastAsia="Arial" w:hAnsi="Arial"/>
          <w:sz w:val="18"/>
          <w:szCs w:val="18"/>
          <w:b w:val="1"/>
          <w:bCs w:val="1"/>
          <w:color w:val="auto"/>
        </w:rPr>
      </w:pPr>
    </w:p>
    <w:p>
      <w:pPr>
        <w:jc w:val="both"/>
        <w:ind w:firstLine="1304"/>
        <w:spacing w:after="0" w:line="255" w:lineRule="auto"/>
        <w:tabs>
          <w:tab w:leader="none" w:pos="1754" w:val="left"/>
        </w:tabs>
        <w:numPr>
          <w:ilvl w:val="0"/>
          <w:numId w:val="304"/>
        </w:numPr>
        <w:rPr>
          <w:rFonts w:ascii="Arial" w:cs="Arial" w:eastAsia="Arial" w:hAnsi="Arial"/>
          <w:sz w:val="19"/>
          <w:szCs w:val="19"/>
          <w:b w:val="1"/>
          <w:bCs w:val="1"/>
          <w:color w:val="auto"/>
        </w:rPr>
      </w:pPr>
      <w:r>
        <w:rPr>
          <w:rFonts w:ascii="Arial" w:cs="Arial" w:eastAsia="Arial" w:hAnsi="Arial"/>
          <w:sz w:val="19"/>
          <w:szCs w:val="19"/>
          <w:color w:val="auto"/>
        </w:rPr>
        <w:t xml:space="preserve">The party selecting Independent Counsel pursuant to </w:t>
      </w:r>
      <w:r>
        <w:rPr>
          <w:rFonts w:ascii="Arial" w:cs="Arial" w:eastAsia="Arial" w:hAnsi="Arial"/>
          <w:sz w:val="19"/>
          <w:szCs w:val="19"/>
          <w:u w:val="single" w:color="auto"/>
          <w:color w:val="auto"/>
        </w:rPr>
        <w:t>Section 12(a)(iii)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12(b)</w:t>
      </w:r>
      <w:r>
        <w:rPr>
          <w:rFonts w:ascii="Arial" w:cs="Arial" w:eastAsia="Arial" w:hAnsi="Arial"/>
          <w:sz w:val="19"/>
          <w:szCs w:val="19"/>
          <w:color w:val="auto"/>
        </w:rPr>
        <w:t xml:space="preserve"> will provide written notice of the selection to the other party. The notified party may, within ten (10) days after receiving written notice of the selection of Independent Counsel, deliver to the selecting party a written objection to such selection;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objection may be asserted only on the ground that the Independent Counsel so selected does not meet the requirements of Independent Counsel,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submission by Indemnitee of a written request for indemnification pursuant to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and the final disposition of the Proceeding, Independent Counsel has not been selected or, if selected, any objection to has not been resolved, either the Company or Indemnitee may petition the Delaware Court for the appointment as Independent Counsel of a person selected by such court or by such other person as such court designates. Upon the due commencement of any judicial proceeding or arbitration pursuant to </w:t>
      </w:r>
      <w:r>
        <w:rPr>
          <w:rFonts w:ascii="Arial" w:cs="Arial" w:eastAsia="Arial" w:hAnsi="Arial"/>
          <w:sz w:val="19"/>
          <w:szCs w:val="19"/>
          <w:u w:val="single" w:color="auto"/>
          <w:color w:val="auto"/>
        </w:rPr>
        <w:t>Section 14(a)</w:t>
      </w:r>
      <w:r>
        <w:rPr>
          <w:rFonts w:ascii="Arial" w:cs="Arial" w:eastAsia="Arial" w:hAnsi="Arial"/>
          <w:sz w:val="19"/>
          <w:szCs w:val="19"/>
          <w:color w:val="auto"/>
        </w:rPr>
        <w:t>, Independent Counsel will be discharged and relieved of any further responsibility in such capacity (subject to the applicable standards of professional conduct then prevailing).</w:t>
      </w:r>
    </w:p>
    <w:p>
      <w:pPr>
        <w:spacing w:after="0" w:line="127" w:lineRule="exact"/>
        <w:rPr>
          <w:rFonts w:ascii="Arial" w:cs="Arial" w:eastAsia="Arial" w:hAnsi="Arial"/>
          <w:sz w:val="19"/>
          <w:szCs w:val="19"/>
          <w:b w:val="1"/>
          <w:bCs w:val="1"/>
          <w:color w:val="auto"/>
        </w:rPr>
      </w:pPr>
    </w:p>
    <w:p>
      <w:pPr>
        <w:jc w:val="both"/>
        <w:ind w:firstLine="1304"/>
        <w:spacing w:after="0" w:line="273" w:lineRule="auto"/>
        <w:tabs>
          <w:tab w:leader="none" w:pos="1812"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14" w:lineRule="exact"/>
        <w:rPr>
          <w:rFonts w:ascii="Arial" w:cs="Arial" w:eastAsia="Arial" w:hAnsi="Arial"/>
          <w:sz w:val="18"/>
          <w:szCs w:val="18"/>
          <w:b w:val="1"/>
          <w:bCs w:val="1"/>
          <w:color w:val="auto"/>
        </w:rPr>
      </w:pPr>
    </w:p>
    <w:p>
      <w:pPr>
        <w:ind w:firstLine="1304"/>
        <w:spacing w:after="0" w:line="260" w:lineRule="auto"/>
        <w:tabs>
          <w:tab w:leader="none" w:pos="1726" w:val="left"/>
        </w:tabs>
        <w:numPr>
          <w:ilvl w:val="0"/>
          <w:numId w:val="304"/>
        </w:numPr>
        <w:rPr>
          <w:rFonts w:ascii="Arial" w:cs="Arial" w:eastAsia="Arial" w:hAnsi="Arial"/>
          <w:sz w:val="20"/>
          <w:szCs w:val="20"/>
          <w:b w:val="1"/>
          <w:bCs w:val="1"/>
          <w:color w:val="auto"/>
        </w:rPr>
      </w:pPr>
      <w:r>
        <w:rPr>
          <w:rFonts w:ascii="Arial" w:cs="Arial" w:eastAsia="Arial" w:hAnsi="Arial"/>
          <w:sz w:val="20"/>
          <w:szCs w:val="20"/>
          <w:color w:val="auto"/>
        </w:rPr>
        <w:t>If it is determined that Indemnitee is entitled to indemnification, the Company will make payment to Indemnitee within thirty (30) days after such determination.</w:t>
      </w:r>
    </w:p>
    <w:p>
      <w:pPr>
        <w:spacing w:after="0" w:line="117"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6"/>
          <w:szCs w:val="16"/>
          <w:u w:val="single" w:color="auto"/>
          <w:color w:val="auto"/>
        </w:rPr>
        <w:t>Presumptions and Effect of Certain Proceedings.</w:t>
      </w:r>
    </w:p>
    <w:p>
      <w:pPr>
        <w:spacing w:after="0" w:line="168" w:lineRule="exact"/>
        <w:rPr>
          <w:sz w:val="20"/>
          <w:szCs w:val="20"/>
          <w:color w:val="auto"/>
        </w:rPr>
      </w:pPr>
    </w:p>
    <w:p>
      <w:pPr>
        <w:jc w:val="both"/>
        <w:ind w:firstLine="1304"/>
        <w:spacing w:after="0" w:line="291" w:lineRule="auto"/>
        <w:tabs>
          <w:tab w:leader="none" w:pos="1808"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 xml:space="preserve">In making a determination with respect to entitlement to indemnification hereunder, the person or persons or entity making such determination will, to the fullest extent not prohibited by law, presume Indemnitee is entitled to indemnification under this Agreement if Indemnitee has submitted a request for indemnification in accordance with </w:t>
      </w:r>
      <w:r>
        <w:rPr>
          <w:rFonts w:ascii="Arial" w:cs="Arial" w:eastAsia="Arial" w:hAnsi="Arial"/>
          <w:sz w:val="18"/>
          <w:szCs w:val="18"/>
          <w:u w:val="single" w:color="auto"/>
          <w:color w:val="auto"/>
        </w:rPr>
        <w:t>Section 11(a)</w:t>
      </w:r>
      <w:r>
        <w:rPr>
          <w:rFonts w:ascii="Arial" w:cs="Arial" w:eastAsia="Arial" w:hAnsi="Arial"/>
          <w:sz w:val="18"/>
          <w:szCs w:val="18"/>
          <w:color w:val="auto"/>
        </w:rPr>
        <w:t>, and the Company will,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373" w:name="page374"/>
    <w:bookmarkEnd w:id="373"/>
    <w:p>
      <w:pPr>
        <w:jc w:val="both"/>
        <w:spacing w:after="0" w:line="278" w:lineRule="auto"/>
        <w:rPr>
          <w:sz w:val="20"/>
          <w:szCs w:val="20"/>
          <w:color w:val="auto"/>
        </w:rPr>
      </w:pPr>
      <w:r>
        <w:rPr>
          <w:rFonts w:ascii="Arial" w:cs="Arial" w:eastAsia="Arial" w:hAnsi="Arial"/>
          <w:sz w:val="18"/>
          <w:szCs w:val="18"/>
          <w:color w:val="auto"/>
        </w:rPr>
        <w:t>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11" w:lineRule="exact"/>
        <w:rPr>
          <w:sz w:val="20"/>
          <w:szCs w:val="20"/>
          <w:color w:val="auto"/>
        </w:rPr>
      </w:pPr>
    </w:p>
    <w:p>
      <w:pPr>
        <w:jc w:val="both"/>
        <w:ind w:firstLine="1304"/>
        <w:spacing w:after="0" w:line="255" w:lineRule="auto"/>
        <w:tabs>
          <w:tab w:leader="none" w:pos="1820" w:val="left"/>
        </w:tabs>
        <w:numPr>
          <w:ilvl w:val="0"/>
          <w:numId w:val="306"/>
        </w:numPr>
        <w:rPr>
          <w:rFonts w:ascii="Arial" w:cs="Arial" w:eastAsia="Arial" w:hAnsi="Arial"/>
          <w:sz w:val="19"/>
          <w:szCs w:val="19"/>
          <w:b w:val="1"/>
          <w:bCs w:val="1"/>
          <w:color w:val="auto"/>
        </w:rPr>
      </w:pPr>
      <w:r>
        <w:rPr>
          <w:rFonts w:ascii="Arial" w:cs="Arial" w:eastAsia="Arial" w:hAnsi="Arial"/>
          <w:sz w:val="19"/>
          <w:szCs w:val="19"/>
          <w:color w:val="auto"/>
        </w:rPr>
        <w:t xml:space="preserve">If the determination of the Indemnitee’s entitlement to indemnification has not made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within sixty (60) days after the later of (i) receipt by the Company of Indemnitee’s request for indemnification pursuant to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and (ii) the final disposition of the Proceeding for which Indemnitee requested Indemnification (the “</w:t>
      </w:r>
      <w:r>
        <w:rPr>
          <w:rFonts w:ascii="Arial" w:cs="Arial" w:eastAsia="Arial" w:hAnsi="Arial"/>
          <w:sz w:val="19"/>
          <w:szCs w:val="19"/>
          <w:b w:val="1"/>
          <w:bCs w:val="1"/>
          <w:i w:val="1"/>
          <w:iCs w:val="1"/>
          <w:color w:val="auto"/>
        </w:rPr>
        <w:t>Determination Period</w:t>
      </w:r>
      <w:r>
        <w:rPr>
          <w:rFonts w:ascii="Arial" w:cs="Arial" w:eastAsia="Arial" w:hAnsi="Arial"/>
          <w:sz w:val="19"/>
          <w:szCs w:val="19"/>
          <w:color w:val="auto"/>
        </w:rPr>
        <w:t xml:space="preserve">”),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may be extended an additional fifteen (15) days if the determination of entitlement to indemnification is to be made by the stockholders pursuant to </w:t>
      </w:r>
      <w:r>
        <w:rPr>
          <w:rFonts w:ascii="Arial" w:cs="Arial" w:eastAsia="Arial" w:hAnsi="Arial"/>
          <w:sz w:val="19"/>
          <w:szCs w:val="19"/>
          <w:u w:val="single" w:color="auto"/>
          <w:color w:val="auto"/>
        </w:rPr>
        <w:t>Section 12(a)(iv)</w:t>
      </w:r>
      <w:r>
        <w:rPr>
          <w:rFonts w:ascii="Arial" w:cs="Arial" w:eastAsia="Arial" w:hAnsi="Arial"/>
          <w:sz w:val="19"/>
          <w:szCs w:val="19"/>
          <w:color w:val="auto"/>
        </w:rPr>
        <w:t>.</w:t>
      </w:r>
    </w:p>
    <w:p>
      <w:pPr>
        <w:spacing w:after="0" w:line="132" w:lineRule="exact"/>
        <w:rPr>
          <w:rFonts w:ascii="Arial" w:cs="Arial" w:eastAsia="Arial" w:hAnsi="Arial"/>
          <w:sz w:val="19"/>
          <w:szCs w:val="19"/>
          <w:b w:val="1"/>
          <w:bCs w:val="1"/>
          <w:color w:val="auto"/>
        </w:rPr>
      </w:pPr>
    </w:p>
    <w:p>
      <w:pPr>
        <w:jc w:val="both"/>
        <w:ind w:firstLine="1304"/>
        <w:spacing w:after="0" w:line="260" w:lineRule="auto"/>
        <w:tabs>
          <w:tab w:leader="none" w:pos="1875" w:val="left"/>
        </w:tabs>
        <w:numPr>
          <w:ilvl w:val="0"/>
          <w:numId w:val="306"/>
        </w:numPr>
        <w:rPr>
          <w:rFonts w:ascii="Arial" w:cs="Arial" w:eastAsia="Arial" w:hAnsi="Arial"/>
          <w:sz w:val="19"/>
          <w:szCs w:val="19"/>
          <w:b w:val="1"/>
          <w:bCs w:val="1"/>
          <w:color w:val="auto"/>
        </w:rPr>
      </w:pPr>
      <w:r>
        <w:rPr>
          <w:rFonts w:ascii="Arial" w:cs="Arial" w:eastAsia="Arial" w:hAnsi="Arial"/>
          <w:sz w:val="19"/>
          <w:szCs w:val="19"/>
          <w:color w:val="auto"/>
        </w:rPr>
        <w:t xml:space="preserve">The termination of any Proceeding or of any claim, issue or matter therein, by judgment, order, settlement or conviction, or upon a plea of </w:t>
      </w:r>
      <w:r>
        <w:rPr>
          <w:rFonts w:ascii="Arial" w:cs="Arial" w:eastAsia="Arial" w:hAnsi="Arial"/>
          <w:sz w:val="19"/>
          <w:szCs w:val="19"/>
          <w:u w:val="single" w:color="auto"/>
          <w:color w:val="auto"/>
        </w:rPr>
        <w:t>nolo contendere</w:t>
      </w:r>
      <w:r>
        <w:rPr>
          <w:rFonts w:ascii="Arial" w:cs="Arial" w:eastAsia="Arial" w:hAnsi="Arial"/>
          <w:sz w:val="19"/>
          <w:szCs w:val="19"/>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26" w:lineRule="exact"/>
        <w:rPr>
          <w:rFonts w:ascii="Arial" w:cs="Arial" w:eastAsia="Arial" w:hAnsi="Arial"/>
          <w:sz w:val="19"/>
          <w:szCs w:val="19"/>
          <w:b w:val="1"/>
          <w:bCs w:val="1"/>
          <w:color w:val="auto"/>
        </w:rPr>
      </w:pPr>
    </w:p>
    <w:p>
      <w:pPr>
        <w:jc w:val="both"/>
        <w:ind w:firstLine="1304"/>
        <w:spacing w:after="0" w:line="271" w:lineRule="auto"/>
        <w:tabs>
          <w:tab w:leader="none" w:pos="1763" w:val="left"/>
        </w:tabs>
        <w:numPr>
          <w:ilvl w:val="0"/>
          <w:numId w:val="306"/>
        </w:numPr>
        <w:rPr>
          <w:rFonts w:ascii="Arial" w:cs="Arial" w:eastAsia="Arial" w:hAnsi="Arial"/>
          <w:sz w:val="18"/>
          <w:szCs w:val="18"/>
          <w:b w:val="1"/>
          <w:bCs w:val="1"/>
          <w:color w:val="auto"/>
        </w:rPr>
      </w:pPr>
      <w:r>
        <w:rPr>
          <w:rFonts w:ascii="Arial" w:cs="Arial" w:eastAsia="Arial" w:hAnsi="Arial"/>
          <w:sz w:val="18"/>
          <w:szCs w:val="18"/>
          <w:color w:val="auto"/>
        </w:rPr>
        <w:t xml:space="preserve">For purposes of any determination of good faith, Indemnitee will be deemed to have acted in good faith if Indemnitee acted based on the records or books of account of the Company, its subsidiaries, or an Enterprise, including financial statements, or on information supplied to Indemnitee by the directors or officers of the Company, its subsidiaries, or an Enterprise in the course of their duties, or on the advice of legal counsel for the Company, its subsidiaries, or an Enterprise or on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is not exclusive and does not limit in any way the other circumstances in which the Indemnitee may be deemed to have met the applicable standard of conduct set forth in this Agreement.</w:t>
      </w:r>
    </w:p>
    <w:p>
      <w:pPr>
        <w:spacing w:after="0" w:line="119" w:lineRule="exact"/>
        <w:rPr>
          <w:rFonts w:ascii="Arial" w:cs="Arial" w:eastAsia="Arial" w:hAnsi="Arial"/>
          <w:sz w:val="18"/>
          <w:szCs w:val="18"/>
          <w:b w:val="1"/>
          <w:bCs w:val="1"/>
          <w:color w:val="auto"/>
        </w:rPr>
      </w:pPr>
    </w:p>
    <w:p>
      <w:pPr>
        <w:jc w:val="both"/>
        <w:ind w:firstLine="1304"/>
        <w:spacing w:after="0" w:line="250" w:lineRule="auto"/>
        <w:tabs>
          <w:tab w:leader="none" w:pos="1754" w:val="left"/>
        </w:tabs>
        <w:numPr>
          <w:ilvl w:val="0"/>
          <w:numId w:val="306"/>
        </w:numPr>
        <w:rPr>
          <w:rFonts w:ascii="Arial" w:cs="Arial" w:eastAsia="Arial" w:hAnsi="Arial"/>
          <w:sz w:val="20"/>
          <w:szCs w:val="20"/>
          <w:b w:val="1"/>
          <w:bCs w:val="1"/>
          <w:color w:val="auto"/>
        </w:rPr>
      </w:pPr>
      <w:r>
        <w:rPr>
          <w:rFonts w:ascii="Arial" w:cs="Arial" w:eastAsia="Arial" w:hAnsi="Arial"/>
          <w:sz w:val="20"/>
          <w:szCs w:val="20"/>
          <w:color w:val="auto"/>
        </w:rPr>
        <w:t>The knowledge and/or actions, or failure to act, of any director, officer, trustee, partner, managing member, fiduciary, agent or employee of the Enterprise may not be imputed to Indemnitee for purposes of determining Indemnitee’s right to indemnification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9" w:right="339" w:bottom="1440" w:gutter="0" w:footer="0" w:header="0"/>
        </w:sectPr>
      </w:pPr>
    </w:p>
    <w:bookmarkStart w:id="374" w:name="page375"/>
    <w:bookmarkEnd w:id="374"/>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6"/>
          <w:szCs w:val="16"/>
          <w:u w:val="single" w:color="auto"/>
          <w:color w:val="auto"/>
        </w:rPr>
        <w:t>Remedies of Indemnitee.</w:t>
      </w:r>
    </w:p>
    <w:p>
      <w:pPr>
        <w:spacing w:after="0" w:line="168" w:lineRule="exact"/>
        <w:rPr>
          <w:sz w:val="20"/>
          <w:szCs w:val="20"/>
          <w:color w:val="auto"/>
        </w:rPr>
      </w:pPr>
    </w:p>
    <w:p>
      <w:pPr>
        <w:jc w:val="both"/>
        <w:ind w:firstLine="1304"/>
        <w:spacing w:after="0" w:line="267" w:lineRule="auto"/>
        <w:tabs>
          <w:tab w:leader="none" w:pos="1895" w:val="left"/>
        </w:tabs>
        <w:numPr>
          <w:ilvl w:val="1"/>
          <w:numId w:val="307"/>
        </w:numPr>
        <w:rPr>
          <w:rFonts w:ascii="Arial" w:cs="Arial" w:eastAsia="Arial" w:hAnsi="Arial"/>
          <w:sz w:val="18"/>
          <w:szCs w:val="18"/>
          <w:b w:val="1"/>
          <w:bCs w:val="1"/>
          <w:color w:val="auto"/>
        </w:rPr>
      </w:pPr>
      <w:r>
        <w:rPr>
          <w:rFonts w:ascii="Arial" w:cs="Arial" w:eastAsia="Arial" w:hAnsi="Arial"/>
          <w:sz w:val="18"/>
          <w:szCs w:val="18"/>
          <w:color w:val="auto"/>
        </w:rPr>
        <w:t xml:space="preserve">Indemnitee may commence litigation against the Company in the Delaware Court to obtain indemnification or advancement of Expenses provided by this Agreement in the event that (i) a determination is made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that Indemnitee is not entitled to indemnification under this Agreement, (ii) the Company does not advance Expenses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(iii) the determination of entitlement to indemnification is not made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within the Determination Period, (iv) the Company does not indemnify Indemnitee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or the second to last sentence of </w:t>
      </w:r>
      <w:r>
        <w:rPr>
          <w:rFonts w:ascii="Arial" w:cs="Arial" w:eastAsia="Arial" w:hAnsi="Arial"/>
          <w:sz w:val="18"/>
          <w:szCs w:val="18"/>
          <w:u w:val="single" w:color="auto"/>
          <w:color w:val="auto"/>
        </w:rPr>
        <w:t>Section 12(d)</w:t>
      </w:r>
      <w:r>
        <w:rPr>
          <w:rFonts w:ascii="Arial" w:cs="Arial" w:eastAsia="Arial" w:hAnsi="Arial"/>
          <w:sz w:val="18"/>
          <w:szCs w:val="18"/>
          <w:color w:val="auto"/>
        </w:rPr>
        <w:t xml:space="preserve"> within thirty (30) days after receipt by the Company of a written request therefor, (v) the Company does not indemnify Indemnitee pursuant to </w:t>
      </w:r>
      <w:r>
        <w:rPr>
          <w:rFonts w:ascii="Arial" w:cs="Arial" w:eastAsia="Arial" w:hAnsi="Arial"/>
          <w:sz w:val="18"/>
          <w:szCs w:val="18"/>
          <w:u w:val="single" w:color="auto"/>
          <w:color w:val="auto"/>
        </w:rPr>
        <w:t>Sections 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within thirty (30)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must commence such Proceeding seeking an adjudication or an award in arbitration within one hundred and eighty</w:t>
      </w:r>
    </w:p>
    <w:p>
      <w:pPr>
        <w:spacing w:after="0" w:line="8" w:lineRule="exact"/>
        <w:rPr>
          <w:rFonts w:ascii="Arial" w:cs="Arial" w:eastAsia="Arial" w:hAnsi="Arial"/>
          <w:sz w:val="18"/>
          <w:szCs w:val="18"/>
          <w:b w:val="1"/>
          <w:bCs w:val="1"/>
          <w:color w:val="auto"/>
        </w:rPr>
      </w:pPr>
    </w:p>
    <w:p>
      <w:pPr>
        <w:jc w:val="both"/>
        <w:ind w:firstLine="8"/>
        <w:spacing w:after="0" w:line="281" w:lineRule="auto"/>
        <w:tabs>
          <w:tab w:leader="none" w:pos="48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days following the date on which Indemnitee first has the right to commence such Proceeding pursuant to this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clause does not apply in respect of a Proceeding brought by Indemnitee to enforce Indemnitee’s rights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 The Company will not oppose Indemnitee’s right to seek any such adjudication or award in arbitration.</w:t>
      </w:r>
    </w:p>
    <w:p>
      <w:pPr>
        <w:spacing w:after="0" w:line="107" w:lineRule="exact"/>
        <w:rPr>
          <w:rFonts w:ascii="Arial" w:cs="Arial" w:eastAsia="Arial" w:hAnsi="Arial"/>
          <w:sz w:val="18"/>
          <w:szCs w:val="18"/>
          <w:color w:val="auto"/>
        </w:rPr>
      </w:pPr>
    </w:p>
    <w:p>
      <w:pPr>
        <w:jc w:val="both"/>
        <w:ind w:firstLine="1304"/>
        <w:spacing w:after="0" w:line="260" w:lineRule="auto"/>
        <w:tabs>
          <w:tab w:leader="none" w:pos="1858" w:val="left"/>
        </w:tabs>
        <w:numPr>
          <w:ilvl w:val="1"/>
          <w:numId w:val="308"/>
        </w:numPr>
        <w:rPr>
          <w:rFonts w:ascii="Arial" w:cs="Arial" w:eastAsia="Arial" w:hAnsi="Arial"/>
          <w:sz w:val="19"/>
          <w:szCs w:val="19"/>
          <w:b w:val="1"/>
          <w:bCs w:val="1"/>
          <w:color w:val="auto"/>
        </w:rPr>
      </w:pPr>
      <w:r>
        <w:rPr>
          <w:rFonts w:ascii="Arial" w:cs="Arial" w:eastAsia="Arial" w:hAnsi="Arial"/>
          <w:sz w:val="19"/>
          <w:szCs w:val="19"/>
          <w:color w:val="auto"/>
        </w:rPr>
        <w:t xml:space="preserve">If a determination is made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that Indemnitee is not entitled to indemnification, any judicial proceeding or arbitration commenced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will be conducted in all respects as a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trial, or arbitration, on the merits and Indemnitee may not be prejudiced by reason of that adverse determination. In any judicial proceeding or arbitration commenced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the Company will have the burden of proving Indemnitee is not entitled to indemnification or advancement of Expenses, as the case may be, and will not introduce evidence of the determination made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w:t>
      </w:r>
    </w:p>
    <w:p>
      <w:pPr>
        <w:spacing w:after="0" w:line="126" w:lineRule="exact"/>
        <w:rPr>
          <w:rFonts w:ascii="Arial" w:cs="Arial" w:eastAsia="Arial" w:hAnsi="Arial"/>
          <w:sz w:val="19"/>
          <w:szCs w:val="19"/>
          <w:b w:val="1"/>
          <w:bCs w:val="1"/>
          <w:color w:val="auto"/>
        </w:rPr>
      </w:pPr>
    </w:p>
    <w:p>
      <w:pPr>
        <w:jc w:val="both"/>
        <w:ind w:firstLine="1304"/>
        <w:spacing w:after="0" w:line="282" w:lineRule="auto"/>
        <w:tabs>
          <w:tab w:leader="none" w:pos="1754" w:val="left"/>
        </w:tabs>
        <w:numPr>
          <w:ilvl w:val="1"/>
          <w:numId w:val="308"/>
        </w:numPr>
        <w:rPr>
          <w:rFonts w:ascii="Arial" w:cs="Arial" w:eastAsia="Arial" w:hAnsi="Arial"/>
          <w:sz w:val="18"/>
          <w:szCs w:val="18"/>
          <w:b w:val="1"/>
          <w:bCs w:val="1"/>
          <w:color w:val="auto"/>
        </w:rPr>
      </w:pPr>
      <w:r>
        <w:rPr>
          <w:rFonts w:ascii="Arial" w:cs="Arial" w:eastAsia="Arial" w:hAnsi="Arial"/>
          <w:sz w:val="18"/>
          <w:szCs w:val="18"/>
          <w:color w:val="auto"/>
        </w:rPr>
        <w:t xml:space="preserve">If a determination is made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that Indemnitee is entitled to indemnification, the Company will be bound by such determination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07" w:lineRule="exact"/>
        <w:rPr>
          <w:rFonts w:ascii="Arial" w:cs="Arial" w:eastAsia="Arial" w:hAnsi="Arial"/>
          <w:sz w:val="18"/>
          <w:szCs w:val="18"/>
          <w:b w:val="1"/>
          <w:bCs w:val="1"/>
          <w:color w:val="auto"/>
        </w:rPr>
      </w:pPr>
    </w:p>
    <w:p>
      <w:pPr>
        <w:jc w:val="both"/>
        <w:ind w:firstLine="1304"/>
        <w:spacing w:after="0" w:line="246" w:lineRule="auto"/>
        <w:tabs>
          <w:tab w:leader="none" w:pos="1803" w:val="left"/>
        </w:tabs>
        <w:numPr>
          <w:ilvl w:val="1"/>
          <w:numId w:val="308"/>
        </w:numPr>
        <w:rPr>
          <w:rFonts w:ascii="Arial" w:cs="Arial" w:eastAsia="Arial" w:hAnsi="Arial"/>
          <w:sz w:val="20"/>
          <w:szCs w:val="20"/>
          <w:b w:val="1"/>
          <w:bCs w:val="1"/>
          <w:color w:val="auto"/>
        </w:rPr>
      </w:pPr>
      <w:r>
        <w:rPr>
          <w:rFonts w:ascii="Arial" w:cs="Arial" w:eastAsia="Arial" w:hAnsi="Arial"/>
          <w:sz w:val="20"/>
          <w:szCs w:val="20"/>
          <w:color w:val="auto"/>
        </w:rPr>
        <w:t xml:space="preserve">The Company is, to the fullest extent not prohibited by law, precluded from asserting in any judicial proceeding or arbitration commenced pursuant to this </w:t>
      </w:r>
      <w:r>
        <w:rPr>
          <w:rFonts w:ascii="Arial" w:cs="Arial" w:eastAsia="Arial" w:hAnsi="Arial"/>
          <w:sz w:val="20"/>
          <w:szCs w:val="20"/>
          <w:u w:val="single" w:color="auto"/>
          <w:color w:val="auto"/>
        </w:rPr>
        <w:t>Section 14</w:t>
      </w:r>
      <w:r>
        <w:rPr>
          <w:rFonts w:ascii="Arial" w:cs="Arial" w:eastAsia="Arial" w:hAnsi="Arial"/>
          <w:sz w:val="20"/>
          <w:szCs w:val="20"/>
          <w:color w:val="auto"/>
        </w:rPr>
        <w:t xml:space="preserve"> that the procedures and presumptions of this Agreement are not valid, binding and enforceable and will stipulate in any such court or before any such arbitrator that the Company is bound by all the provisions of this Agreement.</w:t>
      </w:r>
    </w:p>
    <w:p>
      <w:pPr>
        <w:spacing w:after="0" w:line="137" w:lineRule="exact"/>
        <w:rPr>
          <w:rFonts w:ascii="Arial" w:cs="Arial" w:eastAsia="Arial" w:hAnsi="Arial"/>
          <w:sz w:val="20"/>
          <w:szCs w:val="20"/>
          <w:b w:val="1"/>
          <w:bCs w:val="1"/>
          <w:color w:val="auto"/>
        </w:rPr>
      </w:pPr>
    </w:p>
    <w:p>
      <w:pPr>
        <w:jc w:val="both"/>
        <w:ind w:firstLine="1304"/>
        <w:spacing w:after="0" w:line="276" w:lineRule="auto"/>
        <w:tabs>
          <w:tab w:leader="none" w:pos="1727" w:val="left"/>
        </w:tabs>
        <w:numPr>
          <w:ilvl w:val="1"/>
          <w:numId w:val="308"/>
        </w:numPr>
        <w:rPr>
          <w:rFonts w:ascii="Arial" w:cs="Arial" w:eastAsia="Arial" w:hAnsi="Arial"/>
          <w:sz w:val="18"/>
          <w:szCs w:val="18"/>
          <w:b w:val="1"/>
          <w:bCs w:val="1"/>
          <w:color w:val="auto"/>
        </w:rPr>
      </w:pPr>
      <w:r>
        <w:rPr>
          <w:rFonts w:ascii="Arial" w:cs="Arial" w:eastAsia="Arial" w:hAnsi="Arial"/>
          <w:sz w:val="18"/>
          <w:szCs w:val="18"/>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to the fullest extent permitted by law, will (within thirty (30) days after receipt by the Company of a written request therefor) advance to Indemnitee such Expenses which are incurred by Indemnitee in connection with any action concerning this Agreement, Indemnitee’s right to indemnification or advancement of Expenses from the Company, or concerning any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3" w:right="339" w:bottom="1440" w:gutter="0" w:footer="0" w:header="0"/>
        </w:sectPr>
      </w:pPr>
    </w:p>
    <w:bookmarkStart w:id="375" w:name="page376"/>
    <w:bookmarkEnd w:id="375"/>
    <w:p>
      <w:pPr>
        <w:ind w:right="20"/>
        <w:spacing w:after="0" w:line="316" w:lineRule="auto"/>
        <w:rPr>
          <w:sz w:val="20"/>
          <w:szCs w:val="20"/>
          <w:color w:val="auto"/>
        </w:rPr>
      </w:pPr>
      <w:r>
        <w:rPr>
          <w:rFonts w:ascii="Arial" w:cs="Arial" w:eastAsia="Arial" w:hAnsi="Arial"/>
          <w:sz w:val="18"/>
          <w:szCs w:val="18"/>
          <w:color w:val="auto"/>
        </w:rPr>
        <w:t>officers’ liability insurance policies maintained by the Company, and will indemnify Indemnitee against any and all such Expenses unless the court determines that each of the Indemnitee’s claims in such action were made in bad faith or were frivolous or are prohibited by law.</w:t>
      </w:r>
    </w:p>
    <w:p>
      <w:pPr>
        <w:spacing w:after="0" w:line="7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8"/>
          <w:szCs w:val="18"/>
          <w:u w:val="single" w:color="auto"/>
          <w:color w:val="auto"/>
        </w:rPr>
        <w:t>Non-exclusivity; Survival of Rights; Insurance; Subrogation.</w:t>
      </w:r>
    </w:p>
    <w:p>
      <w:pPr>
        <w:spacing w:after="0" w:line="168" w:lineRule="exact"/>
        <w:rPr>
          <w:sz w:val="20"/>
          <w:szCs w:val="20"/>
          <w:color w:val="auto"/>
        </w:rPr>
      </w:pPr>
    </w:p>
    <w:p>
      <w:pPr>
        <w:jc w:val="both"/>
        <w:ind w:firstLine="1304"/>
        <w:spacing w:after="0" w:line="271" w:lineRule="auto"/>
        <w:tabs>
          <w:tab w:leader="none" w:pos="1739" w:val="left"/>
        </w:tabs>
        <w:numPr>
          <w:ilvl w:val="0"/>
          <w:numId w:val="309"/>
        </w:numPr>
        <w:rPr>
          <w:rFonts w:ascii="Arial" w:cs="Arial" w:eastAsia="Arial" w:hAnsi="Arial"/>
          <w:sz w:val="18"/>
          <w:szCs w:val="18"/>
          <w:b w:val="1"/>
          <w:bCs w:val="1"/>
          <w:color w:val="auto"/>
        </w:rPr>
      </w:pPr>
      <w:r>
        <w:rPr>
          <w:rFonts w:ascii="Arial" w:cs="Arial" w:eastAsia="Arial" w:hAnsi="Arial"/>
          <w:sz w:val="18"/>
          <w:szCs w:val="18"/>
          <w:color w:val="auto"/>
        </w:rPr>
        <w:t>The indemnification and advancement of Expenses provided by this Agreement are not exclusive of any other rights to which Indemnitee may at any time be entitled under applicable law, the Certificate of Incorporation, the Bylaws, any agreement, a vote of stockholders or a resolution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115" w:lineRule="exact"/>
        <w:rPr>
          <w:rFonts w:ascii="Arial" w:cs="Arial" w:eastAsia="Arial" w:hAnsi="Arial"/>
          <w:sz w:val="18"/>
          <w:szCs w:val="18"/>
          <w:b w:val="1"/>
          <w:bCs w:val="1"/>
          <w:color w:val="auto"/>
        </w:rPr>
      </w:pPr>
    </w:p>
    <w:p>
      <w:pPr>
        <w:jc w:val="both"/>
        <w:ind w:firstLine="1304"/>
        <w:spacing w:after="0" w:line="278" w:lineRule="auto"/>
        <w:tabs>
          <w:tab w:leader="none" w:pos="1862" w:val="left"/>
        </w:tabs>
        <w:numPr>
          <w:ilvl w:val="0"/>
          <w:numId w:val="309"/>
        </w:numPr>
        <w:rPr>
          <w:rFonts w:ascii="Arial" w:cs="Arial" w:eastAsia="Arial" w:hAnsi="Arial"/>
          <w:sz w:val="18"/>
          <w:szCs w:val="18"/>
          <w:b w:val="1"/>
          <w:bCs w:val="1"/>
          <w:color w:val="auto"/>
        </w:rPr>
      </w:pPr>
      <w:r>
        <w:rPr>
          <w:rFonts w:ascii="Arial" w:cs="Arial" w:eastAsia="Arial" w:hAnsi="Arial"/>
          <w:sz w:val="18"/>
          <w:szCs w:val="18"/>
          <w:color w:val="auto"/>
        </w:rPr>
        <w:t xml:space="preserve">The Company hereby acknowledges that Indemnitee may have certain rights to indemnification, advancement of Expenses and/or insurance provided by one or more other Persons with whom or which Indemnitee may be associated (including, without limitation, any Sponsor Entities). The relationship between the Company and such other Persons, other than an Enterprise, with respect to the Indemnitee’s rights to indemnification, advancement of Expenses, and insurance is described by this subsection, subject to the provisions of subsection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with respect to a Proceeding concerning Indemnitee’s Corporate Status with an Enterprise.</w:t>
      </w:r>
    </w:p>
    <w:p>
      <w:pPr>
        <w:spacing w:after="0" w:line="110" w:lineRule="exact"/>
        <w:rPr>
          <w:rFonts w:ascii="Arial" w:cs="Arial" w:eastAsia="Arial" w:hAnsi="Arial"/>
          <w:sz w:val="18"/>
          <w:szCs w:val="18"/>
          <w:b w:val="1"/>
          <w:bCs w:val="1"/>
          <w:color w:val="auto"/>
        </w:rPr>
      </w:pPr>
    </w:p>
    <w:p>
      <w:pPr>
        <w:ind w:left="2340" w:hanging="388"/>
        <w:spacing w:after="0"/>
        <w:tabs>
          <w:tab w:leader="none" w:pos="2340" w:val="left"/>
        </w:tabs>
        <w:numPr>
          <w:ilvl w:val="1"/>
          <w:numId w:val="309"/>
        </w:numPr>
        <w:rPr>
          <w:rFonts w:ascii="Arial" w:cs="Arial" w:eastAsia="Arial" w:hAnsi="Arial"/>
          <w:sz w:val="20"/>
          <w:szCs w:val="20"/>
          <w:b w:val="1"/>
          <w:bCs w:val="1"/>
          <w:color w:val="auto"/>
        </w:rPr>
      </w:pPr>
      <w:r>
        <w:rPr>
          <w:rFonts w:ascii="Arial" w:cs="Arial" w:eastAsia="Arial" w:hAnsi="Arial"/>
          <w:sz w:val="20"/>
          <w:szCs w:val="20"/>
          <w:color w:val="auto"/>
        </w:rPr>
        <w:t>The Company hereby acknowledges and agrees:</w:t>
      </w:r>
    </w:p>
    <w:p>
      <w:pPr>
        <w:spacing w:after="0" w:line="161" w:lineRule="exact"/>
        <w:rPr>
          <w:rFonts w:ascii="Arial" w:cs="Arial" w:eastAsia="Arial" w:hAnsi="Arial"/>
          <w:sz w:val="20"/>
          <w:szCs w:val="20"/>
          <w:b w:val="1"/>
          <w:bCs w:val="1"/>
          <w:color w:val="auto"/>
        </w:rPr>
      </w:pPr>
    </w:p>
    <w:p>
      <w:pPr>
        <w:ind w:firstLine="2600"/>
        <w:spacing w:after="0" w:line="260" w:lineRule="auto"/>
        <w:tabs>
          <w:tab w:leader="none" w:pos="3169" w:val="left"/>
        </w:tabs>
        <w:numPr>
          <w:ilvl w:val="2"/>
          <w:numId w:val="309"/>
        </w:numPr>
        <w:rPr>
          <w:rFonts w:ascii="Arial" w:cs="Arial" w:eastAsia="Arial" w:hAnsi="Arial"/>
          <w:sz w:val="20"/>
          <w:szCs w:val="20"/>
          <w:b w:val="1"/>
          <w:bCs w:val="1"/>
          <w:color w:val="auto"/>
        </w:rPr>
      </w:pPr>
      <w:r>
        <w:rPr>
          <w:rFonts w:ascii="Arial" w:cs="Arial" w:eastAsia="Arial" w:hAnsi="Arial"/>
          <w:sz w:val="20"/>
          <w:szCs w:val="20"/>
          <w:color w:val="auto"/>
        </w:rPr>
        <w:t>the Company is the indemnitor of first resort with respect to any request for indemnification or advancement of Expenses made pursuant to this Agreement concerning any Proceeding;</w:t>
      </w:r>
    </w:p>
    <w:p>
      <w:pPr>
        <w:spacing w:after="0" w:line="122" w:lineRule="exact"/>
        <w:rPr>
          <w:rFonts w:ascii="Arial" w:cs="Arial" w:eastAsia="Arial" w:hAnsi="Arial"/>
          <w:sz w:val="20"/>
          <w:szCs w:val="20"/>
          <w:b w:val="1"/>
          <w:bCs w:val="1"/>
          <w:color w:val="auto"/>
        </w:rPr>
      </w:pPr>
    </w:p>
    <w:p>
      <w:pPr>
        <w:jc w:val="both"/>
        <w:ind w:firstLine="2600"/>
        <w:spacing w:after="0" w:line="250" w:lineRule="auto"/>
        <w:tabs>
          <w:tab w:leader="none" w:pos="3196" w:val="left"/>
        </w:tabs>
        <w:numPr>
          <w:ilvl w:val="2"/>
          <w:numId w:val="309"/>
        </w:numPr>
        <w:rPr>
          <w:rFonts w:ascii="Arial" w:cs="Arial" w:eastAsia="Arial" w:hAnsi="Arial"/>
          <w:sz w:val="20"/>
          <w:szCs w:val="20"/>
          <w:b w:val="1"/>
          <w:bCs w:val="1"/>
          <w:color w:val="auto"/>
        </w:rPr>
      </w:pPr>
      <w:r>
        <w:rPr>
          <w:rFonts w:ascii="Arial" w:cs="Arial" w:eastAsia="Arial" w:hAnsi="Arial"/>
          <w:sz w:val="20"/>
          <w:szCs w:val="20"/>
          <w:color w:val="auto"/>
        </w:rPr>
        <w:t>the Company is primarily liable for all indemnification and indemnification or advancement of Expenses obligations for any Proceeding, whether created by law, organizational or constituent documents, contract (including this Agreement) or otherwise;</w:t>
      </w:r>
    </w:p>
    <w:p>
      <w:pPr>
        <w:spacing w:after="0" w:line="131" w:lineRule="exact"/>
        <w:rPr>
          <w:rFonts w:ascii="Arial" w:cs="Arial" w:eastAsia="Arial" w:hAnsi="Arial"/>
          <w:sz w:val="20"/>
          <w:szCs w:val="20"/>
          <w:b w:val="1"/>
          <w:bCs w:val="1"/>
          <w:color w:val="auto"/>
        </w:rPr>
      </w:pPr>
    </w:p>
    <w:p>
      <w:pPr>
        <w:jc w:val="both"/>
        <w:ind w:firstLine="2600"/>
        <w:spacing w:after="0" w:line="250" w:lineRule="auto"/>
        <w:tabs>
          <w:tab w:leader="none" w:pos="3101" w:val="left"/>
        </w:tabs>
        <w:numPr>
          <w:ilvl w:val="2"/>
          <w:numId w:val="309"/>
        </w:numPr>
        <w:rPr>
          <w:rFonts w:ascii="Arial" w:cs="Arial" w:eastAsia="Arial" w:hAnsi="Arial"/>
          <w:sz w:val="20"/>
          <w:szCs w:val="20"/>
          <w:b w:val="1"/>
          <w:bCs w:val="1"/>
          <w:color w:val="auto"/>
        </w:rPr>
      </w:pPr>
      <w:r>
        <w:rPr>
          <w:rFonts w:ascii="Arial" w:cs="Arial" w:eastAsia="Arial" w:hAnsi="Arial"/>
          <w:sz w:val="20"/>
          <w:szCs w:val="20"/>
          <w:color w:val="auto"/>
        </w:rPr>
        <w:t>any obligation of any other Persons with whom or which Indemnitee may be associated (including, without limitation, any Sponsor Entities) to indemnify Indemnitee and/or advance Expenses to Indemnitee in respect of any proceeding are secondary to the obligations of the Company’s obligations;</w:t>
      </w:r>
    </w:p>
    <w:p>
      <w:pPr>
        <w:spacing w:after="0" w:line="131" w:lineRule="exact"/>
        <w:rPr>
          <w:rFonts w:ascii="Arial" w:cs="Arial" w:eastAsia="Arial" w:hAnsi="Arial"/>
          <w:sz w:val="20"/>
          <w:szCs w:val="20"/>
          <w:b w:val="1"/>
          <w:bCs w:val="1"/>
          <w:color w:val="auto"/>
        </w:rPr>
      </w:pPr>
    </w:p>
    <w:p>
      <w:pPr>
        <w:jc w:val="both"/>
        <w:ind w:firstLine="2600"/>
        <w:spacing w:after="0" w:line="250" w:lineRule="auto"/>
        <w:tabs>
          <w:tab w:leader="none" w:pos="3047" w:val="left"/>
        </w:tabs>
        <w:numPr>
          <w:ilvl w:val="2"/>
          <w:numId w:val="309"/>
        </w:numPr>
        <w:rPr>
          <w:rFonts w:ascii="Arial" w:cs="Arial" w:eastAsia="Arial" w:hAnsi="Arial"/>
          <w:sz w:val="20"/>
          <w:szCs w:val="20"/>
          <w:b w:val="1"/>
          <w:bCs w:val="1"/>
          <w:color w:val="auto"/>
        </w:rPr>
      </w:pPr>
      <w:r>
        <w:rPr>
          <w:rFonts w:ascii="Arial" w:cs="Arial" w:eastAsia="Arial" w:hAnsi="Arial"/>
          <w:sz w:val="20"/>
          <w:szCs w:val="20"/>
          <w:color w:val="auto"/>
        </w:rPr>
        <w:t>the Company will indemnify Indemnitee and advance Expenses to Indemnitee hereunder to the fullest extent provided herein without regard to any rights Indemnitee may have against any other Person with whom or which Indemnitee may be associated (including, any Sponsor Entities) or insurer of any such Person; and</w:t>
      </w:r>
    </w:p>
    <w:p>
      <w:pPr>
        <w:spacing w:after="0" w:line="131" w:lineRule="exact"/>
        <w:rPr>
          <w:rFonts w:ascii="Arial" w:cs="Arial" w:eastAsia="Arial" w:hAnsi="Arial"/>
          <w:sz w:val="20"/>
          <w:szCs w:val="20"/>
          <w:b w:val="1"/>
          <w:bCs w:val="1"/>
          <w:color w:val="auto"/>
        </w:rPr>
      </w:pPr>
    </w:p>
    <w:p>
      <w:pPr>
        <w:ind w:firstLine="1952"/>
        <w:spacing w:after="0" w:line="260" w:lineRule="auto"/>
        <w:tabs>
          <w:tab w:leader="none" w:pos="2554" w:val="left"/>
        </w:tabs>
        <w:numPr>
          <w:ilvl w:val="1"/>
          <w:numId w:val="309"/>
        </w:numPr>
        <w:rPr>
          <w:rFonts w:ascii="Arial" w:cs="Arial" w:eastAsia="Arial" w:hAnsi="Arial"/>
          <w:sz w:val="20"/>
          <w:szCs w:val="20"/>
          <w:b w:val="1"/>
          <w:bCs w:val="1"/>
          <w:color w:val="auto"/>
        </w:rPr>
      </w:pPr>
      <w:r>
        <w:rPr>
          <w:rFonts w:ascii="Arial" w:cs="Arial" w:eastAsia="Arial" w:hAnsi="Arial"/>
          <w:sz w:val="20"/>
          <w:szCs w:val="20"/>
          <w:color w:val="auto"/>
        </w:rPr>
        <w:t>the Company irrevocably waives, relinquishes and releases (A) any other Person with whom or which Indemnitee may be associated (including, without limitation, any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9" w:right="339" w:bottom="1440" w:gutter="0" w:footer="0" w:header="0"/>
        </w:sectPr>
      </w:pPr>
    </w:p>
    <w:bookmarkStart w:id="376" w:name="page377"/>
    <w:bookmarkEnd w:id="376"/>
    <w:p>
      <w:pPr>
        <w:jc w:val="both"/>
        <w:spacing w:after="0" w:line="243" w:lineRule="auto"/>
        <w:rPr>
          <w:sz w:val="20"/>
          <w:szCs w:val="20"/>
          <w:color w:val="auto"/>
        </w:rPr>
      </w:pPr>
      <w:r>
        <w:rPr>
          <w:rFonts w:ascii="Arial" w:cs="Arial" w:eastAsia="Arial" w:hAnsi="Arial"/>
          <w:sz w:val="20"/>
          <w:szCs w:val="20"/>
          <w:color w:val="auto"/>
        </w:rPr>
        <w:t>Entities)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(including, without limitation, any Sponsor Entities), whether or not such claim, remedy or right arises in equity or under contract, statute or common law, including, without limitation, the right to take or receive from any Person (including, without limitation, any Sponsor Entities), directly or indirectly, in cash or other property or by set-off or in any other manner, payment or security on account of such claim, remedy or right.</w:t>
      </w:r>
    </w:p>
    <w:p>
      <w:pPr>
        <w:spacing w:after="0" w:line="142" w:lineRule="exact"/>
        <w:rPr>
          <w:sz w:val="20"/>
          <w:szCs w:val="20"/>
          <w:color w:val="auto"/>
        </w:rPr>
      </w:pPr>
    </w:p>
    <w:p>
      <w:pPr>
        <w:jc w:val="both"/>
        <w:ind w:firstLine="1952"/>
        <w:spacing w:after="0" w:line="243" w:lineRule="auto"/>
        <w:tabs>
          <w:tab w:leader="none" w:pos="2603" w:val="left"/>
        </w:tabs>
        <w:numPr>
          <w:ilvl w:val="1"/>
          <w:numId w:val="310"/>
        </w:numPr>
        <w:rPr>
          <w:rFonts w:ascii="Arial" w:cs="Arial" w:eastAsia="Arial" w:hAnsi="Arial"/>
          <w:sz w:val="20"/>
          <w:szCs w:val="20"/>
          <w:b w:val="1"/>
          <w:bCs w:val="1"/>
          <w:color w:val="auto"/>
        </w:rPr>
      </w:pPr>
      <w:r>
        <w:rPr>
          <w:rFonts w:ascii="Arial" w:cs="Arial" w:eastAsia="Arial" w:hAnsi="Arial"/>
          <w:sz w:val="20"/>
          <w:szCs w:val="20"/>
          <w:color w:val="auto"/>
        </w:rPr>
        <w:t>In the event any other Person with whom or which Indemnitee may be associated (including, without limitation, any Sponsor Entities)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(including, without limitation, any Sponsor Entities) or their insurers affect the obligations of the Company hereunder or shift primary liability for the Company’s obligation to indemnify or advance of Expenses to any other Person with whom or which Indemnitee may be associated (including, without limitation, any Sponsor Entities).</w:t>
      </w:r>
    </w:p>
    <w:p>
      <w:pPr>
        <w:spacing w:after="0" w:line="138" w:lineRule="exact"/>
        <w:rPr>
          <w:rFonts w:ascii="Arial" w:cs="Arial" w:eastAsia="Arial" w:hAnsi="Arial"/>
          <w:sz w:val="20"/>
          <w:szCs w:val="20"/>
          <w:b w:val="1"/>
          <w:bCs w:val="1"/>
          <w:color w:val="auto"/>
        </w:rPr>
      </w:pPr>
    </w:p>
    <w:p>
      <w:pPr>
        <w:jc w:val="both"/>
        <w:ind w:firstLine="1952"/>
        <w:spacing w:after="0" w:line="246" w:lineRule="auto"/>
        <w:tabs>
          <w:tab w:leader="none" w:pos="2588" w:val="left"/>
        </w:tabs>
        <w:numPr>
          <w:ilvl w:val="1"/>
          <w:numId w:val="310"/>
        </w:numPr>
        <w:rPr>
          <w:rFonts w:ascii="Arial" w:cs="Arial" w:eastAsia="Arial" w:hAnsi="Arial"/>
          <w:sz w:val="20"/>
          <w:szCs w:val="20"/>
          <w:b w:val="1"/>
          <w:bCs w:val="1"/>
          <w:color w:val="auto"/>
        </w:rPr>
      </w:pPr>
      <w:r>
        <w:rPr>
          <w:rFonts w:ascii="Arial" w:cs="Arial" w:eastAsia="Arial" w:hAnsi="Arial"/>
          <w:sz w:val="20"/>
          <w:szCs w:val="20"/>
          <w:color w:val="auto"/>
        </w:rPr>
        <w:t>Any indemnification or advancement of Expenses provided by any other Person with whom or which Indemnitee may be associated (including, without limitation, any Sponsor Entities)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37" w:lineRule="exact"/>
        <w:rPr>
          <w:rFonts w:ascii="Arial" w:cs="Arial" w:eastAsia="Arial" w:hAnsi="Arial"/>
          <w:sz w:val="20"/>
          <w:szCs w:val="20"/>
          <w:b w:val="1"/>
          <w:bCs w:val="1"/>
          <w:color w:val="auto"/>
        </w:rPr>
      </w:pPr>
    </w:p>
    <w:p>
      <w:pPr>
        <w:jc w:val="both"/>
        <w:ind w:firstLine="1304"/>
        <w:spacing w:after="0" w:line="255" w:lineRule="auto"/>
        <w:tabs>
          <w:tab w:leader="none" w:pos="1781" w:val="left"/>
        </w:tabs>
        <w:numPr>
          <w:ilvl w:val="0"/>
          <w:numId w:val="311"/>
        </w:numPr>
        <w:rPr>
          <w:rFonts w:ascii="Arial" w:cs="Arial" w:eastAsia="Arial" w:hAnsi="Arial"/>
          <w:sz w:val="19"/>
          <w:szCs w:val="19"/>
          <w:b w:val="1"/>
          <w:bCs w:val="1"/>
          <w:color w:val="auto"/>
        </w:rPr>
      </w:pPr>
      <w:r>
        <w:rPr>
          <w:rFonts w:ascii="Arial" w:cs="Arial" w:eastAsia="Arial" w:hAnsi="Arial"/>
          <w:sz w:val="19"/>
          <w:szCs w:val="19"/>
          <w:color w:val="auto"/>
        </w:rPr>
        <w:t>To the extent that the Company maintains an insurance policy or policies 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the Indemnitee, all amounts payable as a result of such Proceeding in accordance with the terms of such policies. Indemnitee agrees to assist the Company efforts to cause the insurers to pay such amounts and will comply with the terms of such policies, including selection of approved panel counsel, if required.</w:t>
      </w:r>
    </w:p>
    <w:p>
      <w:pPr>
        <w:spacing w:after="0" w:line="135" w:lineRule="exact"/>
        <w:rPr>
          <w:rFonts w:ascii="Arial" w:cs="Arial" w:eastAsia="Arial" w:hAnsi="Arial"/>
          <w:sz w:val="19"/>
          <w:szCs w:val="19"/>
          <w:b w:val="1"/>
          <w:bCs w:val="1"/>
          <w:color w:val="auto"/>
        </w:rPr>
      </w:pPr>
    </w:p>
    <w:p>
      <w:pPr>
        <w:jc w:val="both"/>
        <w:ind w:firstLine="1304"/>
        <w:spacing w:after="0" w:line="257" w:lineRule="auto"/>
        <w:tabs>
          <w:tab w:leader="none" w:pos="1763" w:val="left"/>
        </w:tabs>
        <w:numPr>
          <w:ilvl w:val="0"/>
          <w:numId w:val="311"/>
        </w:numPr>
        <w:rPr>
          <w:rFonts w:ascii="Arial" w:cs="Arial" w:eastAsia="Arial" w:hAnsi="Arial"/>
          <w:sz w:val="19"/>
          <w:szCs w:val="19"/>
          <w:b w:val="1"/>
          <w:bCs w:val="1"/>
          <w:color w:val="auto"/>
        </w:rPr>
      </w:pPr>
      <w:r>
        <w:rPr>
          <w:rFonts w:ascii="Arial" w:cs="Arial" w:eastAsia="Arial" w:hAnsi="Arial"/>
          <w:sz w:val="19"/>
          <w:szCs w:val="19"/>
          <w:color w:val="auto"/>
        </w:rPr>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377" w:name="page378"/>
    <w:bookmarkEnd w:id="377"/>
    <w:p>
      <w:pPr>
        <w:jc w:val="both"/>
        <w:ind w:firstLine="1304"/>
        <w:spacing w:after="0" w:line="246" w:lineRule="auto"/>
        <w:tabs>
          <w:tab w:leader="none" w:pos="1713" w:val="left"/>
        </w:tabs>
        <w:numPr>
          <w:ilvl w:val="0"/>
          <w:numId w:val="312"/>
        </w:numPr>
        <w:rPr>
          <w:rFonts w:ascii="Arial" w:cs="Arial" w:eastAsia="Arial" w:hAnsi="Arial"/>
          <w:sz w:val="20"/>
          <w:szCs w:val="20"/>
          <w:b w:val="1"/>
          <w:bCs w:val="1"/>
          <w:color w:val="auto"/>
        </w:rPr>
      </w:pPr>
      <w:r>
        <w:rPr>
          <w:rFonts w:ascii="Arial" w:cs="Arial" w:eastAsia="Arial" w:hAnsi="Arial"/>
          <w:sz w:val="20"/>
          <w:szCs w:val="20"/>
          <w:color w:val="auto"/>
        </w:rPr>
        <w:t>In the event of any payment made by the Company under this Agreement, the Company will be subrogated to the extent of such payment to all of the rights of recovery of Indemnitee from any Enterprise or insurance carrier. Indemnitee will execute all papers required and take all action necessary to secure such rights, including execution of such documents as are necessary to enable the Company to bring suit to enforce such rights.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Section 16. </w:t>
      </w:r>
      <w:r>
        <w:rPr>
          <w:rFonts w:ascii="Arial" w:cs="Arial" w:eastAsia="Arial" w:hAnsi="Arial"/>
          <w:sz w:val="19"/>
          <w:szCs w:val="19"/>
          <w:u w:val="single" w:color="auto"/>
          <w:color w:val="auto"/>
        </w:rPr>
        <w:t>Duration of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continues until and terminates upon the later of: (a) ten (10) years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 that Indemnitee ceases to have a Corporate Status or (b) one (1) year after the final termination of any Proceeding then pending in respect of which Indemnitee is granted rights of indemnification or advancement of Expenses hereunder and of any Proceeding commenced by Indemnitee pursuant to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relating thereto. The indemnification and advancement of Expenses rights provided by or granted pursuant to this Agreement are binding upon and be enforceable by the parties hereto and their respective successors and assigns (including any direct or indirect successor by purchase, merger, consolidation or otherwise to all or substantially all of the business or assets of the Company), continue as to an Indemnitee who has ceased to be a director, officer, employee or agent of the Company or of any other Enterprise, and inure to the benefit of Indemnitee and Indemnitee’s spouse, assigns, heirs, devisees, executors and administrators and other legal representatives.</w:t>
      </w:r>
    </w:p>
    <w:p>
      <w:pPr>
        <w:spacing w:after="0" w:line="1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or provisions of this Agreement is held to be invalid, illegal or unenforceable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0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u w:val="single" w:color="auto"/>
          <w:color w:val="auto"/>
        </w:rPr>
        <w:t>Interpretation</w:t>
      </w:r>
      <w:r>
        <w:rPr>
          <w:rFonts w:ascii="Arial" w:cs="Arial" w:eastAsia="Arial" w:hAnsi="Arial"/>
          <w:sz w:val="18"/>
          <w:szCs w:val="18"/>
          <w:color w:val="auto"/>
        </w:rPr>
        <w:t>. Any ambiguity in the terms of this Agreement will be resolved in favor of Indemnitee and in a manner</w:t>
      </w:r>
      <w:r>
        <w:rPr>
          <w:rFonts w:ascii="Arial" w:cs="Arial" w:eastAsia="Arial" w:hAnsi="Arial"/>
          <w:sz w:val="18"/>
          <w:szCs w:val="18"/>
          <w:b w:val="1"/>
          <w:bCs w:val="1"/>
          <w:color w:val="auto"/>
        </w:rPr>
        <w:t xml:space="preserve"> </w:t>
      </w:r>
      <w:r>
        <w:rPr>
          <w:rFonts w:ascii="Arial" w:cs="Arial" w:eastAsia="Arial" w:hAnsi="Arial"/>
          <w:sz w:val="18"/>
          <w:szCs w:val="18"/>
          <w:color w:val="auto"/>
        </w:rPr>
        <w:t>to provide the maximum indemnification and advancement of Expenses permitted by law. The Company and Indemnitee intend that this Agreement provide to the fullest extent permitted by law for indemnification and advancement in excess of that expressly provided, without limitation, by the Certificate of Incorporation, the Bylaws, vote of the Company stockholders or disinterested directors, or applicable law.</w:t>
      </w:r>
    </w:p>
    <w:p>
      <w:pPr>
        <w:spacing w:after="0" w:line="97"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b w:val="1"/>
          <w:bCs w:val="1"/>
          <w:color w:val="auto"/>
        </w:rPr>
        <w:t>Section 19.</w:t>
      </w:r>
      <w:r>
        <w:rPr>
          <w:sz w:val="20"/>
          <w:szCs w:val="20"/>
          <w:color w:val="auto"/>
        </w:rPr>
        <w:tab/>
      </w:r>
      <w:r>
        <w:rPr>
          <w:rFonts w:ascii="Arial" w:cs="Arial" w:eastAsia="Arial" w:hAnsi="Arial"/>
          <w:sz w:val="18"/>
          <w:szCs w:val="18"/>
          <w:u w:val="single" w:color="auto"/>
          <w:color w:val="auto"/>
        </w:rPr>
        <w:t>Enforcement.</w:t>
      </w:r>
    </w:p>
    <w:p>
      <w:pPr>
        <w:spacing w:after="0" w:line="168" w:lineRule="exact"/>
        <w:rPr>
          <w:sz w:val="20"/>
          <w:szCs w:val="20"/>
          <w:color w:val="auto"/>
        </w:rPr>
      </w:pPr>
    </w:p>
    <w:p>
      <w:pPr>
        <w:jc w:val="both"/>
        <w:ind w:firstLine="1304"/>
        <w:spacing w:after="0" w:line="291" w:lineRule="auto"/>
        <w:tabs>
          <w:tab w:leader="none" w:pos="1832" w:val="left"/>
        </w:tabs>
        <w:numPr>
          <w:ilvl w:val="0"/>
          <w:numId w:val="313"/>
        </w:numPr>
        <w:rPr>
          <w:rFonts w:ascii="Arial" w:cs="Arial" w:eastAsia="Arial" w:hAnsi="Arial"/>
          <w:sz w:val="18"/>
          <w:szCs w:val="18"/>
          <w:b w:val="1"/>
          <w:bCs w:val="1"/>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spacing w:after="0" w:line="97" w:lineRule="exact"/>
        <w:rPr>
          <w:rFonts w:ascii="Arial" w:cs="Arial" w:eastAsia="Arial" w:hAnsi="Arial"/>
          <w:sz w:val="18"/>
          <w:szCs w:val="18"/>
          <w:b w:val="1"/>
          <w:bCs w:val="1"/>
          <w:color w:val="auto"/>
        </w:rPr>
      </w:pPr>
    </w:p>
    <w:p>
      <w:pPr>
        <w:jc w:val="both"/>
        <w:ind w:firstLine="1304"/>
        <w:spacing w:after="0" w:line="282" w:lineRule="auto"/>
        <w:tabs>
          <w:tab w:leader="none" w:pos="1790" w:val="left"/>
        </w:tabs>
        <w:numPr>
          <w:ilvl w:val="0"/>
          <w:numId w:val="313"/>
        </w:numPr>
        <w:rPr>
          <w:rFonts w:ascii="Arial" w:cs="Arial" w:eastAsia="Arial" w:hAnsi="Arial"/>
          <w:sz w:val="18"/>
          <w:szCs w:val="18"/>
          <w:b w:val="1"/>
          <w:bCs w:val="1"/>
          <w:color w:val="auto"/>
        </w:rPr>
      </w:pPr>
      <w:r>
        <w:rPr>
          <w:rFonts w:ascii="Arial" w:cs="Arial" w:eastAsia="Arial" w:hAnsi="Arial"/>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Agreement is a supplement to and in furtherance of the Certificate of Incorporation, the Bylaws and applicable law, and is not a substitute therefor, nor to diminish or abrogate any rights of Indemnitee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9" w:right="339" w:bottom="1440" w:gutter="0" w:footer="0" w:header="0"/>
        </w:sectPr>
      </w:pPr>
    </w:p>
    <w:bookmarkStart w:id="378" w:name="page379"/>
    <w:bookmarkEnd w:id="378"/>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20. </w:t>
      </w:r>
      <w:r>
        <w:rPr>
          <w:rFonts w:ascii="Arial" w:cs="Arial" w:eastAsia="Arial" w:hAnsi="Arial"/>
          <w:sz w:val="20"/>
          <w:szCs w:val="20"/>
          <w:u w:val="single" w:color="auto"/>
          <w:color w:val="auto"/>
        </w:rPr>
        <w:t>Modification and Waiver.</w:t>
      </w:r>
      <w:r>
        <w:rPr>
          <w:rFonts w:ascii="Arial" w:cs="Arial" w:eastAsia="Arial" w:hAnsi="Arial"/>
          <w:sz w:val="20"/>
          <w:szCs w:val="20"/>
          <w:b w:val="1"/>
          <w:bCs w:val="1"/>
          <w:color w:val="auto"/>
        </w:rPr>
        <w:t xml:space="preserve"> </w:t>
      </w:r>
      <w:r>
        <w:rPr>
          <w:rFonts w:ascii="Arial" w:cs="Arial" w:eastAsia="Arial" w:hAnsi="Arial"/>
          <w:sz w:val="20"/>
          <w:szCs w:val="20"/>
          <w:color w:val="auto"/>
        </w:rPr>
        <w:t>No supplement, modification or amendment of this Agreement is binding unless executed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by the parties hereto. No waiver of any of the provisions of this Agreement will be deemed or constitutes a waiver of any other provisions of this Agreement nor will any waiver constitute a continuing waiver.</w:t>
      </w:r>
    </w:p>
    <w:p>
      <w:pPr>
        <w:spacing w:after="0" w:line="1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Section 21. </w:t>
      </w:r>
      <w:r>
        <w:rPr>
          <w:rFonts w:ascii="Arial" w:cs="Arial" w:eastAsia="Arial" w:hAnsi="Arial"/>
          <w:sz w:val="19"/>
          <w:szCs w:val="19"/>
          <w:u w:val="single" w:color="auto"/>
          <w:color w:val="auto"/>
        </w:rPr>
        <w:t>Notice by Indemnitee.</w:t>
      </w:r>
      <w:r>
        <w:rPr>
          <w:rFonts w:ascii="Arial" w:cs="Arial" w:eastAsia="Arial" w:hAnsi="Arial"/>
          <w:sz w:val="19"/>
          <w:szCs w:val="19"/>
          <w:b w:val="1"/>
          <w:bCs w:val="1"/>
          <w:color w:val="auto"/>
        </w:rPr>
        <w:t xml:space="preserve"> </w:t>
      </w:r>
      <w:r>
        <w:rPr>
          <w:rFonts w:ascii="Arial" w:cs="Arial" w:eastAsia="Arial" w:hAnsi="Arial"/>
          <w:sz w:val="19"/>
          <w:szCs w:val="19"/>
          <w:color w:val="auto"/>
        </w:rPr>
        <w:t>Indemnitee agrees promptly to notify the Company in writing upon being served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requests, demands and other communications under this Agreement will be in writing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96" w:lineRule="exact"/>
        <w:rPr>
          <w:sz w:val="20"/>
          <w:szCs w:val="20"/>
          <w:color w:val="auto"/>
        </w:rPr>
      </w:pPr>
    </w:p>
    <w:p>
      <w:pPr>
        <w:ind w:firstLine="1304"/>
        <w:spacing w:after="0" w:line="260" w:lineRule="auto"/>
        <w:tabs>
          <w:tab w:leader="none" w:pos="1748" w:val="left"/>
        </w:tabs>
        <w:numPr>
          <w:ilvl w:val="0"/>
          <w:numId w:val="314"/>
        </w:numPr>
        <w:rPr>
          <w:rFonts w:ascii="Arial" w:cs="Arial" w:eastAsia="Arial" w:hAnsi="Arial"/>
          <w:sz w:val="20"/>
          <w:szCs w:val="20"/>
          <w:b w:val="1"/>
          <w:bCs w:val="1"/>
          <w:color w:val="auto"/>
        </w:rPr>
      </w:pPr>
      <w:r>
        <w:rPr>
          <w:rFonts w:ascii="Arial" w:cs="Arial" w:eastAsia="Arial" w:hAnsi="Arial"/>
          <w:sz w:val="20"/>
          <w:szCs w:val="20"/>
          <w:color w:val="auto"/>
        </w:rPr>
        <w:t>If to Indemnitee, at the address indicated on the signature page of this Agreement, or such other address as Indemnitee provides to the Company.</w:t>
      </w:r>
    </w:p>
    <w:p>
      <w:pPr>
        <w:spacing w:after="0" w:line="122" w:lineRule="exact"/>
        <w:rPr>
          <w:rFonts w:ascii="Arial" w:cs="Arial" w:eastAsia="Arial" w:hAnsi="Arial"/>
          <w:sz w:val="20"/>
          <w:szCs w:val="20"/>
          <w:b w:val="1"/>
          <w:bCs w:val="1"/>
          <w:color w:val="auto"/>
        </w:rPr>
      </w:pPr>
    </w:p>
    <w:p>
      <w:pPr>
        <w:ind w:right="20" w:firstLine="1304"/>
        <w:spacing w:after="0" w:line="260" w:lineRule="auto"/>
        <w:tabs>
          <w:tab w:leader="none" w:pos="1837" w:val="left"/>
        </w:tabs>
        <w:numPr>
          <w:ilvl w:val="0"/>
          <w:numId w:val="314"/>
        </w:numPr>
        <w:rPr>
          <w:rFonts w:ascii="Arial" w:cs="Arial" w:eastAsia="Arial" w:hAnsi="Arial"/>
          <w:sz w:val="20"/>
          <w:szCs w:val="20"/>
          <w:b w:val="1"/>
          <w:bCs w:val="1"/>
          <w:color w:val="auto"/>
        </w:rPr>
      </w:pPr>
      <w:r>
        <w:rPr>
          <w:rFonts w:ascii="Arial" w:cs="Arial" w:eastAsia="Arial" w:hAnsi="Arial"/>
          <w:sz w:val="20"/>
          <w:szCs w:val="20"/>
          <w:color w:val="auto"/>
        </w:rPr>
        <w:t>If to the Company, at the address indicated on the signature page of this Agreement, or such other address as the Company provides to the Indemnitee.</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u w:val="single" w:color="auto"/>
          <w:color w:val="auto"/>
        </w:rPr>
        <w:t>Contribution.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permissible under applicable law, if the indemnification provided for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Section 24. </w:t>
      </w:r>
      <w:r>
        <w:rPr>
          <w:rFonts w:ascii="Arial" w:cs="Arial" w:eastAsia="Arial" w:hAnsi="Arial"/>
          <w:sz w:val="20"/>
          <w:szCs w:val="20"/>
          <w:u w:val="single" w:color="auto"/>
          <w:color w:val="auto"/>
        </w:rPr>
        <w:t>Applicable Law and Consent to Jurisdiction.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the legal relations among the parties are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construed and enforced in accordance with, the laws of the State of Delaware, without regard to its conflict of laws rules. Except with respect to any arbitration commenced by Indemnitee pursuant to </w:t>
      </w:r>
      <w:r>
        <w:rPr>
          <w:rFonts w:ascii="Arial" w:cs="Arial" w:eastAsia="Arial" w:hAnsi="Arial"/>
          <w:sz w:val="20"/>
          <w:szCs w:val="20"/>
          <w:u w:val="single" w:color="auto"/>
          <w:color w:val="auto"/>
        </w:rPr>
        <w:t>Section 14(a)</w:t>
      </w:r>
      <w:r>
        <w:rPr>
          <w:rFonts w:ascii="Arial" w:cs="Arial" w:eastAsia="Arial" w:hAnsi="Arial"/>
          <w:sz w:val="20"/>
          <w:szCs w:val="20"/>
          <w:color w:val="auto"/>
        </w:rPr>
        <w:t>, the Company and Indemnitee hereby irrevocably and unconditionally (i) agree that any action or Proceeding arising out of or in connection with this Agreement may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4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25. </w:t>
      </w:r>
      <w:r>
        <w:rPr>
          <w:rFonts w:ascii="Arial" w:cs="Arial" w:eastAsia="Arial" w:hAnsi="Arial"/>
          <w:sz w:val="19"/>
          <w:szCs w:val="19"/>
          <w:u w:val="single" w:color="auto"/>
          <w:color w:val="auto"/>
        </w:rPr>
        <w:t>Identical 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executed in one or more counterparts, each of which will for all</w:t>
      </w:r>
      <w:r>
        <w:rPr>
          <w:rFonts w:ascii="Arial" w:cs="Arial" w:eastAsia="Arial" w:hAnsi="Arial"/>
          <w:sz w:val="19"/>
          <w:szCs w:val="19"/>
          <w:b w:val="1"/>
          <w:bCs w:val="1"/>
          <w:color w:val="auto"/>
        </w:rPr>
        <w:t xml:space="preserve"> </w:t>
      </w:r>
      <w:r>
        <w:rPr>
          <w:rFonts w:ascii="Arial" w:cs="Arial" w:eastAsia="Arial" w:hAnsi="Arial"/>
          <w:sz w:val="19"/>
          <w:szCs w:val="19"/>
          <w:color w:val="auto"/>
        </w:rPr>
        <w:t>purposes be deemed to be an original but all of which together constitutes one and the same Agreement. Only one such counterpart signed by the party against whom enforceability is sought needs to be produced to evidence the existence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3" w:right="339" w:bottom="1440" w:gutter="0" w:footer="0" w:header="0"/>
        </w:sectPr>
      </w:pPr>
    </w:p>
    <w:bookmarkStart w:id="379" w:name="page380"/>
    <w:bookmarkEnd w:id="379"/>
    <w:p>
      <w:pPr>
        <w:ind w:firstLine="648"/>
        <w:spacing w:after="0" w:line="267" w:lineRule="auto"/>
        <w:rPr>
          <w:sz w:val="20"/>
          <w:szCs w:val="20"/>
          <w:color w:val="auto"/>
        </w:rPr>
      </w:pPr>
      <w:r>
        <w:rPr>
          <w:rFonts w:ascii="Arial" w:cs="Arial" w:eastAsia="Arial" w:hAnsi="Arial"/>
          <w:sz w:val="20"/>
          <w:szCs w:val="20"/>
          <w:b w:val="1"/>
          <w:bCs w:val="1"/>
          <w:color w:val="auto"/>
        </w:rPr>
        <w:t xml:space="preserve">Section 26. </w:t>
      </w:r>
      <w:r>
        <w:rPr>
          <w:rFonts w:ascii="Arial" w:cs="Arial" w:eastAsia="Arial" w:hAnsi="Arial"/>
          <w:sz w:val="20"/>
          <w:szCs w:val="20"/>
          <w:u w:val="single" w:color="auto"/>
          <w:color w:val="auto"/>
        </w:rPr>
        <w:t>Headings.</w:t>
      </w:r>
      <w:r>
        <w:rPr>
          <w:rFonts w:ascii="Arial" w:cs="Arial" w:eastAsia="Arial" w:hAnsi="Arial"/>
          <w:sz w:val="20"/>
          <w:szCs w:val="20"/>
          <w:b w:val="1"/>
          <w:bCs w:val="1"/>
          <w:color w:val="auto"/>
        </w:rPr>
        <w:t xml:space="preserve"> </w:t>
      </w:r>
      <w:r>
        <w:rPr>
          <w:rFonts w:ascii="Arial" w:cs="Arial" w:eastAsia="Arial" w:hAnsi="Arial"/>
          <w:sz w:val="20"/>
          <w:szCs w:val="20"/>
          <w:color w:val="auto"/>
        </w:rPr>
        <w:t>The headings of this Agreement are inserted for convenience only and do not constitute part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or affect the construction thereof.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3" w:right="339" w:bottom="1440" w:gutter="0" w:footer="0" w:header="0"/>
        </w:sectPr>
      </w:pPr>
    </w:p>
    <w:bookmarkStart w:id="380" w:name="page381"/>
    <w:bookmarkEnd w:id="380"/>
    <w:p>
      <w:pPr>
        <w:ind w:left="6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effective as of the date set forth above.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PROCEPT BIOROBOTICS CORPORATION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vMerge w:val="continue"/>
          </w:tcPr>
          <w:p>
            <w:pPr>
              <w:spacing w:after="0"/>
              <w:rPr>
                <w:sz w:val="22"/>
                <w:szCs w:val="22"/>
                <w:color w:val="auto"/>
              </w:rPr>
            </w:pPr>
          </w:p>
        </w:tc>
        <w:tc>
          <w:tcPr>
            <w:tcW w:w="4320" w:type="dxa"/>
            <w:vAlign w:val="bottom"/>
          </w:tcPr>
          <w:p>
            <w:pPr>
              <w:ind w:left="20"/>
              <w:spacing w:after="0"/>
              <w:rPr>
                <w:sz w:val="20"/>
                <w:szCs w:val="20"/>
                <w:color w:val="auto"/>
              </w:rPr>
            </w:pPr>
            <w:r>
              <w:rPr>
                <w:rFonts w:ascii="Arial" w:cs="Arial" w:eastAsia="Arial" w:hAnsi="Arial"/>
                <w:sz w:val="20"/>
                <w:szCs w:val="20"/>
                <w:color w:val="auto"/>
              </w:rPr>
              <w:t>Reza Zadno</w:t>
            </w:r>
          </w:p>
        </w:tc>
        <w:tc>
          <w:tcPr>
            <w:tcW w:w="0" w:type="dxa"/>
            <w:vAlign w:val="bottom"/>
          </w:tcPr>
          <w:p>
            <w:pPr>
              <w:spacing w:after="0"/>
              <w:rPr>
                <w:sz w:val="1"/>
                <w:szCs w:val="1"/>
                <w:color w:val="auto"/>
              </w:rPr>
            </w:pPr>
          </w:p>
        </w:tc>
      </w:tr>
      <w:tr>
        <w:trPr>
          <w:trHeight w:val="283"/>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Chief Executive Officer and President</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900 Island Dr, Redwood City, CA 94065</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Attn: Alaleh Nouri, General Counsel</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a.nouri@procept-biorobotics.com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With a copy (which shall not constitute notice) to:</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Latham &amp; Watkins LLP</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140 Scott Drive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Menlo Park, CA 94025</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Attn: Ben Potter</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benjamin.potter@lw.com</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28289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Email:</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Sponsor Entities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38919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3891915" cy="8255"/>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27305</wp:posOffset>
            </wp:positionV>
            <wp:extent cx="2125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Indemnification and Adavancement Agreement</w:t>
      </w:r>
      <w:r>
        <w:rPr>
          <w:rFonts w:ascii="Arial" w:cs="Arial" w:eastAsia="Arial" w:hAnsi="Arial"/>
          <w:sz w:val="20"/>
          <w:szCs w:val="20"/>
          <w:color w:val="auto"/>
        </w:rPr>
        <w:t>)</w:t>
      </w:r>
    </w:p>
    <w:p>
      <w:pPr>
        <w:sectPr>
          <w:pgSz w:w="11900" w:h="16838" w:orient="portrait"/>
          <w:cols w:equalWidth="0" w:num="1">
            <w:col w:w="10119"/>
          </w:cols>
          <w:pgMar w:left="340" w:top="1413" w:right="1440"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PROCEPT BIOROBOTICS CORPORATION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PROGRAM</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Eligible Directors (as defined below) on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PROCEPT BioRobotics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or subsidiaries other than a person who is determined by the Board to not be eligible to receive compensation under this Program (each, an “</w:t>
      </w:r>
      <w:r>
        <w:rPr>
          <w:rFonts w:ascii="Arial" w:cs="Arial" w:eastAsia="Arial" w:hAnsi="Arial"/>
          <w:sz w:val="19"/>
          <w:szCs w:val="19"/>
          <w:b w:val="1"/>
          <w:bCs w:val="1"/>
          <w:i w:val="1"/>
          <w:iCs w:val="1"/>
          <w:color w:val="auto"/>
        </w:rPr>
        <w:t>Eligible Director</w:t>
      </w:r>
      <w:r>
        <w:rPr>
          <w:rFonts w:ascii="Arial" w:cs="Arial" w:eastAsia="Arial" w:hAnsi="Arial"/>
          <w:sz w:val="19"/>
          <w:szCs w:val="19"/>
          <w:color w:val="auto"/>
        </w:rPr>
        <w:t>”), who may be eligible to receive such cash or equity compensation, unless such Eligible Director declines the receipt of such cash or equity compensation by written notice to the Company.</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Program shall become effective upon the closing of the initial public offering of the Company’s common stock (the “</w:t>
      </w:r>
      <w:r>
        <w:rPr>
          <w:rFonts w:ascii="Arial" w:cs="Arial" w:eastAsia="Arial" w:hAnsi="Arial"/>
          <w:sz w:val="20"/>
          <w:szCs w:val="20"/>
          <w:b w:val="1"/>
          <w:bCs w:val="1"/>
          <w:i w:val="1"/>
          <w:iCs w:val="1"/>
          <w:color w:val="auto"/>
        </w:rPr>
        <w:t>Effective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and shall remain in effect until it is revised or rescinded by further action of the Board. This Program may be amended, modified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terminated by the Board at any time in its sole discretion. No Eligible Director shall have any rights hereunder, except with respect to equity awards granted pursuant to Section 2 of this Program.</w:t>
      </w:r>
    </w:p>
    <w:p>
      <w:pPr>
        <w:spacing w:after="0" w:line="191" w:lineRule="exact"/>
        <w:rPr>
          <w:sz w:val="20"/>
          <w:szCs w:val="20"/>
          <w:color w:val="auto"/>
        </w:rPr>
      </w:pPr>
    </w:p>
    <w:p>
      <w:pPr>
        <w:ind w:left="1300" w:hanging="644"/>
        <w:spacing w:after="0"/>
        <w:tabs>
          <w:tab w:leader="none" w:pos="1300" w:val="left"/>
        </w:tabs>
        <w:numPr>
          <w:ilvl w:val="0"/>
          <w:numId w:val="315"/>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Eligible Director shall be eligible to receive an annual cash retainer of $40,000 for service</w:t>
      </w:r>
    </w:p>
    <w:p>
      <w:pPr>
        <w:spacing w:after="0" w:line="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color w:val="auto"/>
        </w:rPr>
        <w:t>on the Board.</w:t>
      </w:r>
    </w:p>
    <w:p>
      <w:pPr>
        <w:spacing w:after="0" w:line="199" w:lineRule="exact"/>
        <w:rPr>
          <w:rFonts w:ascii="Arial" w:cs="Arial" w:eastAsia="Arial" w:hAnsi="Arial"/>
          <w:sz w:val="18"/>
          <w:szCs w:val="18"/>
          <w:color w:val="auto"/>
        </w:rPr>
      </w:pPr>
    </w:p>
    <w:p>
      <w:pPr>
        <w:ind w:left="340" w:firstLine="964"/>
        <w:spacing w:after="0" w:line="260" w:lineRule="auto"/>
        <w:tabs>
          <w:tab w:leader="none" w:pos="1960" w:val="left"/>
        </w:tabs>
        <w:numPr>
          <w:ilvl w:val="1"/>
          <w:numId w:val="315"/>
        </w:numPr>
        <w:rPr>
          <w:rFonts w:ascii="Arial" w:cs="Arial" w:eastAsia="Arial" w:hAnsi="Arial"/>
          <w:sz w:val="20"/>
          <w:szCs w:val="20"/>
          <w:color w:val="auto"/>
        </w:rPr>
      </w:pPr>
      <w:r>
        <w:rPr>
          <w:rFonts w:ascii="Arial" w:cs="Arial" w:eastAsia="Arial" w:hAnsi="Arial"/>
          <w:sz w:val="20"/>
          <w:szCs w:val="20"/>
          <w:u w:val="single" w:color="auto"/>
          <w:color w:val="auto"/>
        </w:rPr>
        <w:t>Additional Annual Retainers</w:t>
      </w:r>
      <w:r>
        <w:rPr>
          <w:rFonts w:ascii="Arial" w:cs="Arial" w:eastAsia="Arial" w:hAnsi="Arial"/>
          <w:sz w:val="20"/>
          <w:szCs w:val="20"/>
          <w:color w:val="auto"/>
        </w:rPr>
        <w:t>. An Eligible Director shall be eligible to receive the following additional annual retainers, as applicable:</w:t>
      </w:r>
    </w:p>
    <w:p>
      <w:pPr>
        <w:spacing w:after="0" w:line="176" w:lineRule="exact"/>
        <w:rPr>
          <w:rFonts w:ascii="Arial" w:cs="Arial" w:eastAsia="Arial" w:hAnsi="Arial"/>
          <w:sz w:val="20"/>
          <w:szCs w:val="20"/>
          <w:color w:val="auto"/>
        </w:rPr>
      </w:pPr>
    </w:p>
    <w:p>
      <w:pPr>
        <w:jc w:val="both"/>
        <w:ind w:left="340" w:firstLine="1612"/>
        <w:spacing w:after="0" w:line="250" w:lineRule="auto"/>
        <w:tabs>
          <w:tab w:leader="none" w:pos="2556" w:val="left"/>
        </w:tabs>
        <w:numPr>
          <w:ilvl w:val="2"/>
          <w:numId w:val="315"/>
        </w:numPr>
        <w:rPr>
          <w:rFonts w:ascii="Arial" w:cs="Arial" w:eastAsia="Arial" w:hAnsi="Arial"/>
          <w:sz w:val="20"/>
          <w:szCs w:val="20"/>
          <w:color w:val="auto"/>
        </w:rPr>
      </w:pPr>
      <w:r>
        <w:rPr>
          <w:rFonts w:ascii="Arial" w:cs="Arial" w:eastAsia="Arial" w:hAnsi="Arial"/>
          <w:sz w:val="20"/>
          <w:szCs w:val="20"/>
          <w:u w:val="single" w:color="auto"/>
          <w:color w:val="auto"/>
        </w:rPr>
        <w:t>Non-Employee Chairperson of the Board or Lead Independent Director</w:t>
      </w:r>
      <w:r>
        <w:rPr>
          <w:rFonts w:ascii="Arial" w:cs="Arial" w:eastAsia="Arial" w:hAnsi="Arial"/>
          <w:sz w:val="20"/>
          <w:szCs w:val="20"/>
          <w:color w:val="auto"/>
        </w:rPr>
        <w:t>. An Eligible Director serving as Chairperson of the Board or Lead Independent Director shall be eligible to receive an additional annual retainer of $40,000 for such service.</w:t>
      </w:r>
    </w:p>
    <w:p>
      <w:pPr>
        <w:spacing w:after="0" w:line="185" w:lineRule="exact"/>
        <w:rPr>
          <w:rFonts w:ascii="Arial" w:cs="Arial" w:eastAsia="Arial" w:hAnsi="Arial"/>
          <w:sz w:val="20"/>
          <w:szCs w:val="20"/>
          <w:color w:val="auto"/>
        </w:rPr>
      </w:pPr>
    </w:p>
    <w:p>
      <w:pPr>
        <w:jc w:val="both"/>
        <w:ind w:left="340" w:firstLine="1612"/>
        <w:spacing w:after="0" w:line="269" w:lineRule="auto"/>
        <w:tabs>
          <w:tab w:leader="none" w:pos="2480" w:val="left"/>
        </w:tabs>
        <w:numPr>
          <w:ilvl w:val="2"/>
          <w:numId w:val="315"/>
        </w:numPr>
        <w:rPr>
          <w:rFonts w:ascii="Arial" w:cs="Arial" w:eastAsia="Arial" w:hAnsi="Arial"/>
          <w:sz w:val="19"/>
          <w:szCs w:val="19"/>
          <w:color w:val="auto"/>
        </w:rPr>
      </w:pPr>
      <w:r>
        <w:rPr>
          <w:rFonts w:ascii="Arial" w:cs="Arial" w:eastAsia="Arial" w:hAnsi="Arial"/>
          <w:sz w:val="19"/>
          <w:szCs w:val="19"/>
          <w:u w:val="single" w:color="auto"/>
          <w:color w:val="auto"/>
        </w:rPr>
        <w:t>Audit Committee</w:t>
      </w:r>
      <w:r>
        <w:rPr>
          <w:rFonts w:ascii="Arial" w:cs="Arial" w:eastAsia="Arial" w:hAnsi="Arial"/>
          <w:sz w:val="19"/>
          <w:szCs w:val="19"/>
          <w:color w:val="auto"/>
        </w:rPr>
        <w:t>. An Eligible Director serving as Chairperson of the Audit Committee shall be eligible to receive an additional annual retainer of $20,000 for such service. An Eligible Director serving as a member of the Audit Committee (other than the Chairperson) shall be eligible to receive an additional annual retainer of $10,000 for such service.</w:t>
      </w:r>
    </w:p>
    <w:p>
      <w:pPr>
        <w:spacing w:after="0" w:line="169" w:lineRule="exact"/>
        <w:rPr>
          <w:rFonts w:ascii="Arial" w:cs="Arial" w:eastAsia="Arial" w:hAnsi="Arial"/>
          <w:sz w:val="19"/>
          <w:szCs w:val="19"/>
          <w:color w:val="auto"/>
        </w:rPr>
      </w:pPr>
    </w:p>
    <w:p>
      <w:pPr>
        <w:jc w:val="both"/>
        <w:ind w:left="340" w:firstLine="1612"/>
        <w:spacing w:after="0" w:line="246" w:lineRule="auto"/>
        <w:tabs>
          <w:tab w:leader="none" w:pos="2468" w:val="left"/>
        </w:tabs>
        <w:numPr>
          <w:ilvl w:val="2"/>
          <w:numId w:val="315"/>
        </w:numPr>
        <w:rPr>
          <w:rFonts w:ascii="Arial" w:cs="Arial" w:eastAsia="Arial" w:hAnsi="Arial"/>
          <w:sz w:val="20"/>
          <w:szCs w:val="20"/>
          <w:color w:val="auto"/>
        </w:rPr>
      </w:pPr>
      <w:r>
        <w:rPr>
          <w:rFonts w:ascii="Arial" w:cs="Arial" w:eastAsia="Arial" w:hAnsi="Arial"/>
          <w:sz w:val="20"/>
          <w:szCs w:val="20"/>
          <w:u w:val="single" w:color="auto"/>
          <w:color w:val="auto"/>
        </w:rPr>
        <w:t>Compensation Committee</w:t>
      </w:r>
      <w:r>
        <w:rPr>
          <w:rFonts w:ascii="Arial" w:cs="Arial" w:eastAsia="Arial" w:hAnsi="Arial"/>
          <w:sz w:val="20"/>
          <w:szCs w:val="20"/>
          <w:color w:val="auto"/>
        </w:rPr>
        <w:t>. An Eligible Director serving as Chairperson of the Compensation Committee shall be eligible to receive an additional annual retainer of $15,000 for such service. An Eligible Director serving as a member of the Compensation Committee (other than the Chairperson) shall be eligible to receive an additional annual retainer of $7,500 for such service.</w:t>
      </w:r>
    </w:p>
    <w:p>
      <w:pPr>
        <w:spacing w:after="0" w:line="191" w:lineRule="exact"/>
        <w:rPr>
          <w:rFonts w:ascii="Arial" w:cs="Arial" w:eastAsia="Arial" w:hAnsi="Arial"/>
          <w:sz w:val="20"/>
          <w:szCs w:val="20"/>
          <w:color w:val="auto"/>
        </w:rPr>
      </w:pPr>
    </w:p>
    <w:p>
      <w:pPr>
        <w:jc w:val="both"/>
        <w:ind w:left="340" w:firstLine="1612"/>
        <w:spacing w:after="0" w:line="246" w:lineRule="auto"/>
        <w:tabs>
          <w:tab w:leader="none" w:pos="2668" w:val="left"/>
        </w:tabs>
        <w:numPr>
          <w:ilvl w:val="2"/>
          <w:numId w:val="315"/>
        </w:numPr>
        <w:rPr>
          <w:rFonts w:ascii="Arial" w:cs="Arial" w:eastAsia="Arial" w:hAnsi="Arial"/>
          <w:sz w:val="20"/>
          <w:szCs w:val="20"/>
          <w:color w:val="auto"/>
        </w:rPr>
      </w:pPr>
      <w:r>
        <w:rPr>
          <w:rFonts w:ascii="Arial" w:cs="Arial" w:eastAsia="Arial" w:hAnsi="Arial"/>
          <w:sz w:val="20"/>
          <w:szCs w:val="20"/>
          <w:u w:val="single" w:color="auto"/>
          <w:color w:val="auto"/>
        </w:rPr>
        <w:t>Nominating and Corporate Governance Committee</w:t>
      </w:r>
      <w:r>
        <w:rPr>
          <w:rFonts w:ascii="Arial" w:cs="Arial" w:eastAsia="Arial" w:hAnsi="Arial"/>
          <w:sz w:val="20"/>
          <w:szCs w:val="20"/>
          <w:color w:val="auto"/>
        </w:rPr>
        <w:t>. An Eligible Director serving as Chairperson of the Nominating and Corporate Governance Committee shall be eligible to receive an additional annual retainer of $10,000 for such service. An Eligible Director serving as a member of the Nominating and Corporate Governance Committee (other than the Chairperson) shall be eligible to receive an additional annual retainer of $5,000 for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382" w:name="page383"/>
    <w:bookmarkEnd w:id="382"/>
    <w:p>
      <w:pPr>
        <w:jc w:val="both"/>
        <w:ind w:firstLine="964"/>
        <w:spacing w:after="0" w:line="244" w:lineRule="auto"/>
        <w:tabs>
          <w:tab w:leader="none" w:pos="1609" w:val="left"/>
        </w:tabs>
        <w:numPr>
          <w:ilvl w:val="1"/>
          <w:numId w:val="316"/>
        </w:numPr>
        <w:rPr>
          <w:rFonts w:ascii="Arial" w:cs="Arial" w:eastAsia="Arial" w:hAnsi="Arial"/>
          <w:sz w:val="20"/>
          <w:szCs w:val="20"/>
          <w:color w:val="auto"/>
        </w:rPr>
      </w:pPr>
      <w:r>
        <w:rPr>
          <w:rFonts w:ascii="Arial" w:cs="Arial" w:eastAsia="Arial" w:hAnsi="Arial"/>
          <w:sz w:val="20"/>
          <w:szCs w:val="20"/>
          <w:u w:val="single" w:color="auto"/>
          <w:color w:val="auto"/>
        </w:rPr>
        <w:t>Payment of Retainers</w:t>
      </w:r>
      <w:r>
        <w:rPr>
          <w:rFonts w:ascii="Arial" w:cs="Arial" w:eastAsia="Arial" w:hAnsi="Arial"/>
          <w:sz w:val="20"/>
          <w:szCs w:val="20"/>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w:t>
      </w:r>
    </w:p>
    <w:p>
      <w:pPr>
        <w:spacing w:after="0" w:line="194" w:lineRule="exact"/>
        <w:rPr>
          <w:rFonts w:ascii="Arial" w:cs="Arial" w:eastAsia="Arial" w:hAnsi="Arial"/>
          <w:sz w:val="20"/>
          <w:szCs w:val="20"/>
          <w:color w:val="auto"/>
        </w:rPr>
      </w:pPr>
    </w:p>
    <w:p>
      <w:pPr>
        <w:ind w:left="960" w:hanging="644"/>
        <w:spacing w:after="0"/>
        <w:tabs>
          <w:tab w:leader="none" w:pos="960" w:val="left"/>
        </w:tabs>
        <w:numPr>
          <w:ilvl w:val="0"/>
          <w:numId w:val="317"/>
        </w:numPr>
        <w:rPr>
          <w:rFonts w:ascii="Arial" w:cs="Arial" w:eastAsia="Arial" w:hAnsi="Arial"/>
          <w:sz w:val="20"/>
          <w:szCs w:val="20"/>
          <w:color w:val="auto"/>
        </w:rPr>
      </w:pPr>
      <w:r>
        <w:rPr>
          <w:rFonts w:ascii="Arial" w:cs="Arial" w:eastAsia="Arial" w:hAnsi="Arial"/>
          <w:sz w:val="20"/>
          <w:szCs w:val="20"/>
          <w:u w:val="single" w:color="auto"/>
          <w:color w:val="auto"/>
        </w:rPr>
        <w:t>Equity Compensation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964"/>
        <w:spacing w:after="0" w:line="257" w:lineRule="auto"/>
        <w:tabs>
          <w:tab w:leader="none" w:pos="1609" w:val="left"/>
        </w:tabs>
        <w:numPr>
          <w:ilvl w:val="1"/>
          <w:numId w:val="31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Eligible Directors shall be granted the equity awards described below. The awards described below shall be granted under and shall be subject to the terms and provisions of the Company’s 2021 Equity Incentive Plan or any other applicable Company equity incentive plan then-maintained by the Company (such plan, as may be amended from time to time, the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184" w:lineRule="exact"/>
        <w:rPr>
          <w:rFonts w:ascii="Arial" w:cs="Arial" w:eastAsia="Arial" w:hAnsi="Arial"/>
          <w:sz w:val="19"/>
          <w:szCs w:val="19"/>
          <w:color w:val="auto"/>
        </w:rPr>
      </w:pPr>
    </w:p>
    <w:p>
      <w:pPr>
        <w:jc w:val="both"/>
        <w:ind w:firstLine="964"/>
        <w:spacing w:after="0" w:line="244" w:lineRule="auto"/>
        <w:tabs>
          <w:tab w:leader="none" w:pos="1620" w:val="left"/>
        </w:tabs>
        <w:numPr>
          <w:ilvl w:val="1"/>
          <w:numId w:val="317"/>
        </w:numPr>
        <w:rPr>
          <w:rFonts w:ascii="Arial" w:cs="Arial" w:eastAsia="Arial" w:hAnsi="Arial"/>
          <w:sz w:val="20"/>
          <w:szCs w:val="20"/>
          <w:color w:val="auto"/>
        </w:rPr>
      </w:pPr>
      <w:r>
        <w:rPr>
          <w:rFonts w:ascii="Arial" w:cs="Arial" w:eastAsia="Arial" w:hAnsi="Arial"/>
          <w:sz w:val="20"/>
          <w:szCs w:val="20"/>
          <w:u w:val="single" w:color="auto"/>
          <w:color w:val="auto"/>
        </w:rPr>
        <w:t>Initial Awards</w:t>
      </w:r>
      <w:r>
        <w:rPr>
          <w:rFonts w:ascii="Arial" w:cs="Arial" w:eastAsia="Arial" w:hAnsi="Arial"/>
          <w:sz w:val="20"/>
          <w:szCs w:val="20"/>
          <w:color w:val="auto"/>
        </w:rPr>
        <w:t>. Each Eligible Director who is initially elected or appointed to serve on the Board after the Effective Date automatically shall be granted an Option with a value of $200,000 (each, an “</w:t>
      </w:r>
      <w:r>
        <w:rPr>
          <w:rFonts w:ascii="Arial" w:cs="Arial" w:eastAsia="Arial" w:hAnsi="Arial"/>
          <w:sz w:val="20"/>
          <w:szCs w:val="20"/>
          <w:b w:val="1"/>
          <w:bCs w:val="1"/>
          <w:i w:val="1"/>
          <w:iCs w:val="1"/>
          <w:color w:val="auto"/>
        </w:rPr>
        <w:t>Initial Award</w:t>
      </w:r>
      <w:r>
        <w:rPr>
          <w:rFonts w:ascii="Arial" w:cs="Arial" w:eastAsia="Arial" w:hAnsi="Arial"/>
          <w:sz w:val="20"/>
          <w:szCs w:val="20"/>
          <w:color w:val="auto"/>
        </w:rPr>
        <w:t>”). Each Initial Award shall be granted on the date on which such Eligible Director is appointed or elected to serve on the Board (the “</w:t>
      </w:r>
      <w:r>
        <w:rPr>
          <w:rFonts w:ascii="Arial" w:cs="Arial" w:eastAsia="Arial" w:hAnsi="Arial"/>
          <w:sz w:val="20"/>
          <w:szCs w:val="20"/>
          <w:b w:val="1"/>
          <w:bCs w:val="1"/>
          <w:i w:val="1"/>
          <w:iCs w:val="1"/>
          <w:color w:val="auto"/>
        </w:rPr>
        <w:t>Election Date</w:t>
      </w:r>
      <w:r>
        <w:rPr>
          <w:rFonts w:ascii="Arial" w:cs="Arial" w:eastAsia="Arial" w:hAnsi="Arial"/>
          <w:sz w:val="20"/>
          <w:szCs w:val="20"/>
          <w:color w:val="auto"/>
        </w:rPr>
        <w:t>”), and shall vest in substantially equal installments on each of the first three anniversaries of the applicable grant date, subject to continued service through the applicable vesting date.</w:t>
      </w:r>
    </w:p>
    <w:p>
      <w:pPr>
        <w:spacing w:after="0" w:line="194" w:lineRule="exact"/>
        <w:rPr>
          <w:rFonts w:ascii="Arial" w:cs="Arial" w:eastAsia="Arial" w:hAnsi="Arial"/>
          <w:sz w:val="20"/>
          <w:szCs w:val="20"/>
          <w:color w:val="auto"/>
        </w:rPr>
      </w:pPr>
    </w:p>
    <w:p>
      <w:pPr>
        <w:jc w:val="both"/>
        <w:ind w:firstLine="964"/>
        <w:spacing w:after="0" w:line="260" w:lineRule="auto"/>
        <w:tabs>
          <w:tab w:leader="none" w:pos="1609" w:val="left"/>
        </w:tabs>
        <w:numPr>
          <w:ilvl w:val="1"/>
          <w:numId w:val="317"/>
        </w:numPr>
        <w:rPr>
          <w:rFonts w:ascii="Arial" w:cs="Arial" w:eastAsia="Arial" w:hAnsi="Arial"/>
          <w:sz w:val="19"/>
          <w:szCs w:val="19"/>
          <w:color w:val="auto"/>
        </w:rPr>
      </w:pPr>
      <w:r>
        <w:rPr>
          <w:rFonts w:ascii="Arial" w:cs="Arial" w:eastAsia="Arial" w:hAnsi="Arial"/>
          <w:sz w:val="19"/>
          <w:szCs w:val="19"/>
          <w:u w:val="single" w:color="auto"/>
          <w:color w:val="auto"/>
        </w:rPr>
        <w:t>Annual Awards</w:t>
      </w:r>
      <w:r>
        <w:rPr>
          <w:rFonts w:ascii="Arial" w:cs="Arial" w:eastAsia="Arial" w:hAnsi="Arial"/>
          <w:sz w:val="19"/>
          <w:szCs w:val="19"/>
          <w:color w:val="auto"/>
        </w:rPr>
        <w:t>. An Eligible Director who is serving on the Board as of the date of the annual meeting of the Company’s stockholders (the “</w:t>
      </w:r>
      <w:r>
        <w:rPr>
          <w:rFonts w:ascii="Arial" w:cs="Arial" w:eastAsia="Arial" w:hAnsi="Arial"/>
          <w:sz w:val="19"/>
          <w:szCs w:val="19"/>
          <w:b w:val="1"/>
          <w:bCs w:val="1"/>
          <w:i w:val="1"/>
          <w:iCs w:val="1"/>
          <w:color w:val="auto"/>
        </w:rPr>
        <w:t>Annual Meeting</w:t>
      </w:r>
      <w:r>
        <w:rPr>
          <w:rFonts w:ascii="Arial" w:cs="Arial" w:eastAsia="Arial" w:hAnsi="Arial"/>
          <w:sz w:val="19"/>
          <w:szCs w:val="19"/>
          <w:color w:val="auto"/>
        </w:rPr>
        <w:t>”) each calendar year beginning with calendar year 2022 shall be granted an Option with a value of $120,000 (an “</w:t>
      </w:r>
      <w:r>
        <w:rPr>
          <w:rFonts w:ascii="Arial" w:cs="Arial" w:eastAsia="Arial" w:hAnsi="Arial"/>
          <w:sz w:val="19"/>
          <w:szCs w:val="19"/>
          <w:b w:val="1"/>
          <w:bCs w:val="1"/>
          <w:i w:val="1"/>
          <w:iCs w:val="1"/>
          <w:color w:val="auto"/>
        </w:rPr>
        <w:t>Annual Award</w:t>
      </w:r>
      <w:r>
        <w:rPr>
          <w:rFonts w:ascii="Arial" w:cs="Arial" w:eastAsia="Arial" w:hAnsi="Arial"/>
          <w:sz w:val="19"/>
          <w:szCs w:val="19"/>
          <w:color w:val="auto"/>
        </w:rPr>
        <w:t>”, together with the Initial Award, the “</w:t>
      </w:r>
      <w:r>
        <w:rPr>
          <w:rFonts w:ascii="Arial" w:cs="Arial" w:eastAsia="Arial" w:hAnsi="Arial"/>
          <w:sz w:val="19"/>
          <w:szCs w:val="19"/>
          <w:b w:val="1"/>
          <w:bCs w:val="1"/>
          <w:i w:val="1"/>
          <w:iCs w:val="1"/>
          <w:color w:val="auto"/>
        </w:rPr>
        <w:t>Director Award</w:t>
      </w:r>
      <w:r>
        <w:rPr>
          <w:rFonts w:ascii="Arial" w:cs="Arial" w:eastAsia="Arial" w:hAnsi="Arial"/>
          <w:sz w:val="19"/>
          <w:szCs w:val="19"/>
          <w:color w:val="auto"/>
        </w:rPr>
        <w:t>”). Each Annual Award shall vest in full on the earlier to occur of (x) the one-year anniversary of the applicable grant date and (y) the date of the next Annual Meeting following the grant date, subject to continued service through the applicable vesting date.</w:t>
      </w:r>
    </w:p>
    <w:p>
      <w:pPr>
        <w:spacing w:after="0" w:line="180" w:lineRule="exact"/>
        <w:rPr>
          <w:rFonts w:ascii="Arial" w:cs="Arial" w:eastAsia="Arial" w:hAnsi="Arial"/>
          <w:sz w:val="19"/>
          <w:szCs w:val="19"/>
          <w:color w:val="auto"/>
        </w:rPr>
      </w:pPr>
    </w:p>
    <w:p>
      <w:pPr>
        <w:jc w:val="both"/>
        <w:ind w:firstLine="964"/>
        <w:spacing w:after="0" w:line="246" w:lineRule="auto"/>
        <w:tabs>
          <w:tab w:leader="none" w:pos="1620" w:val="left"/>
        </w:tabs>
        <w:numPr>
          <w:ilvl w:val="1"/>
          <w:numId w:val="317"/>
        </w:numPr>
        <w:rPr>
          <w:rFonts w:ascii="Arial" w:cs="Arial" w:eastAsia="Arial" w:hAnsi="Arial"/>
          <w:sz w:val="20"/>
          <w:szCs w:val="20"/>
          <w:color w:val="auto"/>
        </w:rPr>
      </w:pPr>
      <w:r>
        <w:rPr>
          <w:rFonts w:ascii="Arial" w:cs="Arial" w:eastAsia="Arial" w:hAnsi="Arial"/>
          <w:sz w:val="20"/>
          <w:szCs w:val="20"/>
          <w:u w:val="single" w:color="auto"/>
          <w:color w:val="auto"/>
        </w:rPr>
        <w:t>Accelerated Vesting Events</w:t>
      </w:r>
      <w:r>
        <w:rPr>
          <w:rFonts w:ascii="Arial" w:cs="Arial" w:eastAsia="Arial" w:hAnsi="Arial"/>
          <w:sz w:val="20"/>
          <w:szCs w:val="20"/>
          <w:color w:val="auto"/>
        </w:rPr>
        <w:t>. Notwithstanding the foregoing, an Eligible Director’s Director Award(s) shall vest in full immediately prior to the occurrence of a Non-Transactional Change in Control, to the extent outstanding and unvested at such time, if the Eligible Director will not become, as of immediately following such Non-Transactional Change in Control, a member of the board of the Company or the ultimate parent of the Company.</w:t>
      </w:r>
    </w:p>
    <w:p>
      <w:pPr>
        <w:spacing w:after="0" w:line="191" w:lineRule="exact"/>
        <w:rPr>
          <w:rFonts w:ascii="Arial" w:cs="Arial" w:eastAsia="Arial" w:hAnsi="Arial"/>
          <w:sz w:val="20"/>
          <w:szCs w:val="20"/>
          <w:color w:val="auto"/>
        </w:rPr>
      </w:pPr>
    </w:p>
    <w:p>
      <w:pPr>
        <w:ind w:left="1600" w:hanging="636"/>
        <w:spacing w:after="0"/>
        <w:tabs>
          <w:tab w:leader="none" w:pos="1600" w:val="left"/>
        </w:tabs>
        <w:numPr>
          <w:ilvl w:val="1"/>
          <w:numId w:val="317"/>
        </w:numPr>
        <w:rPr>
          <w:rFonts w:ascii="Arial" w:cs="Arial" w:eastAsia="Arial" w:hAnsi="Arial"/>
          <w:sz w:val="20"/>
          <w:szCs w:val="20"/>
          <w:color w:val="auto"/>
        </w:rPr>
      </w:pPr>
      <w:r>
        <w:rPr>
          <w:rFonts w:ascii="Arial" w:cs="Arial" w:eastAsia="Arial" w:hAnsi="Arial"/>
          <w:sz w:val="20"/>
          <w:szCs w:val="20"/>
          <w:u w:val="single" w:color="auto"/>
          <w:color w:val="auto"/>
        </w:rPr>
        <w:t>Provisions Applicable to Awards</w:t>
      </w:r>
      <w:r>
        <w:rPr>
          <w:rFonts w:ascii="Arial" w:cs="Arial" w:eastAsia="Arial" w:hAnsi="Arial"/>
          <w:sz w:val="20"/>
          <w:szCs w:val="20"/>
          <w:color w:val="auto"/>
        </w:rPr>
        <w:t>. With respect to any Option granted under this Program:</w:t>
      </w:r>
    </w:p>
    <w:p>
      <w:pPr>
        <w:spacing w:after="0" w:line="215" w:lineRule="exact"/>
        <w:rPr>
          <w:rFonts w:ascii="Arial" w:cs="Arial" w:eastAsia="Arial" w:hAnsi="Arial"/>
          <w:sz w:val="20"/>
          <w:szCs w:val="20"/>
          <w:color w:val="auto"/>
        </w:rPr>
      </w:pPr>
    </w:p>
    <w:p>
      <w:pPr>
        <w:ind w:left="960" w:firstLine="652"/>
        <w:spacing w:after="0" w:line="260" w:lineRule="auto"/>
        <w:tabs>
          <w:tab w:leader="none" w:pos="2252" w:val="left"/>
        </w:tabs>
        <w:numPr>
          <w:ilvl w:val="2"/>
          <w:numId w:val="317"/>
        </w:numPr>
        <w:rPr>
          <w:rFonts w:ascii="Arial" w:cs="Arial" w:eastAsia="Arial" w:hAnsi="Arial"/>
          <w:sz w:val="20"/>
          <w:szCs w:val="20"/>
          <w:color w:val="auto"/>
        </w:rPr>
      </w:pPr>
      <w:r>
        <w:rPr>
          <w:rFonts w:ascii="Arial" w:cs="Arial" w:eastAsia="Arial" w:hAnsi="Arial"/>
          <w:sz w:val="20"/>
          <w:szCs w:val="20"/>
          <w:color w:val="auto"/>
        </w:rPr>
        <w:t>The exercise price per Share with respect to an Option shall be equal to the Fair Market Value of a Share on the applicable grant date.</w:t>
      </w:r>
    </w:p>
    <w:p>
      <w:pPr>
        <w:spacing w:after="0" w:line="176" w:lineRule="exact"/>
        <w:rPr>
          <w:rFonts w:ascii="Arial" w:cs="Arial" w:eastAsia="Arial" w:hAnsi="Arial"/>
          <w:sz w:val="20"/>
          <w:szCs w:val="20"/>
          <w:color w:val="auto"/>
        </w:rPr>
      </w:pPr>
    </w:p>
    <w:p>
      <w:pPr>
        <w:ind w:left="2260" w:hanging="648"/>
        <w:spacing w:after="0"/>
        <w:tabs>
          <w:tab w:leader="none" w:pos="22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An Option shall have a maximum term of ten years from the applicable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0"/>
          </w:cols>
          <w:pgMar w:left="660" w:top="1419" w:right="339" w:bottom="1440" w:gutter="0" w:footer="0" w:header="0"/>
        </w:sectPr>
      </w:pPr>
    </w:p>
    <w:bookmarkStart w:id="383" w:name="page384"/>
    <w:bookmarkEnd w:id="383"/>
    <w:p>
      <w:pPr>
        <w:jc w:val="both"/>
        <w:ind w:left="1300" w:firstLine="652"/>
        <w:spacing w:after="0" w:line="250" w:lineRule="auto"/>
        <w:tabs>
          <w:tab w:leader="none" w:pos="2594" w:val="left"/>
        </w:tabs>
        <w:numPr>
          <w:ilvl w:val="1"/>
          <w:numId w:val="318"/>
        </w:numPr>
        <w:rPr>
          <w:rFonts w:ascii="Arial" w:cs="Arial" w:eastAsia="Arial" w:hAnsi="Arial"/>
          <w:sz w:val="20"/>
          <w:szCs w:val="20"/>
          <w:color w:val="auto"/>
        </w:rPr>
      </w:pPr>
      <w:r>
        <w:rPr>
          <w:rFonts w:ascii="Arial" w:cs="Arial" w:eastAsia="Arial" w:hAnsi="Arial"/>
          <w:sz w:val="20"/>
          <w:szCs w:val="20"/>
          <w:color w:val="auto"/>
        </w:rPr>
        <w:t>The number of Shares subject to an Option shall be determined by dividing the value of the Option by the per share Black-Scholes valuation as of the applicable grant date, utilizing the same assumptions that the Company uses in preparation of its financial statements.</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319"/>
        </w:numPr>
        <w:rPr>
          <w:rFonts w:ascii="Arial" w:cs="Arial" w:eastAsia="Arial" w:hAnsi="Arial"/>
          <w:sz w:val="20"/>
          <w:szCs w:val="20"/>
          <w:color w:val="auto"/>
        </w:rPr>
      </w:pPr>
      <w:r>
        <w:rPr>
          <w:rFonts w:ascii="Arial" w:cs="Arial" w:eastAsia="Arial" w:hAnsi="Arial"/>
          <w:sz w:val="20"/>
          <w:szCs w:val="20"/>
          <w:u w:val="single" w:color="auto"/>
          <w:color w:val="auto"/>
        </w:rPr>
        <w:t>Compensation Limits</w:t>
      </w:r>
      <w:r>
        <w:rPr>
          <w:rFonts w:ascii="Arial" w:cs="Arial" w:eastAsia="Arial" w:hAnsi="Arial"/>
          <w:sz w:val="20"/>
          <w:szCs w:val="20"/>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0575" cy="8483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4057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PROCEPT BIOROBOTICS CORPORATION</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2021 EQUITY INCENTIVE AWARD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126"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ELIGIBILITY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Service Providers are eligible to be granted Awards under the Plan, subject to the limitations described herein.</w:t>
      </w:r>
    </w:p>
    <w:p>
      <w:pPr>
        <w:spacing w:after="0" w:line="156"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 AND DELEGATION</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Administration</w:t>
      </w:r>
      <w:r>
        <w:rPr>
          <w:rFonts w:ascii="Arial" w:cs="Arial" w:eastAsia="Arial" w:hAnsi="Arial"/>
          <w:sz w:val="19"/>
          <w:szCs w:val="19"/>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Appointment of Committees</w:t>
      </w:r>
      <w:r>
        <w:rPr>
          <w:rFonts w:ascii="Arial" w:cs="Arial" w:eastAsia="Arial" w:hAnsi="Arial"/>
          <w:sz w:val="20"/>
          <w:szCs w:val="20"/>
          <w:color w:val="auto"/>
        </w:rPr>
        <w:t>.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AVAILABLE FOR AWARDS</w:t>
      </w:r>
    </w:p>
    <w:p>
      <w:pPr>
        <w:spacing w:after="0" w:line="14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VIII and the terms of this Article IV, the maximum number of Shares that may be issued pursuant to Awards under the Plan shall be equal to the Overall Share Limit. As of the Effective Date, the Company will cease granting awards under the Prior Plan; however, Prior Plan Awards will remain subject to the terms of the Prior Plan. Shares issued under the Plan may consist of authorized but unissued Shares, Shares purchased on the open market or treasury Shares.</w:t>
      </w:r>
    </w:p>
    <w:p>
      <w:pPr>
        <w:spacing w:after="0" w:line="1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 Recycling</w:t>
      </w:r>
      <w:r>
        <w:rPr>
          <w:rFonts w:ascii="Arial" w:cs="Arial" w:eastAsia="Arial" w:hAnsi="Arial"/>
          <w:sz w:val="18"/>
          <w:szCs w:val="18"/>
          <w:color w:val="auto"/>
        </w:rPr>
        <w:t>. If all or any part of an Award or a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w:t>
      </w:r>
    </w:p>
    <w:p>
      <w:pPr>
        <w:sectPr>
          <w:pgSz w:w="11900" w:h="16838" w:orient="portrait"/>
          <w:cols w:equalWidth="0" w:num="1">
            <w:col w:w="11240"/>
          </w:cols>
          <w:pgMar w:left="320" w:top="121" w:right="339" w:bottom="1440" w:gutter="0" w:footer="0" w:header="0"/>
        </w:sectPr>
      </w:pPr>
    </w:p>
    <w:bookmarkStart w:id="385" w:name="page386"/>
    <w:bookmarkEnd w:id="385"/>
    <w:p>
      <w:pPr>
        <w:jc w:val="both"/>
        <w:spacing w:after="0" w:line="255" w:lineRule="auto"/>
        <w:rPr>
          <w:sz w:val="20"/>
          <w:szCs w:val="20"/>
          <w:color w:val="auto"/>
        </w:rPr>
      </w:pPr>
      <w:r>
        <w:rPr>
          <w:rFonts w:ascii="Arial" w:cs="Arial" w:eastAsia="Arial" w:hAnsi="Arial"/>
          <w:sz w:val="19"/>
          <w:szCs w:val="19"/>
          <w:color w:val="auto"/>
        </w:rPr>
        <w:t>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(a) Shares subject to a Stock Appreciation Right that are not issued in connection with the stock settlement of the Stock Appreciation Right on exercise thereof; and (b) Shares purchased on the open market with the cash proceeds from the exercise of Options.</w:t>
      </w:r>
    </w:p>
    <w:p>
      <w:pPr>
        <w:spacing w:after="0" w:line="1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Incentive Stock Option Limitations</w:t>
      </w:r>
      <w:r>
        <w:rPr>
          <w:rFonts w:ascii="Arial" w:cs="Arial" w:eastAsia="Arial" w:hAnsi="Arial"/>
          <w:sz w:val="20"/>
          <w:szCs w:val="20"/>
          <w:color w:val="auto"/>
        </w:rPr>
        <w:t>. Notwithstanding anything to the contrary herein, no more than 21,052,631 Shares may be issued pursuant to the exercise of Incentive Stock Options.</w:t>
      </w:r>
    </w:p>
    <w:p>
      <w:pPr>
        <w:spacing w:after="0" w:line="1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Non-Employee Director Compensation</w:t>
      </w:r>
      <w:r>
        <w:rPr>
          <w:rFonts w:ascii="Arial" w:cs="Arial" w:eastAsia="Arial" w:hAnsi="Arial"/>
          <w:sz w:val="19"/>
          <w:szCs w:val="19"/>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commencing with the calendar year following the calendar year in which the Effective Date occurs,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386" w:name="page387"/>
    <w:bookmarkEnd w:id="386"/>
    <w:p>
      <w:pPr>
        <w:jc w:val="both"/>
        <w:spacing w:after="0" w:line="291" w:lineRule="auto"/>
        <w:rPr>
          <w:sz w:val="20"/>
          <w:szCs w:val="20"/>
          <w:color w:val="auto"/>
        </w:rPr>
      </w:pPr>
      <w:r>
        <w:rPr>
          <w:rFonts w:ascii="Arial" w:cs="Arial" w:eastAsia="Arial" w:hAnsi="Arial"/>
          <w:sz w:val="18"/>
          <w:szCs w:val="18"/>
          <w:color w:val="auto"/>
        </w:rPr>
        <w:t>to any fiscal year of the Company may not exceed $500,000, increased to $750,000 in the fiscal year of a non-employee Director’s initial service as a non-employee Director (which limit shall not apply to the compensation for any non-employee Director of the Company who serves in any capacity in addition to that of a non-employee Director for which he or she receives additional compensation).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OPTIONS AND STOCK APPRECIATION RIGHTS</w:t>
      </w:r>
    </w:p>
    <w:p>
      <w:pPr>
        <w:spacing w:after="0" w:line="14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General</w:t>
      </w:r>
      <w:r>
        <w:rPr>
          <w:rFonts w:ascii="Arial" w:cs="Arial" w:eastAsia="Arial" w:hAnsi="Arial"/>
          <w:sz w:val="20"/>
          <w:szCs w:val="20"/>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Such amount shall be subject to any limitations of the Plan or that the Administrator may impose and payable in cash, Shares valued at Fair Market Value or a combination of the two as the Administrator may determine or provide in the Award Agreement.</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Exercise Price</w:t>
      </w:r>
      <w:r>
        <w:rPr>
          <w:rFonts w:ascii="Arial" w:cs="Arial" w:eastAsia="Arial" w:hAnsi="Arial"/>
          <w:sz w:val="19"/>
          <w:szCs w:val="19"/>
          <w:color w:val="auto"/>
        </w:rPr>
        <w:t>.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Duration</w:t>
      </w:r>
      <w:r>
        <w:rPr>
          <w:rFonts w:ascii="Arial" w:cs="Arial" w:eastAsia="Arial" w:hAnsi="Arial"/>
          <w:sz w:val="19"/>
          <w:szCs w:val="19"/>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provided, however, in no event shall the extension last beyond the ten year term of the applicable Option or Stock Appreciation Right.</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Exercise</w:t>
      </w:r>
      <w:r>
        <w:rPr>
          <w:rFonts w:ascii="Arial" w:cs="Arial" w:eastAsia="Arial" w:hAnsi="Arial"/>
          <w:sz w:val="20"/>
          <w:szCs w:val="20"/>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387" w:name="page388"/>
    <w:bookmarkEnd w:id="387"/>
    <w:p>
      <w:pPr>
        <w:ind w:left="660"/>
        <w:spacing w:after="0"/>
        <w:tabs>
          <w:tab w:leader="none" w:pos="12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u w:val="single" w:color="auto"/>
          <w:color w:val="auto"/>
        </w:rPr>
        <w:t>Payment Upon Exercise</w:t>
      </w:r>
      <w:r>
        <w:rPr>
          <w:rFonts w:ascii="Arial" w:cs="Arial" w:eastAsia="Arial" w:hAnsi="Arial"/>
          <w:sz w:val="19"/>
          <w:szCs w:val="19"/>
          <w:color w:val="auto"/>
        </w:rPr>
        <w:t>. Subject to Section 10.8, any Company insider trading policy (including blackout periods)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Applicable Laws, the exercise price of an Option must be paid by:</w:t>
      </w:r>
    </w:p>
    <w:p>
      <w:pPr>
        <w:spacing w:after="0" w:line="146" w:lineRule="exact"/>
        <w:rPr>
          <w:sz w:val="20"/>
          <w:szCs w:val="20"/>
          <w:color w:val="auto"/>
        </w:rPr>
      </w:pPr>
    </w:p>
    <w:p>
      <w:pPr>
        <w:ind w:firstLine="1304"/>
        <w:spacing w:after="0" w:line="287" w:lineRule="auto"/>
        <w:tabs>
          <w:tab w:leader="none" w:pos="1749" w:val="left"/>
        </w:tabs>
        <w:numPr>
          <w:ilvl w:val="0"/>
          <w:numId w:val="320"/>
        </w:numPr>
        <w:rPr>
          <w:rFonts w:ascii="Arial" w:cs="Arial" w:eastAsia="Arial" w:hAnsi="Arial"/>
          <w:sz w:val="19"/>
          <w:szCs w:val="19"/>
          <w:color w:val="auto"/>
        </w:rPr>
      </w:pPr>
      <w:r>
        <w:rPr>
          <w:rFonts w:ascii="Arial" w:cs="Arial" w:eastAsia="Arial" w:hAnsi="Arial"/>
          <w:sz w:val="19"/>
          <w:szCs w:val="19"/>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98" w:lineRule="exact"/>
        <w:rPr>
          <w:rFonts w:ascii="Arial" w:cs="Arial" w:eastAsia="Arial" w:hAnsi="Arial"/>
          <w:sz w:val="19"/>
          <w:szCs w:val="19"/>
          <w:color w:val="auto"/>
        </w:rPr>
      </w:pPr>
    </w:p>
    <w:p>
      <w:pPr>
        <w:jc w:val="both"/>
        <w:ind w:firstLine="1304"/>
        <w:spacing w:after="0" w:line="243" w:lineRule="auto"/>
        <w:tabs>
          <w:tab w:leader="none" w:pos="1793"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41" w:lineRule="exact"/>
        <w:rPr>
          <w:rFonts w:ascii="Arial" w:cs="Arial" w:eastAsia="Arial" w:hAnsi="Arial"/>
          <w:sz w:val="20"/>
          <w:szCs w:val="20"/>
          <w:color w:val="auto"/>
        </w:rPr>
      </w:pPr>
    </w:p>
    <w:p>
      <w:pPr>
        <w:ind w:right="20" w:firstLine="1304"/>
        <w:spacing w:after="0" w:line="260" w:lineRule="auto"/>
        <w:tabs>
          <w:tab w:leader="none" w:pos="175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(either by actual delivery or attestation) of Shares owned by the Participant valued at their Fair Market Value;</w:t>
      </w:r>
    </w:p>
    <w:p>
      <w:pPr>
        <w:spacing w:after="0" w:line="122" w:lineRule="exact"/>
        <w:rPr>
          <w:rFonts w:ascii="Arial" w:cs="Arial" w:eastAsia="Arial" w:hAnsi="Arial"/>
          <w:sz w:val="20"/>
          <w:szCs w:val="20"/>
          <w:color w:val="auto"/>
        </w:rPr>
      </w:pPr>
    </w:p>
    <w:p>
      <w:pPr>
        <w:ind w:firstLine="1304"/>
        <w:spacing w:after="0" w:line="260" w:lineRule="auto"/>
        <w:tabs>
          <w:tab w:leader="none" w:pos="1792"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to the extent permitted by the Administrator, surrendering Shares then issuable upon the Option’s exercise valued at their Fair Market Value on the exercise date;</w:t>
      </w:r>
    </w:p>
    <w:p>
      <w:pPr>
        <w:spacing w:after="0" w:line="122" w:lineRule="exact"/>
        <w:rPr>
          <w:rFonts w:ascii="Arial" w:cs="Arial" w:eastAsia="Arial" w:hAnsi="Arial"/>
          <w:sz w:val="20"/>
          <w:szCs w:val="20"/>
          <w:color w:val="auto"/>
        </w:rPr>
      </w:pPr>
    </w:p>
    <w:p>
      <w:pPr>
        <w:ind w:right="20" w:firstLine="1304"/>
        <w:spacing w:after="0" w:line="260" w:lineRule="auto"/>
        <w:tabs>
          <w:tab w:leader="none" w:pos="1728"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of a promissory note or any other property that the Administrator determines is good and valuable consideration; or</w:t>
      </w:r>
    </w:p>
    <w:p>
      <w:pPr>
        <w:spacing w:after="0" w:line="122" w:lineRule="exact"/>
        <w:rPr>
          <w:rFonts w:ascii="Arial" w:cs="Arial" w:eastAsia="Arial" w:hAnsi="Arial"/>
          <w:sz w:val="20"/>
          <w:szCs w:val="20"/>
          <w:color w:val="auto"/>
        </w:rPr>
      </w:pPr>
    </w:p>
    <w:p>
      <w:pPr>
        <w:ind w:left="1700" w:hanging="396"/>
        <w:spacing w:after="0"/>
        <w:tabs>
          <w:tab w:leader="none" w:pos="17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the extent permitted by the Company, any combination of the above payment forms approved by the Administrator.</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Additional Terms of Incentive Stock Options</w:t>
      </w:r>
      <w:r>
        <w:rPr>
          <w:rFonts w:ascii="Arial" w:cs="Arial" w:eastAsia="Arial" w:hAnsi="Arial"/>
          <w:sz w:val="19"/>
          <w:szCs w:val="19"/>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RESTRICTED STOCK UNITS; DIVIDEND EQUIVALENTS</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General</w:t>
      </w:r>
      <w:r>
        <w:rPr>
          <w:rFonts w:ascii="Arial" w:cs="Arial" w:eastAsia="Arial" w:hAnsi="Arial"/>
          <w:sz w:val="20"/>
          <w:szCs w:val="20"/>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388" w:name="page389"/>
    <w:bookmarkEnd w:id="388"/>
    <w:p>
      <w:pPr>
        <w:jc w:val="both"/>
        <w:spacing w:after="0" w:line="246" w:lineRule="auto"/>
        <w:rPr>
          <w:sz w:val="20"/>
          <w:szCs w:val="20"/>
          <w:color w:val="auto"/>
        </w:rPr>
      </w:pPr>
      <w:r>
        <w:rPr>
          <w:rFonts w:ascii="Arial" w:cs="Arial" w:eastAsia="Arial" w:hAnsi="Arial"/>
          <w:sz w:val="20"/>
          <w:szCs w:val="20"/>
          <w:color w:val="auto"/>
        </w:rPr>
        <w:t>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162" w:lineRule="exact"/>
        <w:rPr>
          <w:sz w:val="20"/>
          <w:szCs w:val="20"/>
          <w:color w:val="auto"/>
        </w:rPr>
      </w:pPr>
    </w:p>
    <w:p>
      <w:pPr>
        <w:jc w:val="both"/>
        <w:ind w:firstLine="1304"/>
        <w:spacing w:after="0" w:line="244" w:lineRule="auto"/>
        <w:tabs>
          <w:tab w:leader="none" w:pos="1808" w:val="left"/>
        </w:tabs>
        <w:numPr>
          <w:ilvl w:val="0"/>
          <w:numId w:val="321"/>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40" w:lineRule="exact"/>
        <w:rPr>
          <w:rFonts w:ascii="Arial" w:cs="Arial" w:eastAsia="Arial" w:hAnsi="Arial"/>
          <w:sz w:val="20"/>
          <w:szCs w:val="20"/>
          <w:color w:val="auto"/>
        </w:rPr>
      </w:pPr>
    </w:p>
    <w:p>
      <w:pPr>
        <w:ind w:firstLine="1304"/>
        <w:spacing w:after="0" w:line="287" w:lineRule="auto"/>
        <w:tabs>
          <w:tab w:leader="none" w:pos="1724" w:val="left"/>
        </w:tabs>
        <w:numPr>
          <w:ilvl w:val="0"/>
          <w:numId w:val="321"/>
        </w:numPr>
        <w:rPr>
          <w:rFonts w:ascii="Arial" w:cs="Arial" w:eastAsia="Arial" w:hAnsi="Arial"/>
          <w:sz w:val="19"/>
          <w:szCs w:val="19"/>
          <w:color w:val="auto"/>
        </w:rPr>
      </w:pPr>
      <w:r>
        <w:rPr>
          <w:rFonts w:ascii="Arial" w:cs="Arial" w:eastAsia="Arial" w:hAnsi="Arial"/>
          <w:sz w:val="19"/>
          <w:szCs w:val="19"/>
          <w:u w:val="single" w:color="auto"/>
          <w:color w:val="auto"/>
        </w:rPr>
        <w:t>Stock Certificates</w:t>
      </w:r>
      <w:r>
        <w:rPr>
          <w:rFonts w:ascii="Arial" w:cs="Arial" w:eastAsia="Arial" w:hAnsi="Arial"/>
          <w:sz w:val="19"/>
          <w:szCs w:val="19"/>
          <w:color w:val="auto"/>
        </w:rPr>
        <w:t>. The Company may require that the Participant deposit in escrow with the Company (or its designee) any stock certificates issued in respect of shares of Restricted Stock, together with a stock power endorsed in blank.</w:t>
      </w:r>
    </w:p>
    <w:p>
      <w:pPr>
        <w:spacing w:after="0" w:line="9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Restricted Stock Units.</w:t>
      </w:r>
    </w:p>
    <w:p>
      <w:pPr>
        <w:spacing w:after="0" w:line="162" w:lineRule="exact"/>
        <w:rPr>
          <w:sz w:val="20"/>
          <w:szCs w:val="20"/>
          <w:color w:val="auto"/>
        </w:rPr>
      </w:pPr>
    </w:p>
    <w:p>
      <w:pPr>
        <w:jc w:val="both"/>
        <w:ind w:firstLine="1304"/>
        <w:spacing w:after="0" w:line="250" w:lineRule="auto"/>
        <w:tabs>
          <w:tab w:leader="none" w:pos="1794" w:val="left"/>
        </w:tabs>
        <w:numPr>
          <w:ilvl w:val="0"/>
          <w:numId w:val="322"/>
        </w:numPr>
        <w:rPr>
          <w:rFonts w:ascii="Arial" w:cs="Arial" w:eastAsia="Arial" w:hAnsi="Arial"/>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31" w:lineRule="exact"/>
        <w:rPr>
          <w:rFonts w:ascii="Arial" w:cs="Arial" w:eastAsia="Arial" w:hAnsi="Arial"/>
          <w:sz w:val="20"/>
          <w:szCs w:val="20"/>
          <w:color w:val="auto"/>
        </w:rPr>
      </w:pPr>
    </w:p>
    <w:p>
      <w:pPr>
        <w:ind w:firstLine="1304"/>
        <w:spacing w:after="0" w:line="260" w:lineRule="auto"/>
        <w:tabs>
          <w:tab w:leader="none" w:pos="1751" w:val="left"/>
        </w:tabs>
        <w:numPr>
          <w:ilvl w:val="0"/>
          <w:numId w:val="322"/>
        </w:numPr>
        <w:rPr>
          <w:rFonts w:ascii="Arial" w:cs="Arial" w:eastAsia="Arial" w:hAnsi="Arial"/>
          <w:sz w:val="20"/>
          <w:szCs w:val="20"/>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A Participant will have no rights of a stockholder with respect to Shares subject to any Restricted Stock Unit unless and until the Shares are delivered in settlement of the Restricted Stock Unit.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Dividend Equivalents</w:t>
      </w:r>
      <w:r>
        <w:rPr>
          <w:rFonts w:ascii="Arial" w:cs="Arial" w:eastAsia="Arial" w:hAnsi="Arial"/>
          <w:sz w:val="19"/>
          <w:szCs w:val="19"/>
          <w:color w:val="auto"/>
        </w:rPr>
        <w:t>. If the Administrator provides,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STOCK OR CASH BASED AWARDS</w:t>
      </w:r>
    </w:p>
    <w:p>
      <w:pPr>
        <w:spacing w:after="0" w:line="1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389" w:name="page390"/>
    <w:bookmarkEnd w:id="389"/>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ADJUSTMENTS FOR CHANGES IN COMMON STOCK</w:t>
      </w:r>
    </w:p>
    <w:p>
      <w:pPr>
        <w:jc w:val="center"/>
        <w:spacing w:after="0"/>
        <w:rPr>
          <w:sz w:val="20"/>
          <w:szCs w:val="20"/>
          <w:color w:val="auto"/>
        </w:rPr>
      </w:pPr>
      <w:r>
        <w:rPr>
          <w:rFonts w:ascii="Arial" w:cs="Arial" w:eastAsia="Arial" w:hAnsi="Arial"/>
          <w:sz w:val="20"/>
          <w:szCs w:val="20"/>
          <w:b w:val="1"/>
          <w:bCs w:val="1"/>
          <w:color w:val="auto"/>
        </w:rPr>
        <w:t>AND CERTAIN OTHER EVENTS</w:t>
      </w:r>
    </w:p>
    <w:p>
      <w:pPr>
        <w:spacing w:after="0" w:line="1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Equity Restructuring</w:t>
      </w:r>
      <w:r>
        <w:rPr>
          <w:rFonts w:ascii="Arial" w:cs="Arial" w:eastAsia="Arial" w:hAnsi="Arial"/>
          <w:sz w:val="20"/>
          <w:szCs w:val="20"/>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4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Transactions</w:t>
      </w:r>
      <w:r>
        <w:rPr>
          <w:rFonts w:ascii="Arial" w:cs="Arial" w:eastAsia="Arial" w:hAnsi="Arial"/>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22" w:lineRule="exact"/>
        <w:rPr>
          <w:sz w:val="20"/>
          <w:szCs w:val="20"/>
          <w:color w:val="auto"/>
        </w:rPr>
      </w:pPr>
    </w:p>
    <w:p>
      <w:pPr>
        <w:jc w:val="both"/>
        <w:ind w:firstLine="1304"/>
        <w:spacing w:after="0" w:line="276" w:lineRule="auto"/>
        <w:tabs>
          <w:tab w:leader="none" w:pos="176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provided, further, that Awards held by members of the Board will be settled in Shares on or immediately prior to the applicable event if the Administrator takes action under this clause (a);</w:t>
      </w:r>
    </w:p>
    <w:p>
      <w:pPr>
        <w:spacing w:after="0" w:line="110" w:lineRule="exact"/>
        <w:rPr>
          <w:rFonts w:ascii="Arial" w:cs="Arial" w:eastAsia="Arial" w:hAnsi="Arial"/>
          <w:sz w:val="18"/>
          <w:szCs w:val="18"/>
          <w:color w:val="auto"/>
        </w:rPr>
      </w:pPr>
    </w:p>
    <w:p>
      <w:pPr>
        <w:ind w:firstLine="1304"/>
        <w:spacing w:after="0" w:line="260" w:lineRule="auto"/>
        <w:tabs>
          <w:tab w:leader="none" w:pos="1801" w:val="left"/>
        </w:tabs>
        <w:numPr>
          <w:ilvl w:val="0"/>
          <w:numId w:val="323"/>
        </w:numPr>
        <w:rPr>
          <w:rFonts w:ascii="Arial" w:cs="Arial" w:eastAsia="Arial" w:hAnsi="Arial"/>
          <w:sz w:val="20"/>
          <w:szCs w:val="20"/>
          <w:color w:val="auto"/>
        </w:rPr>
      </w:pPr>
      <w:r>
        <w:rPr>
          <w:rFonts w:ascii="Arial" w:cs="Arial" w:eastAsia="Arial" w:hAnsi="Arial"/>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22" w:lineRule="exact"/>
        <w:rPr>
          <w:rFonts w:ascii="Arial" w:cs="Arial" w:eastAsia="Arial" w:hAnsi="Arial"/>
          <w:sz w:val="20"/>
          <w:szCs w:val="20"/>
          <w:color w:val="auto"/>
        </w:rPr>
      </w:pPr>
    </w:p>
    <w:p>
      <w:pPr>
        <w:jc w:val="both"/>
        <w:ind w:firstLine="1304"/>
        <w:spacing w:after="0" w:line="246" w:lineRule="auto"/>
        <w:tabs>
          <w:tab w:leader="none" w:pos="175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37" w:lineRule="exact"/>
        <w:rPr>
          <w:rFonts w:ascii="Arial" w:cs="Arial" w:eastAsia="Arial" w:hAnsi="Arial"/>
          <w:sz w:val="20"/>
          <w:szCs w:val="20"/>
          <w:color w:val="auto"/>
        </w:rPr>
      </w:pPr>
    </w:p>
    <w:p>
      <w:pPr>
        <w:ind w:firstLine="1304"/>
        <w:spacing w:after="0" w:line="260" w:lineRule="auto"/>
        <w:tabs>
          <w:tab w:leader="none" w:pos="1782" w:val="left"/>
        </w:tabs>
        <w:numPr>
          <w:ilvl w:val="0"/>
          <w:numId w:val="323"/>
        </w:numPr>
        <w:rPr>
          <w:rFonts w:ascii="Arial" w:cs="Arial" w:eastAsia="Arial" w:hAnsi="Arial"/>
          <w:sz w:val="20"/>
          <w:szCs w:val="20"/>
          <w:color w:val="auto"/>
        </w:rPr>
      </w:pPr>
      <w:r>
        <w:rPr>
          <w:rFonts w:ascii="Arial" w:cs="Arial" w:eastAsia="Arial" w:hAnsi="Arial"/>
          <w:sz w:val="20"/>
          <w:szCs w:val="20"/>
          <w:color w:val="auto"/>
        </w:rPr>
        <w:t>To make adjustments in the number and type of shares of Common Stock (or other securities or property) subject to outstanding Awards and/or with respect to which Awards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3" w:right="339" w:bottom="1440" w:gutter="0" w:footer="0" w:header="0"/>
        </w:sectPr>
      </w:pPr>
    </w:p>
    <w:bookmarkStart w:id="390" w:name="page391"/>
    <w:bookmarkEnd w:id="390"/>
    <w:p>
      <w:pPr>
        <w:jc w:val="both"/>
        <w:spacing w:after="0" w:line="250" w:lineRule="auto"/>
        <w:rPr>
          <w:sz w:val="20"/>
          <w:szCs w:val="20"/>
          <w:color w:val="auto"/>
        </w:rPr>
      </w:pPr>
      <w:r>
        <w:rPr>
          <w:rFonts w:ascii="Arial" w:cs="Arial" w:eastAsia="Arial" w:hAnsi="Arial"/>
          <w:sz w:val="20"/>
          <w:szCs w:val="20"/>
          <w:color w:val="auto"/>
        </w:rPr>
        <w:t>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132" w:lineRule="exact"/>
        <w:rPr>
          <w:sz w:val="20"/>
          <w:szCs w:val="20"/>
          <w:color w:val="auto"/>
        </w:rPr>
      </w:pPr>
    </w:p>
    <w:p>
      <w:pPr>
        <w:ind w:left="1720" w:hanging="416"/>
        <w:spacing w:after="0"/>
        <w:tabs>
          <w:tab w:leader="none" w:pos="172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To replace such Award with other rights or property selected by the Administrator; and/or</w:t>
      </w:r>
    </w:p>
    <w:p>
      <w:pPr>
        <w:spacing w:after="0" w:line="161" w:lineRule="exact"/>
        <w:rPr>
          <w:rFonts w:ascii="Arial" w:cs="Arial" w:eastAsia="Arial" w:hAnsi="Arial"/>
          <w:sz w:val="20"/>
          <w:szCs w:val="20"/>
          <w:color w:val="auto"/>
        </w:rPr>
      </w:pPr>
    </w:p>
    <w:p>
      <w:pPr>
        <w:ind w:left="1700" w:hanging="396"/>
        <w:spacing w:after="0"/>
        <w:tabs>
          <w:tab w:leader="none" w:pos="17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Effect of Non-Assumption in a Change in Control</w:t>
      </w:r>
      <w:r>
        <w:rPr>
          <w:rFonts w:ascii="Arial" w:cs="Arial" w:eastAsia="Arial" w:hAnsi="Arial"/>
          <w:sz w:val="18"/>
          <w:szCs w:val="18"/>
          <w:color w:val="auto"/>
        </w:rPr>
        <w:t>. 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Arial" w:cs="Arial" w:eastAsia="Arial" w:hAnsi="Arial"/>
          <w:sz w:val="18"/>
          <w:szCs w:val="18"/>
          <w:b w:val="1"/>
          <w:bCs w:val="1"/>
          <w:i w:val="1"/>
          <w:iCs w:val="1"/>
          <w:color w:val="auto"/>
        </w:rPr>
        <w:t>Assumption</w:t>
      </w:r>
      <w:r>
        <w:rPr>
          <w:rFonts w:ascii="Arial" w:cs="Arial" w:eastAsia="Arial" w:hAnsi="Arial"/>
          <w:sz w:val="18"/>
          <w:szCs w:val="18"/>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2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Administrative Stand Still</w:t>
      </w:r>
      <w:r>
        <w:rPr>
          <w:rFonts w:ascii="Arial" w:cs="Arial" w:eastAsia="Arial" w:hAnsi="Arial"/>
          <w:sz w:val="20"/>
          <w:szCs w:val="20"/>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General</w:t>
      </w:r>
      <w:r>
        <w:rPr>
          <w:rFonts w:ascii="Arial" w:cs="Arial" w:eastAsia="Arial" w:hAnsi="Arial"/>
          <w:sz w:val="19"/>
          <w:szCs w:val="19"/>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391" w:name="page392"/>
    <w:bookmarkEnd w:id="391"/>
    <w:p>
      <w:pPr>
        <w:jc w:val="both"/>
        <w:spacing w:after="0" w:line="287" w:lineRule="auto"/>
        <w:rPr>
          <w:sz w:val="20"/>
          <w:szCs w:val="20"/>
          <w:color w:val="auto"/>
        </w:rPr>
      </w:pPr>
      <w:r>
        <w:rPr>
          <w:rFonts w:ascii="Arial" w:cs="Arial" w:eastAsia="Arial" w:hAnsi="Arial"/>
          <w:sz w:val="19"/>
          <w:szCs w:val="19"/>
          <w:color w:val="auto"/>
        </w:rPr>
        <w:t>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 APPLICABLE TO AWARDS</w:t>
      </w:r>
    </w:p>
    <w:p>
      <w:pPr>
        <w:spacing w:after="0" w:line="1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Documentation</w:t>
      </w:r>
      <w:r>
        <w:rPr>
          <w:rFonts w:ascii="Arial" w:cs="Arial" w:eastAsia="Arial" w:hAnsi="Arial"/>
          <w:sz w:val="20"/>
          <w:szCs w:val="20"/>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Discretion</w:t>
      </w:r>
      <w:r>
        <w:rPr>
          <w:rFonts w:ascii="Arial" w:cs="Arial" w:eastAsia="Arial" w:hAnsi="Arial"/>
          <w:sz w:val="20"/>
          <w:szCs w:val="20"/>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Termination of Status</w:t>
      </w:r>
      <w:r>
        <w:rPr>
          <w:rFonts w:ascii="Arial" w:cs="Arial" w:eastAsia="Arial" w:hAnsi="Arial"/>
          <w:sz w:val="20"/>
          <w:szCs w:val="20"/>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Withholding</w:t>
      </w:r>
      <w:r>
        <w:rPr>
          <w:rFonts w:ascii="Arial" w:cs="Arial" w:eastAsia="Arial" w:hAnsi="Arial"/>
          <w:sz w:val="18"/>
          <w:szCs w:val="18"/>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392" w:name="page393"/>
    <w:bookmarkEnd w:id="392"/>
    <w:p>
      <w:pPr>
        <w:jc w:val="both"/>
        <w:spacing w:after="0" w:line="254" w:lineRule="auto"/>
        <w:rPr>
          <w:sz w:val="20"/>
          <w:szCs w:val="20"/>
          <w:color w:val="auto"/>
        </w:rPr>
      </w:pPr>
      <w:r>
        <w:rPr>
          <w:rFonts w:ascii="Arial" w:cs="Arial" w:eastAsia="Arial" w:hAnsi="Arial"/>
          <w:sz w:val="19"/>
          <w:szCs w:val="19"/>
          <w:color w:val="auto"/>
        </w:rPr>
        <w:t>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Amendment of Award; Repricing</w:t>
      </w:r>
      <w:r>
        <w:rPr>
          <w:rFonts w:ascii="Arial" w:cs="Arial" w:eastAsia="Arial" w:hAnsi="Arial"/>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Conditions on Delivery of Stock</w:t>
      </w:r>
      <w:r>
        <w:rPr>
          <w:rFonts w:ascii="Arial" w:cs="Arial" w:eastAsia="Arial" w:hAnsi="Arial"/>
          <w:sz w:val="19"/>
          <w:szCs w:val="19"/>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u w:val="single" w:color="auto"/>
          <w:color w:val="auto"/>
        </w:rPr>
        <w:t>Acceleration</w:t>
      </w:r>
      <w:r>
        <w:rPr>
          <w:rFonts w:ascii="Arial" w:cs="Arial" w:eastAsia="Arial" w:hAnsi="Arial"/>
          <w:sz w:val="20"/>
          <w:szCs w:val="20"/>
          <w:color w:val="auto"/>
        </w:rPr>
        <w:t>. The Administrator may at any time provide that any Award will become immediately vested and fully or partially exercisable, free of some or all restrictions or conditions, or otherwise fully or partially realizable.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9.9 </w:t>
      </w:r>
      <w:r>
        <w:rPr>
          <w:rFonts w:ascii="Arial" w:cs="Arial" w:eastAsia="Arial" w:hAnsi="Arial"/>
          <w:sz w:val="20"/>
          <w:szCs w:val="20"/>
          <w:u w:val="single" w:color="auto"/>
          <w:color w:val="auto"/>
        </w:rPr>
        <w:t>Cash Settlement</w:t>
      </w:r>
      <w:r>
        <w:rPr>
          <w:rFonts w:ascii="Arial" w:cs="Arial" w:eastAsia="Arial" w:hAnsi="Arial"/>
          <w:sz w:val="20"/>
          <w:szCs w:val="20"/>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393" w:name="page394"/>
    <w:bookmarkEnd w:id="393"/>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4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No Right to Employment or Other Status</w:t>
      </w:r>
      <w:r>
        <w:rPr>
          <w:rFonts w:ascii="Arial" w:cs="Arial" w:eastAsia="Arial" w:hAnsi="Arial"/>
          <w:sz w:val="20"/>
          <w:szCs w:val="20"/>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Rights as Stockholder; Certificates</w:t>
      </w:r>
      <w:r>
        <w:rPr>
          <w:rFonts w:ascii="Arial" w:cs="Arial" w:eastAsia="Arial" w:hAnsi="Arial"/>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Effective Date</w:t>
      </w:r>
      <w:r>
        <w:rPr>
          <w:rFonts w:ascii="Arial" w:cs="Arial" w:eastAsia="Arial" w:hAnsi="Arial"/>
          <w:sz w:val="20"/>
          <w:szCs w:val="20"/>
          <w:color w:val="auto"/>
        </w:rPr>
        <w:t>. The Plan will become effective on the day prior to the Public Trading Date (such prior date, the “</w:t>
      </w:r>
      <w:r>
        <w:rPr>
          <w:rFonts w:ascii="Arial" w:cs="Arial" w:eastAsia="Arial" w:hAnsi="Arial"/>
          <w:sz w:val="20"/>
          <w:szCs w:val="20"/>
          <w:b w:val="1"/>
          <w:bCs w:val="1"/>
          <w:i w:val="1"/>
          <w:iCs w:val="1"/>
          <w:color w:val="auto"/>
        </w:rPr>
        <w:t>Effective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Notwithstanding anything to the contrary in the Plan, an Incentive Stock Option may not be granted under the Plan after 10 years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the earlier of (i) the date the Board adopted the Plan or (ii) the date the Company’s stockholders approved the Plan. If the Plan is not approved by the Company’s stockholders, the Plan will not become effective and no Awards will be granted under the Plan and the Prior Plan will continue in full force and effect in accordance with its terms.</w:t>
      </w:r>
    </w:p>
    <w:p>
      <w:pPr>
        <w:spacing w:after="0" w:line="1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Amendment of Plan</w:t>
      </w:r>
      <w:r>
        <w:rPr>
          <w:rFonts w:ascii="Arial" w:cs="Arial" w:eastAsia="Arial" w:hAnsi="Arial"/>
          <w:sz w:val="20"/>
          <w:szCs w:val="20"/>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Provisions for Foreign Participants</w:t>
      </w:r>
      <w:r>
        <w:rPr>
          <w:rFonts w:ascii="Arial" w:cs="Arial" w:eastAsia="Arial" w:hAnsi="Arial"/>
          <w:sz w:val="19"/>
          <w:szCs w:val="19"/>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1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62" w:lineRule="exact"/>
        <w:rPr>
          <w:sz w:val="20"/>
          <w:szCs w:val="20"/>
          <w:color w:val="auto"/>
        </w:rPr>
      </w:pPr>
    </w:p>
    <w:p>
      <w:pPr>
        <w:jc w:val="both"/>
        <w:ind w:firstLine="1304"/>
        <w:spacing w:after="0" w:line="303" w:lineRule="auto"/>
        <w:tabs>
          <w:tab w:leader="none" w:pos="1754"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comply with Section 409A, including regulations, guidance, compliance programs and other interpretative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3" w:right="339" w:bottom="1440" w:gutter="0" w:footer="0" w:header="0"/>
        </w:sectPr>
      </w:pPr>
    </w:p>
    <w:bookmarkStart w:id="394" w:name="page395"/>
    <w:bookmarkEnd w:id="394"/>
    <w:p>
      <w:pPr>
        <w:jc w:val="both"/>
        <w:spacing w:after="0" w:line="244" w:lineRule="auto"/>
        <w:rPr>
          <w:sz w:val="20"/>
          <w:szCs w:val="20"/>
          <w:color w:val="auto"/>
        </w:rPr>
      </w:pPr>
      <w:r>
        <w:rPr>
          <w:rFonts w:ascii="Arial" w:cs="Arial" w:eastAsia="Arial" w:hAnsi="Arial"/>
          <w:sz w:val="20"/>
          <w:szCs w:val="20"/>
          <w:color w:val="auto"/>
        </w:rPr>
        <w:t>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40" w:lineRule="exact"/>
        <w:rPr>
          <w:sz w:val="20"/>
          <w:szCs w:val="20"/>
          <w:color w:val="auto"/>
        </w:rPr>
      </w:pPr>
    </w:p>
    <w:p>
      <w:pPr>
        <w:jc w:val="both"/>
        <w:ind w:firstLine="1304"/>
        <w:spacing w:after="0" w:line="243" w:lineRule="auto"/>
        <w:tabs>
          <w:tab w:leader="none" w:pos="1846" w:val="left"/>
        </w:tabs>
        <w:numPr>
          <w:ilvl w:val="0"/>
          <w:numId w:val="327"/>
        </w:numPr>
        <w:rPr>
          <w:rFonts w:ascii="Arial" w:cs="Arial" w:eastAsia="Arial" w:hAnsi="Arial"/>
          <w:sz w:val="20"/>
          <w:szCs w:val="20"/>
          <w:color w:val="auto"/>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41" w:lineRule="exact"/>
        <w:rPr>
          <w:rFonts w:ascii="Arial" w:cs="Arial" w:eastAsia="Arial" w:hAnsi="Arial"/>
          <w:sz w:val="20"/>
          <w:szCs w:val="20"/>
          <w:color w:val="auto"/>
        </w:rPr>
      </w:pPr>
    </w:p>
    <w:p>
      <w:pPr>
        <w:jc w:val="both"/>
        <w:ind w:firstLine="1304"/>
        <w:spacing w:after="0" w:line="255" w:lineRule="auto"/>
        <w:tabs>
          <w:tab w:leader="none" w:pos="1754" w:val="left"/>
        </w:tabs>
        <w:numPr>
          <w:ilvl w:val="0"/>
          <w:numId w:val="327"/>
        </w:numPr>
        <w:rPr>
          <w:rFonts w:ascii="Arial" w:cs="Arial" w:eastAsia="Arial" w:hAnsi="Arial"/>
          <w:sz w:val="19"/>
          <w:szCs w:val="19"/>
          <w:color w:val="auto"/>
        </w:rPr>
      </w:pPr>
      <w:r>
        <w:rPr>
          <w:rFonts w:ascii="Arial" w:cs="Arial" w:eastAsia="Arial" w:hAnsi="Arial"/>
          <w:sz w:val="19"/>
          <w:szCs w:val="19"/>
          <w:u w:val="single" w:color="auto"/>
          <w:color w:val="auto"/>
        </w:rPr>
        <w:t>Payments to Specified Employees</w:t>
      </w:r>
      <w:r>
        <w:rPr>
          <w:rFonts w:ascii="Arial" w:cs="Arial" w:eastAsia="Arial" w:hAnsi="Arial"/>
          <w:sz w:val="19"/>
          <w:szCs w:val="19"/>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 Furthermore,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3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u w:val="single" w:color="auto"/>
          <w:color w:val="auto"/>
        </w:rPr>
        <w:t>Limitations on Liability</w:t>
      </w:r>
      <w:r>
        <w:rPr>
          <w:rFonts w:ascii="Arial" w:cs="Arial" w:eastAsia="Arial" w:hAnsi="Arial"/>
          <w:sz w:val="20"/>
          <w:szCs w:val="20"/>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Lock-Up Period</w:t>
      </w:r>
      <w:r>
        <w:rPr>
          <w:rFonts w:ascii="Arial" w:cs="Arial" w:eastAsia="Arial" w:hAnsi="Arial"/>
          <w:sz w:val="19"/>
          <w:szCs w:val="19"/>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395" w:name="page396"/>
    <w:bookmarkEnd w:id="395"/>
    <w:p>
      <w:pPr>
        <w:jc w:val="both"/>
        <w:ind w:firstLine="648"/>
        <w:spacing w:after="0" w:line="268"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Data Privacy</w:t>
      </w:r>
      <w:r>
        <w:rPr>
          <w:rFonts w:ascii="Arial" w:cs="Arial" w:eastAsia="Arial" w:hAnsi="Arial"/>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1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Governing Documents</w:t>
      </w:r>
      <w:r>
        <w:rPr>
          <w:rFonts w:ascii="Arial" w:cs="Arial" w:eastAsia="Arial" w:hAnsi="Arial"/>
          <w:sz w:val="19"/>
          <w:szCs w:val="19"/>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1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10.13 </w:t>
      </w:r>
      <w:r>
        <w:rPr>
          <w:rFonts w:ascii="Arial" w:cs="Arial" w:eastAsia="Arial" w:hAnsi="Arial"/>
          <w:sz w:val="20"/>
          <w:szCs w:val="20"/>
          <w:u w:val="single" w:color="auto"/>
          <w:color w:val="auto"/>
        </w:rPr>
        <w:t>Claw-back Provisions</w:t>
      </w:r>
      <w:r>
        <w:rPr>
          <w:rFonts w:ascii="Arial" w:cs="Arial" w:eastAsia="Arial" w:hAnsi="Arial"/>
          <w:sz w:val="20"/>
          <w:szCs w:val="20"/>
          <w:color w:val="auto"/>
        </w:rPr>
        <w:t>. All Awards (including, without limitation,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396" w:name="page397"/>
    <w:bookmarkEnd w:id="396"/>
    <w:p>
      <w:pPr>
        <w:jc w:val="both"/>
        <w:ind w:firstLine="648"/>
        <w:spacing w:after="0" w:line="260" w:lineRule="auto"/>
        <w:rPr>
          <w:sz w:val="20"/>
          <w:szCs w:val="20"/>
          <w:color w:val="auto"/>
        </w:rPr>
      </w:pPr>
      <w:r>
        <w:rPr>
          <w:rFonts w:ascii="Arial" w:cs="Arial" w:eastAsia="Arial" w:hAnsi="Arial"/>
          <w:sz w:val="20"/>
          <w:szCs w:val="20"/>
          <w:color w:val="auto"/>
        </w:rPr>
        <w:t xml:space="preserve">10.14 </w:t>
      </w:r>
      <w:r>
        <w:rPr>
          <w:rFonts w:ascii="Arial" w:cs="Arial" w:eastAsia="Arial" w:hAnsi="Arial"/>
          <w:sz w:val="20"/>
          <w:szCs w:val="20"/>
          <w:u w:val="single" w:color="auto"/>
          <w:color w:val="auto"/>
        </w:rPr>
        <w:t>Titles and Headings</w:t>
      </w:r>
      <w:r>
        <w:rPr>
          <w:rFonts w:ascii="Arial" w:cs="Arial" w:eastAsia="Arial" w:hAnsi="Arial"/>
          <w:sz w:val="20"/>
          <w:szCs w:val="20"/>
          <w:color w:val="auto"/>
        </w:rPr>
        <w:t>. The titles and headings in the Plan are for convenience of reference only and, if any conflict, the Plan’s text, rather than such titles or headings, will control.</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10.16 </w:t>
      </w:r>
      <w:r>
        <w:rPr>
          <w:rFonts w:ascii="Arial" w:cs="Arial" w:eastAsia="Arial" w:hAnsi="Arial"/>
          <w:sz w:val="20"/>
          <w:szCs w:val="20"/>
          <w:u w:val="single" w:color="auto"/>
          <w:color w:val="auto"/>
        </w:rPr>
        <w:t>Relationship to Other Benefits</w:t>
      </w:r>
      <w:r>
        <w:rPr>
          <w:rFonts w:ascii="Arial" w:cs="Arial" w:eastAsia="Arial" w:hAnsi="Arial"/>
          <w:sz w:val="20"/>
          <w:szCs w:val="20"/>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10.17 </w:t>
      </w:r>
      <w:r>
        <w:rPr>
          <w:rFonts w:ascii="Arial" w:cs="Arial" w:eastAsia="Arial" w:hAnsi="Arial"/>
          <w:sz w:val="19"/>
          <w:szCs w:val="19"/>
          <w:u w:val="single" w:color="auto"/>
          <w:color w:val="auto"/>
        </w:rPr>
        <w:t>Broker-Assisted Sales</w:t>
      </w:r>
      <w:r>
        <w:rPr>
          <w:rFonts w:ascii="Arial" w:cs="Arial" w:eastAsia="Arial" w:hAnsi="Arial"/>
          <w:sz w:val="19"/>
          <w:szCs w:val="19"/>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27"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DEFINITIONS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the Plan, the following words and phrases will have the following meanings: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 means the Board or a Committee to the extent that the Board’s powers or authority under the Plan have been delegated to such Committee.</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individually or collectively, a grant under the Plan of Options, Stock Appreciation Rights, Restricted Stock, Restricted Stock Units, Dividend Equivalents, or Other Stock or Cash Based Awards.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11.4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397" w:name="page398"/>
    <w:bookmarkEnd w:id="397"/>
    <w:p>
      <w:pPr>
        <w:ind w:firstLine="648"/>
        <w:spacing w:after="0" w:line="260"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except as may otherwise be provided in Participant’s employment or service agreement to the extent such agreement is in effect at the relevant time, any of the following events:</w:t>
      </w:r>
    </w:p>
    <w:p>
      <w:pPr>
        <w:spacing w:after="0" w:line="123" w:lineRule="exact"/>
        <w:rPr>
          <w:sz w:val="20"/>
          <w:szCs w:val="20"/>
          <w:color w:val="auto"/>
        </w:rPr>
      </w:pPr>
    </w:p>
    <w:p>
      <w:pPr>
        <w:jc w:val="both"/>
        <w:ind w:left="660" w:firstLine="644"/>
        <w:spacing w:after="0" w:line="244" w:lineRule="auto"/>
        <w:tabs>
          <w:tab w:leader="none" w:pos="1788" w:val="left"/>
        </w:tabs>
        <w:numPr>
          <w:ilvl w:val="0"/>
          <w:numId w:val="328"/>
        </w:numPr>
        <w:rPr>
          <w:rFonts w:ascii="Arial" w:cs="Arial" w:eastAsia="Arial" w:hAnsi="Arial"/>
          <w:sz w:val="20"/>
          <w:szCs w:val="20"/>
          <w:color w:val="auto"/>
        </w:rPr>
      </w:pPr>
      <w:r>
        <w:rPr>
          <w:rFonts w:ascii="Arial" w:cs="Arial" w:eastAsia="Arial" w:hAnsi="Arial"/>
          <w:sz w:val="20"/>
          <w:szCs w:val="20"/>
          <w:color w:val="auto"/>
        </w:rPr>
        <w:t>Participant’s willful failure substantially to perform his or her duties and responsibilities to the Company (other than any such failure resulting from Participant’s incapacity due to physical or mental illness) or carry out or comply with a lawful and reasonable directive of the Company, in each case, after a written demand for performance is delivered to Participant by Administrator, which demand specifically identifies the manner in which the Administrator believes that Participant has not performed his or her duties;</w:t>
      </w:r>
    </w:p>
    <w:p>
      <w:pPr>
        <w:spacing w:after="0" w:line="140" w:lineRule="exact"/>
        <w:rPr>
          <w:rFonts w:ascii="Arial" w:cs="Arial" w:eastAsia="Arial" w:hAnsi="Arial"/>
          <w:sz w:val="20"/>
          <w:szCs w:val="20"/>
          <w:color w:val="auto"/>
        </w:rPr>
      </w:pPr>
    </w:p>
    <w:p>
      <w:pPr>
        <w:ind w:left="1740" w:hanging="436"/>
        <w:spacing w:after="0"/>
        <w:tabs>
          <w:tab w:leader="none" w:pos="17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Participant’s deliberate violation of Company policy;</w:t>
      </w:r>
    </w:p>
    <w:p>
      <w:pPr>
        <w:spacing w:after="0" w:line="161" w:lineRule="exact"/>
        <w:rPr>
          <w:rFonts w:ascii="Arial" w:cs="Arial" w:eastAsia="Arial" w:hAnsi="Arial"/>
          <w:sz w:val="20"/>
          <w:szCs w:val="20"/>
          <w:color w:val="auto"/>
        </w:rPr>
      </w:pPr>
    </w:p>
    <w:p>
      <w:pPr>
        <w:jc w:val="both"/>
        <w:ind w:left="660" w:firstLine="644"/>
        <w:spacing w:after="0" w:line="250" w:lineRule="auto"/>
        <w:tabs>
          <w:tab w:leader="none" w:pos="1763" w:val="left"/>
        </w:tabs>
        <w:numPr>
          <w:ilvl w:val="0"/>
          <w:numId w:val="328"/>
        </w:numPr>
        <w:rPr>
          <w:rFonts w:ascii="Arial" w:cs="Arial" w:eastAsia="Arial" w:hAnsi="Arial"/>
          <w:sz w:val="20"/>
          <w:szCs w:val="20"/>
          <w:color w:val="auto"/>
        </w:rPr>
      </w:pPr>
      <w:r>
        <w:rPr>
          <w:rFonts w:ascii="Arial" w:cs="Arial" w:eastAsia="Arial" w:hAnsi="Arial"/>
          <w:sz w:val="20"/>
          <w:szCs w:val="20"/>
          <w:color w:val="auto"/>
        </w:rPr>
        <w:t>Participant’s commission of, including any entry by Participant of a guilty or no contest plea to, any felony under any state, federal or foreign law or any crime involving moral turpitude, or Participant’s commission of unlawful harassment or discrimination;</w:t>
      </w:r>
    </w:p>
    <w:p>
      <w:pPr>
        <w:spacing w:after="0" w:line="131" w:lineRule="exact"/>
        <w:rPr>
          <w:rFonts w:ascii="Arial" w:cs="Arial" w:eastAsia="Arial" w:hAnsi="Arial"/>
          <w:sz w:val="20"/>
          <w:szCs w:val="20"/>
          <w:color w:val="auto"/>
        </w:rPr>
      </w:pPr>
    </w:p>
    <w:p>
      <w:pPr>
        <w:ind w:left="660" w:right="20" w:firstLine="644"/>
        <w:spacing w:after="0" w:line="260" w:lineRule="auto"/>
        <w:tabs>
          <w:tab w:leader="none" w:pos="1739" w:val="left"/>
        </w:tabs>
        <w:numPr>
          <w:ilvl w:val="0"/>
          <w:numId w:val="328"/>
        </w:numPr>
        <w:rPr>
          <w:rFonts w:ascii="Arial" w:cs="Arial" w:eastAsia="Arial" w:hAnsi="Arial"/>
          <w:sz w:val="20"/>
          <w:szCs w:val="20"/>
          <w:color w:val="auto"/>
        </w:rPr>
      </w:pPr>
      <w:r>
        <w:rPr>
          <w:rFonts w:ascii="Arial" w:cs="Arial" w:eastAsia="Arial" w:hAnsi="Arial"/>
          <w:sz w:val="20"/>
          <w:szCs w:val="20"/>
          <w:color w:val="auto"/>
        </w:rPr>
        <w:t>Participant’s commission of any act of fraud, embezzlement, dishonesty or any other willful misconduct that has caused or is reasonably expected to result in material reputational, economic or financial injury to the Company;</w:t>
      </w:r>
    </w:p>
    <w:p>
      <w:pPr>
        <w:spacing w:after="0" w:line="122" w:lineRule="exact"/>
        <w:rPr>
          <w:rFonts w:ascii="Arial" w:cs="Arial" w:eastAsia="Arial" w:hAnsi="Arial"/>
          <w:sz w:val="20"/>
          <w:szCs w:val="20"/>
          <w:color w:val="auto"/>
        </w:rPr>
      </w:pPr>
    </w:p>
    <w:p>
      <w:pPr>
        <w:ind w:left="660" w:firstLine="644"/>
        <w:spacing w:after="0" w:line="260" w:lineRule="auto"/>
        <w:tabs>
          <w:tab w:leader="none" w:pos="1725" w:val="left"/>
        </w:tabs>
        <w:numPr>
          <w:ilvl w:val="0"/>
          <w:numId w:val="328"/>
        </w:numPr>
        <w:rPr>
          <w:rFonts w:ascii="Arial" w:cs="Arial" w:eastAsia="Arial" w:hAnsi="Arial"/>
          <w:sz w:val="20"/>
          <w:szCs w:val="20"/>
          <w:color w:val="auto"/>
        </w:rPr>
      </w:pPr>
      <w:r>
        <w:rPr>
          <w:rFonts w:ascii="Arial" w:cs="Arial" w:eastAsia="Arial" w:hAnsi="Arial"/>
          <w:sz w:val="20"/>
          <w:szCs w:val="20"/>
          <w:color w:val="auto"/>
        </w:rPr>
        <w:t>Participant’s unlawful use (including being under the influence) or possession of illegal drugs on the Company’s (or any affiliate’s) premises or while performing Participant’s duties and responsibilities;</w:t>
      </w:r>
    </w:p>
    <w:p>
      <w:pPr>
        <w:spacing w:after="0" w:line="122" w:lineRule="exact"/>
        <w:rPr>
          <w:rFonts w:ascii="Arial" w:cs="Arial" w:eastAsia="Arial" w:hAnsi="Arial"/>
          <w:sz w:val="20"/>
          <w:szCs w:val="20"/>
          <w:color w:val="auto"/>
        </w:rPr>
      </w:pPr>
    </w:p>
    <w:p>
      <w:pPr>
        <w:ind w:left="660" w:right="20" w:firstLine="644"/>
        <w:spacing w:after="0" w:line="260" w:lineRule="auto"/>
        <w:tabs>
          <w:tab w:leader="none" w:pos="1722" w:val="left"/>
        </w:tabs>
        <w:numPr>
          <w:ilvl w:val="0"/>
          <w:numId w:val="328"/>
        </w:numPr>
        <w:rPr>
          <w:rFonts w:ascii="Arial" w:cs="Arial" w:eastAsia="Arial" w:hAnsi="Arial"/>
          <w:sz w:val="20"/>
          <w:szCs w:val="20"/>
          <w:color w:val="auto"/>
        </w:rPr>
      </w:pPr>
      <w:r>
        <w:rPr>
          <w:rFonts w:ascii="Arial" w:cs="Arial" w:eastAsia="Arial" w:hAnsi="Arial"/>
          <w:sz w:val="20"/>
          <w:szCs w:val="20"/>
          <w:color w:val="auto"/>
        </w:rPr>
        <w:t>Participant’s willful misconduct or gross negligence with respect to any material aspect of the Company’s business or a material breach by Participant of his or her fiduciary duty to the Company;</w:t>
      </w:r>
    </w:p>
    <w:p>
      <w:pPr>
        <w:spacing w:after="0" w:line="122" w:lineRule="exact"/>
        <w:rPr>
          <w:rFonts w:ascii="Arial" w:cs="Arial" w:eastAsia="Arial" w:hAnsi="Arial"/>
          <w:sz w:val="20"/>
          <w:szCs w:val="20"/>
          <w:color w:val="auto"/>
        </w:rPr>
      </w:pPr>
    </w:p>
    <w:p>
      <w:pPr>
        <w:ind w:left="660" w:firstLine="644"/>
        <w:spacing w:after="0" w:line="316" w:lineRule="auto"/>
        <w:tabs>
          <w:tab w:leader="none" w:pos="174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unauthorized use or disclosure by the Participant of any proprietary information or trade secrets of the Company or any other party to whom Participant owes an obligation of nondisclosure as a result of his or her relationship with the Company; or</w:t>
      </w:r>
    </w:p>
    <w:p>
      <w:pPr>
        <w:spacing w:after="0" w:line="75" w:lineRule="exact"/>
        <w:rPr>
          <w:rFonts w:ascii="Arial" w:cs="Arial" w:eastAsia="Arial" w:hAnsi="Arial"/>
          <w:sz w:val="18"/>
          <w:szCs w:val="18"/>
          <w:color w:val="auto"/>
        </w:rPr>
      </w:pPr>
    </w:p>
    <w:p>
      <w:pPr>
        <w:ind w:left="1740" w:hanging="436"/>
        <w:spacing w:after="0"/>
        <w:tabs>
          <w:tab w:leader="none" w:pos="1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Participant’s willful breach of any of his or her obligations under any written agreement or covenant with the Company.</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11.7  “</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and includes each of the following:</w:t>
      </w:r>
    </w:p>
    <w:p>
      <w:pPr>
        <w:spacing w:after="0" w:line="162" w:lineRule="exact"/>
        <w:rPr>
          <w:sz w:val="20"/>
          <w:szCs w:val="20"/>
          <w:color w:val="auto"/>
        </w:rPr>
      </w:pPr>
    </w:p>
    <w:p>
      <w:pPr>
        <w:jc w:val="both"/>
        <w:ind w:firstLine="1304"/>
        <w:spacing w:after="0" w:line="257" w:lineRule="auto"/>
        <w:tabs>
          <w:tab w:leader="none" w:pos="1835" w:val="left"/>
        </w:tabs>
        <w:numPr>
          <w:ilvl w:val="0"/>
          <w:numId w:val="329"/>
        </w:numPr>
        <w:rPr>
          <w:rFonts w:ascii="Arial" w:cs="Arial" w:eastAsia="Arial" w:hAnsi="Arial"/>
          <w:sz w:val="19"/>
          <w:szCs w:val="19"/>
          <w:color w:val="auto"/>
        </w:rPr>
      </w:pPr>
      <w:r>
        <w:rPr>
          <w:rFonts w:ascii="Arial" w:cs="Arial" w:eastAsia="Arial" w:hAnsi="Arial"/>
          <w:sz w:val="19"/>
          <w:szCs w:val="19"/>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26" w:lineRule="exact"/>
        <w:rPr>
          <w:rFonts w:ascii="Arial" w:cs="Arial" w:eastAsia="Arial" w:hAnsi="Arial"/>
          <w:sz w:val="19"/>
          <w:szCs w:val="19"/>
          <w:color w:val="auto"/>
        </w:rPr>
      </w:pPr>
    </w:p>
    <w:p>
      <w:pPr>
        <w:jc w:val="both"/>
        <w:ind w:firstLine="1304"/>
        <w:spacing w:after="0" w:line="250" w:lineRule="auto"/>
        <w:tabs>
          <w:tab w:leader="none" w:pos="1804" w:val="left"/>
        </w:tabs>
        <w:numPr>
          <w:ilvl w:val="0"/>
          <w:numId w:val="329"/>
        </w:numPr>
        <w:rPr>
          <w:rFonts w:ascii="Arial" w:cs="Arial" w:eastAsia="Arial" w:hAnsi="Arial"/>
          <w:sz w:val="20"/>
          <w:szCs w:val="20"/>
          <w:color w:val="auto"/>
        </w:rPr>
      </w:pPr>
      <w:r>
        <w:rPr>
          <w:rFonts w:ascii="Arial" w:cs="Arial" w:eastAsia="Arial" w:hAnsi="Arial"/>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398" w:name="page399"/>
    <w:bookmarkEnd w:id="398"/>
    <w:p>
      <w:pPr>
        <w:jc w:val="both"/>
        <w:spacing w:after="0" w:line="246" w:lineRule="auto"/>
        <w:rPr>
          <w:sz w:val="20"/>
          <w:szCs w:val="20"/>
          <w:color w:val="auto"/>
        </w:rPr>
      </w:pPr>
      <w:r>
        <w:rPr>
          <w:rFonts w:ascii="Arial" w:cs="Arial" w:eastAsia="Arial" w:hAnsi="Arial"/>
          <w:sz w:val="20"/>
          <w:szCs w:val="20"/>
          <w:color w:val="auto"/>
        </w:rPr>
        <w:t>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(a “</w:t>
      </w:r>
      <w:r>
        <w:rPr>
          <w:rFonts w:ascii="Arial" w:cs="Arial" w:eastAsia="Arial" w:hAnsi="Arial"/>
          <w:sz w:val="20"/>
          <w:szCs w:val="20"/>
          <w:b w:val="1"/>
          <w:bCs w:val="1"/>
          <w:i w:val="1"/>
          <w:iCs w:val="1"/>
          <w:color w:val="auto"/>
        </w:rPr>
        <w:t>Non-Transactional Change in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Control</w:t>
      </w:r>
      <w:r>
        <w:rPr>
          <w:rFonts w:ascii="Arial" w:cs="Arial" w:eastAsia="Arial" w:hAnsi="Arial"/>
          <w:sz w:val="20"/>
          <w:szCs w:val="20"/>
          <w:color w:val="auto"/>
        </w:rPr>
        <w:t>”); or</w:t>
      </w:r>
    </w:p>
    <w:p>
      <w:pPr>
        <w:spacing w:after="0" w:line="137" w:lineRule="exact"/>
        <w:rPr>
          <w:sz w:val="20"/>
          <w:szCs w:val="20"/>
          <w:color w:val="auto"/>
        </w:rPr>
      </w:pPr>
    </w:p>
    <w:p>
      <w:pPr>
        <w:jc w:val="both"/>
        <w:ind w:firstLine="1304"/>
        <w:spacing w:after="0" w:line="246" w:lineRule="auto"/>
        <w:tabs>
          <w:tab w:leader="none" w:pos="1794" w:val="left"/>
        </w:tabs>
        <w:numPr>
          <w:ilvl w:val="0"/>
          <w:numId w:val="330"/>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37" w:lineRule="exact"/>
        <w:rPr>
          <w:rFonts w:ascii="Arial" w:cs="Arial" w:eastAsia="Arial" w:hAnsi="Arial"/>
          <w:sz w:val="20"/>
          <w:szCs w:val="20"/>
          <w:color w:val="auto"/>
        </w:rPr>
      </w:pPr>
    </w:p>
    <w:p>
      <w:pPr>
        <w:jc w:val="both"/>
        <w:ind w:firstLine="1952"/>
        <w:spacing w:after="0" w:line="278" w:lineRule="auto"/>
        <w:tabs>
          <w:tab w:leader="none" w:pos="237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10" w:lineRule="exact"/>
        <w:rPr>
          <w:rFonts w:ascii="Arial" w:cs="Arial" w:eastAsia="Arial" w:hAnsi="Arial"/>
          <w:sz w:val="18"/>
          <w:szCs w:val="18"/>
          <w:color w:val="auto"/>
        </w:rPr>
      </w:pPr>
    </w:p>
    <w:p>
      <w:pPr>
        <w:jc w:val="both"/>
        <w:ind w:firstLine="1952"/>
        <w:spacing w:after="0" w:line="246" w:lineRule="auto"/>
        <w:tabs>
          <w:tab w:leader="none" w:pos="2413" w:val="left"/>
        </w:tabs>
        <w:numPr>
          <w:ilvl w:val="1"/>
          <w:numId w:val="330"/>
        </w:numPr>
        <w:rPr>
          <w:rFonts w:ascii="Arial" w:cs="Arial" w:eastAsia="Arial" w:hAnsi="Arial"/>
          <w:sz w:val="20"/>
          <w:szCs w:val="20"/>
          <w:color w:val="auto"/>
        </w:rPr>
      </w:pPr>
      <w:r>
        <w:rPr>
          <w:rFonts w:ascii="Arial" w:cs="Arial" w:eastAsia="Arial" w:hAnsi="Arial"/>
          <w:sz w:val="20"/>
          <w:szCs w:val="20"/>
          <w:color w:val="auto"/>
        </w:rPr>
        <w:t xml:space="preserve">after which no person or group beneficially owns voting securities representing 50% or more of the combined voting power of the Successor Entity;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3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on which the Company’s initial public offering closes.</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and the regulations issued thereunder.</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11.10 “</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399" w:name="page400"/>
    <w:bookmarkEnd w:id="399"/>
    <w:p>
      <w:pPr>
        <w:jc w:val="both"/>
        <w:spacing w:after="0" w:line="260" w:lineRule="auto"/>
        <w:rPr>
          <w:sz w:val="20"/>
          <w:szCs w:val="20"/>
          <w:color w:val="auto"/>
        </w:rPr>
      </w:pPr>
      <w:r>
        <w:rPr>
          <w:rFonts w:ascii="Arial" w:cs="Arial" w:eastAsia="Arial" w:hAnsi="Arial"/>
          <w:sz w:val="20"/>
          <w:szCs w:val="20"/>
          <w:color w:val="auto"/>
        </w:rPr>
        <w:t>member’s failure to qualify as a “non-employee director” within the meaning of Rule 16b-3 will not invalidate any Award granted by the Committee that is otherwise validly granted under the Plan.</w:t>
      </w:r>
    </w:p>
    <w:p>
      <w:pPr>
        <w:spacing w:after="0" w:line="12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PROCEPT BioRobotics Corporation, a Delaware corporation, or any successor.</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11.13 “</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means any consultant, advisor or other person or entity that is not an Employee, in each case, that can be granted an Award that is eligible to be registered on a Form S-8 Registration Statement.</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11.14 “</w:t>
      </w:r>
      <w:r>
        <w:rPr>
          <w:rFonts w:ascii="Arial" w:cs="Arial" w:eastAsia="Arial" w:hAnsi="Arial"/>
          <w:sz w:val="20"/>
          <w:szCs w:val="20"/>
          <w:b w:val="1"/>
          <w:bCs w:val="1"/>
          <w:i w:val="1"/>
          <w:iCs w:val="1"/>
          <w:color w:val="auto"/>
        </w:rPr>
        <w:t>Designated Beneficiary</w:t>
      </w:r>
      <w:r>
        <w:rPr>
          <w:rFonts w:ascii="Arial" w:cs="Arial" w:eastAsia="Arial" w:hAnsi="Arial"/>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Board member.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under Section 22(e)(3) of the Code, as amended.</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11.17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means a right granted to a Participant under the Plan to receive the equivalent value (in cash or Shares) of dividends paid on Shares.</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employee of the Company or its Subsidiaries.</w:t>
      </w:r>
    </w:p>
    <w:p>
      <w:pPr>
        <w:spacing w:after="0" w:line="16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11.19 “</w:t>
      </w:r>
      <w:r>
        <w:rPr>
          <w:rFonts w:ascii="Arial" w:cs="Arial" w:eastAsia="Arial" w:hAnsi="Arial"/>
          <w:sz w:val="16"/>
          <w:szCs w:val="16"/>
          <w:b w:val="1"/>
          <w:bCs w:val="1"/>
          <w:i w:val="1"/>
          <w:iCs w:val="1"/>
          <w:color w:val="auto"/>
        </w:rPr>
        <w:t>Equity Restructuring</w:t>
      </w:r>
      <w:r>
        <w:rPr>
          <w:rFonts w:ascii="Arial" w:cs="Arial" w:eastAsia="Arial" w:hAnsi="Arial"/>
          <w:sz w:val="16"/>
          <w:szCs w:val="16"/>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11.21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(c) without an established market for the Common Stock, the Administrator will determine the Fair Market Value in its discretion.</w:t>
      </w:r>
    </w:p>
    <w:p>
      <w:pPr>
        <w:spacing w:after="0" w:line="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400" w:name="page401"/>
    <w:bookmarkEnd w:id="400"/>
    <w:p>
      <w:pPr>
        <w:jc w:val="both"/>
        <w:ind w:firstLine="648"/>
        <w:spacing w:after="0" w:line="250" w:lineRule="auto"/>
        <w:rPr>
          <w:sz w:val="20"/>
          <w:szCs w:val="20"/>
          <w:color w:val="auto"/>
        </w:rPr>
      </w:pPr>
      <w:r>
        <w:rPr>
          <w:rFonts w:ascii="Arial" w:cs="Arial" w:eastAsia="Arial" w:hAnsi="Arial"/>
          <w:sz w:val="20"/>
          <w:szCs w:val="20"/>
          <w:color w:val="auto"/>
        </w:rPr>
        <w:t>11.22 “</w:t>
      </w:r>
      <w:r>
        <w:rPr>
          <w:rFonts w:ascii="Arial" w:cs="Arial" w:eastAsia="Arial" w:hAnsi="Arial"/>
          <w:sz w:val="20"/>
          <w:szCs w:val="20"/>
          <w:b w:val="1"/>
          <w:bCs w:val="1"/>
          <w:i w:val="1"/>
          <w:iCs w:val="1"/>
          <w:color w:val="auto"/>
        </w:rPr>
        <w:t>Greater Than 10% Stockholder</w:t>
      </w:r>
      <w:r>
        <w:rPr>
          <w:rFonts w:ascii="Arial" w:cs="Arial" w:eastAsia="Arial" w:hAnsi="Arial"/>
          <w:sz w:val="20"/>
          <w:szCs w:val="20"/>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11.23 “</w:t>
      </w:r>
      <w:r>
        <w:rPr>
          <w:rFonts w:ascii="Arial" w:cs="Arial" w:eastAsia="Arial" w:hAnsi="Arial"/>
          <w:sz w:val="20"/>
          <w:szCs w:val="20"/>
          <w:b w:val="1"/>
          <w:bCs w:val="1"/>
          <w:i w:val="1"/>
          <w:iCs w:val="1"/>
          <w:color w:val="auto"/>
        </w:rPr>
        <w:t>Incentive Stock Option</w:t>
      </w:r>
      <w:r>
        <w:rPr>
          <w:rFonts w:ascii="Arial" w:cs="Arial" w:eastAsia="Arial" w:hAnsi="Arial"/>
          <w:sz w:val="20"/>
          <w:szCs w:val="20"/>
          <w:color w:val="auto"/>
        </w:rPr>
        <w:t>” means an Option intended to qualify as an “incentive stock option” as defined in Section 422 of the Code.</w:t>
      </w:r>
    </w:p>
    <w:p>
      <w:pPr>
        <w:spacing w:after="0" w:line="1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0"/>
          <w:szCs w:val="20"/>
          <w:color w:val="auto"/>
        </w:rPr>
        <w:t>11.24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or portion thereof, not intended or not qualifying as an Incentive Stock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Option.</w:t>
      </w:r>
    </w:p>
    <w:p>
      <w:pPr>
        <w:spacing w:after="0" w:line="14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0"/>
          <w:szCs w:val="20"/>
          <w:color w:val="auto"/>
        </w:rPr>
        <w:t>11.25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Shares, which will either be an Incentive Stock option or a Non-Qualified Stock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Option.</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11.26 “</w:t>
      </w:r>
      <w:r>
        <w:rPr>
          <w:rFonts w:ascii="Arial" w:cs="Arial" w:eastAsia="Arial" w:hAnsi="Arial"/>
          <w:sz w:val="20"/>
          <w:szCs w:val="20"/>
          <w:b w:val="1"/>
          <w:bCs w:val="1"/>
          <w:i w:val="1"/>
          <w:iCs w:val="1"/>
          <w:color w:val="auto"/>
        </w:rPr>
        <w:t>Other Stock or Cash Based Awards</w:t>
      </w:r>
      <w:r>
        <w:rPr>
          <w:rFonts w:ascii="Arial" w:cs="Arial" w:eastAsia="Arial" w:hAnsi="Arial"/>
          <w:sz w:val="20"/>
          <w:szCs w:val="20"/>
          <w:color w:val="auto"/>
        </w:rPr>
        <w:t>” means cash awards, awards of Shares, and other awards valued wholly or partially by referring to, or are otherwise based on, Shares or other property awarded to a Participant under Article VII.</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11.27 “</w:t>
      </w:r>
      <w:r>
        <w:rPr>
          <w:rFonts w:ascii="Arial" w:cs="Arial" w:eastAsia="Arial" w:hAnsi="Arial"/>
          <w:sz w:val="19"/>
          <w:szCs w:val="19"/>
          <w:b w:val="1"/>
          <w:bCs w:val="1"/>
          <w:i w:val="1"/>
          <w:iCs w:val="1"/>
          <w:color w:val="auto"/>
        </w:rPr>
        <w:t>Overall Share Limit</w:t>
      </w:r>
      <w:r>
        <w:rPr>
          <w:rFonts w:ascii="Arial" w:cs="Arial" w:eastAsia="Arial" w:hAnsi="Arial"/>
          <w:sz w:val="19"/>
          <w:szCs w:val="19"/>
          <w:color w:val="auto"/>
        </w:rPr>
        <w:t>” means the sum of (a) 3,303,910 and (b) any Shares which, as of the Effective Date, are subject to Prior Plan Awards which, on or following the Effective Date, become available for issuance under the Plan pursuant to Article IV (which aggregate number of Shares added to the Overall Share Limit shall not exceed 6,659,984 Shares). In addition, on the first day of each calendar year beginning on and including January 1, 2022 and ending on and including January 1, 2031, the Overall Share Limit shall be increased by 5% of the aggregate number of shares of Common Stock outstanding on the final day of the immediately preceding calendar year, or (ii) such smaller number of Shares as is determined by the Board.</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Service Provider who has been granted an Award.</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11.29 “</w:t>
      </w:r>
      <w:r>
        <w:rPr>
          <w:rFonts w:ascii="Arial" w:cs="Arial" w:eastAsia="Arial" w:hAnsi="Arial"/>
          <w:sz w:val="19"/>
          <w:szCs w:val="19"/>
          <w:b w:val="1"/>
          <w:bCs w:val="1"/>
          <w:i w:val="1"/>
          <w:iCs w:val="1"/>
          <w:color w:val="auto"/>
        </w:rPr>
        <w:t>Performance Criteria</w:t>
      </w:r>
      <w:r>
        <w:rPr>
          <w:rFonts w:ascii="Arial" w:cs="Arial" w:eastAsia="Arial" w:hAnsi="Arial"/>
          <w:sz w:val="19"/>
          <w:szCs w:val="19"/>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401" w:name="page402"/>
    <w:bookmarkEnd w:id="401"/>
    <w:p>
      <w:pPr>
        <w:jc w:val="both"/>
        <w:spacing w:after="0" w:line="250" w:lineRule="auto"/>
        <w:rPr>
          <w:sz w:val="20"/>
          <w:szCs w:val="20"/>
          <w:color w:val="auto"/>
        </w:rPr>
      </w:pPr>
      <w:r>
        <w:rPr>
          <w:rFonts w:ascii="Arial" w:cs="Arial" w:eastAsia="Arial" w:hAnsi="Arial"/>
          <w:sz w:val="20"/>
          <w:szCs w:val="20"/>
          <w:color w:val="auto"/>
        </w:rPr>
        <w:t>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2021 Equity Incentive Award Plan.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means the PROCEPT BioRobotics Corporation 2008 Stock Plan, as amended and restated.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 Award</w:t>
      </w:r>
      <w:r>
        <w:rPr>
          <w:rFonts w:ascii="Arial" w:cs="Arial" w:eastAsia="Arial" w:hAnsi="Arial"/>
          <w:sz w:val="16"/>
          <w:szCs w:val="16"/>
          <w:color w:val="auto"/>
        </w:rPr>
        <w:t>” means an award outstanding under the Prior Plan as of the Effective Date.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11.33 “</w:t>
      </w:r>
      <w:r>
        <w:rPr>
          <w:rFonts w:ascii="Arial" w:cs="Arial" w:eastAsia="Arial" w:hAnsi="Arial"/>
          <w:sz w:val="20"/>
          <w:szCs w:val="20"/>
          <w:b w:val="1"/>
          <w:bCs w:val="1"/>
          <w:i w:val="1"/>
          <w:iCs w:val="1"/>
          <w:color w:val="auto"/>
        </w:rPr>
        <w:t>Public Trading Date</w:t>
      </w:r>
      <w:r>
        <w:rPr>
          <w:rFonts w:ascii="Arial" w:cs="Arial" w:eastAsia="Arial" w:hAnsi="Arial"/>
          <w:sz w:val="20"/>
          <w:szCs w:val="20"/>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11.34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means Shares awarded to a Participant under Article VI subject to certain vesting conditions and other restrictions.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11.35 “</w:t>
      </w:r>
      <w:r>
        <w:rPr>
          <w:rFonts w:ascii="Arial" w:cs="Arial" w:eastAsia="Arial" w:hAnsi="Arial"/>
          <w:sz w:val="20"/>
          <w:szCs w:val="20"/>
          <w:b w:val="1"/>
          <w:bCs w:val="1"/>
          <w:i w:val="1"/>
          <w:iCs w:val="1"/>
          <w:color w:val="auto"/>
        </w:rPr>
        <w:t>Restricted Stock Unit</w:t>
      </w:r>
      <w:r>
        <w:rPr>
          <w:rFonts w:ascii="Arial" w:cs="Arial" w:eastAsia="Arial" w:hAnsi="Arial"/>
          <w:sz w:val="20"/>
          <w:szCs w:val="20"/>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11.37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Code and all regulations, guidance, compliance programs and other interpretative authority thereunder.</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Director.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a share of Common Stock.</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 stock appreciation right granted under Article V.</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11.42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3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11.43 “</w:t>
      </w:r>
      <w:r>
        <w:rPr>
          <w:rFonts w:ascii="Arial" w:cs="Arial" w:eastAsia="Arial" w:hAnsi="Arial"/>
          <w:sz w:val="20"/>
          <w:szCs w:val="20"/>
          <w:b w:val="1"/>
          <w:bCs w:val="1"/>
          <w:i w:val="1"/>
          <w:iCs w:val="1"/>
          <w:color w:val="auto"/>
        </w:rPr>
        <w:t>Substitute Awards</w:t>
      </w:r>
      <w:r>
        <w:rPr>
          <w:rFonts w:ascii="Arial" w:cs="Arial" w:eastAsia="Arial" w:hAnsi="Arial"/>
          <w:sz w:val="20"/>
          <w:szCs w:val="20"/>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means the date the Participant ceases to be a Service Provider.</w:t>
      </w:r>
    </w:p>
    <w:p>
      <w:pPr>
        <w:spacing w:after="0" w:line="156"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Exhibit 10.11(a)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40575" cy="796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4057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PROCEPT BIOROBOTICS CORPORATION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2021 EQUITY INCENTIVE AWARD PLAN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GRANT NOTICE</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PROCEPT BioRobotics Corporation,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stock option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described in this Stock Option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subject to the terms and conditions of the PROCEPT BioRobotics Corporation 2021 Equity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and the Stock Option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Participant:</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Grant Date:</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Exercise Price per Share:</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Shares Subject to the Option:</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Final Expiration Date:</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Vesting Commencement Date: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Vesting Schedule:</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Type of Option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[To be specified]</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[To be specified]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[To be specified]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[To be specified]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[To be specified]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[To be specified]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[To be specified]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[Incentive Stock Option]/[Non-Qualified Stock Option]</w:t>
      </w:r>
    </w:p>
    <w:p>
      <w:pPr>
        <w:spacing w:after="0" w:line="222" w:lineRule="exact"/>
        <w:rPr>
          <w:sz w:val="20"/>
          <w:szCs w:val="20"/>
          <w:color w:val="auto"/>
        </w:rPr>
      </w:pPr>
    </w:p>
    <w:p>
      <w:pPr>
        <w:sectPr>
          <w:pgSz w:w="11900" w:h="16838" w:orient="portrait"/>
          <w:cols w:equalWidth="0" w:num="2">
            <w:col w:w="3780" w:space="720"/>
            <w:col w:w="6740"/>
          </w:cols>
          <w:pgMar w:left="320" w:top="121" w:right="339" w:bottom="1440" w:gutter="0" w:footer="0" w:header="0"/>
          <w:type w:val="continuous"/>
        </w:sectPr>
      </w:pP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By accepting (whether in writing, electronically or otherwise)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0" w:lineRule="exact"/>
        <w:rPr>
          <w:sz w:val="20"/>
          <w:szCs w:val="20"/>
          <w:color w:val="auto"/>
        </w:rPr>
      </w:pPr>
    </w:p>
    <w:p>
      <w:pPr>
        <w:spacing w:after="0" w:line="231" w:lineRule="exact"/>
        <w:rPr>
          <w:sz w:val="20"/>
          <w:szCs w:val="20"/>
          <w:color w:val="auto"/>
        </w:rPr>
      </w:pPr>
    </w:p>
    <w:p>
      <w:pPr>
        <w:ind w:left="80"/>
        <w:spacing w:after="0"/>
        <w:tabs>
          <w:tab w:leader="none" w:pos="5720" w:val="left"/>
        </w:tabs>
        <w:rPr>
          <w:sz w:val="20"/>
          <w:szCs w:val="20"/>
          <w:color w:val="auto"/>
        </w:rPr>
      </w:pPr>
      <w:r>
        <w:rPr>
          <w:rFonts w:ascii="Arial" w:cs="Arial" w:eastAsia="Arial" w:hAnsi="Arial"/>
          <w:sz w:val="20"/>
          <w:szCs w:val="20"/>
          <w:b w:val="1"/>
          <w:bCs w:val="1"/>
          <w:color w:val="auto"/>
        </w:rPr>
        <w:t>PROCEPT BIOROBOTICS CORPORATION</w:t>
      </w:r>
      <w:r>
        <w:rPr>
          <w:sz w:val="20"/>
          <w:szCs w:val="20"/>
          <w:color w:val="auto"/>
        </w:rPr>
        <w:tab/>
      </w:r>
      <w:r>
        <w:rPr>
          <w:rFonts w:ascii="Arial" w:cs="Arial" w:eastAsia="Arial" w:hAnsi="Arial"/>
          <w:sz w:val="19"/>
          <w:szCs w:val="19"/>
          <w:b w:val="1"/>
          <w:bCs w:val="1"/>
          <w:color w:val="auto"/>
        </w:rPr>
        <w:t>PARTICIPANT</w:t>
      </w:r>
    </w:p>
    <w:p>
      <w:pPr>
        <w:spacing w:after="0" w:line="200" w:lineRule="exact"/>
        <w:rPr>
          <w:sz w:val="20"/>
          <w:szCs w:val="20"/>
          <w:color w:val="auto"/>
        </w:rPr>
      </w:pPr>
    </w:p>
    <w:p>
      <w:pPr>
        <w:spacing w:after="0" w:line="332" w:lineRule="exact"/>
        <w:rPr>
          <w:sz w:val="20"/>
          <w:szCs w:val="20"/>
          <w:color w:val="auto"/>
        </w:rPr>
      </w:pPr>
    </w:p>
    <w:p>
      <w:pPr>
        <w:ind w:left="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wp:posOffset>
            </wp:positionV>
            <wp:extent cx="65836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ind w:left="80"/>
        <w:spacing w:after="0"/>
        <w:tabs>
          <w:tab w:leader="none" w:pos="5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29832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5715</wp:posOffset>
            </wp:positionV>
            <wp:extent cx="29832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3" w:name="page404"/>
    <w:bookmarkEnd w:id="403"/>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has granted to Participant the Option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PERIOD OF EXERCISABILITY</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 The Option will vest and become exercisable according to the vesting schedule in the Grant Notice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 (after taking into consideration any accelerated vesting and exercisability which may occur in connection with such Termination of Service).</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Duration of Exercisability</w:t>
      </w:r>
      <w:r>
        <w:rPr>
          <w:rFonts w:ascii="Arial" w:cs="Arial" w:eastAsia="Arial" w:hAnsi="Arial"/>
          <w:sz w:val="19"/>
          <w:szCs w:val="19"/>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Expiration of Option</w:t>
      </w:r>
      <w:r>
        <w:rPr>
          <w:rFonts w:ascii="Arial" w:cs="Arial" w:eastAsia="Arial" w:hAnsi="Arial"/>
          <w:sz w:val="20"/>
          <w:szCs w:val="20"/>
          <w:color w:val="auto"/>
        </w:rPr>
        <w:t>. The Option may not be exercised to any extent by anyone after, and will expire on, the first of the following to occur:</w:t>
      </w:r>
    </w:p>
    <w:p>
      <w:pPr>
        <w:spacing w:after="0" w:line="177" w:lineRule="exact"/>
        <w:rPr>
          <w:sz w:val="20"/>
          <w:szCs w:val="20"/>
          <w:color w:val="auto"/>
        </w:rPr>
      </w:pPr>
    </w:p>
    <w:p>
      <w:pPr>
        <w:ind w:right="700" w:firstLine="1304"/>
        <w:spacing w:after="0" w:line="260" w:lineRule="auto"/>
        <w:tabs>
          <w:tab w:leader="none" w:pos="1934" w:val="left"/>
        </w:tabs>
        <w:numPr>
          <w:ilvl w:val="0"/>
          <w:numId w:val="331"/>
        </w:numPr>
        <w:rPr>
          <w:rFonts w:ascii="Arial" w:cs="Arial" w:eastAsia="Arial" w:hAnsi="Arial"/>
          <w:sz w:val="20"/>
          <w:szCs w:val="20"/>
          <w:color w:val="auto"/>
        </w:rPr>
      </w:pPr>
      <w:r>
        <w:rPr>
          <w:rFonts w:ascii="Arial" w:cs="Arial" w:eastAsia="Arial" w:hAnsi="Arial"/>
          <w:sz w:val="20"/>
          <w:szCs w:val="20"/>
          <w:color w:val="auto"/>
        </w:rPr>
        <w:t xml:space="preserve">The final expiration date in the Grant Notice; </w:t>
      </w:r>
      <w:r>
        <w:rPr>
          <w:rFonts w:ascii="Arial" w:cs="Arial" w:eastAsia="Arial" w:hAnsi="Arial"/>
          <w:sz w:val="20"/>
          <w:szCs w:val="20"/>
          <w:i w:val="1"/>
          <w:iCs w:val="1"/>
          <w:color w:val="auto"/>
        </w:rPr>
        <w:t>provided</w:t>
      </w:r>
      <w:r>
        <w:rPr>
          <w:rFonts w:ascii="Arial" w:cs="Arial" w:eastAsia="Arial" w:hAnsi="Arial"/>
          <w:sz w:val="20"/>
          <w:szCs w:val="20"/>
          <w:color w:val="auto"/>
        </w:rPr>
        <w:t>, however, such final expiration date may be extended pursuant to Section 5.3 of the Plan;</w:t>
      </w:r>
    </w:p>
    <w:p>
      <w:pPr>
        <w:spacing w:after="0" w:line="176" w:lineRule="exact"/>
        <w:rPr>
          <w:rFonts w:ascii="Arial" w:cs="Arial" w:eastAsia="Arial" w:hAnsi="Arial"/>
          <w:sz w:val="20"/>
          <w:szCs w:val="20"/>
          <w:color w:val="auto"/>
        </w:rPr>
      </w:pPr>
    </w:p>
    <w:p>
      <w:pPr>
        <w:ind w:right="360" w:firstLine="1304"/>
        <w:spacing w:after="0" w:line="316" w:lineRule="auto"/>
        <w:tabs>
          <w:tab w:leader="none" w:pos="193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three months from the date of Participant’s Termination of Service, unless Participant’s Termination of Service is for Cause or by reason of Participant’s death or Disability;</w:t>
      </w:r>
    </w:p>
    <w:p>
      <w:pPr>
        <w:spacing w:after="0" w:line="129" w:lineRule="exact"/>
        <w:rPr>
          <w:rFonts w:ascii="Arial" w:cs="Arial" w:eastAsia="Arial" w:hAnsi="Arial"/>
          <w:sz w:val="18"/>
          <w:szCs w:val="18"/>
          <w:color w:val="auto"/>
        </w:rPr>
      </w:pPr>
    </w:p>
    <w:p>
      <w:pPr>
        <w:ind w:right="700" w:firstLine="1304"/>
        <w:spacing w:after="0" w:line="260" w:lineRule="auto"/>
        <w:tabs>
          <w:tab w:leader="none" w:pos="1934" w:val="left"/>
        </w:tabs>
        <w:numPr>
          <w:ilvl w:val="0"/>
          <w:numId w:val="331"/>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expiration of one year from the date of Participant’s Termination of Service by reason of Participant’s death or Disability; and</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Participant’s Termination of Service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404" w:name="page405"/>
    <w:bookmarkEnd w:id="404"/>
    <w:p>
      <w:pPr>
        <w:jc w:val="center"/>
        <w:spacing w:after="0"/>
        <w:rPr>
          <w:sz w:val="20"/>
          <w:szCs w:val="20"/>
          <w:color w:val="auto"/>
        </w:rPr>
      </w:pPr>
      <w:r>
        <w:rPr>
          <w:rFonts w:ascii="Arial" w:cs="Arial" w:eastAsia="Arial" w:hAnsi="Arial"/>
          <w:sz w:val="20"/>
          <w:szCs w:val="20"/>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OPTION</w:t>
      </w:r>
    </w:p>
    <w:p>
      <w:pPr>
        <w:jc w:val="both"/>
        <w:ind w:firstLine="648"/>
        <w:spacing w:after="0" w:line="241"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Person Eligible to Exercise</w:t>
      </w:r>
      <w:r>
        <w:rPr>
          <w:rFonts w:ascii="Arial" w:cs="Arial" w:eastAsia="Arial" w:hAnsi="Arial"/>
          <w:sz w:val="20"/>
          <w:szCs w:val="20"/>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Partial Exercise</w:t>
      </w:r>
      <w:r>
        <w:rPr>
          <w:rFonts w:ascii="Arial" w:cs="Arial" w:eastAsia="Arial" w:hAnsi="Arial"/>
          <w:sz w:val="20"/>
          <w:szCs w:val="20"/>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Tax Withholding; Exercise Price</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61" w:lineRule="auto"/>
        <w:tabs>
          <w:tab w:leader="none" w:pos="1934" w:val="left"/>
        </w:tabs>
        <w:numPr>
          <w:ilvl w:val="0"/>
          <w:numId w:val="332"/>
        </w:numPr>
        <w:rPr>
          <w:rFonts w:ascii="Arial" w:cs="Arial" w:eastAsia="Arial" w:hAnsi="Arial"/>
          <w:sz w:val="20"/>
          <w:szCs w:val="20"/>
          <w:color w:val="auto"/>
        </w:rPr>
      </w:pPr>
      <w:r>
        <w:rPr>
          <w:rFonts w:ascii="Arial" w:cs="Arial" w:eastAsia="Arial" w:hAnsi="Arial"/>
          <w:sz w:val="20"/>
          <w:szCs w:val="20"/>
          <w:color w:val="auto"/>
        </w:rPr>
        <w:t>Subject to Section 3.3(b) and 3.3(c), payment of the exercise price and withholding tax obligations with respect to the Option may be by any of the following, or a combination thereof, as determined by [the Company in its sole discretion / Participant or the Administrator]</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91" w:lineRule="exact"/>
        <w:rPr>
          <w:rFonts w:ascii="Arial" w:cs="Arial" w:eastAsia="Arial" w:hAnsi="Arial"/>
          <w:sz w:val="20"/>
          <w:szCs w:val="20"/>
          <w:color w:val="auto"/>
        </w:rPr>
      </w:pPr>
    </w:p>
    <w:p>
      <w:pPr>
        <w:ind w:left="2160" w:hanging="395"/>
        <w:spacing w:after="0"/>
        <w:tabs>
          <w:tab w:leader="none" w:pos="216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Cash or check;</w:t>
      </w:r>
    </w:p>
    <w:p>
      <w:pPr>
        <w:spacing w:after="0" w:line="215" w:lineRule="exact"/>
        <w:rPr>
          <w:rFonts w:ascii="Arial" w:cs="Arial" w:eastAsia="Arial" w:hAnsi="Arial"/>
          <w:sz w:val="20"/>
          <w:szCs w:val="20"/>
          <w:color w:val="auto"/>
        </w:rPr>
      </w:pPr>
    </w:p>
    <w:p>
      <w:pPr>
        <w:ind w:firstLine="1710"/>
        <w:spacing w:after="0" w:line="260" w:lineRule="auto"/>
        <w:tabs>
          <w:tab w:leader="none" w:pos="2077" w:val="left"/>
        </w:tabs>
        <w:numPr>
          <w:ilvl w:val="1"/>
          <w:numId w:val="332"/>
        </w:numPr>
        <w:rPr>
          <w:rFonts w:ascii="Arial" w:cs="Arial" w:eastAsia="Arial" w:hAnsi="Arial"/>
          <w:sz w:val="20"/>
          <w:szCs w:val="20"/>
          <w:color w:val="auto"/>
        </w:rPr>
      </w:pPr>
      <w:r>
        <w:rPr>
          <w:rFonts w:ascii="Arial" w:cs="Arial" w:eastAsia="Arial" w:hAnsi="Arial"/>
          <w:sz w:val="20"/>
          <w:szCs w:val="20"/>
          <w:color w:val="auto"/>
        </w:rPr>
        <w:t>In whole or in part by delivery of Shares, including Shares delivered by attestation and Shares retained from the Award creating the tax obligation, valued at their Fair Market Value on the date of delivery; or</w:t>
      </w:r>
    </w:p>
    <w:p>
      <w:pPr>
        <w:spacing w:after="0" w:line="176" w:lineRule="exact"/>
        <w:rPr>
          <w:rFonts w:ascii="Arial" w:cs="Arial" w:eastAsia="Arial" w:hAnsi="Arial"/>
          <w:sz w:val="20"/>
          <w:szCs w:val="20"/>
          <w:color w:val="auto"/>
        </w:rPr>
      </w:pPr>
    </w:p>
    <w:p>
      <w:pPr>
        <w:ind w:left="2100" w:hanging="445"/>
        <w:spacing w:after="0"/>
        <w:tabs>
          <w:tab w:leader="none" w:pos="2100" w:val="left"/>
        </w:tabs>
        <w:numPr>
          <w:ilvl w:val="1"/>
          <w:numId w:val="332"/>
        </w:numPr>
        <w:rPr>
          <w:rFonts w:ascii="Arial" w:cs="Arial" w:eastAsia="Arial" w:hAnsi="Arial"/>
          <w:sz w:val="19"/>
          <w:szCs w:val="19"/>
          <w:color w:val="auto"/>
        </w:rPr>
      </w:pPr>
      <w:r>
        <w:rPr>
          <w:rFonts w:ascii="Arial" w:cs="Arial" w:eastAsia="Arial" w:hAnsi="Arial"/>
          <w:sz w:val="19"/>
          <w:szCs w:val="19"/>
          <w:color w:val="auto"/>
        </w:rPr>
        <w:t>In whole or in part by the Company withholding of Shares otherwise issuable upon exercise of this Award.</w:t>
      </w:r>
    </w:p>
    <w:p>
      <w:pPr>
        <w:spacing w:after="0" w:line="227" w:lineRule="exact"/>
        <w:rPr>
          <w:rFonts w:ascii="Arial" w:cs="Arial" w:eastAsia="Arial" w:hAnsi="Arial"/>
          <w:sz w:val="19"/>
          <w:szCs w:val="19"/>
          <w:color w:val="auto"/>
        </w:rPr>
      </w:pPr>
    </w:p>
    <w:p>
      <w:pPr>
        <w:jc w:val="both"/>
        <w:ind w:firstLine="1304"/>
        <w:spacing w:after="0" w:line="275" w:lineRule="auto"/>
        <w:tabs>
          <w:tab w:leader="none" w:pos="193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Unless [the Company / Participant or the Administrator] otherwise determines, and subject to Section 10.17 of the Plan, payment of the exercise price and withholding tax obligations with respect to the Option shall be by [delivery (including electronically or telephonically to the extent permitted by the Company) of an irrevocable and unconditional undertaking by a broker acceptable to the Company to deliver promptly to the Company sufficient funds to satisfy the applicable exercise price and tax withholding obligations] /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exercise of the Option, and that the broker has been directed to deliver promptly to the Company funds sufficient to satisfy the applicable exercise price and tax withholding obligations; provided, that payment of such proceeds is then made to the Company at such time as may be required by the Administrator]</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jc w:val="both"/>
        <w:ind w:firstLine="1304"/>
        <w:spacing w:after="0" w:line="243" w:lineRule="auto"/>
        <w:tabs>
          <w:tab w:leader="none" w:pos="1934" w:val="left"/>
        </w:tabs>
        <w:numPr>
          <w:ilvl w:val="0"/>
          <w:numId w:val="332"/>
        </w:numPr>
        <w:rPr>
          <w:rFonts w:ascii="Arial" w:cs="Arial" w:eastAsia="Arial" w:hAnsi="Arial"/>
          <w:sz w:val="20"/>
          <w:szCs w:val="20"/>
          <w:color w:val="auto"/>
        </w:rPr>
      </w:pPr>
      <w:r>
        <w:rPr>
          <w:rFonts w:ascii="Arial" w:cs="Arial" w:eastAsia="Arial" w:hAnsi="Arial"/>
          <w:sz w:val="20"/>
          <w:szCs w:val="20"/>
          <w:color w:val="auto"/>
        </w:rPr>
        <w:t>Subject to Section 9.5 of the Plan, the applicable tax withholding obligation will be determined based on Participant’s Applicable Withholding Rate. Participant’s “</w:t>
      </w:r>
      <w:r>
        <w:rPr>
          <w:rFonts w:ascii="Arial" w:cs="Arial" w:eastAsia="Arial" w:hAnsi="Arial"/>
          <w:sz w:val="20"/>
          <w:szCs w:val="20"/>
          <w:b w:val="1"/>
          <w:bCs w:val="1"/>
          <w:i w:val="1"/>
          <w:iCs w:val="1"/>
          <w:color w:val="auto"/>
        </w:rPr>
        <w:t>Applicable Withholding Rate</w:t>
      </w:r>
      <w:r>
        <w:rPr>
          <w:rFonts w:ascii="Arial" w:cs="Arial" w:eastAsia="Arial" w:hAnsi="Arial"/>
          <w:sz w:val="20"/>
          <w:szCs w:val="20"/>
          <w:color w:val="auto"/>
        </w:rPr>
        <w:t>” 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714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0" w:lineRule="exact"/>
        <w:rPr>
          <w:sz w:val="20"/>
          <w:szCs w:val="20"/>
          <w:color w:val="auto"/>
        </w:rPr>
      </w:pPr>
    </w:p>
    <w:p>
      <w:pPr>
        <w:ind w:left="120" w:hanging="112"/>
        <w:spacing w:after="0"/>
        <w:tabs>
          <w:tab w:leader="none" w:pos="120" w:val="left"/>
        </w:tabs>
        <w:numPr>
          <w:ilvl w:val="0"/>
          <w:numId w:val="333"/>
        </w:numPr>
        <w:rPr>
          <w:rFonts w:ascii="Arial" w:cs="Arial" w:eastAsia="Arial" w:hAnsi="Arial"/>
          <w:sz w:val="26"/>
          <w:szCs w:val="26"/>
          <w:color w:val="auto"/>
          <w:vertAlign w:val="superscript"/>
        </w:rPr>
      </w:pPr>
      <w:r>
        <w:rPr>
          <w:rFonts w:ascii="Arial" w:cs="Arial" w:eastAsia="Arial" w:hAnsi="Arial"/>
          <w:sz w:val="20"/>
          <w:szCs w:val="20"/>
          <w:color w:val="auto"/>
        </w:rPr>
        <w:t>NTD: “Participant or the Administrator” for Section 16 individuals. “The Company” for non-Section 16 individuals.</w:t>
      </w:r>
    </w:p>
    <w:p>
      <w:pPr>
        <w:spacing w:after="0"/>
        <w:rPr>
          <w:rFonts w:ascii="Arial" w:cs="Arial" w:eastAsia="Arial" w:hAnsi="Arial"/>
          <w:sz w:val="26"/>
          <w:szCs w:val="26"/>
          <w:color w:val="auto"/>
          <w:vertAlign w:val="superscript"/>
        </w:rPr>
      </w:pPr>
      <w:r>
        <w:rPr>
          <w:rFonts w:ascii="Arial" w:cs="Arial" w:eastAsia="Arial" w:hAnsi="Arial"/>
          <w:sz w:val="25"/>
          <w:szCs w:val="25"/>
          <w:color w:val="auto"/>
          <w:vertAlign w:val="superscript"/>
        </w:rPr>
        <w:t>2</w:t>
      </w:r>
      <w:r>
        <w:rPr>
          <w:rFonts w:ascii="Arial" w:cs="Arial" w:eastAsia="Arial" w:hAnsi="Arial"/>
          <w:sz w:val="20"/>
          <w:szCs w:val="20"/>
          <w:color w:val="auto"/>
        </w:rPr>
        <w:t xml:space="preserve"> NTD: Use second bracketed language for Section 16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3" w:right="339" w:bottom="1440" w:gutter="0" w:footer="0" w:header="0"/>
        </w:sectPr>
      </w:pPr>
    </w:p>
    <w:bookmarkStart w:id="405" w:name="page406"/>
    <w:bookmarkEnd w:id="405"/>
    <w:p>
      <w:pPr>
        <w:jc w:val="both"/>
        <w:spacing w:after="0" w:line="243" w:lineRule="auto"/>
        <w:rPr>
          <w:sz w:val="20"/>
          <w:szCs w:val="20"/>
          <w:color w:val="auto"/>
        </w:rPr>
      </w:pPr>
      <w:r>
        <w:rPr>
          <w:rFonts w:ascii="Arial" w:cs="Arial" w:eastAsia="Arial" w:hAnsi="Arial"/>
          <w:sz w:val="20"/>
          <w:szCs w:val="20"/>
          <w:color w:val="auto"/>
        </w:rPr>
        <w:t xml:space="preserve">approved by the Company;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(ii) the number of Shares tendered or withheld, if applicable, shall be rounded up to the nearest whole Share sufficient to cover the applicable tax withholding obligation, to the extent rounding up to the nearest whole Share does not result in the liability classification of the Option under generally accepted accounting principles.</w:t>
      </w:r>
    </w:p>
    <w:p>
      <w:pPr>
        <w:spacing w:after="0" w:line="196" w:lineRule="exact"/>
        <w:rPr>
          <w:sz w:val="20"/>
          <w:szCs w:val="20"/>
          <w:color w:val="auto"/>
        </w:rPr>
      </w:pPr>
    </w:p>
    <w:p>
      <w:pPr>
        <w:jc w:val="both"/>
        <w:ind w:firstLine="656"/>
        <w:spacing w:after="0" w:line="243" w:lineRule="auto"/>
        <w:tabs>
          <w:tab w:leader="none" w:pos="1284" w:val="left"/>
        </w:tabs>
        <w:numPr>
          <w:ilvl w:val="0"/>
          <w:numId w:val="334"/>
        </w:numPr>
        <w:rPr>
          <w:rFonts w:ascii="Arial" w:cs="Arial" w:eastAsia="Arial" w:hAnsi="Arial"/>
          <w:sz w:val="20"/>
          <w:szCs w:val="20"/>
          <w:color w:val="auto"/>
        </w:rPr>
      </w:pPr>
      <w:r>
        <w:rPr>
          <w:rFonts w:ascii="Arial" w:cs="Arial" w:eastAsia="Arial" w:hAnsi="Arial"/>
          <w:sz w:val="20"/>
          <w:szCs w:val="20"/>
          <w:color w:val="auto"/>
        </w:rPr>
        <w:t>Participant acknowledges that Participant is ultimately liable and responsible for the exercise price and all taxes owed in connection with the Option (and, with respect to taxes,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Option is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Clawback</w:t>
      </w:r>
      <w:r>
        <w:rPr>
          <w:rFonts w:ascii="Arial" w:cs="Arial" w:eastAsia="Arial" w:hAnsi="Arial"/>
          <w:sz w:val="20"/>
          <w:szCs w:val="20"/>
          <w:color w:val="auto"/>
        </w:rPr>
        <w:t>. The Option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General Counsel at the Company’s principal office or the General Counsel’s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9" w:right="339" w:bottom="1440" w:gutter="0" w:footer="0" w:header="0"/>
        </w:sectPr>
      </w:pPr>
    </w:p>
    <w:bookmarkStart w:id="406" w:name="page407"/>
    <w:bookmarkEnd w:id="406"/>
    <w:p>
      <w:pPr>
        <w:jc w:val="both"/>
        <w:spacing w:after="0" w:line="287" w:lineRule="auto"/>
        <w:rPr>
          <w:sz w:val="20"/>
          <w:szCs w:val="20"/>
          <w:color w:val="auto"/>
        </w:rPr>
      </w:pPr>
      <w:r>
        <w:rPr>
          <w:rFonts w:ascii="Arial" w:cs="Arial" w:eastAsia="Arial" w:hAnsi="Arial"/>
          <w:sz w:val="19"/>
          <w:szCs w:val="19"/>
          <w:color w:val="auto"/>
        </w:rPr>
        <w:t>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Entire Agreement; Amendment</w:t>
      </w:r>
      <w:r>
        <w:rPr>
          <w:rFonts w:ascii="Arial" w:cs="Arial" w:eastAsia="Arial" w:hAnsi="Arial"/>
          <w:sz w:val="19"/>
          <w:szCs w:val="19"/>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Option without the prior written consent of Participant.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Limitation on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If the Option is designated as an Incentive Stock Option:</w:t>
      </w:r>
    </w:p>
    <w:p>
      <w:pPr>
        <w:spacing w:after="0" w:line="216" w:lineRule="exact"/>
        <w:rPr>
          <w:sz w:val="20"/>
          <w:szCs w:val="20"/>
          <w:color w:val="auto"/>
        </w:rPr>
      </w:pPr>
    </w:p>
    <w:p>
      <w:pPr>
        <w:jc w:val="both"/>
        <w:ind w:firstLine="1304"/>
        <w:spacing w:after="0" w:line="250" w:lineRule="auto"/>
        <w:tabs>
          <w:tab w:leader="none" w:pos="1934" w:val="left"/>
        </w:tabs>
        <w:numPr>
          <w:ilvl w:val="0"/>
          <w:numId w:val="335"/>
        </w:numPr>
        <w:rPr>
          <w:rFonts w:ascii="Arial" w:cs="Arial" w:eastAsia="Arial" w:hAnsi="Arial"/>
          <w:sz w:val="20"/>
          <w:szCs w:val="20"/>
          <w:color w:val="auto"/>
        </w:rPr>
      </w:pPr>
      <w:r>
        <w:rPr>
          <w:rFonts w:ascii="Arial" w:cs="Arial" w:eastAsia="Arial" w:hAnsi="Arial"/>
          <w:sz w:val="20"/>
          <w:szCs w:val="20"/>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9" w:right="339" w:bottom="1440" w:gutter="0" w:footer="0" w:header="0"/>
        </w:sectPr>
      </w:pPr>
    </w:p>
    <w:bookmarkStart w:id="407" w:name="page408"/>
    <w:bookmarkEnd w:id="407"/>
    <w:p>
      <w:pPr>
        <w:jc w:val="both"/>
        <w:spacing w:after="0" w:line="276" w:lineRule="auto"/>
        <w:rPr>
          <w:sz w:val="20"/>
          <w:szCs w:val="20"/>
          <w:color w:val="auto"/>
        </w:rPr>
      </w:pPr>
      <w:r>
        <w:rPr>
          <w:rFonts w:ascii="Arial" w:cs="Arial" w:eastAsia="Arial" w:hAnsi="Arial"/>
          <w:sz w:val="18"/>
          <w:szCs w:val="18"/>
          <w:color w:val="auto"/>
        </w:rPr>
        <w:t>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months after Participant’s Termination of Service, other than by reason of death or Disability, the Option will be taxed as a Non-Qualified Stock Option.</w:t>
      </w:r>
    </w:p>
    <w:p>
      <w:pPr>
        <w:spacing w:after="0" w:line="165" w:lineRule="exact"/>
        <w:rPr>
          <w:sz w:val="20"/>
          <w:szCs w:val="20"/>
          <w:color w:val="auto"/>
        </w:rPr>
      </w:pPr>
    </w:p>
    <w:p>
      <w:pPr>
        <w:jc w:val="both"/>
        <w:ind w:firstLine="1304"/>
        <w:spacing w:after="0" w:line="282" w:lineRule="auto"/>
        <w:tabs>
          <w:tab w:leader="none" w:pos="193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Participant will give prompt written notice to the Company of any disposition or other transfer of any Shares acquired under this Agreement if such disposition or other transfer is made (i) within two years from the Grant Date or (ii)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55" w:lineRule="exact"/>
        <w:rPr>
          <w:rFonts w:ascii="Arial" w:cs="Arial" w:eastAsia="Arial" w:hAnsi="Arial"/>
          <w:sz w:val="18"/>
          <w:szCs w:val="18"/>
          <w:color w:val="auto"/>
        </w:rPr>
      </w:pPr>
    </w:p>
    <w:p>
      <w:pPr>
        <w:ind w:left="5280"/>
        <w:spacing w:after="0"/>
        <w:rPr>
          <w:rFonts w:ascii="Arial" w:cs="Arial" w:eastAsia="Arial" w:hAnsi="Arial"/>
          <w:sz w:val="18"/>
          <w:szCs w:val="18"/>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9" w:right="3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10.11(b)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40575" cy="8832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4057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PROCEPT BIOROBOTICS CORPORATION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2021 EQUITY INCENTIVE AWARD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PROCEPT BioRobotics Corporation,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Restricted Stock Units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described in this Restricted Stock Unit Grant Notice (this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subject to the terms and conditions of the PROCEPT BioRobotics Corporation 2021 Equity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xml:space="preserve">”) and the Restricted Stock Unit Agreement attached hereto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 Capitalized terms not specifically defined in this Grant Notice or the Agreement have the meanings given to them in the Plan.</w:t>
      </w: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23"/>
        </w:trPr>
        <w:tc>
          <w:tcPr>
            <w:tcW w:w="4320" w:type="dxa"/>
            <w:vAlign w:val="bottom"/>
            <w:vMerge w:val="restart"/>
          </w:tcPr>
          <w:p>
            <w:pPr>
              <w:spacing w:after="0"/>
              <w:rPr>
                <w:sz w:val="20"/>
                <w:szCs w:val="20"/>
                <w:color w:val="auto"/>
              </w:rPr>
            </w:pPr>
            <w:r>
              <w:rPr>
                <w:rFonts w:ascii="Arial" w:cs="Arial" w:eastAsia="Arial" w:hAnsi="Arial"/>
                <w:sz w:val="20"/>
                <w:szCs w:val="20"/>
                <w:b w:val="1"/>
                <w:bCs w:val="1"/>
                <w:color w:val="auto"/>
              </w:rPr>
              <w:t>Participant:</w:t>
            </w: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w w:val="71"/>
              </w:rPr>
              <w:t>]</w:t>
            </w:r>
          </w:p>
        </w:tc>
        <w:tc>
          <w:tcPr>
            <w:tcW w:w="0" w:type="dxa"/>
            <w:vAlign w:val="bottom"/>
          </w:tcPr>
          <w:p>
            <w:pPr>
              <w:spacing w:after="0" w:line="20" w:lineRule="exact"/>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80" w:type="dxa"/>
            <w:vAlign w:val="bottom"/>
            <w:shd w:val="clear" w:color="auto" w:fill="FFE64B"/>
          </w:tcPr>
          <w:p>
            <w:pPr>
              <w:jc w:val="right"/>
              <w:spacing w:after="0" w:line="216" w:lineRule="exact"/>
              <w:rPr>
                <w:sz w:val="20"/>
                <w:szCs w:val="20"/>
                <w:color w:val="auto"/>
              </w:rPr>
            </w:pPr>
            <w:r>
              <w:rPr>
                <w:rFonts w:ascii="Arial" w:cs="Arial" w:eastAsia="Arial" w:hAnsi="Arial"/>
                <w:sz w:val="20"/>
                <w:szCs w:val="20"/>
                <w:color w:val="auto"/>
                <w:shd w:val="clear" w:color="auto" w:fill="FFE64B"/>
              </w:rPr>
              <w:t>[</w:t>
            </w:r>
          </w:p>
        </w:tc>
        <w:tc>
          <w:tcPr>
            <w:tcW w:w="1200" w:type="dxa"/>
            <w:vAlign w:val="bottom"/>
            <w:shd w:val="clear" w:color="auto" w:fill="FFFF00"/>
          </w:tcPr>
          <w:p>
            <w:pPr>
              <w:spacing w:after="0" w:line="216" w:lineRule="exact"/>
              <w:rPr>
                <w:sz w:val="20"/>
                <w:szCs w:val="20"/>
                <w:color w:val="auto"/>
              </w:rPr>
            </w:pPr>
            <w:r>
              <w:rPr>
                <w:rFonts w:ascii="Arial" w:cs="Arial" w:eastAsia="Arial" w:hAnsi="Arial"/>
                <w:sz w:val="20"/>
                <w:szCs w:val="20"/>
                <w:color w:val="auto"/>
                <w:highlight w:val="yellow"/>
                <w:w w:val="86"/>
              </w:rPr>
              <w:t>To be specified</w:t>
            </w:r>
          </w:p>
        </w:tc>
        <w:tc>
          <w:tcPr>
            <w:tcW w:w="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32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80" w:type="dxa"/>
            <w:vAlign w:val="bottom"/>
            <w:vMerge w:val="restart"/>
          </w:tcPr>
          <w:p>
            <w:pPr>
              <w:spacing w:after="0"/>
              <w:rPr>
                <w:sz w:val="8"/>
                <w:szCs w:val="8"/>
                <w:color w:val="auto"/>
              </w:rPr>
            </w:pPr>
          </w:p>
        </w:tc>
        <w:tc>
          <w:tcPr>
            <w:tcW w:w="126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60" w:type="dxa"/>
            <w:vAlign w:val="bottom"/>
            <w:gridSpan w:val="2"/>
            <w:shd w:val="clear" w:color="auto" w:fill="FFFF00"/>
          </w:tcPr>
          <w:p>
            <w:pPr>
              <w:spacing w:after="0" w:line="216" w:lineRule="exact"/>
              <w:rPr>
                <w:sz w:val="20"/>
                <w:szCs w:val="20"/>
                <w:color w:val="auto"/>
              </w:rPr>
            </w:pPr>
            <w:r>
              <w:rPr>
                <w:rFonts w:ascii="Arial" w:cs="Arial" w:eastAsia="Arial" w:hAnsi="Arial"/>
                <w:sz w:val="20"/>
                <w:szCs w:val="20"/>
                <w:color w:val="auto"/>
                <w:w w:val="84"/>
              </w:rPr>
              <w:t xml:space="preserve">[To </w:t>
            </w:r>
            <w:r>
              <w:rPr>
                <w:rFonts w:ascii="Arial" w:cs="Arial" w:eastAsia="Arial" w:hAnsi="Arial"/>
                <w:sz w:val="20"/>
                <w:szCs w:val="20"/>
                <w:color w:val="auto"/>
                <w:highlight w:val="yellow"/>
                <w:w w:val="84"/>
              </w:rPr>
              <w:t>be specified]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320" w:type="dxa"/>
            <w:vAlign w:val="bottom"/>
            <w:vMerge w:val="restart"/>
          </w:tcPr>
          <w:p>
            <w:pPr>
              <w:spacing w:after="0"/>
              <w:rPr>
                <w:sz w:val="20"/>
                <w:szCs w:val="20"/>
                <w:color w:val="auto"/>
              </w:rPr>
            </w:pPr>
            <w:r>
              <w:rPr>
                <w:rFonts w:ascii="Arial" w:cs="Arial" w:eastAsia="Arial" w:hAnsi="Arial"/>
                <w:sz w:val="20"/>
                <w:szCs w:val="20"/>
                <w:b w:val="1"/>
                <w:bCs w:val="1"/>
                <w:color w:val="auto"/>
              </w:rPr>
              <w:t>Number of RSUs:</w:t>
            </w:r>
          </w:p>
        </w:tc>
        <w:tc>
          <w:tcPr>
            <w:tcW w:w="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8"/>
                <w:szCs w:val="8"/>
                <w:color w:val="auto"/>
              </w:rPr>
            </w:pPr>
          </w:p>
        </w:tc>
        <w:tc>
          <w:tcPr>
            <w:tcW w:w="8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w w:val="71"/>
              </w:rPr>
              <w:t>]</w:t>
            </w:r>
          </w:p>
        </w:tc>
        <w:tc>
          <w:tcPr>
            <w:tcW w:w="0" w:type="dxa"/>
            <w:vAlign w:val="bottom"/>
          </w:tcPr>
          <w:p>
            <w:pPr>
              <w:spacing w:after="0"/>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0" w:type="dxa"/>
            <w:vAlign w:val="bottom"/>
            <w:shd w:val="clear" w:color="auto" w:fill="FFFF00"/>
          </w:tcPr>
          <w:p>
            <w:pPr>
              <w:spacing w:after="0" w:line="216" w:lineRule="exact"/>
              <w:rPr>
                <w:sz w:val="20"/>
                <w:szCs w:val="20"/>
                <w:color w:val="auto"/>
              </w:rPr>
            </w:pPr>
            <w:r>
              <w:rPr>
                <w:rFonts w:ascii="Arial" w:cs="Arial" w:eastAsia="Arial" w:hAnsi="Arial"/>
                <w:sz w:val="20"/>
                <w:szCs w:val="20"/>
                <w:color w:val="auto"/>
                <w:highlight w:val="yellow"/>
                <w:w w:val="86"/>
              </w:rPr>
              <w:t>To be specified</w:t>
            </w:r>
          </w:p>
        </w:tc>
        <w:tc>
          <w:tcPr>
            <w:tcW w:w="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320" w:type="dxa"/>
            <w:vAlign w:val="bottom"/>
            <w:vMerge w:val="restart"/>
          </w:tcPr>
          <w:p>
            <w:pPr>
              <w:spacing w:after="0"/>
              <w:rPr>
                <w:sz w:val="20"/>
                <w:szCs w:val="20"/>
                <w:color w:val="auto"/>
              </w:rPr>
            </w:pPr>
            <w:r>
              <w:rPr>
                <w:rFonts w:ascii="Arial" w:cs="Arial" w:eastAsia="Arial" w:hAnsi="Arial"/>
                <w:sz w:val="20"/>
                <w:szCs w:val="20"/>
                <w:b w:val="1"/>
                <w:bCs w:val="1"/>
                <w:color w:val="auto"/>
              </w:rPr>
              <w:t>Vesting Commencement Date:</w:t>
            </w:r>
          </w:p>
        </w:tc>
        <w:tc>
          <w:tcPr>
            <w:tcW w:w="80" w:type="dxa"/>
            <w:vAlign w:val="bottom"/>
            <w:vMerge w:val="restart"/>
          </w:tcPr>
          <w:p>
            <w:pPr>
              <w:spacing w:after="0"/>
              <w:rPr>
                <w:sz w:val="8"/>
                <w:szCs w:val="8"/>
                <w:color w:val="auto"/>
              </w:rPr>
            </w:pPr>
          </w:p>
        </w:tc>
        <w:tc>
          <w:tcPr>
            <w:tcW w:w="126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60" w:type="dxa"/>
            <w:vAlign w:val="bottom"/>
            <w:gridSpan w:val="2"/>
            <w:shd w:val="clear" w:color="auto" w:fill="FFFF00"/>
          </w:tcPr>
          <w:p>
            <w:pPr>
              <w:spacing w:after="0" w:line="216" w:lineRule="exact"/>
              <w:rPr>
                <w:sz w:val="20"/>
                <w:szCs w:val="20"/>
                <w:color w:val="auto"/>
              </w:rPr>
            </w:pPr>
            <w:r>
              <w:rPr>
                <w:rFonts w:ascii="Arial" w:cs="Arial" w:eastAsia="Arial" w:hAnsi="Arial"/>
                <w:sz w:val="20"/>
                <w:szCs w:val="20"/>
                <w:color w:val="auto"/>
                <w:w w:val="84"/>
              </w:rPr>
              <w:t xml:space="preserve">[To </w:t>
            </w:r>
            <w:r>
              <w:rPr>
                <w:rFonts w:ascii="Arial" w:cs="Arial" w:eastAsia="Arial" w:hAnsi="Arial"/>
                <w:sz w:val="20"/>
                <w:szCs w:val="20"/>
                <w:color w:val="auto"/>
                <w:highlight w:val="yellow"/>
                <w:w w:val="84"/>
              </w:rPr>
              <w:t>be specified]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320" w:type="dxa"/>
            <w:vAlign w:val="bottom"/>
            <w:vMerge w:val="restart"/>
          </w:tcPr>
          <w:p>
            <w:pPr>
              <w:spacing w:after="0"/>
              <w:rPr>
                <w:sz w:val="20"/>
                <w:szCs w:val="20"/>
                <w:color w:val="auto"/>
              </w:rPr>
            </w:pPr>
            <w:r>
              <w:rPr>
                <w:rFonts w:ascii="Arial" w:cs="Arial" w:eastAsia="Arial" w:hAnsi="Arial"/>
                <w:sz w:val="20"/>
                <w:szCs w:val="20"/>
                <w:b w:val="1"/>
                <w:bCs w:val="1"/>
                <w:color w:val="auto"/>
              </w:rPr>
              <w:t>Vesting Schedule:</w:t>
            </w:r>
          </w:p>
        </w:tc>
        <w:tc>
          <w:tcPr>
            <w:tcW w:w="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8"/>
                <w:szCs w:val="8"/>
                <w:color w:val="auto"/>
              </w:rPr>
            </w:pPr>
          </w:p>
        </w:tc>
        <w:tc>
          <w:tcPr>
            <w:tcW w:w="8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w w:val="71"/>
              </w:rPr>
              <w:t>]</w:t>
            </w:r>
          </w:p>
        </w:tc>
        <w:tc>
          <w:tcPr>
            <w:tcW w:w="0" w:type="dxa"/>
            <w:vAlign w:val="bottom"/>
          </w:tcPr>
          <w:p>
            <w:pPr>
              <w:spacing w:after="0"/>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0" w:type="dxa"/>
            <w:vAlign w:val="bottom"/>
            <w:shd w:val="clear" w:color="auto" w:fill="FFFF00"/>
          </w:tcPr>
          <w:p>
            <w:pPr>
              <w:spacing w:after="0" w:line="216" w:lineRule="exact"/>
              <w:rPr>
                <w:sz w:val="20"/>
                <w:szCs w:val="20"/>
                <w:color w:val="auto"/>
              </w:rPr>
            </w:pPr>
            <w:r>
              <w:rPr>
                <w:rFonts w:ascii="Arial" w:cs="Arial" w:eastAsia="Arial" w:hAnsi="Arial"/>
                <w:sz w:val="20"/>
                <w:szCs w:val="20"/>
                <w:color w:val="auto"/>
                <w:highlight w:val="yellow"/>
                <w:w w:val="86"/>
              </w:rPr>
              <w:t>To be specified</w:t>
            </w:r>
          </w:p>
        </w:tc>
        <w:tc>
          <w:tcPr>
            <w:tcW w:w="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4860" w:type="dxa"/>
            <w:vAlign w:val="bottom"/>
            <w:gridSpan w:val="2"/>
          </w:tcPr>
          <w:p>
            <w:pPr>
              <w:spacing w:after="0"/>
              <w:rPr>
                <w:sz w:val="20"/>
                <w:szCs w:val="20"/>
                <w:color w:val="auto"/>
              </w:rPr>
            </w:pPr>
            <w:r>
              <w:rPr>
                <w:rFonts w:ascii="Arial" w:cs="Arial" w:eastAsia="Arial" w:hAnsi="Arial"/>
                <w:sz w:val="20"/>
                <w:szCs w:val="20"/>
                <w:b w:val="1"/>
                <w:bCs w:val="1"/>
                <w:color w:val="auto"/>
              </w:rPr>
              <w:t>PROCEPT BIOROBOTICS CORPORATION</w:t>
            </w:r>
          </w:p>
        </w:tc>
        <w:tc>
          <w:tcPr>
            <w:tcW w:w="760" w:type="dxa"/>
            <w:vAlign w:val="bottom"/>
          </w:tcPr>
          <w:p>
            <w:pPr>
              <w:spacing w:after="0"/>
              <w:rPr>
                <w:sz w:val="22"/>
                <w:szCs w:val="22"/>
                <w:color w:val="auto"/>
              </w:rPr>
            </w:pPr>
          </w:p>
        </w:tc>
        <w:tc>
          <w:tcPr>
            <w:tcW w:w="5340" w:type="dxa"/>
            <w:vAlign w:val="bottom"/>
            <w:gridSpan w:val="3"/>
          </w:tcPr>
          <w:p>
            <w:pPr>
              <w:ind w:left="60"/>
              <w:spacing w:after="0"/>
              <w:rPr>
                <w:sz w:val="20"/>
                <w:szCs w:val="20"/>
                <w:color w:val="auto"/>
              </w:rPr>
            </w:pPr>
            <w:r>
              <w:rPr>
                <w:rFonts w:ascii="Arial" w:cs="Arial" w:eastAsia="Arial" w:hAnsi="Arial"/>
                <w:sz w:val="20"/>
                <w:szCs w:val="20"/>
                <w:b w:val="1"/>
                <w:bCs w:val="1"/>
                <w:color w:val="auto"/>
              </w:rPr>
              <w:t>PARTICIPANT</w:t>
            </w:r>
          </w:p>
        </w:tc>
        <w:tc>
          <w:tcPr>
            <w:tcW w:w="0" w:type="dxa"/>
            <w:vAlign w:val="bottom"/>
          </w:tcPr>
          <w:p>
            <w:pPr>
              <w:spacing w:after="0"/>
              <w:rPr>
                <w:sz w:val="1"/>
                <w:szCs w:val="1"/>
                <w:color w:val="auto"/>
              </w:rPr>
            </w:pPr>
          </w:p>
        </w:tc>
      </w:tr>
      <w:tr>
        <w:trPr>
          <w:trHeight w:val="310"/>
        </w:trPr>
        <w:tc>
          <w:tcPr>
            <w:tcW w:w="4860" w:type="dxa"/>
            <w:vAlign w:val="bottom"/>
            <w:gridSpan w:val="2"/>
          </w:tcPr>
          <w:p>
            <w:pPr>
              <w:spacing w:after="0"/>
              <w:rPr>
                <w:sz w:val="20"/>
                <w:szCs w:val="20"/>
                <w:color w:val="auto"/>
              </w:rPr>
            </w:pPr>
            <w:r>
              <w:rPr>
                <w:rFonts w:ascii="Arial" w:cs="Arial" w:eastAsia="Arial" w:hAnsi="Arial"/>
                <w:sz w:val="20"/>
                <w:szCs w:val="20"/>
                <w:color w:val="auto"/>
              </w:rPr>
              <w:t>By:</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860" w:type="dxa"/>
            <w:vAlign w:val="bottom"/>
            <w:gridSpan w:val="2"/>
            <w:vMerge w:val="restart"/>
          </w:tcPr>
          <w:p>
            <w:pPr>
              <w:spacing w:after="0"/>
              <w:rPr>
                <w:sz w:val="20"/>
                <w:szCs w:val="20"/>
                <w:color w:val="auto"/>
              </w:rPr>
            </w:pPr>
            <w:r>
              <w:rPr>
                <w:rFonts w:ascii="Arial" w:cs="Arial" w:eastAsia="Arial" w:hAnsi="Arial"/>
                <w:sz w:val="20"/>
                <w:szCs w:val="20"/>
                <w:color w:val="auto"/>
              </w:rPr>
              <w:t>Name:</w:t>
            </w:r>
          </w:p>
        </w:tc>
        <w:tc>
          <w:tcPr>
            <w:tcW w:w="760" w:type="dxa"/>
            <w:vAlign w:val="bottom"/>
          </w:tcPr>
          <w:p>
            <w:pPr>
              <w:spacing w:after="0"/>
              <w:rPr>
                <w:sz w:val="2"/>
                <w:szCs w:val="2"/>
                <w:color w:val="auto"/>
              </w:rPr>
            </w:pPr>
          </w:p>
        </w:tc>
        <w:tc>
          <w:tcPr>
            <w:tcW w:w="120" w:type="dxa"/>
            <w:vAlign w:val="bottom"/>
            <w:vMerge w:val="restart"/>
          </w:tcPr>
          <w:p>
            <w:pPr>
              <w:ind w:left="60"/>
              <w:spacing w:after="0"/>
              <w:rPr>
                <w:sz w:val="20"/>
                <w:szCs w:val="20"/>
                <w:color w:val="auto"/>
              </w:rPr>
            </w:pPr>
            <w:r>
              <w:rPr>
                <w:rFonts w:ascii="Arial" w:cs="Arial" w:eastAsia="Arial" w:hAnsi="Arial"/>
                <w:sz w:val="20"/>
                <w:szCs w:val="20"/>
                <w:color w:val="auto"/>
                <w:w w:val="71"/>
              </w:rPr>
              <w:t>[</w:t>
            </w:r>
          </w:p>
        </w:tc>
        <w:tc>
          <w:tcPr>
            <w:tcW w:w="1380" w:type="dxa"/>
            <w:vAlign w:val="bottom"/>
          </w:tcPr>
          <w:p>
            <w:pPr>
              <w:spacing w:after="0"/>
              <w:rPr>
                <w:sz w:val="2"/>
                <w:szCs w:val="2"/>
                <w:color w:val="auto"/>
              </w:rPr>
            </w:pPr>
          </w:p>
        </w:tc>
        <w:tc>
          <w:tcPr>
            <w:tcW w:w="3840" w:type="dxa"/>
            <w:vAlign w:val="bottom"/>
            <w:vMerge w:val="restart"/>
          </w:tcPr>
          <w:p>
            <w:pPr>
              <w:jc w:val="right"/>
              <w:ind w:right="3681"/>
              <w:spacing w:after="0"/>
              <w:rPr>
                <w:sz w:val="20"/>
                <w:szCs w:val="20"/>
                <w:color w:val="auto"/>
              </w:rPr>
            </w:pPr>
            <w:r>
              <w:rPr>
                <w:rFonts w:ascii="Arial" w:cs="Arial" w:eastAsia="Arial" w:hAnsi="Arial"/>
                <w:sz w:val="20"/>
                <w:szCs w:val="20"/>
                <w:color w:val="auto"/>
                <w:w w:val="71"/>
              </w:rPr>
              <w:t>]</w:t>
            </w:r>
          </w:p>
        </w:tc>
        <w:tc>
          <w:tcPr>
            <w:tcW w:w="0" w:type="dxa"/>
            <w:vAlign w:val="bottom"/>
          </w:tcPr>
          <w:p>
            <w:pPr>
              <w:spacing w:after="0" w:line="20" w:lineRule="exact"/>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380" w:type="dxa"/>
            <w:vAlign w:val="bottom"/>
            <w:shd w:val="clear" w:color="auto" w:fill="FFFF00"/>
          </w:tcPr>
          <w:p>
            <w:pPr>
              <w:spacing w:after="0" w:line="216" w:lineRule="exact"/>
              <w:rPr>
                <w:sz w:val="20"/>
                <w:szCs w:val="20"/>
                <w:color w:val="auto"/>
              </w:rPr>
            </w:pPr>
            <w:r>
              <w:rPr>
                <w:rFonts w:ascii="Arial" w:cs="Arial" w:eastAsia="Arial" w:hAnsi="Arial"/>
                <w:sz w:val="20"/>
                <w:szCs w:val="20"/>
                <w:color w:val="auto"/>
                <w:highlight w:val="yellow"/>
                <w:w w:val="88"/>
              </w:rPr>
              <w:t>Participant Name</w:t>
            </w:r>
          </w:p>
        </w:tc>
        <w:tc>
          <w:tcPr>
            <w:tcW w:w="3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40" w:type="dxa"/>
            <w:vAlign w:val="bottom"/>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860" w:type="dxa"/>
            <w:vAlign w:val="bottom"/>
            <w:gridSpan w:val="2"/>
          </w:tcPr>
          <w:p>
            <w:pPr>
              <w:spacing w:after="0"/>
              <w:rPr>
                <w:sz w:val="20"/>
                <w:szCs w:val="20"/>
                <w:color w:val="auto"/>
              </w:rPr>
            </w:pPr>
            <w:r>
              <w:rPr>
                <w:rFonts w:ascii="Arial" w:cs="Arial" w:eastAsia="Arial" w:hAnsi="Arial"/>
                <w:sz w:val="20"/>
                <w:szCs w:val="20"/>
                <w:color w:val="auto"/>
              </w:rPr>
              <w:t>Title:</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84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2"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20"/>
          <w:szCs w:val="20"/>
          <w:color w:val="auto"/>
        </w:rPr>
        <w:t>Capitalized terms not specifically defined in this Restricted Stock Unit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have the meanings specified in the Grant Notice or, if not defined in the Grant Notice, in the Plan.</w:t>
      </w:r>
    </w:p>
    <w:p>
      <w:pPr>
        <w:spacing w:after="0" w:line="185"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Award of RSUs</w:t>
      </w:r>
      <w:r>
        <w:rPr>
          <w:rFonts w:ascii="Arial" w:cs="Arial" w:eastAsia="Arial" w:hAnsi="Arial"/>
          <w:sz w:val="20"/>
          <w:szCs w:val="20"/>
          <w:color w:val="auto"/>
        </w:rPr>
        <w:t>. The Company has granted the RSUs to Participant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Each RSU represents the right to receive one Share as set forth in this Agreement. Participant will have no right to the distribution of any Shares until the time (if ever) the RSUs have vested.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Unsecured Promise</w:t>
      </w:r>
      <w:r>
        <w:rPr>
          <w:rFonts w:ascii="Arial" w:cs="Arial" w:eastAsia="Arial" w:hAnsi="Arial"/>
          <w:sz w:val="20"/>
          <w:szCs w:val="20"/>
          <w:color w:val="auto"/>
        </w:rPr>
        <w:t>. The RSUs will at all times prior to settlement represent an unsecured Company obligation payable only from the Company’s general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SETTLEMENT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Vesting; Forfeiture</w:t>
      </w:r>
      <w:r>
        <w:rPr>
          <w:rFonts w:ascii="Arial" w:cs="Arial" w:eastAsia="Arial" w:hAnsi="Arial"/>
          <w:sz w:val="19"/>
          <w:szCs w:val="19"/>
          <w:color w:val="auto"/>
        </w:rPr>
        <w:t>. The RSUs will vest according to the vesting schedule in the Grant Notice except that any fraction of an RSU that would otherwise be vested will be accumulated and will vest only when a whole RSU has accumulated. In addition, upon Participant’s Termination of Service due to Participant’s death or Disability, in either case, on or after the first anniversary of Participant’s employment or service commencement date, the then-unvested RSUs will vest in full. In the event of Participant’s Termination of Service for any other reason, all unvested RSUs will immediately and automatically be cancelled and forfeited, except as otherwise determined by the Administrator or provided in a binding written agreement between Participant and the Company.</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216" w:lineRule="exact"/>
        <w:rPr>
          <w:sz w:val="20"/>
          <w:szCs w:val="20"/>
          <w:color w:val="auto"/>
        </w:rPr>
      </w:pPr>
    </w:p>
    <w:p>
      <w:pPr>
        <w:ind w:firstLine="1304"/>
        <w:spacing w:after="0" w:line="260" w:lineRule="auto"/>
        <w:tabs>
          <w:tab w:leader="none" w:pos="1735" w:val="left"/>
        </w:tabs>
        <w:numPr>
          <w:ilvl w:val="0"/>
          <w:numId w:val="337"/>
        </w:numPr>
        <w:rPr>
          <w:rFonts w:ascii="Arial" w:cs="Arial" w:eastAsia="Arial" w:hAnsi="Arial"/>
          <w:sz w:val="20"/>
          <w:szCs w:val="20"/>
          <w:color w:val="auto"/>
        </w:rPr>
      </w:pPr>
      <w:r>
        <w:rPr>
          <w:rFonts w:ascii="Arial" w:cs="Arial" w:eastAsia="Arial" w:hAnsi="Arial"/>
          <w:sz w:val="20"/>
          <w:szCs w:val="20"/>
          <w:color w:val="auto"/>
        </w:rPr>
        <w:t>The RSUs will be paid in Shares as soon as administratively practicable after the vesting of the applicable RSU, but in no event later than March 15 of the year following the year in which the RSU’s vesting date occurs.</w:t>
      </w:r>
    </w:p>
    <w:p>
      <w:pPr>
        <w:spacing w:after="0" w:line="176" w:lineRule="exact"/>
        <w:rPr>
          <w:rFonts w:ascii="Arial" w:cs="Arial" w:eastAsia="Arial" w:hAnsi="Arial"/>
          <w:sz w:val="20"/>
          <w:szCs w:val="20"/>
          <w:color w:val="auto"/>
        </w:rPr>
      </w:pPr>
    </w:p>
    <w:p>
      <w:pPr>
        <w:jc w:val="both"/>
        <w:ind w:firstLine="1304"/>
        <w:spacing w:after="0" w:line="246" w:lineRule="auto"/>
        <w:tabs>
          <w:tab w:leader="none" w:pos="1893" w:val="left"/>
        </w:tabs>
        <w:numPr>
          <w:ilvl w:val="0"/>
          <w:numId w:val="337"/>
        </w:numPr>
        <w:rPr>
          <w:rFonts w:ascii="Arial" w:cs="Arial" w:eastAsia="Arial" w:hAnsi="Arial"/>
          <w:sz w:val="20"/>
          <w:szCs w:val="20"/>
          <w:color w:val="auto"/>
        </w:rPr>
      </w:pPr>
      <w:r>
        <w:rPr>
          <w:rFonts w:ascii="Arial" w:cs="Arial" w:eastAsia="Arial" w:hAnsi="Arial"/>
          <w:sz w:val="20"/>
          <w:szCs w:val="20"/>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w:t>
      </w:r>
      <w:r>
        <w:rPr>
          <w:rFonts w:ascii="Arial" w:cs="Arial" w:eastAsia="Arial" w:hAnsi="Arial"/>
          <w:sz w:val="18"/>
          <w:szCs w:val="18"/>
          <w:color w:val="auto"/>
        </w:rPr>
        <w:t>. Participant represents to the Company that Participant has reviewed with Participant’s own tax advisors the tax consequences of this award of RSUs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and the transactions contemplated by the Grant Notice and this Agreement. Participant is relying solely on such advisors and not on any statements or representations of the Company or any of its agents.</w:t>
      </w:r>
    </w:p>
    <w:p>
      <w:pPr>
        <w:sectPr>
          <w:pgSz w:w="11900" w:h="16838" w:orient="portrait"/>
          <w:cols w:equalWidth="0" w:num="1">
            <w:col w:w="11240"/>
          </w:cols>
          <w:pgMar w:left="320" w:top="121" w:right="339" w:bottom="1440" w:gutter="0" w:footer="0" w:header="0"/>
        </w:sectPr>
      </w:pPr>
    </w:p>
    <w:bookmarkStart w:id="410" w:name="page411"/>
    <w:bookmarkEnd w:id="410"/>
    <w:p>
      <w:pPr>
        <w:ind w:left="660"/>
        <w:spacing w:after="0"/>
        <w:tabs>
          <w:tab w:leader="none" w:pos="10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ind w:firstLine="1304"/>
        <w:spacing w:after="0" w:line="300" w:lineRule="auto"/>
        <w:tabs>
          <w:tab w:leader="none" w:pos="1754" w:val="left"/>
        </w:tabs>
        <w:numPr>
          <w:ilvl w:val="0"/>
          <w:numId w:val="338"/>
        </w:numPr>
        <w:rPr>
          <w:rFonts w:ascii="Arial" w:cs="Arial" w:eastAsia="Arial" w:hAnsi="Arial"/>
          <w:sz w:val="19"/>
          <w:szCs w:val="19"/>
          <w:color w:val="auto"/>
        </w:rPr>
      </w:pPr>
      <w:r>
        <w:rPr>
          <w:rFonts w:ascii="Arial" w:cs="Arial" w:eastAsia="Arial" w:hAnsi="Arial"/>
          <w:sz w:val="19"/>
          <w:szCs w:val="19"/>
          <w:color w:val="auto"/>
        </w:rPr>
        <w:t>Subject to Section 3.2(b), payment of the withholding tax obligations with respect to the Award may be by any of the following, or a combination thereof, as determined by [the Company in its sole discretion / Participant or the Administrator]</w:t>
      </w:r>
      <w:r>
        <w:rPr>
          <w:rFonts w:ascii="Arial" w:cs="Arial" w:eastAsia="Arial" w:hAnsi="Arial"/>
          <w:sz w:val="24"/>
          <w:szCs w:val="24"/>
          <w:color w:val="auto"/>
          <w:vertAlign w:val="superscript"/>
        </w:rPr>
        <w:t>1</w:t>
      </w:r>
      <w:r>
        <w:rPr>
          <w:rFonts w:ascii="Arial" w:cs="Arial" w:eastAsia="Arial" w:hAnsi="Arial"/>
          <w:sz w:val="19"/>
          <w:szCs w:val="19"/>
          <w:color w:val="auto"/>
        </w:rPr>
        <w:t>:</w:t>
      </w:r>
    </w:p>
    <w:p>
      <w:pPr>
        <w:spacing w:after="0" w:line="81" w:lineRule="exact"/>
        <w:rPr>
          <w:rFonts w:ascii="Arial" w:cs="Arial" w:eastAsia="Arial" w:hAnsi="Arial"/>
          <w:sz w:val="19"/>
          <w:szCs w:val="19"/>
          <w:color w:val="auto"/>
        </w:rPr>
      </w:pPr>
    </w:p>
    <w:p>
      <w:pPr>
        <w:ind w:left="2380" w:hanging="428"/>
        <w:spacing w:after="0"/>
        <w:tabs>
          <w:tab w:leader="none" w:pos="2380" w:val="left"/>
        </w:tabs>
        <w:numPr>
          <w:ilvl w:val="1"/>
          <w:numId w:val="338"/>
        </w:numPr>
        <w:rPr>
          <w:rFonts w:ascii="Arial" w:cs="Arial" w:eastAsia="Arial" w:hAnsi="Arial"/>
          <w:sz w:val="22"/>
          <w:szCs w:val="22"/>
          <w:color w:val="auto"/>
        </w:rPr>
      </w:pPr>
      <w:r>
        <w:rPr>
          <w:rFonts w:ascii="Arial" w:cs="Arial" w:eastAsia="Arial" w:hAnsi="Arial"/>
          <w:sz w:val="20"/>
          <w:szCs w:val="20"/>
          <w:color w:val="auto"/>
        </w:rPr>
        <w:t>Cash or check;</w:t>
      </w:r>
    </w:p>
    <w:p>
      <w:pPr>
        <w:spacing w:after="0" w:line="222" w:lineRule="exact"/>
        <w:rPr>
          <w:rFonts w:ascii="Arial" w:cs="Arial" w:eastAsia="Arial" w:hAnsi="Arial"/>
          <w:sz w:val="22"/>
          <w:szCs w:val="22"/>
          <w:color w:val="auto"/>
        </w:rPr>
      </w:pPr>
    </w:p>
    <w:p>
      <w:pPr>
        <w:ind w:firstLine="1952"/>
        <w:spacing w:after="0" w:line="238" w:lineRule="auto"/>
        <w:tabs>
          <w:tab w:leader="none" w:pos="2464" w:val="left"/>
        </w:tabs>
        <w:numPr>
          <w:ilvl w:val="1"/>
          <w:numId w:val="338"/>
        </w:numPr>
        <w:rPr>
          <w:rFonts w:ascii="Arial" w:cs="Arial" w:eastAsia="Arial" w:hAnsi="Arial"/>
          <w:sz w:val="22"/>
          <w:szCs w:val="22"/>
          <w:color w:val="auto"/>
        </w:rPr>
      </w:pPr>
      <w:r>
        <w:rPr>
          <w:rFonts w:ascii="Arial" w:cs="Arial" w:eastAsia="Arial" w:hAnsi="Arial"/>
          <w:sz w:val="20"/>
          <w:szCs w:val="20"/>
          <w:color w:val="auto"/>
        </w:rPr>
        <w:t>In whole or in part by delivery of Shares, including Shares delivered by attestation and Shares retained from the Award creating the tax obligation, valued at their Fair Market Value on the date of delivery; or</w:t>
      </w:r>
    </w:p>
    <w:p>
      <w:pPr>
        <w:spacing w:after="0" w:line="223" w:lineRule="exact"/>
        <w:rPr>
          <w:rFonts w:ascii="Arial" w:cs="Arial" w:eastAsia="Arial" w:hAnsi="Arial"/>
          <w:sz w:val="22"/>
          <w:szCs w:val="22"/>
          <w:color w:val="auto"/>
        </w:rPr>
      </w:pPr>
    </w:p>
    <w:p>
      <w:pPr>
        <w:ind w:firstLine="1952"/>
        <w:spacing w:after="0" w:line="238" w:lineRule="auto"/>
        <w:tabs>
          <w:tab w:leader="none" w:pos="2511" w:val="left"/>
        </w:tabs>
        <w:numPr>
          <w:ilvl w:val="1"/>
          <w:numId w:val="338"/>
        </w:numPr>
        <w:rPr>
          <w:rFonts w:ascii="Arial" w:cs="Arial" w:eastAsia="Arial" w:hAnsi="Arial"/>
          <w:sz w:val="22"/>
          <w:szCs w:val="22"/>
          <w:color w:val="auto"/>
        </w:rPr>
      </w:pPr>
      <w:r>
        <w:rPr>
          <w:rFonts w:ascii="Arial" w:cs="Arial" w:eastAsia="Arial" w:hAnsi="Arial"/>
          <w:sz w:val="20"/>
          <w:szCs w:val="20"/>
          <w:color w:val="auto"/>
        </w:rPr>
        <w:t>In whole or in part by the Company withholding of Shares otherwise vesting or issuable under this Award in satisfaction of any applicable withholding tax obligations.</w:t>
      </w:r>
    </w:p>
    <w:p>
      <w:pPr>
        <w:spacing w:after="0" w:line="196" w:lineRule="exact"/>
        <w:rPr>
          <w:rFonts w:ascii="Arial" w:cs="Arial" w:eastAsia="Arial" w:hAnsi="Arial"/>
          <w:sz w:val="22"/>
          <w:szCs w:val="22"/>
          <w:color w:val="auto"/>
        </w:rPr>
      </w:pPr>
    </w:p>
    <w:p>
      <w:pPr>
        <w:jc w:val="both"/>
        <w:ind w:firstLine="1304"/>
        <w:spacing w:after="0" w:line="259" w:lineRule="auto"/>
        <w:tabs>
          <w:tab w:leader="none" w:pos="1727" w:val="left"/>
        </w:tabs>
        <w:numPr>
          <w:ilvl w:val="0"/>
          <w:numId w:val="338"/>
        </w:numPr>
        <w:rPr>
          <w:rFonts w:ascii="Arial" w:cs="Arial" w:eastAsia="Arial" w:hAnsi="Arial"/>
          <w:sz w:val="19"/>
          <w:szCs w:val="19"/>
          <w:color w:val="auto"/>
        </w:rPr>
      </w:pPr>
      <w:r>
        <w:rPr>
          <w:rFonts w:ascii="Arial" w:cs="Arial" w:eastAsia="Arial" w:hAnsi="Arial"/>
          <w:sz w:val="19"/>
          <w:szCs w:val="19"/>
          <w:color w:val="auto"/>
        </w:rPr>
        <w:t>Unless [the Company / Participant or the Administrator] otherwise determines, and subject to Section 10.17 of the Plan, payment of the withholding tax obligations with respect to the Award shall be by [delivery (including electronically or telephonically to the extent permitted by the Company) of an irrevocable and unconditional undertaking by a broker acceptable to the Company to deliver promptly to the Company sufficient funds to satisfy the applicable tax withholding obligations] /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w:t>
      </w:r>
      <w:r>
        <w:rPr>
          <w:rFonts w:ascii="Arial" w:cs="Arial" w:eastAsia="Arial" w:hAnsi="Arial"/>
          <w:sz w:val="24"/>
          <w:szCs w:val="24"/>
          <w:color w:val="auto"/>
          <w:vertAlign w:val="superscript"/>
        </w:rPr>
        <w:t>2</w:t>
      </w:r>
      <w:r>
        <w:rPr>
          <w:rFonts w:ascii="Arial" w:cs="Arial" w:eastAsia="Arial" w:hAnsi="Arial"/>
          <w:sz w:val="19"/>
          <w:szCs w:val="19"/>
          <w:color w:val="auto"/>
        </w:rPr>
        <w:t>.</w:t>
      </w:r>
    </w:p>
    <w:p>
      <w:pPr>
        <w:spacing w:after="0" w:line="97" w:lineRule="exact"/>
        <w:rPr>
          <w:rFonts w:ascii="Arial" w:cs="Arial" w:eastAsia="Arial" w:hAnsi="Arial"/>
          <w:sz w:val="19"/>
          <w:szCs w:val="19"/>
          <w:color w:val="auto"/>
        </w:rPr>
      </w:pPr>
    </w:p>
    <w:p>
      <w:pPr>
        <w:jc w:val="both"/>
        <w:ind w:firstLine="1304"/>
        <w:spacing w:after="0" w:line="255" w:lineRule="auto"/>
        <w:tabs>
          <w:tab w:leader="none" w:pos="1752" w:val="left"/>
        </w:tabs>
        <w:numPr>
          <w:ilvl w:val="0"/>
          <w:numId w:val="338"/>
        </w:numPr>
        <w:rPr>
          <w:rFonts w:ascii="Arial" w:cs="Arial" w:eastAsia="Arial" w:hAnsi="Arial"/>
          <w:sz w:val="19"/>
          <w:szCs w:val="19"/>
          <w:color w:val="auto"/>
        </w:rPr>
      </w:pPr>
      <w:r>
        <w:rPr>
          <w:rFonts w:ascii="Arial" w:cs="Arial" w:eastAsia="Arial" w:hAnsi="Arial"/>
          <w:sz w:val="19"/>
          <w:szCs w:val="19"/>
          <w:color w:val="auto"/>
        </w:rPr>
        <w:t>Subject to Section 9.5 of the Plan, the applicable tax withholding obligation will be determined based on Participant’s Applicable Withholding Rate. Participant’s “</w:t>
      </w:r>
      <w:r>
        <w:rPr>
          <w:rFonts w:ascii="Arial" w:cs="Arial" w:eastAsia="Arial" w:hAnsi="Arial"/>
          <w:sz w:val="19"/>
          <w:szCs w:val="19"/>
          <w:b w:val="1"/>
          <w:bCs w:val="1"/>
          <w:i w:val="1"/>
          <w:iCs w:val="1"/>
          <w:color w:val="auto"/>
        </w:rPr>
        <w:t>Applicable Withholding Rate</w:t>
      </w:r>
      <w:r>
        <w:rPr>
          <w:rFonts w:ascii="Arial" w:cs="Arial" w:eastAsia="Arial" w:hAnsi="Arial"/>
          <w:sz w:val="19"/>
          <w:szCs w:val="19"/>
          <w:color w:val="auto"/>
        </w:rPr>
        <w:t xml:space="preserve">” 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(ii) the number of Shares tendered or withheld, if applicable,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14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0" w:lineRule="exact"/>
        <w:rPr>
          <w:sz w:val="20"/>
          <w:szCs w:val="20"/>
          <w:color w:val="auto"/>
        </w:rPr>
      </w:pPr>
    </w:p>
    <w:p>
      <w:pPr>
        <w:ind w:left="120" w:hanging="112"/>
        <w:spacing w:after="0"/>
        <w:tabs>
          <w:tab w:leader="none" w:pos="120" w:val="left"/>
        </w:tabs>
        <w:numPr>
          <w:ilvl w:val="0"/>
          <w:numId w:val="339"/>
        </w:numPr>
        <w:rPr>
          <w:rFonts w:ascii="Arial" w:cs="Arial" w:eastAsia="Arial" w:hAnsi="Arial"/>
          <w:sz w:val="26"/>
          <w:szCs w:val="26"/>
          <w:color w:val="auto"/>
          <w:vertAlign w:val="superscript"/>
        </w:rPr>
      </w:pPr>
      <w:r>
        <w:rPr>
          <w:rFonts w:ascii="Arial" w:cs="Arial" w:eastAsia="Arial" w:hAnsi="Arial"/>
          <w:sz w:val="20"/>
          <w:szCs w:val="20"/>
          <w:color w:val="auto"/>
        </w:rPr>
        <w:t>NTD: “Participant or the Administrator” for Section 16 individuals. “The Company” for non-Section 16 individuals.</w:t>
      </w:r>
    </w:p>
    <w:p>
      <w:pPr>
        <w:spacing w:after="0" w:line="87"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25"/>
          <w:szCs w:val="25"/>
          <w:color w:val="auto"/>
          <w:vertAlign w:val="superscript"/>
        </w:rPr>
        <w:t>2</w:t>
      </w:r>
      <w:r>
        <w:rPr>
          <w:rFonts w:ascii="Arial" w:cs="Arial" w:eastAsia="Arial" w:hAnsi="Arial"/>
          <w:sz w:val="20"/>
          <w:szCs w:val="20"/>
          <w:color w:val="auto"/>
        </w:rPr>
        <w:t xml:space="preserve"> NTD: Use second bracketed language for Section 16 individuals.</w:t>
      </w:r>
    </w:p>
    <w:p>
      <w:pPr>
        <w:sectPr>
          <w:pgSz w:w="11900" w:h="16838" w:orient="portrait"/>
          <w:cols w:equalWidth="0" w:num="1">
            <w:col w:w="11240"/>
          </w:cols>
          <w:pgMar w:left="320" w:top="1419" w:right="339" w:bottom="1440" w:gutter="0" w:footer="0" w:header="0"/>
        </w:sectPr>
      </w:pPr>
    </w:p>
    <w:bookmarkStart w:id="411" w:name="page412"/>
    <w:bookmarkEnd w:id="411"/>
    <w:p>
      <w:pPr>
        <w:jc w:val="both"/>
        <w:ind w:firstLine="1304"/>
        <w:spacing w:after="0" w:line="278" w:lineRule="auto"/>
        <w:tabs>
          <w:tab w:leader="none" w:pos="175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RSUs and the Shares subject to the RSUs are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Clawback</w:t>
      </w:r>
      <w:r>
        <w:rPr>
          <w:rFonts w:ascii="Arial" w:cs="Arial" w:eastAsia="Arial" w:hAnsi="Arial"/>
          <w:sz w:val="20"/>
          <w:szCs w:val="20"/>
          <w:color w:val="auto"/>
        </w:rPr>
        <w:t>. The Award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General Counsel at the Company’s principal office or the General Counsel’s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w:t>
      </w:r>
    </w:p>
    <w:p>
      <w:pPr>
        <w:sectPr>
          <w:pgSz w:w="11900" w:h="16838" w:orient="portrait"/>
          <w:cols w:equalWidth="0" w:num="1">
            <w:col w:w="11240"/>
          </w:cols>
          <w:pgMar w:left="320" w:top="1419" w:right="339" w:bottom="1440" w:gutter="0" w:footer="0" w:header="0"/>
        </w:sectPr>
      </w:pPr>
    </w:p>
    <w:bookmarkStart w:id="412" w:name="page413"/>
    <w:bookmarkEnd w:id="412"/>
    <w:p>
      <w:pPr>
        <w:spacing w:after="0"/>
        <w:rPr>
          <w:sz w:val="20"/>
          <w:szCs w:val="20"/>
          <w:color w:val="auto"/>
        </w:rPr>
      </w:pPr>
      <w:r>
        <w:rPr>
          <w:rFonts w:ascii="Arial" w:cs="Arial" w:eastAsia="Arial" w:hAnsi="Arial"/>
          <w:sz w:val="20"/>
          <w:szCs w:val="20"/>
          <w:color w:val="auto"/>
        </w:rPr>
        <w:t>permit, this Agreement will be deemed amended as necessary to conform to such applicable exemptive rule.</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Entire Agreement; Amendment</w:t>
      </w:r>
      <w:r>
        <w:rPr>
          <w:rFonts w:ascii="Arial" w:cs="Arial" w:eastAsia="Arial" w:hAnsi="Arial"/>
          <w:sz w:val="19"/>
          <w:szCs w:val="19"/>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RSUs without the prior written consent of Participant.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ectPr>
          <w:pgSz w:w="11900" w:h="16838" w:orient="portrait"/>
          <w:cols w:equalWidth="0" w:num="1">
            <w:col w:w="11240"/>
          </w:cols>
          <w:pgMar w:left="320" w:top="1419" w:right="33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PROCEPT BIOROBOTICS CORPORATION</w:t>
      </w:r>
    </w:p>
    <w:p>
      <w:pPr>
        <w:spacing w:after="0" w:line="22"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2021 EMPLOYEE STOCK PURCHASE PLAN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14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purposes of this PROCEPT BioRobotics Corporation 2021 Employee Stock Purchase Plan (as it may be amended or restated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to assist Eligible Employees of PROCEPT BioRobotics Corporation, a California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 AND CONSTRUCTION</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13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2.1 “</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 shall mean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2.2 “</w:t>
      </w:r>
      <w:r>
        <w:rPr>
          <w:rFonts w:ascii="Arial" w:cs="Arial" w:eastAsia="Arial" w:hAnsi="Arial"/>
          <w:sz w:val="20"/>
          <w:szCs w:val="20"/>
          <w:b w:val="1"/>
          <w:bCs w:val="1"/>
          <w:i w:val="1"/>
          <w:iCs w:val="1"/>
          <w:color w:val="auto"/>
        </w:rPr>
        <w:t>Applicable Law</w:t>
      </w:r>
      <w:r>
        <w:rPr>
          <w:rFonts w:ascii="Arial" w:cs="Arial" w:eastAsia="Arial" w:hAnsi="Arial"/>
          <w:sz w:val="20"/>
          <w:szCs w:val="20"/>
          <w:color w:val="auto"/>
        </w:rPr>
        <w:t>” shall mean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and includes each of the following:</w:t>
      </w:r>
    </w:p>
    <w:p>
      <w:pPr>
        <w:spacing w:after="0" w:line="162" w:lineRule="exact"/>
        <w:rPr>
          <w:sz w:val="20"/>
          <w:szCs w:val="20"/>
          <w:color w:val="auto"/>
        </w:rPr>
      </w:pPr>
    </w:p>
    <w:p>
      <w:pPr>
        <w:jc w:val="both"/>
        <w:ind w:firstLine="656"/>
        <w:spacing w:after="0" w:line="309" w:lineRule="auto"/>
        <w:tabs>
          <w:tab w:leader="none" w:pos="113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and (ii) of subsection (c) below) whereby any “person” or related “group” of “persons” (as such terms are used in Sections 13(d) and 14(d)</w:t>
      </w:r>
    </w:p>
    <w:p>
      <w:pPr>
        <w:spacing w:after="0" w:line="22" w:lineRule="exact"/>
        <w:rPr>
          <w:rFonts w:ascii="Arial" w:cs="Arial" w:eastAsia="Arial" w:hAnsi="Arial"/>
          <w:sz w:val="18"/>
          <w:szCs w:val="18"/>
          <w:color w:val="auto"/>
        </w:rPr>
      </w:pPr>
    </w:p>
    <w:p>
      <w:pPr>
        <w:jc w:val="both"/>
        <w:spacing w:after="0"/>
        <w:rPr>
          <w:rFonts w:ascii="Arial" w:cs="Arial" w:eastAsia="Arial" w:hAnsi="Arial"/>
          <w:sz w:val="18"/>
          <w:szCs w:val="18"/>
          <w:color w:val="auto"/>
        </w:rPr>
      </w:pPr>
      <w:r>
        <w:rPr>
          <w:rFonts w:ascii="Arial" w:cs="Arial" w:eastAsia="Arial" w:hAnsi="Arial"/>
          <w:sz w:val="20"/>
          <w:szCs w:val="20"/>
          <w:color w:val="auto"/>
        </w:rPr>
        <w:t>(2)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43" w:lineRule="exact"/>
        <w:rPr>
          <w:rFonts w:ascii="Arial" w:cs="Arial" w:eastAsia="Arial" w:hAnsi="Arial"/>
          <w:sz w:val="18"/>
          <w:szCs w:val="18"/>
          <w:color w:val="auto"/>
        </w:rPr>
      </w:pPr>
    </w:p>
    <w:p>
      <w:pPr>
        <w:jc w:val="both"/>
        <w:ind w:firstLine="656"/>
        <w:spacing w:after="0" w:line="246" w:lineRule="auto"/>
        <w:tabs>
          <w:tab w:leader="none" w:pos="1145" w:val="left"/>
        </w:tabs>
        <w:numPr>
          <w:ilvl w:val="1"/>
          <w:numId w:val="342"/>
        </w:numPr>
        <w:rPr>
          <w:rFonts w:ascii="Arial" w:cs="Arial" w:eastAsia="Arial" w:hAnsi="Arial"/>
          <w:sz w:val="20"/>
          <w:szCs w:val="20"/>
          <w:color w:val="auto"/>
        </w:rPr>
      </w:pPr>
      <w:r>
        <w:rPr>
          <w:rFonts w:ascii="Arial" w:cs="Arial" w:eastAsia="Arial" w:hAnsi="Arial"/>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w:t>
      </w:r>
    </w:p>
    <w:p>
      <w:pPr>
        <w:sectPr>
          <w:pgSz w:w="11900" w:h="16838" w:orient="portrait"/>
          <w:cols w:equalWidth="0" w:num="1">
            <w:col w:w="11240"/>
          </w:cols>
          <w:pgMar w:left="320" w:top="121" w:right="339" w:bottom="1440" w:gutter="0" w:footer="0" w:header="0"/>
        </w:sectPr>
      </w:pPr>
    </w:p>
    <w:bookmarkStart w:id="414" w:name="page415"/>
    <w:bookmarkEnd w:id="414"/>
    <w:p>
      <w:pPr>
        <w:spacing w:after="0" w:line="260" w:lineRule="auto"/>
        <w:rPr>
          <w:sz w:val="20"/>
          <w:szCs w:val="20"/>
          <w:color w:val="auto"/>
        </w:rPr>
      </w:pPr>
      <w:r>
        <w:rPr>
          <w:rFonts w:ascii="Arial" w:cs="Arial" w:eastAsia="Arial" w:hAnsi="Arial"/>
          <w:sz w:val="20"/>
          <w:szCs w:val="20"/>
          <w:color w:val="auto"/>
        </w:rPr>
        <w:t>were directors at the beginning of the two-year period or whose election or nomination for election was previously so approved, cease for any reason to constitute a majority thereof; or</w:t>
      </w:r>
    </w:p>
    <w:p>
      <w:pPr>
        <w:spacing w:after="0" w:line="123" w:lineRule="exact"/>
        <w:rPr>
          <w:sz w:val="20"/>
          <w:szCs w:val="20"/>
          <w:color w:val="auto"/>
        </w:rPr>
      </w:pPr>
    </w:p>
    <w:p>
      <w:pPr>
        <w:jc w:val="both"/>
        <w:ind w:right="20" w:firstLine="656"/>
        <w:spacing w:after="0" w:line="246" w:lineRule="auto"/>
        <w:tabs>
          <w:tab w:leader="none" w:pos="1065" w:val="left"/>
        </w:tabs>
        <w:numPr>
          <w:ilvl w:val="0"/>
          <w:numId w:val="343"/>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37" w:lineRule="exact"/>
        <w:rPr>
          <w:rFonts w:ascii="Arial" w:cs="Arial" w:eastAsia="Arial" w:hAnsi="Arial"/>
          <w:sz w:val="20"/>
          <w:szCs w:val="20"/>
          <w:color w:val="auto"/>
        </w:rPr>
      </w:pPr>
    </w:p>
    <w:p>
      <w:pPr>
        <w:jc w:val="both"/>
        <w:ind w:left="660" w:firstLine="644"/>
        <w:spacing w:after="0" w:line="243" w:lineRule="auto"/>
        <w:tabs>
          <w:tab w:leader="none" w:pos="1705" w:val="left"/>
        </w:tabs>
        <w:numPr>
          <w:ilvl w:val="1"/>
          <w:numId w:val="343"/>
        </w:numPr>
        <w:rPr>
          <w:rFonts w:ascii="Arial" w:cs="Arial" w:eastAsia="Arial" w:hAnsi="Arial"/>
          <w:sz w:val="20"/>
          <w:szCs w:val="20"/>
          <w:color w:val="auto"/>
        </w:rPr>
      </w:pPr>
      <w:r>
        <w:rPr>
          <w:rFonts w:ascii="Arial" w:cs="Arial" w:eastAsia="Arial" w:hAnsi="Arial"/>
          <w:sz w:val="20"/>
          <w:szCs w:val="20"/>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20"/>
          <w:szCs w:val="20"/>
          <w:b w:val="1"/>
          <w:bCs w:val="1"/>
          <w:i w:val="1"/>
          <w:iCs w:val="1"/>
          <w:color w:val="auto"/>
        </w:rPr>
        <w:t>Successor Entity</w:t>
      </w:r>
      <w:r>
        <w:rPr>
          <w:rFonts w:ascii="Arial" w:cs="Arial" w:eastAsia="Arial" w:hAnsi="Arial"/>
          <w:sz w:val="20"/>
          <w:szCs w:val="20"/>
          <w:color w:val="auto"/>
        </w:rPr>
        <w:t>”)) directly or indirectly, at least a majority of the combined voting power of the Successor Entity’s outstanding voting securities immediately after the transaction, and</w:t>
      </w:r>
    </w:p>
    <w:p>
      <w:pPr>
        <w:spacing w:after="0" w:line="141" w:lineRule="exact"/>
        <w:rPr>
          <w:rFonts w:ascii="Arial" w:cs="Arial" w:eastAsia="Arial" w:hAnsi="Arial"/>
          <w:sz w:val="20"/>
          <w:szCs w:val="20"/>
          <w:color w:val="auto"/>
        </w:rPr>
      </w:pPr>
    </w:p>
    <w:p>
      <w:pPr>
        <w:jc w:val="both"/>
        <w:ind w:left="660" w:firstLine="644"/>
        <w:spacing w:after="0" w:line="246" w:lineRule="auto"/>
        <w:tabs>
          <w:tab w:leader="none" w:pos="1794" w:val="left"/>
        </w:tabs>
        <w:numPr>
          <w:ilvl w:val="1"/>
          <w:numId w:val="343"/>
        </w:numPr>
        <w:rPr>
          <w:rFonts w:ascii="Arial" w:cs="Arial" w:eastAsia="Arial" w:hAnsi="Arial"/>
          <w:sz w:val="20"/>
          <w:szCs w:val="20"/>
          <w:color w:val="auto"/>
        </w:rPr>
      </w:pPr>
      <w:r>
        <w:rPr>
          <w:rFonts w:ascii="Arial" w:cs="Arial" w:eastAsia="Arial" w:hAnsi="Arial"/>
          <w:sz w:val="20"/>
          <w:szCs w:val="20"/>
          <w:color w:val="auto"/>
        </w:rPr>
        <w:t xml:space="preserve">after which no person or group beneficially owns voting securities representing 50% or more of the combined voting power of the Successor Entity;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Notwithstanding the foregoing, if a Change in Control constitutes a payment event with respect to any portion of any right that constitutes “nonqualified deferred compensation,” the transaction or event constituting the Change in Control with respect to such right (or portion thereof) must also constitute a “change in control event” (as defined in Treasury Regulation §1.409A-3(i)(5)) to trigger the payment event for such right, to the extent required by Section 409A of the Code. 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shall mean the Internal Revenue Code of 1986, as amended and the regulations issued thereunder.</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2.6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shall mean the common stock of the Company, and such other securities of the Company that may be substituted therefor pursuant to Article VIII.</w:t>
      </w:r>
    </w:p>
    <w:p>
      <w:pPr>
        <w:spacing w:after="0" w:line="1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PROCEPT BioRobotics Corporation, a Delaware corporation.</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2.8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 of an Eligible Employee shall mean the gross cash compensation received by such Eligible Employee as compensation for services to the Company or any Designated Subsidiary, including prior week adjustment and overtime payments but excluding commissions, periodic bonuses, vacation pay, holiday pay, jury duty pay, funeral leave pay, military leave pay,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415" w:name="page416"/>
    <w:bookmarkEnd w:id="415"/>
    <w:p>
      <w:pPr>
        <w:jc w:val="both"/>
        <w:spacing w:after="0" w:line="260" w:lineRule="auto"/>
        <w:rPr>
          <w:sz w:val="20"/>
          <w:szCs w:val="20"/>
          <w:color w:val="auto"/>
        </w:rPr>
      </w:pPr>
      <w:r>
        <w:rPr>
          <w:rFonts w:ascii="Arial" w:cs="Arial" w:eastAsia="Arial" w:hAnsi="Arial"/>
          <w:sz w:val="20"/>
          <w:szCs w:val="20"/>
          <w:color w:val="auto"/>
        </w:rPr>
        <w:t>payments and all contributions made by the Company or any Designated Subsidiary for the Employee’s benefit under any employee benefit plan now or hereafter established.</w:t>
      </w:r>
    </w:p>
    <w:p>
      <w:pPr>
        <w:spacing w:after="0" w:line="1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Subsidiary</w:t>
      </w:r>
      <w:r>
        <w:rPr>
          <w:rFonts w:ascii="Arial" w:cs="Arial" w:eastAsia="Arial" w:hAnsi="Arial"/>
          <w:sz w:val="16"/>
          <w:szCs w:val="16"/>
          <w:color w:val="auto"/>
        </w:rPr>
        <w:t>” shall mean any Subsidiary designated by the Administrator in accordance with Section 11.3(b).</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shall mean the Pricing Date, provided that the Board has adopted the Plan prior to or on such date.</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xml:space="preserve">” shall mean an Employee who does not, immediately after any rights under this Plan are granted, own (directly or through attribution) stock possessing 5% or more of the total combined voting power or value of all classes of Common Stock and other stock of the Company, a Parent or a Subsidiary (as determined under Section 423(b)(3) of the Code). For purposes of the foregoing sentence, the rules of Section 424(d) of the Code with regard to the attribution of stock ownership shall apply in determining the stock ownership of an individual, and stock that an Employee may purchase under outstanding options shall be treated as stock owned by the Employee;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Administrator may provide in an Offering Document that an Employee shall not be eligible to participate in an Offering Period if: (a) such Employee is a highly compensated employee within the meaning of Section 423(b)(4)(D) of the Code, (b) such Employee has not met a service requirement designated by the Administrator pursuant to Section 423(b)(4)(A) of the Code (which service requirement may not exceed two years), (c) such Employee’s customary employment is for 20 hours or less per week, (d) such Employee’s customary employment is for less than five months in any calendar year and/or (e) 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exclusion in clauses (a), (b), (c), (d) or (e) shall be applied in an identical manner under each Offering Period to all Employees, in accordance with Treasury Regulation Section 1.423-2(e).</w:t>
      </w:r>
    </w:p>
    <w:p>
      <w:pPr>
        <w:spacing w:after="0" w:line="1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shall mean any officer or other employee (as defined in accordance with Section 3401(c) of the Code) of the Company or any Designated Subsidiary. “Employee” 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2.13 “</w:t>
      </w:r>
      <w:r>
        <w:rPr>
          <w:rFonts w:ascii="Arial" w:cs="Arial" w:eastAsia="Arial" w:hAnsi="Arial"/>
          <w:sz w:val="20"/>
          <w:szCs w:val="20"/>
          <w:b w:val="1"/>
          <w:bCs w:val="1"/>
          <w:i w:val="1"/>
          <w:iCs w:val="1"/>
          <w:color w:val="auto"/>
        </w:rPr>
        <w:t>Enrollment Date</w:t>
      </w:r>
      <w:r>
        <w:rPr>
          <w:rFonts w:ascii="Arial" w:cs="Arial" w:eastAsia="Arial" w:hAnsi="Arial"/>
          <w:sz w:val="20"/>
          <w:szCs w:val="20"/>
          <w:color w:val="auto"/>
        </w:rPr>
        <w:t xml:space="preserve">” shall mean the first Trading Day of each Offering Period, unless otherwise specified in the Offering Document; </w:t>
      </w:r>
      <w:r>
        <w:rPr>
          <w:rFonts w:ascii="Arial" w:cs="Arial" w:eastAsia="Arial" w:hAnsi="Arial"/>
          <w:sz w:val="20"/>
          <w:szCs w:val="20"/>
          <w:i w:val="1"/>
          <w:iCs w:val="1"/>
          <w:color w:val="auto"/>
        </w:rPr>
        <w:t>provided</w:t>
      </w:r>
      <w:r>
        <w:rPr>
          <w:rFonts w:ascii="Arial" w:cs="Arial" w:eastAsia="Arial" w:hAnsi="Arial"/>
          <w:sz w:val="20"/>
          <w:szCs w:val="20"/>
          <w:color w:val="auto"/>
        </w:rPr>
        <w:t>, that the Enrollment Date for the Initial Offering Period shall be the Pricing Date.</w:t>
      </w:r>
    </w:p>
    <w:p>
      <w:pPr>
        <w:spacing w:after="0" w:line="1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shall mean the Securities Exchange Act of 1934, as amended from time to time.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2.15 “</w:t>
      </w:r>
      <w:r>
        <w:rPr>
          <w:rFonts w:ascii="Arial" w:cs="Arial" w:eastAsia="Arial" w:hAnsi="Arial"/>
          <w:sz w:val="20"/>
          <w:szCs w:val="20"/>
          <w:b w:val="1"/>
          <w:bCs w:val="1"/>
          <w:i w:val="1"/>
          <w:iCs w:val="1"/>
          <w:color w:val="auto"/>
        </w:rPr>
        <w:t>Fair Market Value</w:t>
      </w:r>
      <w:r>
        <w:rPr>
          <w:rFonts w:ascii="Arial" w:cs="Arial" w:eastAsia="Arial" w:hAnsi="Arial"/>
          <w:sz w:val="20"/>
          <w:szCs w:val="20"/>
          <w:color w:val="auto"/>
        </w:rPr>
        <w:t>” means, as of any date, the value of a share of Common Stock determined as follows: (a) if the Common Stock is listed on any established stock exchange, its Fair Market Value will be the closing sales price for such Common Stock as quoted on such exchange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416" w:name="page417"/>
    <w:bookmarkEnd w:id="416"/>
    <w:p>
      <w:pPr>
        <w:jc w:val="both"/>
        <w:spacing w:after="0" w:line="243" w:lineRule="auto"/>
        <w:rPr>
          <w:sz w:val="20"/>
          <w:szCs w:val="20"/>
          <w:color w:val="auto"/>
        </w:rPr>
      </w:pPr>
      <w:r>
        <w:rPr>
          <w:rFonts w:ascii="Arial" w:cs="Arial" w:eastAsia="Arial" w:hAnsi="Arial"/>
          <w:sz w:val="20"/>
          <w:szCs w:val="20"/>
          <w:color w:val="auto"/>
        </w:rPr>
        <w:t xml:space="preserve">date, or if no sale occurred on such date, the last day preceding such date during which a sale occurred,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another source the Administrator deems reliable; (c) without an established market for the Common Stock, the Administrator will determine the Fair Market Value in its discretion; or (d) with respect to the Initial Offering Period, the Fair Market Value as specified in the Offering Document approved by the Administrator with respect to the Initial Offering Period.</w:t>
      </w:r>
    </w:p>
    <w:p>
      <w:pPr>
        <w:spacing w:after="0" w:line="13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2.16 “</w:t>
      </w:r>
      <w:r>
        <w:rPr>
          <w:rFonts w:ascii="Arial" w:cs="Arial" w:eastAsia="Arial" w:hAnsi="Arial"/>
          <w:sz w:val="20"/>
          <w:szCs w:val="20"/>
          <w:b w:val="1"/>
          <w:bCs w:val="1"/>
          <w:i w:val="1"/>
          <w:iCs w:val="1"/>
          <w:color w:val="auto"/>
        </w:rPr>
        <w:t>Initial Offering Period</w:t>
      </w:r>
      <w:r>
        <w:rPr>
          <w:rFonts w:ascii="Arial" w:cs="Arial" w:eastAsia="Arial" w:hAnsi="Arial"/>
          <w:sz w:val="20"/>
          <w:szCs w:val="20"/>
          <w:color w:val="auto"/>
        </w:rPr>
        <w:t>” means the period commencing on the Pricing Date and ending on the date set forth in the Offering Document approved by the Administrator with respect to the Initial Offering Period.</w:t>
      </w:r>
    </w:p>
    <w:p>
      <w:pPr>
        <w:spacing w:after="0" w:line="1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shall have the meaning given to such term in Section 4.1.</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shall have the meaning given to such term in Section 4.1.</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2.19 “</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2.20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shall mean any Eligible Employee who has executed a subscription agreement and been granted rights to purchase Common Stock pursuant to the Plan (or, with respect to the Initial Offering Period, those Participants specified in the Offering Document approved by the Administrator with respect to the Initial Offering Period).</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2.21 “</w:t>
      </w:r>
      <w:r>
        <w:rPr>
          <w:rFonts w:ascii="Arial" w:cs="Arial" w:eastAsia="Arial" w:hAnsi="Arial"/>
          <w:sz w:val="20"/>
          <w:szCs w:val="20"/>
          <w:b w:val="1"/>
          <w:bCs w:val="1"/>
          <w:i w:val="1"/>
          <w:iCs w:val="1"/>
          <w:color w:val="auto"/>
        </w:rPr>
        <w:t>Payday</w:t>
      </w:r>
      <w:r>
        <w:rPr>
          <w:rFonts w:ascii="Arial" w:cs="Arial" w:eastAsia="Arial" w:hAnsi="Arial"/>
          <w:sz w:val="20"/>
          <w:szCs w:val="20"/>
          <w:color w:val="auto"/>
        </w:rPr>
        <w:t>” means the regular and recurring established day for payment of Compensation to an Employee of the Company or any Designated Subsidiary.</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2.22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shall mean this PROCEPT BioRobotics Corporation 2021 Employee Stock Purchase Plan, as it may be amended from time to time.</w:t>
      </w:r>
    </w:p>
    <w:p>
      <w:pPr>
        <w:spacing w:after="0" w:line="1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2.23 “</w:t>
      </w:r>
      <w:r>
        <w:rPr>
          <w:rFonts w:ascii="Arial" w:cs="Arial" w:eastAsia="Arial" w:hAnsi="Arial"/>
          <w:sz w:val="19"/>
          <w:szCs w:val="19"/>
          <w:b w:val="1"/>
          <w:bCs w:val="1"/>
          <w:i w:val="1"/>
          <w:iCs w:val="1"/>
          <w:color w:val="auto"/>
        </w:rPr>
        <w:t>Pricing Date</w:t>
      </w:r>
      <w:r>
        <w:rPr>
          <w:rFonts w:ascii="Arial" w:cs="Arial" w:eastAsia="Arial" w:hAnsi="Arial"/>
          <w:sz w:val="19"/>
          <w:szCs w:val="19"/>
          <w:color w:val="auto"/>
        </w:rPr>
        <w:t>” means the date upon which the Company’s Registration Statement on Form S-1 filed with the Securities and Exchange Commission relating to the underwritten public offering of shares of Common Stock becomes effective.</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2.24 “</w:t>
      </w:r>
      <w:r>
        <w:rPr>
          <w:rFonts w:ascii="Arial" w:cs="Arial" w:eastAsia="Arial" w:hAnsi="Arial"/>
          <w:sz w:val="20"/>
          <w:szCs w:val="20"/>
          <w:b w:val="1"/>
          <w:bCs w:val="1"/>
          <w:i w:val="1"/>
          <w:iCs w:val="1"/>
          <w:color w:val="auto"/>
        </w:rPr>
        <w:t>Public Trading Date</w:t>
      </w:r>
      <w:r>
        <w:rPr>
          <w:rFonts w:ascii="Arial" w:cs="Arial" w:eastAsia="Arial" w:hAnsi="Arial"/>
          <w:sz w:val="20"/>
          <w:szCs w:val="20"/>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13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Purchase Date</w:t>
      </w:r>
      <w:r>
        <w:rPr>
          <w:rFonts w:ascii="Arial" w:cs="Arial" w:eastAsia="Arial" w:hAnsi="Arial"/>
          <w:sz w:val="16"/>
          <w:szCs w:val="16"/>
          <w:color w:val="auto"/>
        </w:rPr>
        <w:t>” shall mean the last Trading Day of each Purchase Period.</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xml:space="preserve">” shall refer to one or more periods within an Offering Period, as designated in the applicable Offering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shall mean the purchase price designated by the Administrator in the applicable Offering Document (which purchase price shall not be less than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no purchase price is designated by the Administrator in the applicable Offering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417" w:name="page418"/>
    <w:bookmarkEnd w:id="417"/>
    <w:p>
      <w:pPr>
        <w:jc w:val="both"/>
        <w:spacing w:after="0" w:line="250" w:lineRule="auto"/>
        <w:rPr>
          <w:sz w:val="20"/>
          <w:szCs w:val="20"/>
          <w:color w:val="auto"/>
        </w:rPr>
      </w:pPr>
      <w:r>
        <w:rPr>
          <w:rFonts w:ascii="Arial" w:cs="Arial" w:eastAsia="Arial" w:hAnsi="Arial"/>
          <w:sz w:val="20"/>
          <w:szCs w:val="20"/>
          <w:color w:val="auto"/>
        </w:rPr>
        <w:t xml:space="preserve">the purchase price for the Offering Periods covered by such Offering Document shall be 85% of the Fair Market Value of a Share on the Enrollment Date or on the Purchase Date, whichever is lower;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Purchase Price may be adjusted by the Administrator pursuant to Article VIII and shall not be less than the par value of a Share.</w:t>
      </w:r>
    </w:p>
    <w:p>
      <w:pPr>
        <w:spacing w:after="0" w:line="13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shall mean the Securities Act of 1933, as amended.</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shall mean a share of Common Stock.</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2.30 “</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xml:space="preserve">”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3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shall mean a day on which national stock exchanges in the United States are open for trading.</w:t>
      </w:r>
    </w:p>
    <w:p>
      <w:pPr>
        <w:spacing w:after="0" w:line="156"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SHARES SUBJECT TO THE PLAN</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Number of Shares</w:t>
      </w:r>
      <w:r>
        <w:rPr>
          <w:rFonts w:ascii="Arial" w:cs="Arial" w:eastAsia="Arial" w:hAnsi="Arial"/>
          <w:sz w:val="19"/>
          <w:szCs w:val="19"/>
          <w:color w:val="auto"/>
        </w:rPr>
        <w:t>. Subject to Article VIII, the aggregate number of shares of Common Stock that may be issued pursuant to rights granted under the Plan shall be 412,988 Shares. In addition to the foregoing, subject to Article VIII, on the first day of each calendar year beginning on January 1, 2022 and ending on and including January 1, 2031, the number of Shares available for issuance under the Plan shall be increased by that number of Shares equal to the lesser of (a) 1% of the aggregate number of shares of Common Stock outstanding on the final day of the immediately preceding calendar year and (b) such smaller number of Shares as determined by the Board. If any right granted under the Plan shall for any reason terminate without having been exercised, the Common Stock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10,526,315 Shares, subject to Article VIII.</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Stock Distributed</w:t>
      </w:r>
      <w:r>
        <w:rPr>
          <w:rFonts w:ascii="Arial" w:cs="Arial" w:eastAsia="Arial" w:hAnsi="Arial"/>
          <w:sz w:val="20"/>
          <w:szCs w:val="20"/>
          <w:color w:val="auto"/>
        </w:rPr>
        <w:t>. Any Common Stock distributed pursuant to the Plan may consist, in whole or in part, of authorized and unissued Common Stock, treasury stock or Common Stock purchased on the open market.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OFFERING PERIODS; OFFERING DOCUMENTS; PURCHASE DATES</w:t>
      </w:r>
    </w:p>
    <w:p>
      <w:pPr>
        <w:spacing w:after="0" w:line="1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Offering Periods</w:t>
      </w:r>
      <w:r>
        <w:rPr>
          <w:rFonts w:ascii="Arial" w:cs="Arial" w:eastAsia="Arial" w:hAnsi="Arial"/>
          <w:sz w:val="18"/>
          <w:szCs w:val="18"/>
          <w:color w:val="auto"/>
        </w:rPr>
        <w:t>. The Administrator may from time to time grant or provide for the grant of rights to purchase Common Stock under the Plan to Eligible Employees during one or more periods (each, an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selected by the Administrator. The terms and conditions applicable to each Offering Period shall be set forth in an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adopted by the Administrator, which Offering Document shall be in such form and shall contain such terms and conditions as the Administrator shall deem appropriate. The Administrator shall establish in each Offering Document one or more Purchase Periods during such Offering Period during which rights granted under the Plan shall be exercised and purchases of Shares carried out during such Offering Period in accordance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418" w:name="page419"/>
    <w:bookmarkEnd w:id="418"/>
    <w:p>
      <w:pPr>
        <w:spacing w:after="0"/>
        <w:rPr>
          <w:sz w:val="20"/>
          <w:szCs w:val="20"/>
          <w:color w:val="auto"/>
        </w:rPr>
      </w:pPr>
      <w:r>
        <w:rPr>
          <w:rFonts w:ascii="Arial" w:cs="Arial" w:eastAsia="Arial" w:hAnsi="Arial"/>
          <w:sz w:val="20"/>
          <w:szCs w:val="20"/>
          <w:color w:val="auto"/>
        </w:rPr>
        <w:t>Offering Document and the Plan. The provisions of separate Offering Periods under the Plan need not be identical.</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Offering Documents</w:t>
      </w:r>
      <w:r>
        <w:rPr>
          <w:rFonts w:ascii="Arial" w:cs="Arial" w:eastAsia="Arial" w:hAnsi="Arial"/>
          <w:sz w:val="20"/>
          <w:szCs w:val="20"/>
          <w:color w:val="auto"/>
        </w:rPr>
        <w:t>. Each Offering Document with respect to an Offering Period shall specify (through incorporation of the provisions of this Plan by reference or otherwise):</w:t>
      </w:r>
    </w:p>
    <w:p>
      <w:pPr>
        <w:spacing w:after="0" w:line="123" w:lineRule="exact"/>
        <w:rPr>
          <w:sz w:val="20"/>
          <w:szCs w:val="20"/>
          <w:color w:val="auto"/>
        </w:rPr>
      </w:pPr>
    </w:p>
    <w:p>
      <w:pPr>
        <w:ind w:left="1080" w:hanging="424"/>
        <w:spacing w:after="0"/>
        <w:tabs>
          <w:tab w:leader="none" w:pos="108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the length of the Offering Period, which period shall not exceed 27 months;</w:t>
      </w:r>
    </w:p>
    <w:p>
      <w:pPr>
        <w:spacing w:after="0" w:line="161" w:lineRule="exact"/>
        <w:rPr>
          <w:rFonts w:ascii="Arial" w:cs="Arial" w:eastAsia="Arial" w:hAnsi="Arial"/>
          <w:sz w:val="20"/>
          <w:szCs w:val="20"/>
          <w:color w:val="auto"/>
        </w:rPr>
      </w:pPr>
    </w:p>
    <w:p>
      <w:pPr>
        <w:ind w:left="1080" w:hanging="424"/>
        <w:spacing w:after="0"/>
        <w:tabs>
          <w:tab w:leader="none" w:pos="108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the length of the Purchase Period(s) within the Offering Period;</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117" w:val="left"/>
        </w:tabs>
        <w:numPr>
          <w:ilvl w:val="0"/>
          <w:numId w:val="344"/>
        </w:numPr>
        <w:rPr>
          <w:rFonts w:ascii="Arial" w:cs="Arial" w:eastAsia="Arial" w:hAnsi="Arial"/>
          <w:sz w:val="20"/>
          <w:szCs w:val="20"/>
          <w:color w:val="auto"/>
        </w:rPr>
      </w:pPr>
      <w:r>
        <w:rPr>
          <w:rFonts w:ascii="Arial" w:cs="Arial" w:eastAsia="Arial" w:hAnsi="Arial"/>
          <w:sz w:val="20"/>
          <w:szCs w:val="20"/>
          <w:color w:val="auto"/>
        </w:rPr>
        <w:t>in connection with each Offering Period that contains only one Purchase Period the maximum number of Shares that may be purchased by any Eligible Employee during such Offering Period, which, in the absence of a contrary designation by the Administrator, shall be 100,000 Shares;</w:t>
      </w:r>
    </w:p>
    <w:p>
      <w:pPr>
        <w:spacing w:after="0" w:line="131" w:lineRule="exact"/>
        <w:rPr>
          <w:rFonts w:ascii="Arial" w:cs="Arial" w:eastAsia="Arial" w:hAnsi="Arial"/>
          <w:sz w:val="20"/>
          <w:szCs w:val="20"/>
          <w:color w:val="auto"/>
        </w:rPr>
      </w:pPr>
    </w:p>
    <w:p>
      <w:pPr>
        <w:jc w:val="both"/>
        <w:ind w:firstLine="656"/>
        <w:spacing w:after="0" w:line="250" w:lineRule="auto"/>
        <w:tabs>
          <w:tab w:leader="none" w:pos="1177" w:val="left"/>
        </w:tabs>
        <w:numPr>
          <w:ilvl w:val="0"/>
          <w:numId w:val="344"/>
        </w:numPr>
        <w:rPr>
          <w:rFonts w:ascii="Arial" w:cs="Arial" w:eastAsia="Arial" w:hAnsi="Arial"/>
          <w:sz w:val="20"/>
          <w:szCs w:val="20"/>
          <w:color w:val="auto"/>
        </w:rPr>
      </w:pPr>
      <w:r>
        <w:rPr>
          <w:rFonts w:ascii="Arial" w:cs="Arial" w:eastAsia="Arial" w:hAnsi="Arial"/>
          <w:sz w:val="20"/>
          <w:szCs w:val="20"/>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shall be 100,000 Shares; and</w:t>
      </w:r>
    </w:p>
    <w:p>
      <w:pPr>
        <w:spacing w:after="0" w:line="131" w:lineRule="exact"/>
        <w:rPr>
          <w:rFonts w:ascii="Arial" w:cs="Arial" w:eastAsia="Arial" w:hAnsi="Arial"/>
          <w:sz w:val="20"/>
          <w:szCs w:val="20"/>
          <w:color w:val="auto"/>
        </w:rPr>
      </w:pPr>
    </w:p>
    <w:p>
      <w:pPr>
        <w:ind w:left="1080" w:hanging="424"/>
        <w:spacing w:after="0"/>
        <w:tabs>
          <w:tab w:leader="none" w:pos="108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such other provisions as the Administrator determines are appropriate, subject to the Plan.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ELIGIBILITY AND PARTICIPATION</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Eligibility</w:t>
      </w:r>
      <w:r>
        <w:rPr>
          <w:rFonts w:ascii="Arial" w:cs="Arial" w:eastAsia="Arial" w:hAnsi="Arial"/>
          <w:sz w:val="20"/>
          <w:szCs w:val="20"/>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spacing w:after="0" w:line="13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Enrollment in Plan</w:t>
      </w:r>
      <w:r>
        <w:rPr>
          <w:rFonts w:ascii="Arial" w:cs="Arial" w:eastAsia="Arial" w:hAnsi="Arial"/>
          <w:sz w:val="18"/>
          <w:szCs w:val="18"/>
          <w:color w:val="auto"/>
        </w:rPr>
        <w:t>.</w:t>
      </w:r>
    </w:p>
    <w:p>
      <w:pPr>
        <w:spacing w:after="0" w:line="162" w:lineRule="exact"/>
        <w:rPr>
          <w:sz w:val="20"/>
          <w:szCs w:val="20"/>
          <w:color w:val="auto"/>
        </w:rPr>
      </w:pPr>
    </w:p>
    <w:p>
      <w:pPr>
        <w:jc w:val="both"/>
        <w:ind w:firstLine="656"/>
        <w:spacing w:after="0" w:line="246" w:lineRule="auto"/>
        <w:tabs>
          <w:tab w:leader="none" w:pos="1070" w:val="left"/>
        </w:tabs>
        <w:numPr>
          <w:ilvl w:val="0"/>
          <w:numId w:val="345"/>
        </w:numPr>
        <w:rPr>
          <w:rFonts w:ascii="Arial" w:cs="Arial" w:eastAsia="Arial" w:hAnsi="Arial"/>
          <w:sz w:val="20"/>
          <w:szCs w:val="20"/>
          <w:color w:val="auto"/>
        </w:rPr>
      </w:pPr>
      <w:r>
        <w:rPr>
          <w:rFonts w:ascii="Arial" w:cs="Arial" w:eastAsia="Arial" w:hAnsi="Arial"/>
          <w:sz w:val="20"/>
          <w:szCs w:val="20"/>
          <w:color w:val="auto"/>
        </w:rPr>
        <w:t>Except as otherwise set forth herein or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37" w:lineRule="exact"/>
        <w:rPr>
          <w:rFonts w:ascii="Arial" w:cs="Arial" w:eastAsia="Arial" w:hAnsi="Arial"/>
          <w:sz w:val="20"/>
          <w:szCs w:val="20"/>
          <w:color w:val="auto"/>
        </w:rPr>
      </w:pPr>
    </w:p>
    <w:p>
      <w:pPr>
        <w:jc w:val="both"/>
        <w:ind w:firstLine="656"/>
        <w:spacing w:after="0" w:line="243" w:lineRule="auto"/>
        <w:tabs>
          <w:tab w:leader="none" w:pos="1109" w:val="left"/>
        </w:tabs>
        <w:numPr>
          <w:ilvl w:val="0"/>
          <w:numId w:val="345"/>
        </w:numPr>
        <w:rPr>
          <w:rFonts w:ascii="Arial" w:cs="Arial" w:eastAsia="Arial" w:hAnsi="Arial"/>
          <w:sz w:val="20"/>
          <w:szCs w:val="20"/>
          <w:color w:val="auto"/>
        </w:rPr>
      </w:pPr>
      <w:r>
        <w:rPr>
          <w:rFonts w:ascii="Arial" w:cs="Arial" w:eastAsia="Arial" w:hAnsi="Arial"/>
          <w:sz w:val="20"/>
          <w:szCs w:val="20"/>
          <w:color w:val="auto"/>
        </w:rPr>
        <w:t>Each subscription agreement shall designate a whole percentage of such Eligible Employee’s Compensation to be withheld by the Company or the Designated Subsidiary employing such Eligible Employee on each Payday during the Offering Period as payroll deductions under the Plan. The designated percentage may not be less than 1% and may not be more than the maximum percentage specified by the Administrator in the applicable Offering Document (which percentage shall be 15% in the absence of any such designation). The payroll deductions made for each Participant shall be credited to an account for such Participant under the Plan and shall be deposited with the general funds of the Company.</w:t>
      </w:r>
    </w:p>
    <w:p>
      <w:pPr>
        <w:spacing w:after="0" w:line="141" w:lineRule="exact"/>
        <w:rPr>
          <w:rFonts w:ascii="Arial" w:cs="Arial" w:eastAsia="Arial" w:hAnsi="Arial"/>
          <w:sz w:val="20"/>
          <w:szCs w:val="20"/>
          <w:color w:val="auto"/>
        </w:rPr>
      </w:pPr>
    </w:p>
    <w:p>
      <w:pPr>
        <w:jc w:val="both"/>
        <w:ind w:firstLine="656"/>
        <w:spacing w:after="0" w:line="243" w:lineRule="auto"/>
        <w:tabs>
          <w:tab w:leader="none" w:pos="1142" w:val="left"/>
        </w:tabs>
        <w:numPr>
          <w:ilvl w:val="0"/>
          <w:numId w:val="345"/>
        </w:numPr>
        <w:rPr>
          <w:rFonts w:ascii="Arial" w:cs="Arial" w:eastAsia="Arial" w:hAnsi="Arial"/>
          <w:sz w:val="20"/>
          <w:szCs w:val="20"/>
          <w:color w:val="auto"/>
        </w:rPr>
      </w:pPr>
      <w:r>
        <w:rPr>
          <w:rFonts w:ascii="Arial" w:cs="Arial" w:eastAsia="Arial" w:hAnsi="Arial"/>
          <w:sz w:val="20"/>
          <w:szCs w:val="20"/>
          <w:color w:val="auto"/>
        </w:rPr>
        <w:t xml:space="preserve">A Participant may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two decreases and one suspension (but no increases) to his or her payroll deduction elections during each Offering Period with respect to such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419" w:name="page420"/>
    <w:bookmarkEnd w:id="419"/>
    <w:p>
      <w:pPr>
        <w:jc w:val="both"/>
        <w:spacing w:after="0" w:line="278" w:lineRule="auto"/>
        <w:rPr>
          <w:sz w:val="20"/>
          <w:szCs w:val="20"/>
          <w:color w:val="auto"/>
        </w:rPr>
      </w:pPr>
      <w:r>
        <w:rPr>
          <w:rFonts w:ascii="Arial" w:cs="Arial" w:eastAsia="Arial" w:hAnsi="Arial"/>
          <w:sz w:val="18"/>
          <w:szCs w:val="18"/>
          <w:color w:val="auto"/>
        </w:rPr>
        <w:t>Any such change or suspension of payroll deductions shall be effective with the first full payroll period following ten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11" w:lineRule="exact"/>
        <w:rPr>
          <w:sz w:val="20"/>
          <w:szCs w:val="20"/>
          <w:color w:val="auto"/>
        </w:rPr>
      </w:pPr>
    </w:p>
    <w:p>
      <w:pPr>
        <w:ind w:firstLine="656"/>
        <w:spacing w:after="0" w:line="316" w:lineRule="auto"/>
        <w:tabs>
          <w:tab w:leader="none" w:pos="109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Except as otherwise set forth in Section 5.8 or in an Offering Document or determined by the Administrator, a Participant may participate in the Plan only by means of payroll deduction and may not make contributions by lump sum payment for any Offering Period.</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Payroll Deductions</w:t>
      </w:r>
      <w:r>
        <w:rPr>
          <w:rFonts w:ascii="Arial" w:cs="Arial" w:eastAsia="Arial" w:hAnsi="Arial"/>
          <w:sz w:val="19"/>
          <w:szCs w:val="19"/>
          <w:color w:val="auto"/>
        </w:rPr>
        <w:t>. Except as otherwise provided in the applicable Offering Document or Section 5.8,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Effect of Enrollment</w:t>
      </w:r>
      <w:r>
        <w:rPr>
          <w:rFonts w:ascii="Arial" w:cs="Arial" w:eastAsia="Arial" w:hAnsi="Arial"/>
          <w:sz w:val="19"/>
          <w:szCs w:val="19"/>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Limitation on Purchase of Common Stock</w:t>
      </w:r>
      <w:r>
        <w:rPr>
          <w:rFonts w:ascii="Arial" w:cs="Arial" w:eastAsia="Arial" w:hAnsi="Arial"/>
          <w:sz w:val="19"/>
          <w:szCs w:val="19"/>
          <w:color w:val="auto"/>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2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Suspension of Payroll Deductions</w:t>
      </w:r>
      <w:r>
        <w:rPr>
          <w:rFonts w:ascii="Arial" w:cs="Arial" w:eastAsia="Arial" w:hAnsi="Arial"/>
          <w:sz w:val="18"/>
          <w:szCs w:val="18"/>
          <w:color w:val="auto"/>
        </w:rPr>
        <w:t>. Notwithstanding the foregoing, to the extent necessary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Foreign Employees</w:t>
      </w:r>
      <w:r>
        <w:rPr>
          <w:rFonts w:ascii="Arial" w:cs="Arial" w:eastAsia="Arial" w:hAnsi="Arial"/>
          <w:sz w:val="19"/>
          <w:szCs w:val="19"/>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420" w:name="page421"/>
    <w:bookmarkEnd w:id="420"/>
    <w:p>
      <w:pPr>
        <w:spacing w:after="0"/>
        <w:rPr>
          <w:sz w:val="20"/>
          <w:szCs w:val="20"/>
          <w:color w:val="auto"/>
        </w:rPr>
      </w:pPr>
      <w:r>
        <w:rPr>
          <w:rFonts w:ascii="Arial" w:cs="Arial" w:eastAsia="Arial" w:hAnsi="Arial"/>
          <w:sz w:val="20"/>
          <w:szCs w:val="20"/>
          <w:color w:val="auto"/>
        </w:rPr>
        <w:t>been amended to eliminate such inconsistency without further approval by the stockholders of the Company.</w:t>
      </w:r>
    </w:p>
    <w:p>
      <w:pPr>
        <w:spacing w:after="0" w:line="16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u w:val="single" w:color="auto"/>
          <w:color w:val="auto"/>
        </w:rPr>
        <w:t>Leave of Absence</w:t>
      </w:r>
      <w:r>
        <w:rPr>
          <w:rFonts w:ascii="Arial" w:cs="Arial" w:eastAsia="Arial" w:hAnsi="Arial"/>
          <w:sz w:val="20"/>
          <w:szCs w:val="20"/>
          <w:color w:val="auto"/>
        </w:rPr>
        <w:t>. During leaves of absence approved by the Company meeting the requirements of Treasury Regulation Section 1.421-1(h)(2) under the Code, a Participant may continue participation in the Plan by making cash payments to the Company on his or her normal Payday equal to his or her authorized payroll deduction.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AND EXERCISE OF RIGHTS</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Grant of Rights</w:t>
      </w:r>
      <w:r>
        <w:rPr>
          <w:rFonts w:ascii="Arial" w:cs="Arial" w:eastAsia="Arial" w:hAnsi="Arial"/>
          <w:sz w:val="19"/>
          <w:szCs w:val="19"/>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Participant’s payroll deductions accumulated prior to such Purchase Date and retained in the Participant’s account as of the Purchase Date, by (b) the applicable Purchase Price (rounded down to the nearest Share). The right shall expire on the earlier of: (x) the last Purchase Date of such Offering Period, (y) last day of such Offering Period and (z) the date on which such Participant withdraws in accordance with Section 7.1 or Section 7.3.</w:t>
      </w:r>
    </w:p>
    <w:p>
      <w:pPr>
        <w:spacing w:after="0" w:line="13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Exercise of Rights</w:t>
      </w:r>
      <w:r>
        <w:rPr>
          <w:rFonts w:ascii="Arial" w:cs="Arial" w:eastAsia="Arial" w:hAnsi="Arial"/>
          <w:sz w:val="18"/>
          <w:szCs w:val="18"/>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carried forward and applied toward the purchase of whole Shares for the following Offering Period. Shares issued pursuant to the Plan may be evidenced in such manner as the Administrator may determine and may be issued in certificated form or issued pursuant to book-entry procedures.</w:t>
      </w:r>
    </w:p>
    <w:p>
      <w:pPr>
        <w:spacing w:after="0" w:line="1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Pro Rata Allocation of Shares</w:t>
      </w:r>
      <w:r>
        <w:rPr>
          <w:rFonts w:ascii="Arial" w:cs="Arial" w:eastAsia="Arial" w:hAnsi="Arial"/>
          <w:sz w:val="19"/>
          <w:szCs w:val="19"/>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Withholding</w:t>
      </w:r>
      <w:r>
        <w:rPr>
          <w:rFonts w:ascii="Arial" w:cs="Arial" w:eastAsia="Arial" w:hAnsi="Arial"/>
          <w:sz w:val="20"/>
          <w:szCs w:val="20"/>
          <w:color w:val="auto"/>
        </w:rPr>
        <w:t>. At the time a Participant’s rights under the Plan are exercised, in whole or in part, or at the time some or all of the Shares issued under the Plan is disposed of, the Participant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421" w:name="page422"/>
    <w:bookmarkEnd w:id="421"/>
    <w:p>
      <w:pPr>
        <w:jc w:val="both"/>
        <w:spacing w:after="0" w:line="263" w:lineRule="auto"/>
        <w:rPr>
          <w:sz w:val="20"/>
          <w:szCs w:val="20"/>
          <w:color w:val="auto"/>
        </w:rPr>
      </w:pPr>
      <w:r>
        <w:rPr>
          <w:rFonts w:ascii="Arial" w:cs="Arial" w:eastAsia="Arial" w:hAnsi="Arial"/>
          <w:sz w:val="19"/>
          <w:szCs w:val="19"/>
          <w:color w:val="auto"/>
        </w:rPr>
        <w:t>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Conditions to Issuance of Common Stock</w:t>
      </w:r>
      <w:r>
        <w:rPr>
          <w:rFonts w:ascii="Arial" w:cs="Arial" w:eastAsia="Arial" w:hAnsi="Arial"/>
          <w:sz w:val="20"/>
          <w:szCs w:val="20"/>
          <w:color w:val="auto"/>
        </w:rPr>
        <w:t>. 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132" w:lineRule="exact"/>
        <w:rPr>
          <w:sz w:val="20"/>
          <w:szCs w:val="20"/>
          <w:color w:val="auto"/>
        </w:rPr>
      </w:pPr>
    </w:p>
    <w:p>
      <w:pPr>
        <w:ind w:left="1060" w:hanging="404"/>
        <w:spacing w:after="0"/>
        <w:tabs>
          <w:tab w:leader="none" w:pos="1060" w:val="left"/>
        </w:tabs>
        <w:numPr>
          <w:ilvl w:val="0"/>
          <w:numId w:val="347"/>
        </w:numPr>
        <w:rPr>
          <w:rFonts w:ascii="Arial" w:cs="Arial" w:eastAsia="Arial" w:hAnsi="Arial"/>
          <w:sz w:val="20"/>
          <w:szCs w:val="20"/>
          <w:color w:val="auto"/>
        </w:rPr>
      </w:pPr>
      <w:r>
        <w:rPr>
          <w:rFonts w:ascii="Arial" w:cs="Arial" w:eastAsia="Arial" w:hAnsi="Arial"/>
          <w:sz w:val="20"/>
          <w:szCs w:val="20"/>
          <w:color w:val="auto"/>
        </w:rPr>
        <w:t>The admission of such Shares to listing on all stock exchanges, if any, on which the Common Stock is then listed;</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116" w:val="left"/>
        </w:tabs>
        <w:numPr>
          <w:ilvl w:val="0"/>
          <w:numId w:val="347"/>
        </w:numPr>
        <w:rPr>
          <w:rFonts w:ascii="Arial" w:cs="Arial" w:eastAsia="Arial" w:hAnsi="Arial"/>
          <w:sz w:val="20"/>
          <w:szCs w:val="20"/>
          <w:color w:val="auto"/>
        </w:rPr>
      </w:pPr>
      <w:r>
        <w:rPr>
          <w:rFonts w:ascii="Arial" w:cs="Arial" w:eastAsia="Arial" w:hAnsi="Arial"/>
          <w:sz w:val="20"/>
          <w:szCs w:val="20"/>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131" w:lineRule="exact"/>
        <w:rPr>
          <w:rFonts w:ascii="Arial" w:cs="Arial" w:eastAsia="Arial" w:hAnsi="Arial"/>
          <w:sz w:val="20"/>
          <w:szCs w:val="20"/>
          <w:color w:val="auto"/>
        </w:rPr>
      </w:pPr>
    </w:p>
    <w:p>
      <w:pPr>
        <w:ind w:right="20" w:firstLine="656"/>
        <w:spacing w:after="0" w:line="260" w:lineRule="auto"/>
        <w:tabs>
          <w:tab w:leader="none" w:pos="1076" w:val="left"/>
        </w:tabs>
        <w:numPr>
          <w:ilvl w:val="0"/>
          <w:numId w:val="347"/>
        </w:numPr>
        <w:rPr>
          <w:rFonts w:ascii="Arial" w:cs="Arial" w:eastAsia="Arial" w:hAnsi="Arial"/>
          <w:sz w:val="20"/>
          <w:szCs w:val="20"/>
          <w:color w:val="auto"/>
        </w:rPr>
      </w:pPr>
      <w:r>
        <w:rPr>
          <w:rFonts w:ascii="Arial" w:cs="Arial" w:eastAsia="Arial" w:hAnsi="Arial"/>
          <w:sz w:val="20"/>
          <w:szCs w:val="20"/>
          <w:color w:val="auto"/>
        </w:rPr>
        <w:t>The obtaining of any approval or other clearance from any state or federal governmental agency that the Administrator shall, in its absolute discretion, determine to be necessary or advisable;</w:t>
      </w:r>
    </w:p>
    <w:p>
      <w:pPr>
        <w:spacing w:after="0" w:line="122" w:lineRule="exact"/>
        <w:rPr>
          <w:rFonts w:ascii="Arial" w:cs="Arial" w:eastAsia="Arial" w:hAnsi="Arial"/>
          <w:sz w:val="20"/>
          <w:szCs w:val="20"/>
          <w:color w:val="auto"/>
        </w:rPr>
      </w:pPr>
    </w:p>
    <w:p>
      <w:pPr>
        <w:ind w:firstLine="656"/>
        <w:spacing w:after="0" w:line="260" w:lineRule="auto"/>
        <w:tabs>
          <w:tab w:leader="none" w:pos="1085" w:val="left"/>
        </w:tabs>
        <w:numPr>
          <w:ilvl w:val="0"/>
          <w:numId w:val="347"/>
        </w:numPr>
        <w:rPr>
          <w:rFonts w:ascii="Arial" w:cs="Arial" w:eastAsia="Arial" w:hAnsi="Arial"/>
          <w:sz w:val="20"/>
          <w:szCs w:val="20"/>
          <w:color w:val="auto"/>
        </w:rPr>
      </w:pPr>
      <w:r>
        <w:rPr>
          <w:rFonts w:ascii="Arial" w:cs="Arial" w:eastAsia="Arial" w:hAnsi="Arial"/>
          <w:sz w:val="20"/>
          <w:szCs w:val="20"/>
          <w:color w:val="auto"/>
        </w:rPr>
        <w:t>The payment to the Company of all amounts that it is required to withhold under federal, state or local law upon exercise of the rights, if any; and</w:t>
      </w:r>
    </w:p>
    <w:p>
      <w:pPr>
        <w:spacing w:after="0" w:line="122" w:lineRule="exact"/>
        <w:rPr>
          <w:rFonts w:ascii="Arial" w:cs="Arial" w:eastAsia="Arial" w:hAnsi="Arial"/>
          <w:sz w:val="20"/>
          <w:szCs w:val="20"/>
          <w:color w:val="auto"/>
        </w:rPr>
      </w:pPr>
    </w:p>
    <w:p>
      <w:pPr>
        <w:ind w:firstLine="656"/>
        <w:spacing w:after="0" w:line="260" w:lineRule="auto"/>
        <w:tabs>
          <w:tab w:leader="none" w:pos="1127" w:val="left"/>
        </w:tabs>
        <w:numPr>
          <w:ilvl w:val="0"/>
          <w:numId w:val="347"/>
        </w:numPr>
        <w:rPr>
          <w:rFonts w:ascii="Arial" w:cs="Arial" w:eastAsia="Arial" w:hAnsi="Arial"/>
          <w:sz w:val="20"/>
          <w:szCs w:val="20"/>
          <w:color w:val="auto"/>
        </w:rPr>
      </w:pPr>
      <w:r>
        <w:rPr>
          <w:rFonts w:ascii="Arial" w:cs="Arial" w:eastAsia="Arial" w:hAnsi="Arial"/>
          <w:sz w:val="20"/>
          <w:szCs w:val="20"/>
          <w:color w:val="auto"/>
        </w:rPr>
        <w:t>The lapse of such reasonable period of time following the exercise of the rights as the Administrator may from time to time establish for reasons of administrative convenience.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WITHDRAWAL; CESSATION OF ELIGIBILITY</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Withdrawal</w:t>
      </w:r>
      <w:r>
        <w:rPr>
          <w:rFonts w:ascii="Arial" w:cs="Arial" w:eastAsia="Arial" w:hAnsi="Arial"/>
          <w:sz w:val="19"/>
          <w:szCs w:val="19"/>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two weeks prior to the end of the Offering Period or, if earlier, the end of the Purchase Period (or such shorter or longer period as may be specified by the Administrator in the Offering Document). All of the Participant’s payroll deductions credited to his or her account during the Offering Period not yet used to exercise his or her rights under the Plan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agreement.</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Future Participation</w:t>
      </w:r>
      <w:r>
        <w:rPr>
          <w:rFonts w:ascii="Arial" w:cs="Arial" w:eastAsia="Arial" w:hAnsi="Arial"/>
          <w:sz w:val="20"/>
          <w:szCs w:val="20"/>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Cessation of Eligibility</w:t>
      </w:r>
      <w:r>
        <w:rPr>
          <w:rFonts w:ascii="Arial" w:cs="Arial" w:eastAsia="Arial" w:hAnsi="Arial"/>
          <w:sz w:val="20"/>
          <w:szCs w:val="20"/>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422" w:name="page423"/>
    <w:bookmarkEnd w:id="422"/>
    <w:p>
      <w:pPr>
        <w:jc w:val="both"/>
        <w:ind w:right="20"/>
        <w:spacing w:after="0" w:line="260" w:lineRule="auto"/>
        <w:rPr>
          <w:sz w:val="20"/>
          <w:szCs w:val="20"/>
          <w:color w:val="auto"/>
        </w:rPr>
      </w:pPr>
      <w:r>
        <w:rPr>
          <w:rFonts w:ascii="Arial" w:cs="Arial" w:eastAsia="Arial" w:hAnsi="Arial"/>
          <w:sz w:val="20"/>
          <w:szCs w:val="20"/>
          <w:color w:val="auto"/>
        </w:rPr>
        <w:t>to such Participant or, in the case of his or her death, to the person or persons entitled thereto under Section 12.4, as soon as reasonably practicable, and such Participant’s rights for the Offering Period shall be automatically terminated.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ADJUSTMENTS UPON CHANGES IN STOCK</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Other Adjustments</w:t>
      </w:r>
      <w:r>
        <w:rPr>
          <w:rFonts w:ascii="Arial" w:cs="Arial" w:eastAsia="Arial" w:hAnsi="Arial"/>
          <w:sz w:val="19"/>
          <w:szCs w:val="19"/>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131" w:lineRule="exact"/>
        <w:rPr>
          <w:sz w:val="20"/>
          <w:szCs w:val="20"/>
          <w:color w:val="auto"/>
        </w:rPr>
      </w:pPr>
    </w:p>
    <w:p>
      <w:pPr>
        <w:jc w:val="both"/>
        <w:ind w:firstLine="656"/>
        <w:spacing w:after="0" w:line="250" w:lineRule="auto"/>
        <w:tabs>
          <w:tab w:leader="none" w:pos="1070" w:val="left"/>
        </w:tabs>
        <w:numPr>
          <w:ilvl w:val="0"/>
          <w:numId w:val="348"/>
        </w:numPr>
        <w:rPr>
          <w:rFonts w:ascii="Arial" w:cs="Arial" w:eastAsia="Arial" w:hAnsi="Arial"/>
          <w:sz w:val="20"/>
          <w:szCs w:val="20"/>
          <w:color w:val="auto"/>
        </w:rPr>
      </w:pPr>
      <w:r>
        <w:rPr>
          <w:rFonts w:ascii="Arial" w:cs="Arial" w:eastAsia="Arial" w:hAnsi="Arial"/>
          <w:sz w:val="20"/>
          <w:szCs w:val="20"/>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31" w:lineRule="exact"/>
        <w:rPr>
          <w:rFonts w:ascii="Arial" w:cs="Arial" w:eastAsia="Arial" w:hAnsi="Arial"/>
          <w:sz w:val="20"/>
          <w:szCs w:val="20"/>
          <w:color w:val="auto"/>
        </w:rPr>
      </w:pPr>
    </w:p>
    <w:p>
      <w:pPr>
        <w:jc w:val="both"/>
        <w:ind w:firstLine="656"/>
        <w:spacing w:after="0" w:line="250" w:lineRule="auto"/>
        <w:tabs>
          <w:tab w:leader="none" w:pos="1108" w:val="left"/>
        </w:tabs>
        <w:numPr>
          <w:ilvl w:val="0"/>
          <w:numId w:val="348"/>
        </w:numPr>
        <w:rPr>
          <w:rFonts w:ascii="Arial" w:cs="Arial" w:eastAsia="Arial" w:hAnsi="Arial"/>
          <w:sz w:val="20"/>
          <w:szCs w:val="20"/>
          <w:color w:val="auto"/>
        </w:rPr>
      </w:pPr>
      <w:r>
        <w:rPr>
          <w:rFonts w:ascii="Arial" w:cs="Arial" w:eastAsia="Arial" w:hAnsi="Arial"/>
          <w:sz w:val="20"/>
          <w:szCs w:val="20"/>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31" w:lineRule="exact"/>
        <w:rPr>
          <w:rFonts w:ascii="Arial" w:cs="Arial" w:eastAsia="Arial" w:hAnsi="Arial"/>
          <w:sz w:val="20"/>
          <w:szCs w:val="20"/>
          <w:color w:val="auto"/>
        </w:rPr>
      </w:pPr>
    </w:p>
    <w:p>
      <w:pPr>
        <w:ind w:firstLine="656"/>
        <w:spacing w:after="0" w:line="260" w:lineRule="auto"/>
        <w:tabs>
          <w:tab w:leader="none" w:pos="1098" w:val="left"/>
        </w:tabs>
        <w:numPr>
          <w:ilvl w:val="0"/>
          <w:numId w:val="348"/>
        </w:numPr>
        <w:rPr>
          <w:rFonts w:ascii="Arial" w:cs="Arial" w:eastAsia="Arial" w:hAnsi="Arial"/>
          <w:sz w:val="20"/>
          <w:szCs w:val="20"/>
          <w:color w:val="auto"/>
        </w:rPr>
      </w:pPr>
      <w:r>
        <w:rPr>
          <w:rFonts w:ascii="Arial" w:cs="Arial" w:eastAsia="Arial" w:hAnsi="Arial"/>
          <w:sz w:val="20"/>
          <w:szCs w:val="20"/>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122" w:lineRule="exact"/>
        <w:rPr>
          <w:rFonts w:ascii="Arial" w:cs="Arial" w:eastAsia="Arial" w:hAnsi="Arial"/>
          <w:sz w:val="20"/>
          <w:szCs w:val="20"/>
          <w:color w:val="auto"/>
        </w:rPr>
      </w:pPr>
    </w:p>
    <w:p>
      <w:pPr>
        <w:ind w:firstLine="656"/>
        <w:spacing w:after="0" w:line="260" w:lineRule="auto"/>
        <w:tabs>
          <w:tab w:leader="none" w:pos="1212" w:val="left"/>
        </w:tabs>
        <w:numPr>
          <w:ilvl w:val="0"/>
          <w:numId w:val="348"/>
        </w:numPr>
        <w:rPr>
          <w:rFonts w:ascii="Arial" w:cs="Arial" w:eastAsia="Arial" w:hAnsi="Arial"/>
          <w:sz w:val="20"/>
          <w:szCs w:val="20"/>
          <w:color w:val="auto"/>
        </w:rPr>
      </w:pPr>
      <w:r>
        <w:rPr>
          <w:rFonts w:ascii="Arial" w:cs="Arial" w:eastAsia="Arial" w:hAnsi="Arial"/>
          <w:sz w:val="20"/>
          <w:szCs w:val="20"/>
          <w:color w:val="auto"/>
        </w:rPr>
        <w:t>To provide that Participants’ accumulated payroll deductions may be used to purchase Common Stock prior to the next occurring Purchase Date on such date as the Administrator determines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423" w:name="page424"/>
    <w:bookmarkEnd w:id="423"/>
    <w:p>
      <w:pPr>
        <w:spacing w:after="0"/>
        <w:rPr>
          <w:sz w:val="20"/>
          <w:szCs w:val="20"/>
          <w:color w:val="auto"/>
        </w:rPr>
      </w:pPr>
      <w:r>
        <w:rPr>
          <w:rFonts w:ascii="Arial" w:cs="Arial" w:eastAsia="Arial" w:hAnsi="Arial"/>
          <w:sz w:val="20"/>
          <w:szCs w:val="20"/>
          <w:color w:val="auto"/>
        </w:rPr>
        <w:t>its sole discretion and the Participants’ rights under the ongoing Offering Period(s) shall be terminated; and</w:t>
      </w:r>
    </w:p>
    <w:p>
      <w:pPr>
        <w:spacing w:after="0" w:line="1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To provide that all outstanding rights shall terminate without being exercised.</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No Adjustment Under Certain Circumstances</w:t>
      </w:r>
      <w:r>
        <w:rPr>
          <w:rFonts w:ascii="Arial" w:cs="Arial" w:eastAsia="Arial" w:hAnsi="Arial"/>
          <w:sz w:val="20"/>
          <w:szCs w:val="20"/>
          <w:color w:val="auto"/>
        </w:rPr>
        <w:t>. No adjustment or action described in this Article VIII or in any other provision of the Plan shall be authorized to the extent that such adjustment or action would cause the Plan to fail to satisfy the requirements of Section 423 of the Code.</w:t>
      </w:r>
    </w:p>
    <w:p>
      <w:pPr>
        <w:spacing w:after="0" w:line="1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MODIFICATION AND TERMINATION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Amendment, Modification and Termination</w:t>
      </w:r>
      <w:r>
        <w:rPr>
          <w:rFonts w:ascii="Arial" w:cs="Arial" w:eastAsia="Arial" w:hAnsi="Arial"/>
          <w:sz w:val="19"/>
          <w:szCs w:val="19"/>
          <w:color w:val="auto"/>
        </w:rPr>
        <w:t xml:space="preserve">. The Administrator may amend, suspend or terminate the Plan at any time and from time to time;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(b) change the Plan in any manner that would be considered the adoption of a new plan within the meaning of Treasury regulation Section 1.423-2(c)(4); or (c) change the Plan in any manner that would cause the Plan to no longer be an “employee stock purchase plan” within the meaning of Section 423(b) of the Code.</w:t>
      </w:r>
    </w:p>
    <w:p>
      <w:pPr>
        <w:spacing w:after="0" w:line="12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Certain Changes to Plan</w:t>
      </w:r>
      <w:r>
        <w:rPr>
          <w:rFonts w:ascii="Arial" w:cs="Arial" w:eastAsia="Arial" w:hAnsi="Arial"/>
          <w:sz w:val="20"/>
          <w:szCs w:val="20"/>
          <w:color w:val="auto"/>
        </w:rPr>
        <w:t>.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Actions In the Event of Unfavorable Financial Accounting Consequences</w:t>
      </w:r>
      <w:r>
        <w:rPr>
          <w:rFonts w:ascii="Arial" w:cs="Arial" w:eastAsia="Arial" w:hAnsi="Arial"/>
          <w:sz w:val="16"/>
          <w:szCs w:val="16"/>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64" w:lineRule="exact"/>
        <w:rPr>
          <w:sz w:val="20"/>
          <w:szCs w:val="20"/>
          <w:color w:val="auto"/>
        </w:rPr>
      </w:pPr>
    </w:p>
    <w:p>
      <w:pPr>
        <w:ind w:firstLine="656"/>
        <w:spacing w:after="0" w:line="260" w:lineRule="auto"/>
        <w:tabs>
          <w:tab w:leader="none" w:pos="1192" w:val="left"/>
        </w:tabs>
        <w:numPr>
          <w:ilvl w:val="0"/>
          <w:numId w:val="349"/>
        </w:numPr>
        <w:rPr>
          <w:rFonts w:ascii="Arial" w:cs="Arial" w:eastAsia="Arial" w:hAnsi="Arial"/>
          <w:sz w:val="20"/>
          <w:szCs w:val="20"/>
          <w:color w:val="auto"/>
        </w:rPr>
      </w:pPr>
      <w:r>
        <w:rPr>
          <w:rFonts w:ascii="Arial" w:cs="Arial" w:eastAsia="Arial" w:hAnsi="Arial"/>
          <w:sz w:val="20"/>
          <w:szCs w:val="20"/>
          <w:color w:val="auto"/>
        </w:rPr>
        <w:t>altering the Purchase Price for any Offering Period, including an Offering Period underway at the time of the change in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424" w:name="page425"/>
    <w:bookmarkEnd w:id="424"/>
    <w:p>
      <w:pPr>
        <w:ind w:firstLine="656"/>
        <w:spacing w:after="0" w:line="260" w:lineRule="auto"/>
        <w:tabs>
          <w:tab w:leader="none" w:pos="1221" w:val="left"/>
        </w:tabs>
        <w:numPr>
          <w:ilvl w:val="0"/>
          <w:numId w:val="350"/>
        </w:numPr>
        <w:rPr>
          <w:rFonts w:ascii="Arial" w:cs="Arial" w:eastAsia="Arial" w:hAnsi="Arial"/>
          <w:sz w:val="20"/>
          <w:szCs w:val="20"/>
          <w:color w:val="auto"/>
        </w:rPr>
      </w:pPr>
      <w:r>
        <w:rPr>
          <w:rFonts w:ascii="Arial" w:cs="Arial" w:eastAsia="Arial" w:hAnsi="Arial"/>
          <w:sz w:val="20"/>
          <w:szCs w:val="20"/>
          <w:color w:val="auto"/>
        </w:rPr>
        <w:t>shortening any Offering Period so that the Offering Period ends on a new Purchase Date, including an Offering Period underway at the time of the Administrator action; and</w:t>
      </w:r>
    </w:p>
    <w:p>
      <w:pPr>
        <w:spacing w:after="0" w:line="122" w:lineRule="exact"/>
        <w:rPr>
          <w:rFonts w:ascii="Arial" w:cs="Arial" w:eastAsia="Arial" w:hAnsi="Arial"/>
          <w:sz w:val="20"/>
          <w:szCs w:val="20"/>
          <w:color w:val="auto"/>
        </w:rPr>
      </w:pPr>
    </w:p>
    <w:p>
      <w:pPr>
        <w:ind w:left="1080" w:hanging="424"/>
        <w:spacing w:after="0"/>
        <w:tabs>
          <w:tab w:leader="none" w:pos="108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allocating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Such modifications or amendments shall not require stockholder approval or the consent of any Participant.</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Payments Upon Termination of Plan</w:t>
      </w:r>
      <w:r>
        <w:rPr>
          <w:rFonts w:ascii="Arial" w:cs="Arial" w:eastAsia="Arial" w:hAnsi="Arial"/>
          <w:sz w:val="20"/>
          <w:szCs w:val="20"/>
          <w:color w:val="auto"/>
        </w:rPr>
        <w:t>. Upon termination of the Plan, the balance in each Participant’s Plan account shall be refunded as soon as practicable after such termination, without any interest thereon.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OF PLAN</w:t>
      </w:r>
    </w:p>
    <w:p>
      <w:pPr>
        <w:spacing w:after="0" w:line="14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Plan shall be effective on the Effective Date. The effectiveness of the Plan shall be subject to approval of the Plan by the stockholders of the Company within 12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Administrator</w:t>
      </w:r>
      <w:r>
        <w:rPr>
          <w:rFonts w:ascii="Arial" w:cs="Arial" w:eastAsia="Arial" w:hAnsi="Arial"/>
          <w:sz w:val="18"/>
          <w:szCs w:val="18"/>
          <w:color w:val="auto"/>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The Board may at any time vest in the Board any authority or duties for administration of the Plan.</w:t>
      </w:r>
    </w:p>
    <w:p>
      <w:pPr>
        <w:spacing w:after="0" w:line="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Action by the Administrator</w:t>
      </w:r>
      <w:r>
        <w:rPr>
          <w:rFonts w:ascii="Arial" w:cs="Arial" w:eastAsia="Arial" w:hAnsi="Arial"/>
          <w:sz w:val="20"/>
          <w:szCs w:val="20"/>
          <w:color w:val="auto"/>
        </w:rPr>
        <w:t>.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Subsidiary, the Company’s independent certified public accountants, or any executive compensation consultant or other professional retained by the Company to assist in the administration of the Plan.</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Authority of Administrator</w:t>
      </w:r>
      <w:r>
        <w:rPr>
          <w:rFonts w:ascii="Arial" w:cs="Arial" w:eastAsia="Arial" w:hAnsi="Arial"/>
          <w:sz w:val="20"/>
          <w:szCs w:val="20"/>
          <w:color w:val="auto"/>
        </w:rPr>
        <w:t>. The Administrator shall have the power, subject to, and within the limitations of, the express provisions of the Plan:</w:t>
      </w:r>
    </w:p>
    <w:p>
      <w:pPr>
        <w:spacing w:after="0" w:line="123" w:lineRule="exact"/>
        <w:rPr>
          <w:sz w:val="20"/>
          <w:szCs w:val="20"/>
          <w:color w:val="auto"/>
        </w:rPr>
      </w:pPr>
    </w:p>
    <w:p>
      <w:pPr>
        <w:ind w:firstLine="656"/>
        <w:spacing w:after="0" w:line="260" w:lineRule="auto"/>
        <w:tabs>
          <w:tab w:leader="none" w:pos="1134" w:val="left"/>
        </w:tabs>
        <w:numPr>
          <w:ilvl w:val="0"/>
          <w:numId w:val="351"/>
        </w:numPr>
        <w:rPr>
          <w:rFonts w:ascii="Arial" w:cs="Arial" w:eastAsia="Arial" w:hAnsi="Arial"/>
          <w:sz w:val="20"/>
          <w:szCs w:val="20"/>
          <w:color w:val="auto"/>
        </w:rPr>
      </w:pPr>
      <w:r>
        <w:rPr>
          <w:rFonts w:ascii="Arial" w:cs="Arial" w:eastAsia="Arial" w:hAnsi="Arial"/>
          <w:sz w:val="20"/>
          <w:szCs w:val="20"/>
          <w:color w:val="auto"/>
        </w:rPr>
        <w:t>To determine when and how rights to purchase Common Stock shall be granted and the provisions of each offering of such rights (which need not be identical).</w:t>
      </w:r>
    </w:p>
    <w:p>
      <w:pPr>
        <w:spacing w:after="0" w:line="122" w:lineRule="exact"/>
        <w:rPr>
          <w:rFonts w:ascii="Arial" w:cs="Arial" w:eastAsia="Arial" w:hAnsi="Arial"/>
          <w:sz w:val="20"/>
          <w:szCs w:val="20"/>
          <w:color w:val="auto"/>
        </w:rPr>
      </w:pPr>
    </w:p>
    <w:p>
      <w:pPr>
        <w:ind w:firstLine="656"/>
        <w:spacing w:after="0" w:line="260" w:lineRule="auto"/>
        <w:tabs>
          <w:tab w:leader="none" w:pos="1083" w:val="left"/>
        </w:tabs>
        <w:numPr>
          <w:ilvl w:val="0"/>
          <w:numId w:val="351"/>
        </w:numPr>
        <w:rPr>
          <w:rFonts w:ascii="Arial" w:cs="Arial" w:eastAsia="Arial" w:hAnsi="Arial"/>
          <w:sz w:val="20"/>
          <w:szCs w:val="20"/>
          <w:color w:val="auto"/>
        </w:rPr>
      </w:pPr>
      <w:r>
        <w:rPr>
          <w:rFonts w:ascii="Arial" w:cs="Arial" w:eastAsia="Arial" w:hAnsi="Arial"/>
          <w:sz w:val="20"/>
          <w:szCs w:val="20"/>
          <w:color w:val="auto"/>
        </w:rPr>
        <w:t>To designate from time to time which Subsidiaries of the Company shall be Designated Subsidiaries, which designation may be made without the approval of the stockholders of the Company.</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103" w:val="left"/>
        </w:tabs>
        <w:numPr>
          <w:ilvl w:val="0"/>
          <w:numId w:val="351"/>
        </w:numPr>
        <w:rPr>
          <w:rFonts w:ascii="Arial" w:cs="Arial" w:eastAsia="Arial" w:hAnsi="Arial"/>
          <w:sz w:val="20"/>
          <w:szCs w:val="20"/>
          <w:color w:val="auto"/>
        </w:rPr>
      </w:pPr>
      <w:r>
        <w:rPr>
          <w:rFonts w:ascii="Arial" w:cs="Arial" w:eastAsia="Arial" w:hAnsi="Arial"/>
          <w:sz w:val="20"/>
          <w:szCs w:val="20"/>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425" w:name="page426"/>
    <w:bookmarkEnd w:id="425"/>
    <w:p>
      <w:pPr>
        <w:ind w:left="1080" w:hanging="424"/>
        <w:spacing w:after="0"/>
        <w:tabs>
          <w:tab w:leader="none" w:pos="108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To amend, suspend or terminate the Plan as provided in Article IX.</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089" w:val="left"/>
        </w:tabs>
        <w:numPr>
          <w:ilvl w:val="0"/>
          <w:numId w:val="352"/>
        </w:numPr>
        <w:rPr>
          <w:rFonts w:ascii="Arial" w:cs="Arial" w:eastAsia="Arial" w:hAnsi="Arial"/>
          <w:sz w:val="20"/>
          <w:szCs w:val="20"/>
          <w:color w:val="auto"/>
        </w:rPr>
      </w:pPr>
      <w:r>
        <w:rPr>
          <w:rFonts w:ascii="Arial" w:cs="Arial" w:eastAsia="Arial" w:hAnsi="Arial"/>
          <w:sz w:val="20"/>
          <w:szCs w:val="20"/>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spacing w:after="0" w:line="13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4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Restriction upon Assignment</w:t>
      </w:r>
      <w:r>
        <w:rPr>
          <w:rFonts w:ascii="Arial" w:cs="Arial" w:eastAsia="Arial" w:hAnsi="Arial"/>
          <w:sz w:val="20"/>
          <w:szCs w:val="20"/>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4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Rights as a Stockholder</w:t>
      </w:r>
      <w:r>
        <w:rPr>
          <w:rFonts w:ascii="Arial" w:cs="Arial" w:eastAsia="Arial" w:hAnsi="Arial"/>
          <w:sz w:val="18"/>
          <w:szCs w:val="18"/>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 No interest shall accrue on the payroll deductions or contributions of a Participant under the Plan.</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162" w:lineRule="exact"/>
        <w:rPr>
          <w:sz w:val="20"/>
          <w:szCs w:val="20"/>
          <w:color w:val="auto"/>
        </w:rPr>
      </w:pPr>
    </w:p>
    <w:p>
      <w:pPr>
        <w:jc w:val="both"/>
        <w:ind w:firstLine="656"/>
        <w:spacing w:after="0" w:line="243" w:lineRule="auto"/>
        <w:tabs>
          <w:tab w:leader="none" w:pos="1084" w:val="left"/>
        </w:tabs>
        <w:numPr>
          <w:ilvl w:val="0"/>
          <w:numId w:val="353"/>
        </w:numPr>
        <w:rPr>
          <w:rFonts w:ascii="Arial" w:cs="Arial" w:eastAsia="Arial" w:hAnsi="Arial"/>
          <w:sz w:val="20"/>
          <w:szCs w:val="20"/>
          <w:color w:val="auto"/>
        </w:rPr>
      </w:pPr>
      <w:r>
        <w:rPr>
          <w:rFonts w:ascii="Arial" w:cs="Arial" w:eastAsia="Arial" w:hAnsi="Arial"/>
          <w:sz w:val="20"/>
          <w:szCs w:val="20"/>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38" w:lineRule="exact"/>
        <w:rPr>
          <w:rFonts w:ascii="Arial" w:cs="Arial" w:eastAsia="Arial" w:hAnsi="Arial"/>
          <w:sz w:val="20"/>
          <w:szCs w:val="20"/>
          <w:color w:val="auto"/>
        </w:rPr>
      </w:pPr>
    </w:p>
    <w:p>
      <w:pPr>
        <w:jc w:val="both"/>
        <w:ind w:firstLine="656"/>
        <w:spacing w:after="0" w:line="259" w:lineRule="auto"/>
        <w:tabs>
          <w:tab w:leader="none" w:pos="1109" w:val="left"/>
        </w:tabs>
        <w:numPr>
          <w:ilvl w:val="0"/>
          <w:numId w:val="353"/>
        </w:numPr>
        <w:rPr>
          <w:rFonts w:ascii="Arial" w:cs="Arial" w:eastAsia="Arial" w:hAnsi="Arial"/>
          <w:sz w:val="19"/>
          <w:szCs w:val="19"/>
          <w:color w:val="auto"/>
        </w:rPr>
      </w:pPr>
      <w:r>
        <w:rPr>
          <w:rFonts w:ascii="Arial" w:cs="Arial" w:eastAsia="Arial" w:hAnsi="Arial"/>
          <w:sz w:val="19"/>
          <w:szCs w:val="19"/>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426" w:name="page427"/>
    <w:bookmarkEnd w:id="426"/>
    <w:p>
      <w:pPr>
        <w:jc w:val="both"/>
        <w:ind w:firstLine="648"/>
        <w:spacing w:after="0" w:line="250"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spacing w:after="0" w:line="1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12.7 </w:t>
      </w:r>
      <w:r>
        <w:rPr>
          <w:rFonts w:ascii="Arial" w:cs="Arial" w:eastAsia="Arial" w:hAnsi="Arial"/>
          <w:sz w:val="20"/>
          <w:szCs w:val="20"/>
          <w:u w:val="single" w:color="auto"/>
          <w:color w:val="auto"/>
        </w:rPr>
        <w:t>Use of Funds</w:t>
      </w:r>
      <w:r>
        <w:rPr>
          <w:rFonts w:ascii="Arial" w:cs="Arial" w:eastAsia="Arial" w:hAnsi="Arial"/>
          <w:sz w:val="20"/>
          <w:szCs w:val="20"/>
          <w:color w:val="auto"/>
        </w:rPr>
        <w:t>. All payroll deductions received or held by the Company under the Plan may be used by the Company for any corporate purpose, and the Company shall not be obligated to segregate such payroll deductions.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12.8 </w:t>
      </w:r>
      <w:r>
        <w:rPr>
          <w:rFonts w:ascii="Arial" w:cs="Arial" w:eastAsia="Arial" w:hAnsi="Arial"/>
          <w:sz w:val="20"/>
          <w:szCs w:val="20"/>
          <w:u w:val="single" w:color="auto"/>
          <w:color w:val="auto"/>
        </w:rPr>
        <w:t>Reports</w:t>
      </w:r>
      <w:r>
        <w:rPr>
          <w:rFonts w:ascii="Arial" w:cs="Arial" w:eastAsia="Arial" w:hAnsi="Arial"/>
          <w:sz w:val="20"/>
          <w:szCs w:val="20"/>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12.9 </w:t>
      </w:r>
      <w:r>
        <w:rPr>
          <w:rFonts w:ascii="Arial" w:cs="Arial" w:eastAsia="Arial" w:hAnsi="Arial"/>
          <w:sz w:val="20"/>
          <w:szCs w:val="20"/>
          <w:u w:val="single" w:color="auto"/>
          <w:color w:val="auto"/>
        </w:rPr>
        <w:t>No Employment Rights</w:t>
      </w:r>
      <w:r>
        <w:rPr>
          <w:rFonts w:ascii="Arial" w:cs="Arial" w:eastAsia="Arial" w:hAnsi="Arial"/>
          <w:sz w:val="20"/>
          <w:szCs w:val="20"/>
          <w:color w:val="auto"/>
        </w:rPr>
        <w:t>. Nothing in the Plan shall be construed to give any person (including any Eligible Employee or Participant) the right to employment or service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spacing w:after="0" w:line="13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Notice of Disposition of Shares</w:t>
      </w:r>
      <w:r>
        <w:rPr>
          <w:rFonts w:ascii="Arial" w:cs="Arial" w:eastAsia="Arial" w:hAnsi="Arial"/>
          <w:sz w:val="18"/>
          <w:szCs w:val="18"/>
          <w:color w:val="auto"/>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12.11 </w:t>
      </w:r>
      <w:r>
        <w:rPr>
          <w:rFonts w:ascii="Arial" w:cs="Arial" w:eastAsia="Arial" w:hAnsi="Arial"/>
          <w:sz w:val="20"/>
          <w:szCs w:val="20"/>
          <w:u w:val="single" w:color="auto"/>
          <w:color w:val="auto"/>
        </w:rPr>
        <w:t>Governing Law</w:t>
      </w:r>
      <w:r>
        <w:rPr>
          <w:rFonts w:ascii="Arial" w:cs="Arial" w:eastAsia="Arial" w:hAnsi="Arial"/>
          <w:sz w:val="20"/>
          <w:szCs w:val="20"/>
          <w:color w:val="auto"/>
        </w:rPr>
        <w:t>. The Plan and any agreements hereunder shall be administered, interpreted and enforced under the internal laws of the State of Delaware without regard to conflicts of laws thereof or of any other jurisdiction.</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12.12 </w:t>
      </w:r>
      <w:r>
        <w:rPr>
          <w:rFonts w:ascii="Arial" w:cs="Arial" w:eastAsia="Arial" w:hAnsi="Arial"/>
          <w:sz w:val="20"/>
          <w:szCs w:val="20"/>
          <w:u w:val="single" w:color="auto"/>
          <w:color w:val="auto"/>
        </w:rPr>
        <w:t>Electronic Forms</w:t>
      </w:r>
      <w:r>
        <w:rPr>
          <w:rFonts w:ascii="Arial" w:cs="Arial" w:eastAsia="Arial" w:hAnsi="Arial"/>
          <w:sz w:val="20"/>
          <w:szCs w:val="20"/>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PROCEPT BIOROBOTICS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Change Of Control And Severance Agreement</w:t>
      </w:r>
    </w:p>
    <w:p>
      <w:pPr>
        <w:spacing w:after="0" w:line="20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2"/>
          <w:szCs w:val="22"/>
          <w:b w:val="1"/>
          <w:bCs w:val="1"/>
          <w:color w:val="auto"/>
        </w:rPr>
        <w:t xml:space="preserve">This Amended and Restated Change of Control and Severance Agreement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[l], 2021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Reza Zadno, PhD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xml:space="preserve">”) and </w:t>
      </w:r>
      <w:r>
        <w:rPr>
          <w:rFonts w:ascii="Arial" w:cs="Arial" w:eastAsia="Arial" w:hAnsi="Arial"/>
          <w:sz w:val="22"/>
          <w:szCs w:val="22"/>
          <w:b w:val="1"/>
          <w:bCs w:val="1"/>
          <w:color w:val="auto"/>
        </w:rPr>
        <w:t>PROCEPT Biorobotics</w:t>
      </w:r>
      <w:r>
        <w:rPr>
          <w:rFonts w:ascii="Arial" w:cs="Arial" w:eastAsia="Arial" w:hAnsi="Arial"/>
          <w:sz w:val="22"/>
          <w:szCs w:val="22"/>
          <w:color w:val="auto"/>
        </w:rPr>
        <w:t xml:space="preserve"> </w:t>
      </w:r>
      <w:r>
        <w:rPr>
          <w:rFonts w:ascii="Arial" w:cs="Arial" w:eastAsia="Arial" w:hAnsi="Arial"/>
          <w:sz w:val="22"/>
          <w:szCs w:val="22"/>
          <w:b w:val="1"/>
          <w:bCs w:val="1"/>
          <w:color w:val="auto"/>
        </w:rPr>
        <w:t>Corporation</w:t>
      </w:r>
      <w:r>
        <w:rPr>
          <w:rFonts w:ascii="Arial" w:cs="Arial" w:eastAsia="Arial" w:hAnsi="Arial"/>
          <w:sz w:val="22"/>
          <w:szCs w:val="22"/>
          <w:color w:val="auto"/>
        </w:rPr>
        <w:t>, a California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believes it is in the best interests of the Company and its shareholders to provide incentives for Executive to continue in his service to the Company and enter into this Agreement to provide Executive with certain protections in the event of Executive’s termination of employment under certain circumstances.</w:t>
      </w:r>
    </w:p>
    <w:p>
      <w:pPr>
        <w:spacing w:after="0" w:line="12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covenants and agreements contained herein, and in</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of the continuing employment of Executive by the Company, the parties hereto agree as follows:</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1. At-Will Employment</w:t>
      </w:r>
      <w:r>
        <w:rPr>
          <w:rFonts w:ascii="Arial" w:cs="Arial" w:eastAsia="Arial" w:hAnsi="Arial"/>
          <w:sz w:val="22"/>
          <w:szCs w:val="22"/>
          <w:color w:val="auto"/>
        </w:rPr>
        <w:t>. Executive’s employment is and shall remain at-will, which means that the Company may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Executive’s employment at any time, with or without advance notice, and with or without Cause. Similarly, Executive may resign Executive’s employment at any time, with or without advance notice. Except as set forth in Section 2 below, Executive shall not receive any compensation of any kind, including, without limitation, stock option or other equity award vesting acceleration and severance benefits, following Executive’s termination of employment with the Company, except as expressly provided herein or expressly provided in a written agreement between Executive and the Company entered into following the Effective Date.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b w:val="1"/>
          <w:bCs w:val="1"/>
          <w:color w:val="auto"/>
        </w:rPr>
        <w:t>(a) Severance Benefits upon a Termination in Connection with or Following a Change of Control</w:t>
      </w:r>
      <w:r>
        <w:rPr>
          <w:rFonts w:ascii="Arial" w:cs="Arial" w:eastAsia="Arial" w:hAnsi="Arial"/>
          <w:sz w:val="22"/>
          <w:szCs w:val="22"/>
          <w:color w:val="auto"/>
        </w:rPr>
        <w:t>. If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employment is terminated by the Company without Cause (as defined below), and other than as a result of death or disability, or Executive resigns his employment with the Company for Good Reason (as defined below), in either case, three (3) months prior to, on or within twelve (12) months following the effective date of a Change of Control (a “</w:t>
      </w:r>
      <w:r>
        <w:rPr>
          <w:rFonts w:ascii="Arial" w:cs="Arial" w:eastAsia="Arial" w:hAnsi="Arial"/>
          <w:sz w:val="22"/>
          <w:szCs w:val="22"/>
          <w:b w:val="1"/>
          <w:bCs w:val="1"/>
          <w:i w:val="1"/>
          <w:iCs w:val="1"/>
          <w:color w:val="auto"/>
        </w:rPr>
        <w:t>COC Termination</w:t>
      </w:r>
      <w:r>
        <w:rPr>
          <w:rFonts w:ascii="Arial" w:cs="Arial" w:eastAsia="Arial" w:hAnsi="Arial"/>
          <w:sz w:val="22"/>
          <w:szCs w:val="22"/>
          <w:color w:val="auto"/>
        </w:rPr>
        <w:t xml:space="preserve">”),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such termination constitutes a “separation from service” (within the meaning of Treasury Regulation Section 1.409A-1(h), a “</w:t>
      </w:r>
      <w:r>
        <w:rPr>
          <w:rFonts w:ascii="Arial" w:cs="Arial" w:eastAsia="Arial" w:hAnsi="Arial"/>
          <w:sz w:val="22"/>
          <w:szCs w:val="22"/>
          <w:b w:val="1"/>
          <w:bCs w:val="1"/>
          <w:i w:val="1"/>
          <w:iCs w:val="1"/>
          <w:color w:val="auto"/>
        </w:rPr>
        <w:t>Separation from Service</w:t>
      </w:r>
      <w:r>
        <w:rPr>
          <w:rFonts w:ascii="Arial" w:cs="Arial" w:eastAsia="Arial" w:hAnsi="Arial"/>
          <w:sz w:val="22"/>
          <w:szCs w:val="22"/>
          <w:color w:val="auto"/>
        </w:rPr>
        <w:t xml:space="preserve">”), and further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Executive delivers a release of claims as required under Section 3 below, then Executive shall be entitled to the following severance benefits (the “</w:t>
      </w:r>
      <w:r>
        <w:rPr>
          <w:rFonts w:ascii="Arial" w:cs="Arial" w:eastAsia="Arial" w:hAnsi="Arial"/>
          <w:sz w:val="22"/>
          <w:szCs w:val="22"/>
          <w:b w:val="1"/>
          <w:bCs w:val="1"/>
          <w:i w:val="1"/>
          <w:iCs w:val="1"/>
          <w:color w:val="auto"/>
        </w:rPr>
        <w:t>COC Benefits</w:t>
      </w:r>
      <w:r>
        <w:rPr>
          <w:rFonts w:ascii="Arial" w:cs="Arial" w:eastAsia="Arial" w:hAnsi="Arial"/>
          <w:sz w:val="22"/>
          <w:szCs w:val="22"/>
          <w:color w:val="auto"/>
        </w:rPr>
        <w:t>”) subject to Sections 3(c) and 9(i):</w:t>
      </w:r>
    </w:p>
    <w:p>
      <w:pPr>
        <w:spacing w:after="0" w:line="187" w:lineRule="exact"/>
        <w:rPr>
          <w:sz w:val="20"/>
          <w:szCs w:val="20"/>
          <w:color w:val="auto"/>
        </w:rPr>
      </w:pPr>
    </w:p>
    <w:p>
      <w:pPr>
        <w:jc w:val="both"/>
        <w:ind w:firstLine="1944"/>
        <w:spacing w:after="0" w:line="243"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The Company shall pay Executive an amount in cash equal to the sum of (a) twenty-four (24)</w:t>
      </w:r>
      <w:r>
        <w:rPr>
          <w:rFonts w:ascii="Arial" w:cs="Arial" w:eastAsia="Arial" w:hAnsi="Arial"/>
          <w:sz w:val="22"/>
          <w:szCs w:val="22"/>
          <w:b w:val="1"/>
          <w:bCs w:val="1"/>
          <w:color w:val="auto"/>
        </w:rPr>
        <w:t xml:space="preserve"> </w:t>
      </w:r>
      <w:r>
        <w:rPr>
          <w:rFonts w:ascii="Arial" w:cs="Arial" w:eastAsia="Arial" w:hAnsi="Arial"/>
          <w:sz w:val="22"/>
          <w:szCs w:val="22"/>
          <w:color w:val="auto"/>
        </w:rPr>
        <w:t>months of Executive’s then current base salary (or if the termination is due to a resignation for Good Reason based on a material reduction in base salary,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14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22"/>
          <w:szCs w:val="22"/>
          <w:color w:val="auto"/>
        </w:rPr>
        <w:t xml:space="preserve"> NTD: To refer to IPO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21" w:right="339" w:bottom="1440" w:gutter="0" w:footer="0" w:header="0"/>
        </w:sectPr>
      </w:pPr>
    </w:p>
    <w:bookmarkStart w:id="428" w:name="page429"/>
    <w:bookmarkEnd w:id="428"/>
    <w:p>
      <w:pPr>
        <w:jc w:val="both"/>
        <w:spacing w:after="0" w:line="236" w:lineRule="auto"/>
        <w:rPr>
          <w:sz w:val="20"/>
          <w:szCs w:val="20"/>
          <w:color w:val="auto"/>
        </w:rPr>
      </w:pPr>
      <w:r>
        <w:rPr>
          <w:rFonts w:ascii="Arial" w:cs="Arial" w:eastAsia="Arial" w:hAnsi="Arial"/>
          <w:sz w:val="22"/>
          <w:szCs w:val="22"/>
          <w:color w:val="auto"/>
        </w:rPr>
        <w:t>Executive’s annual base salary in effect immediately prior to the reduction), payable in substantially equal installments in accordance with the Company’s normal payroll practice over the twenty-four (24) month period following Executive’s Separation from Service and (b) 150% of Executive’s target annual cash bonus for the year during which Executive’s Separation from Service occurs, payable in a single lump sum on the later of (x) three days following the Release Effective Date (as defined below) or (y) immediately prior to a Change of Control.</w:t>
      </w:r>
    </w:p>
    <w:p>
      <w:pPr>
        <w:spacing w:after="0" w:line="187" w:lineRule="exact"/>
        <w:rPr>
          <w:sz w:val="20"/>
          <w:szCs w:val="20"/>
          <w:color w:val="auto"/>
        </w:rPr>
      </w:pPr>
    </w:p>
    <w:p>
      <w:pPr>
        <w:jc w:val="both"/>
        <w:ind w:firstLine="1952"/>
        <w:spacing w:after="0" w:line="279" w:lineRule="auto"/>
        <w:tabs>
          <w:tab w:leader="none" w:pos="2586" w:val="left"/>
        </w:tabs>
        <w:numPr>
          <w:ilvl w:val="1"/>
          <w:numId w:val="354"/>
        </w:numPr>
        <w:rPr>
          <w:rFonts w:ascii="Arial" w:cs="Arial" w:eastAsia="Arial" w:hAnsi="Arial"/>
          <w:sz w:val="19"/>
          <w:szCs w:val="19"/>
          <w:b w:val="1"/>
          <w:bCs w:val="1"/>
          <w:color w:val="auto"/>
        </w:rPr>
      </w:pPr>
      <w:r>
        <w:rPr>
          <w:rFonts w:ascii="Arial" w:cs="Arial" w:eastAsia="Arial" w:hAnsi="Arial"/>
          <w:sz w:val="19"/>
          <w:szCs w:val="19"/>
          <w:color w:val="auto"/>
        </w:rPr>
        <w:t>Subject to Section 9(c), the Company shall pay Executive’s expenses for continuing his health care coverage and that of any dependents who are covered at the time of Executive’s Separation from Service at then-existing participation and coverage levels (the “</w:t>
      </w:r>
      <w:r>
        <w:rPr>
          <w:rFonts w:ascii="Arial" w:cs="Arial" w:eastAsia="Arial" w:hAnsi="Arial"/>
          <w:sz w:val="19"/>
          <w:szCs w:val="19"/>
          <w:b w:val="1"/>
          <w:bCs w:val="1"/>
          <w:i w:val="1"/>
          <w:iCs w:val="1"/>
          <w:color w:val="auto"/>
        </w:rPr>
        <w:t>COBRA Premiums</w:t>
      </w:r>
      <w:r>
        <w:rPr>
          <w:rFonts w:ascii="Arial" w:cs="Arial" w:eastAsia="Arial" w:hAnsi="Arial"/>
          <w:sz w:val="19"/>
          <w:szCs w:val="19"/>
          <w:color w:val="auto"/>
        </w:rPr>
        <w:t>”) under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for a period ending on the earlier of eighteen (18) months from the Separation from Service or the date on which Executive becomes eligible to be covered by the health care plans of another employer (the “</w:t>
      </w:r>
      <w:r>
        <w:rPr>
          <w:rFonts w:ascii="Arial" w:cs="Arial" w:eastAsia="Arial" w:hAnsi="Arial"/>
          <w:sz w:val="19"/>
          <w:szCs w:val="19"/>
          <w:b w:val="1"/>
          <w:bCs w:val="1"/>
          <w:i w:val="1"/>
          <w:iCs w:val="1"/>
          <w:color w:val="auto"/>
        </w:rPr>
        <w:t>COC COBRA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Period</w:t>
      </w:r>
      <w:r>
        <w:rPr>
          <w:rFonts w:ascii="Arial" w:cs="Arial" w:eastAsia="Arial" w:hAnsi="Arial"/>
          <w:sz w:val="19"/>
          <w:szCs w:val="19"/>
          <w:color w:val="auto"/>
        </w:rPr>
        <w:t>”), so long as Executive timely elects and is eligible for such COBRA continuation coverage.</w:t>
      </w:r>
    </w:p>
    <w:p>
      <w:pPr>
        <w:spacing w:after="0" w:line="150" w:lineRule="exact"/>
        <w:rPr>
          <w:rFonts w:ascii="Arial" w:cs="Arial" w:eastAsia="Arial" w:hAnsi="Arial"/>
          <w:sz w:val="19"/>
          <w:szCs w:val="19"/>
          <w:b w:val="1"/>
          <w:bCs w:val="1"/>
          <w:color w:val="auto"/>
        </w:rPr>
      </w:pPr>
    </w:p>
    <w:p>
      <w:pPr>
        <w:jc w:val="both"/>
        <w:ind w:firstLine="1952"/>
        <w:spacing w:after="0" w:line="270" w:lineRule="auto"/>
        <w:tabs>
          <w:tab w:leader="none" w:pos="2592" w:val="left"/>
        </w:tabs>
        <w:numPr>
          <w:ilvl w:val="1"/>
          <w:numId w:val="354"/>
        </w:numPr>
        <w:rPr>
          <w:rFonts w:ascii="Arial" w:cs="Arial" w:eastAsia="Arial" w:hAnsi="Arial"/>
          <w:sz w:val="19"/>
          <w:szCs w:val="19"/>
          <w:b w:val="1"/>
          <w:bCs w:val="1"/>
          <w:color w:val="auto"/>
        </w:rPr>
      </w:pPr>
      <w:r>
        <w:rPr>
          <w:rFonts w:ascii="Arial" w:cs="Arial" w:eastAsia="Arial" w:hAnsi="Arial"/>
          <w:sz w:val="19"/>
          <w:szCs w:val="19"/>
          <w:color w:val="auto"/>
        </w:rPr>
        <w:t>All outstanding unvested Company stock awards then held by Executive (the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xml:space="preserve">”) shall become fully vested and, if applicable, exercisable with respect to all of the shares subject thereto and any restrictions thereon shall lapse, effective on the later of (x) the Release Effective Date or (y) immediately prior to a Change of Control; </w:t>
      </w:r>
      <w:r>
        <w:rPr>
          <w:rFonts w:ascii="Arial" w:cs="Arial" w:eastAsia="Arial" w:hAnsi="Arial"/>
          <w:sz w:val="19"/>
          <w:szCs w:val="19"/>
          <w:i w:val="1"/>
          <w:iCs w:val="1"/>
          <w:color w:val="auto"/>
        </w:rPr>
        <w:t>provided, however</w:t>
      </w:r>
      <w:r>
        <w:rPr>
          <w:rFonts w:ascii="Arial" w:cs="Arial" w:eastAsia="Arial" w:hAnsi="Arial"/>
          <w:sz w:val="19"/>
          <w:szCs w:val="19"/>
          <w:color w:val="auto"/>
        </w:rPr>
        <w:t>, that with respect to any Equity Award that remains subject to the achievement of performance goals as of</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Separation from Service, such Equity Award shall vest only to the extent applicable performance goals are achieved upon a Change of Control that occurs during the three-month period following such Separation from Service. To the extent such Equity Awards are options, such options shall be exercisable by Executive for twelve (12) months following the date of Executive’s Separation from Service (or, if earlier, until such option’s final expiration date). For the avoidance of doubt, any unvested portion of Executive’s outstanding Equity Awards will remain outstanding for three (3) months or until the occurrence of a Change of Control (whichever is earlier) so that any vesting acceleration benefits provided under this clause (iii) can be provided if a Change of Control occurs within three (3) months following such Separation from Service (provided that in no event will an option remain outstanding beyond the option’s final expiration date). In such case, if no Change of Control occurs within three (3) months following Executive’s Separation from Service, any unvested portion of Executive’s Equity Awards automatically will be forfeited for no consideration. Notwithstanding the foregoing, in the event that the definitive agreement for the Change of Control does not provide for the continuance, assumption or substitution of Executive’s Equity Awards, then all of such Equity Awards shall become fully vested with respect to all of the shares subject thereto and any restrictions thereon shall lapse, effective immediately prior to the consummation of the Change of Control.</w:t>
      </w:r>
    </w:p>
    <w:p>
      <w:pPr>
        <w:spacing w:after="0" w:line="200" w:lineRule="exact"/>
        <w:rPr>
          <w:rFonts w:ascii="Arial" w:cs="Arial" w:eastAsia="Arial" w:hAnsi="Arial"/>
          <w:sz w:val="19"/>
          <w:szCs w:val="19"/>
          <w:b w:val="1"/>
          <w:bCs w:val="1"/>
          <w:color w:val="auto"/>
        </w:rPr>
      </w:pPr>
    </w:p>
    <w:p>
      <w:pPr>
        <w:spacing w:after="0" w:line="208" w:lineRule="exact"/>
        <w:rPr>
          <w:rFonts w:ascii="Arial" w:cs="Arial" w:eastAsia="Arial" w:hAnsi="Arial"/>
          <w:sz w:val="19"/>
          <w:szCs w:val="19"/>
          <w:b w:val="1"/>
          <w:bCs w:val="1"/>
          <w:color w:val="auto"/>
        </w:rPr>
      </w:pPr>
    </w:p>
    <w:p>
      <w:pPr>
        <w:jc w:val="both"/>
        <w:ind w:firstLine="1304"/>
        <w:spacing w:after="0" w:line="283" w:lineRule="auto"/>
        <w:tabs>
          <w:tab w:leader="none" w:pos="1938" w:val="left"/>
        </w:tabs>
        <w:numPr>
          <w:ilvl w:val="0"/>
          <w:numId w:val="355"/>
        </w:numPr>
        <w:rPr>
          <w:rFonts w:ascii="Arial" w:cs="Arial" w:eastAsia="Arial" w:hAnsi="Arial"/>
          <w:sz w:val="19"/>
          <w:szCs w:val="19"/>
          <w:b w:val="1"/>
          <w:bCs w:val="1"/>
          <w:color w:val="auto"/>
        </w:rPr>
      </w:pPr>
      <w:r>
        <w:rPr>
          <w:rFonts w:ascii="Arial" w:cs="Arial" w:eastAsia="Arial" w:hAnsi="Arial"/>
          <w:sz w:val="19"/>
          <w:szCs w:val="19"/>
          <w:b w:val="1"/>
          <w:bCs w:val="1"/>
          <w:color w:val="auto"/>
        </w:rPr>
        <w:t>Severance Benefits upon a Termination that is not a COC Termination</w:t>
      </w:r>
      <w:r>
        <w:rPr>
          <w:rFonts w:ascii="Arial" w:cs="Arial" w:eastAsia="Arial" w:hAnsi="Arial"/>
          <w:sz w:val="19"/>
          <w:szCs w:val="19"/>
          <w:color w:val="auto"/>
        </w:rPr>
        <w:t>. If Executive’s employment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terminated by the Company without Cause and other than as a result of death or disability, or Executive resigns his employment with the Company for Good Reason, and such termination is not a COC Termination,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termination constitutes a Separation from Service and that Executive delivers a release of claims as required under Section 3 below, then Executive shall be entitled to the following severance benefits (the “</w:t>
      </w:r>
      <w:r>
        <w:rPr>
          <w:rFonts w:ascii="Arial" w:cs="Arial" w:eastAsia="Arial" w:hAnsi="Arial"/>
          <w:sz w:val="19"/>
          <w:szCs w:val="19"/>
          <w:b w:val="1"/>
          <w:bCs w:val="1"/>
          <w:i w:val="1"/>
          <w:iCs w:val="1"/>
          <w:color w:val="auto"/>
        </w:rPr>
        <w:t>Severance Benefits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4" w:right="339" w:bottom="1440" w:gutter="0" w:footer="0" w:header="0"/>
        </w:sectPr>
      </w:pPr>
    </w:p>
    <w:bookmarkStart w:id="429" w:name="page430"/>
    <w:bookmarkEnd w:id="429"/>
    <w:p>
      <w:pPr>
        <w:jc w:val="both"/>
        <w:ind w:firstLine="1952"/>
        <w:spacing w:after="0" w:line="238" w:lineRule="auto"/>
        <w:tabs>
          <w:tab w:leader="none" w:pos="2580" w:val="left"/>
        </w:tabs>
        <w:numPr>
          <w:ilvl w:val="2"/>
          <w:numId w:val="356"/>
        </w:numPr>
        <w:rPr>
          <w:rFonts w:ascii="Arial" w:cs="Arial" w:eastAsia="Arial" w:hAnsi="Arial"/>
          <w:sz w:val="22"/>
          <w:szCs w:val="22"/>
          <w:b w:val="1"/>
          <w:bCs w:val="1"/>
          <w:color w:val="auto"/>
        </w:rPr>
      </w:pPr>
      <w:r>
        <w:rPr>
          <w:rFonts w:ascii="Arial" w:cs="Arial" w:eastAsia="Arial" w:hAnsi="Arial"/>
          <w:sz w:val="22"/>
          <w:szCs w:val="22"/>
          <w:color w:val="auto"/>
        </w:rPr>
        <w:t>The Company shall pay Executive an amount in cash equal to twelve (12) months of Executive’s then current base salary, ignoring any decrease in base salary that forms the basis for Good Reason, payable in substantially equal installments in accordance with the Company’s normal payroll practice over the twelve (12) month period following Executive’s Separation from Service.</w:t>
      </w:r>
    </w:p>
    <w:p>
      <w:pPr>
        <w:spacing w:after="0" w:line="184" w:lineRule="exact"/>
        <w:rPr>
          <w:rFonts w:ascii="Arial" w:cs="Arial" w:eastAsia="Arial" w:hAnsi="Arial"/>
          <w:sz w:val="22"/>
          <w:szCs w:val="22"/>
          <w:b w:val="1"/>
          <w:bCs w:val="1"/>
          <w:color w:val="auto"/>
        </w:rPr>
      </w:pPr>
    </w:p>
    <w:p>
      <w:pPr>
        <w:jc w:val="both"/>
        <w:ind w:firstLine="1952"/>
        <w:spacing w:after="0" w:line="238" w:lineRule="auto"/>
        <w:tabs>
          <w:tab w:leader="none" w:pos="2586" w:val="left"/>
        </w:tabs>
        <w:numPr>
          <w:ilvl w:val="2"/>
          <w:numId w:val="356"/>
        </w:numPr>
        <w:rPr>
          <w:rFonts w:ascii="Arial" w:cs="Arial" w:eastAsia="Arial" w:hAnsi="Arial"/>
          <w:sz w:val="22"/>
          <w:szCs w:val="22"/>
          <w:b w:val="1"/>
          <w:bCs w:val="1"/>
          <w:color w:val="auto"/>
        </w:rPr>
      </w:pPr>
      <w:r>
        <w:rPr>
          <w:rFonts w:ascii="Arial" w:cs="Arial" w:eastAsia="Arial" w:hAnsi="Arial"/>
          <w:sz w:val="22"/>
          <w:szCs w:val="22"/>
          <w:color w:val="auto"/>
        </w:rPr>
        <w:t>Subject to Section 9(c), the Company shall pay Executive’s COBRA Premiums under COBRA for a period ending on the earlier of twelve (12) months from the Separation from Service or the date on which Executive becomes eligible to be covered by the health care plans of another employer (the “</w:t>
      </w:r>
      <w:r>
        <w:rPr>
          <w:rFonts w:ascii="Arial" w:cs="Arial" w:eastAsia="Arial" w:hAnsi="Arial"/>
          <w:sz w:val="22"/>
          <w:szCs w:val="22"/>
          <w:b w:val="1"/>
          <w:bCs w:val="1"/>
          <w:i w:val="1"/>
          <w:iCs w:val="1"/>
          <w:color w:val="auto"/>
        </w:rPr>
        <w:t>Severance COBRA Period</w:t>
      </w:r>
      <w:r>
        <w:rPr>
          <w:rFonts w:ascii="Arial" w:cs="Arial" w:eastAsia="Arial" w:hAnsi="Arial"/>
          <w:sz w:val="22"/>
          <w:szCs w:val="22"/>
          <w:color w:val="auto"/>
        </w:rPr>
        <w:t>”), so long as Executive timely elects and is eligible for such COBRA continuation coverage.</w:t>
      </w:r>
    </w:p>
    <w:p>
      <w:pPr>
        <w:spacing w:after="0" w:line="178" w:lineRule="exact"/>
        <w:rPr>
          <w:rFonts w:ascii="Arial" w:cs="Arial" w:eastAsia="Arial" w:hAnsi="Arial"/>
          <w:sz w:val="22"/>
          <w:szCs w:val="22"/>
          <w:b w:val="1"/>
          <w:bCs w:val="1"/>
          <w:color w:val="auto"/>
        </w:rPr>
      </w:pPr>
    </w:p>
    <w:p>
      <w:pPr>
        <w:jc w:val="both"/>
        <w:ind w:firstLine="1304"/>
        <w:spacing w:after="0" w:line="273" w:lineRule="auto"/>
        <w:tabs>
          <w:tab w:leader="none" w:pos="1941" w:val="left"/>
        </w:tabs>
        <w:numPr>
          <w:ilvl w:val="1"/>
          <w:numId w:val="357"/>
        </w:numPr>
        <w:rPr>
          <w:rFonts w:ascii="Arial" w:cs="Arial" w:eastAsia="Arial" w:hAnsi="Arial"/>
          <w:sz w:val="19"/>
          <w:szCs w:val="19"/>
          <w:b w:val="1"/>
          <w:bCs w:val="1"/>
          <w:color w:val="auto"/>
        </w:rPr>
      </w:pPr>
      <w:r>
        <w:rPr>
          <w:rFonts w:ascii="Arial" w:cs="Arial" w:eastAsia="Arial" w:hAnsi="Arial"/>
          <w:sz w:val="19"/>
          <w:szCs w:val="19"/>
          <w:b w:val="1"/>
          <w:bCs w:val="1"/>
          <w:color w:val="auto"/>
        </w:rPr>
        <w:t>Accrued Wages, Bonus and Vacation, Expenses</w:t>
      </w:r>
      <w:r>
        <w:rPr>
          <w:rFonts w:ascii="Arial" w:cs="Arial" w:eastAsia="Arial" w:hAnsi="Arial"/>
          <w:sz w:val="19"/>
          <w:szCs w:val="19"/>
          <w:color w:val="auto"/>
        </w:rPr>
        <w:t>. Without regard to the reason for, or the timing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termination of employment, the Company shall pay (or provide reimbursement to) Executive for (i) any unpaid base salary due for periods prior to and including the date of Separation from Service; (ii) all accrued and unused vacation through the date of Separation from Service, if applicable; (iii) any earned (as determined and approved by the Board prior to the Separation from Service) but not yet paid incentive bonus from the prior fiscal year, which bonus shall be paid in accordance with the Company’s regular bonus payment process and in any event by no later than two and one-half months after the end of such subsequent year; and (iv) following submission of proper expense reports by Executive, all expenses reasonably and necessarily incurred by Executive in connection with the business of the Company prior to the Separation from Service. These payments shall be made promptly upon or following termination and within the period of time mandated by law (or in the case of an earned bonus, within the time period set forth in the Company’s bonus plan and in any event by no later than two and one-half months after the end of the fiscal year following the year in which the bonus was earned).</w:t>
      </w:r>
    </w:p>
    <w:p>
      <w:pPr>
        <w:spacing w:after="0" w:line="155" w:lineRule="exact"/>
        <w:rPr>
          <w:rFonts w:ascii="Arial" w:cs="Arial" w:eastAsia="Arial" w:hAnsi="Arial"/>
          <w:sz w:val="19"/>
          <w:szCs w:val="19"/>
          <w:b w:val="1"/>
          <w:bCs w:val="1"/>
          <w:color w:val="auto"/>
        </w:rPr>
      </w:pPr>
    </w:p>
    <w:p>
      <w:pPr>
        <w:ind w:left="1300" w:hanging="644"/>
        <w:spacing w:after="0"/>
        <w:tabs>
          <w:tab w:leader="none" w:pos="1300" w:val="left"/>
        </w:tabs>
        <w:numPr>
          <w:ilvl w:val="0"/>
          <w:numId w:val="358"/>
        </w:numPr>
        <w:rPr>
          <w:rFonts w:ascii="Arial" w:cs="Arial" w:eastAsia="Arial" w:hAnsi="Arial"/>
          <w:sz w:val="22"/>
          <w:szCs w:val="22"/>
          <w:b w:val="1"/>
          <w:bCs w:val="1"/>
          <w:color w:val="auto"/>
        </w:rPr>
      </w:pPr>
      <w:r>
        <w:rPr>
          <w:rFonts w:ascii="Arial" w:cs="Arial" w:eastAsia="Arial" w:hAnsi="Arial"/>
          <w:sz w:val="22"/>
          <w:szCs w:val="22"/>
          <w:b w:val="1"/>
          <w:bCs w:val="1"/>
          <w:color w:val="auto"/>
        </w:rPr>
        <w:t>Release Required; Timing of Payments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304"/>
        <w:spacing w:after="0" w:line="280" w:lineRule="auto"/>
        <w:tabs>
          <w:tab w:leader="none" w:pos="1939" w:val="left"/>
        </w:tabs>
        <w:numPr>
          <w:ilvl w:val="1"/>
          <w:numId w:val="358"/>
        </w:numPr>
        <w:rPr>
          <w:rFonts w:ascii="Arial" w:cs="Arial" w:eastAsia="Arial" w:hAnsi="Arial"/>
          <w:sz w:val="19"/>
          <w:szCs w:val="19"/>
          <w:b w:val="1"/>
          <w:bCs w:val="1"/>
          <w:color w:val="auto"/>
        </w:rPr>
      </w:pPr>
      <w:r>
        <w:rPr>
          <w:rFonts w:ascii="Arial" w:cs="Arial" w:eastAsia="Arial" w:hAnsi="Arial"/>
          <w:sz w:val="19"/>
          <w:szCs w:val="19"/>
          <w:b w:val="1"/>
          <w:bCs w:val="1"/>
          <w:color w:val="auto"/>
        </w:rPr>
        <w:t>Requirement of Release</w:t>
      </w:r>
      <w:r>
        <w:rPr>
          <w:rFonts w:ascii="Arial" w:cs="Arial" w:eastAsia="Arial" w:hAnsi="Arial"/>
          <w:sz w:val="19"/>
          <w:szCs w:val="19"/>
          <w:color w:val="auto"/>
        </w:rPr>
        <w:t>. Prior to the payment of any COC Benefits (including the acceleration of Equity</w:t>
      </w:r>
      <w:r>
        <w:rPr>
          <w:rFonts w:ascii="Arial" w:cs="Arial" w:eastAsia="Arial" w:hAnsi="Arial"/>
          <w:sz w:val="19"/>
          <w:szCs w:val="19"/>
          <w:b w:val="1"/>
          <w:bCs w:val="1"/>
          <w:color w:val="auto"/>
        </w:rPr>
        <w:t xml:space="preserve"> </w:t>
      </w:r>
      <w:r>
        <w:rPr>
          <w:rFonts w:ascii="Arial" w:cs="Arial" w:eastAsia="Arial" w:hAnsi="Arial"/>
          <w:sz w:val="19"/>
          <w:szCs w:val="19"/>
          <w:color w:val="auto"/>
        </w:rPr>
        <w:t>Awards) or Severance Benefits, Executive shall execute and allow to become effective a standard release agreement releasing the Company (and its successor) from any and all claims Executive (or Executive’s estate or beneficiaries) may have against such entities related to or arising in connection with his employment and the terms of such employment and termination thereof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within the time frame set forth therein, but not later than 60 days following Executive’s Separation from Service (the “</w:t>
      </w:r>
      <w:r>
        <w:rPr>
          <w:rFonts w:ascii="Arial" w:cs="Arial" w:eastAsia="Arial" w:hAnsi="Arial"/>
          <w:sz w:val="19"/>
          <w:szCs w:val="19"/>
          <w:b w:val="1"/>
          <w:bCs w:val="1"/>
          <w:i w:val="1"/>
          <w:iCs w:val="1"/>
          <w:color w:val="auto"/>
        </w:rPr>
        <w:t>Release Effective Date</w:t>
      </w:r>
      <w:r>
        <w:rPr>
          <w:rFonts w:ascii="Arial" w:cs="Arial" w:eastAsia="Arial" w:hAnsi="Arial"/>
          <w:sz w:val="19"/>
          <w:szCs w:val="19"/>
          <w:color w:val="auto"/>
        </w:rPr>
        <w:t>”). No COC Benefits or Severance Benefits shall be paid or provided prior to the Release Effective Date.</w:t>
      </w:r>
    </w:p>
    <w:p>
      <w:pPr>
        <w:spacing w:after="0" w:line="144" w:lineRule="exact"/>
        <w:rPr>
          <w:rFonts w:ascii="Arial" w:cs="Arial" w:eastAsia="Arial" w:hAnsi="Arial"/>
          <w:sz w:val="19"/>
          <w:szCs w:val="19"/>
          <w:b w:val="1"/>
          <w:bCs w:val="1"/>
          <w:color w:val="auto"/>
        </w:rPr>
      </w:pPr>
    </w:p>
    <w:p>
      <w:pPr>
        <w:jc w:val="both"/>
        <w:ind w:firstLine="1304"/>
        <w:spacing w:after="0" w:line="237" w:lineRule="auto"/>
        <w:tabs>
          <w:tab w:leader="none" w:pos="1938" w:val="left"/>
        </w:tabs>
        <w:numPr>
          <w:ilvl w:val="1"/>
          <w:numId w:val="358"/>
        </w:numPr>
        <w:rPr>
          <w:rFonts w:ascii="Arial" w:cs="Arial" w:eastAsia="Arial" w:hAnsi="Arial"/>
          <w:sz w:val="22"/>
          <w:szCs w:val="22"/>
          <w:b w:val="1"/>
          <w:bCs w:val="1"/>
          <w:color w:val="auto"/>
        </w:rPr>
      </w:pPr>
      <w:r>
        <w:rPr>
          <w:rFonts w:ascii="Arial" w:cs="Arial" w:eastAsia="Arial" w:hAnsi="Arial"/>
          <w:sz w:val="22"/>
          <w:szCs w:val="22"/>
          <w:b w:val="1"/>
          <w:bCs w:val="1"/>
          <w:color w:val="auto"/>
        </w:rPr>
        <w:t>Form of Release</w:t>
      </w:r>
      <w:r>
        <w:rPr>
          <w:rFonts w:ascii="Arial" w:cs="Arial" w:eastAsia="Arial" w:hAnsi="Arial"/>
          <w:sz w:val="22"/>
          <w:szCs w:val="22"/>
          <w:color w:val="auto"/>
        </w:rPr>
        <w:t>. The Release shall be in substantially the form attached hereto as</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Unless a Change of Control has occurred, the Board, in its sole discretion, may modify the form of the required Release to comply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4" w:right="339" w:bottom="1440" w:gutter="0" w:footer="0" w:header="0"/>
        </w:sectPr>
      </w:pPr>
    </w:p>
    <w:bookmarkStart w:id="430" w:name="page431"/>
    <w:bookmarkEnd w:id="430"/>
    <w:p>
      <w:pPr>
        <w:spacing w:after="0" w:line="250" w:lineRule="auto"/>
        <w:rPr>
          <w:sz w:val="20"/>
          <w:szCs w:val="20"/>
          <w:color w:val="auto"/>
        </w:rPr>
      </w:pPr>
      <w:r>
        <w:rPr>
          <w:rFonts w:ascii="Arial" w:cs="Arial" w:eastAsia="Arial" w:hAnsi="Arial"/>
          <w:sz w:val="22"/>
          <w:szCs w:val="22"/>
          <w:color w:val="auto"/>
        </w:rPr>
        <w:t>and shall determine the form of the required Release, which may be incorporated into a termination agreement or other agreement with Executive.</w:t>
      </w:r>
    </w:p>
    <w:p>
      <w:pPr>
        <w:spacing w:after="0" w:line="169" w:lineRule="exact"/>
        <w:rPr>
          <w:sz w:val="20"/>
          <w:szCs w:val="20"/>
          <w:color w:val="auto"/>
        </w:rPr>
      </w:pPr>
    </w:p>
    <w:p>
      <w:pPr>
        <w:jc w:val="both"/>
        <w:ind w:firstLine="1304"/>
        <w:spacing w:after="0" w:line="273" w:lineRule="auto"/>
        <w:tabs>
          <w:tab w:leader="none" w:pos="1941" w:val="left"/>
        </w:tabs>
        <w:numPr>
          <w:ilvl w:val="1"/>
          <w:numId w:val="359"/>
        </w:numPr>
        <w:rPr>
          <w:rFonts w:ascii="Arial" w:cs="Arial" w:eastAsia="Arial" w:hAnsi="Arial"/>
          <w:sz w:val="19"/>
          <w:szCs w:val="19"/>
          <w:b w:val="1"/>
          <w:bCs w:val="1"/>
          <w:color w:val="auto"/>
        </w:rPr>
      </w:pPr>
      <w:r>
        <w:rPr>
          <w:rFonts w:ascii="Arial" w:cs="Arial" w:eastAsia="Arial" w:hAnsi="Arial"/>
          <w:sz w:val="19"/>
          <w:szCs w:val="19"/>
          <w:b w:val="1"/>
          <w:bCs w:val="1"/>
          <w:color w:val="auto"/>
        </w:rPr>
        <w:t>Timing of Payments</w:t>
      </w:r>
      <w:r>
        <w:rPr>
          <w:rFonts w:ascii="Arial" w:cs="Arial" w:eastAsia="Arial" w:hAnsi="Arial"/>
          <w:sz w:val="19"/>
          <w:szCs w:val="19"/>
          <w:color w:val="auto"/>
        </w:rPr>
        <w:t>. Within three (3) days following the Release Effective Date, the Company will pay in</w:t>
      </w:r>
      <w:r>
        <w:rPr>
          <w:rFonts w:ascii="Arial" w:cs="Arial" w:eastAsia="Arial" w:hAnsi="Arial"/>
          <w:sz w:val="19"/>
          <w:szCs w:val="19"/>
          <w:b w:val="1"/>
          <w:bCs w:val="1"/>
          <w:color w:val="auto"/>
        </w:rPr>
        <w:t xml:space="preserve"> </w:t>
      </w:r>
      <w:r>
        <w:rPr>
          <w:rFonts w:ascii="Arial" w:cs="Arial" w:eastAsia="Arial" w:hAnsi="Arial"/>
          <w:sz w:val="19"/>
          <w:szCs w:val="19"/>
          <w:color w:val="auto"/>
        </w:rPr>
        <w:t>a lump sum payment or commence payment of the COC Benefits or Severance Benefits, as applicable, that Executive would otherwise have received on or prior to such date but for the delay in payment related to the effectiveness of the Release, with the balance of the benefits being paid as originally scheduled. Notwithstanding the foregoing, if the Company (or, if applicable, the successor entity thereto) determines that any of the COC Benefits or Severance Benefits constitute “deferred compensation” under Section 409A (defined below) or as otherwise necessary to comply with, or be exempt from, Section 409A, then, solely to the extent necessary to avoid the incurrence of the adverse personal tax consequences under Section 409A, no COC Benefits or Severance Benefits, as applicable, will be paid prior to the 61st day following Executive’s Separation from Service. On the 61st day following the date of Separation from Service, the Company will pay to Executive in a lump sum payment the COC Benefits or Severance Benefits, as applicable, that Executive would otherwise have received on or prior to such date, with the balance of the benefits being paid as originally scheduled.</w:t>
      </w:r>
    </w:p>
    <w:p>
      <w:pPr>
        <w:spacing w:after="0" w:line="155" w:lineRule="exact"/>
        <w:rPr>
          <w:rFonts w:ascii="Arial" w:cs="Arial" w:eastAsia="Arial" w:hAnsi="Arial"/>
          <w:sz w:val="19"/>
          <w:szCs w:val="19"/>
          <w:b w:val="1"/>
          <w:bCs w:val="1"/>
          <w:color w:val="auto"/>
        </w:rPr>
      </w:pPr>
    </w:p>
    <w:p>
      <w:pPr>
        <w:jc w:val="both"/>
        <w:ind w:firstLine="656"/>
        <w:spacing w:after="0" w:line="270" w:lineRule="auto"/>
        <w:tabs>
          <w:tab w:leader="none" w:pos="1296" w:val="left"/>
        </w:tabs>
        <w:numPr>
          <w:ilvl w:val="0"/>
          <w:numId w:val="360"/>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 on Payments</w:t>
      </w:r>
      <w:r>
        <w:rPr>
          <w:rFonts w:ascii="Arial" w:cs="Arial" w:eastAsia="Arial" w:hAnsi="Arial"/>
          <w:sz w:val="19"/>
          <w:szCs w:val="19"/>
          <w:color w:val="auto"/>
        </w:rPr>
        <w:t>. If any payment or benefit (including payments and benefits pursuant 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Executive would receive in connection with a Change of Control from the Company or otherwise (“</w:t>
      </w:r>
      <w:r>
        <w:rPr>
          <w:rFonts w:ascii="Arial" w:cs="Arial" w:eastAsia="Arial" w:hAnsi="Arial"/>
          <w:sz w:val="19"/>
          <w:szCs w:val="19"/>
          <w:b w:val="1"/>
          <w:bCs w:val="1"/>
          <w:i w:val="1"/>
          <w:iCs w:val="1"/>
          <w:color w:val="auto"/>
        </w:rPr>
        <w:t>Transaction Payment</w:t>
      </w:r>
      <w:r>
        <w:rPr>
          <w:rFonts w:ascii="Arial" w:cs="Arial" w:eastAsia="Arial" w:hAnsi="Arial"/>
          <w:sz w:val="19"/>
          <w:szCs w:val="19"/>
          <w:color w:val="auto"/>
        </w:rPr>
        <w:t>”) would (i) constitute a “parachute payment” within the meaning of Section 280G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9"/>
          <w:szCs w:val="19"/>
          <w:b w:val="1"/>
          <w:bCs w:val="1"/>
          <w:i w:val="1"/>
          <w:iCs w:val="1"/>
          <w:color w:val="auto"/>
        </w:rPr>
        <w:t>Full Payment</w:t>
      </w:r>
      <w:r>
        <w:rPr>
          <w:rFonts w:ascii="Arial" w:cs="Arial" w:eastAsia="Arial" w:hAnsi="Arial"/>
          <w:sz w:val="19"/>
          <w:szCs w:val="19"/>
          <w:color w:val="auto"/>
        </w:rPr>
        <w:t>”), or (2) payment of only a part of the Transaction Payment so that Executive receives the largest payment possible without the imposition of the Excise Tax (a “</w:t>
      </w:r>
      <w:r>
        <w:rPr>
          <w:rFonts w:ascii="Arial" w:cs="Arial" w:eastAsia="Arial" w:hAnsi="Arial"/>
          <w:sz w:val="19"/>
          <w:szCs w:val="19"/>
          <w:b w:val="1"/>
          <w:bCs w:val="1"/>
          <w:i w:val="1"/>
          <w:iCs w:val="1"/>
          <w:color w:val="auto"/>
        </w:rPr>
        <w:t>Reduced Payment</w:t>
      </w:r>
      <w:r>
        <w:rPr>
          <w:rFonts w:ascii="Arial" w:cs="Arial" w:eastAsia="Arial" w:hAnsi="Arial"/>
          <w:sz w:val="19"/>
          <w:szCs w:val="19"/>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will occur in the following order: (1) reduction of cash payments; (2) cancellation of accelerated vesting of equity awards other than stock options; (3) cancellation of accelerated vesting of stock options; and (4) reduction of other benefits paid to Executive. In the event that acceleration of vesting of equity award compensation is to be reduced, such acceleration of vesting will be cancelled in the reverse order of the date of grant of Executive’s equity awards. In no event will the Company or any shareholder be liable to Executive for any amounts not paid as a result of the operation of this Section 4.</w:t>
      </w:r>
    </w:p>
    <w:p>
      <w:pPr>
        <w:spacing w:after="0" w:line="168" w:lineRule="exact"/>
        <w:rPr>
          <w:rFonts w:ascii="Arial" w:cs="Arial" w:eastAsia="Arial" w:hAnsi="Arial"/>
          <w:sz w:val="19"/>
          <w:szCs w:val="19"/>
          <w:b w:val="1"/>
          <w:bCs w:val="1"/>
          <w:color w:val="auto"/>
        </w:rPr>
      </w:pPr>
    </w:p>
    <w:p>
      <w:pPr>
        <w:ind w:firstLine="1304"/>
        <w:spacing w:after="0" w:line="250" w:lineRule="auto"/>
        <w:tabs>
          <w:tab w:leader="none" w:pos="1939" w:val="left"/>
        </w:tabs>
        <w:numPr>
          <w:ilvl w:val="1"/>
          <w:numId w:val="360"/>
        </w:numPr>
        <w:rPr>
          <w:rFonts w:ascii="Arial" w:cs="Arial" w:eastAsia="Arial" w:hAnsi="Arial"/>
          <w:sz w:val="22"/>
          <w:szCs w:val="22"/>
          <w:b w:val="1"/>
          <w:bCs w:val="1"/>
          <w:color w:val="auto"/>
        </w:rPr>
      </w:pPr>
      <w:r>
        <w:rPr>
          <w:rFonts w:ascii="Arial" w:cs="Arial" w:eastAsia="Arial" w:hAnsi="Arial"/>
          <w:sz w:val="22"/>
          <w:szCs w:val="22"/>
          <w:color w:val="auto"/>
        </w:rPr>
        <w:t>The professional firm engaged by the Company for general tax purposes as of the day prior to the effective date of the Change of Control shall make all determinations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4" w:right="339" w:bottom="1440" w:gutter="0" w:footer="0" w:header="0"/>
        </w:sectPr>
      </w:pPr>
    </w:p>
    <w:bookmarkStart w:id="431" w:name="page432"/>
    <w:bookmarkEnd w:id="431"/>
    <w:p>
      <w:pPr>
        <w:jc w:val="both"/>
        <w:spacing w:after="0" w:line="252" w:lineRule="auto"/>
        <w:rPr>
          <w:sz w:val="20"/>
          <w:szCs w:val="20"/>
          <w:color w:val="auto"/>
        </w:rPr>
      </w:pPr>
      <w:r>
        <w:rPr>
          <w:rFonts w:ascii="Arial" w:cs="Arial" w:eastAsia="Arial" w:hAnsi="Arial"/>
          <w:sz w:val="21"/>
          <w:szCs w:val="21"/>
          <w:color w:val="auto"/>
        </w:rPr>
        <w:t>required to be made under this Section 4. If the professional firm so engaged by the Company is serving as accountant or auditor for the individual, entity or group effecting the Change of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74" w:lineRule="exact"/>
        <w:rPr>
          <w:sz w:val="20"/>
          <w:szCs w:val="20"/>
          <w:color w:val="auto"/>
        </w:rPr>
      </w:pPr>
    </w:p>
    <w:p>
      <w:pPr>
        <w:jc w:val="both"/>
        <w:ind w:firstLine="1304"/>
        <w:spacing w:after="0" w:line="277" w:lineRule="auto"/>
        <w:tabs>
          <w:tab w:leader="none" w:pos="1938" w:val="left"/>
        </w:tabs>
        <w:numPr>
          <w:ilvl w:val="1"/>
          <w:numId w:val="361"/>
        </w:numPr>
        <w:rPr>
          <w:rFonts w:ascii="Arial" w:cs="Arial" w:eastAsia="Arial" w:hAnsi="Arial"/>
          <w:sz w:val="19"/>
          <w:szCs w:val="19"/>
          <w:b w:val="1"/>
          <w:bCs w:val="1"/>
          <w:color w:val="auto"/>
        </w:rPr>
      </w:pPr>
      <w:r>
        <w:rPr>
          <w:rFonts w:ascii="Arial" w:cs="Arial" w:eastAsia="Arial" w:hAnsi="Arial"/>
          <w:sz w:val="19"/>
          <w:szCs w:val="19"/>
          <w:color w:val="auto"/>
        </w:rPr>
        <w:t>The professional firm engaged to make the determinations hereunder shall provide its calculations, together with detailed supporting documentation, to the Company and Executive within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45" w:lineRule="exact"/>
        <w:rPr>
          <w:rFonts w:ascii="Arial" w:cs="Arial" w:eastAsia="Arial" w:hAnsi="Arial"/>
          <w:sz w:val="19"/>
          <w:szCs w:val="19"/>
          <w:b w:val="1"/>
          <w:bCs w:val="1"/>
          <w:color w:val="auto"/>
        </w:rPr>
      </w:pPr>
    </w:p>
    <w:p>
      <w:pPr>
        <w:ind w:left="1300" w:hanging="644"/>
        <w:spacing w:after="0"/>
        <w:tabs>
          <w:tab w:leader="none" w:pos="1300" w:val="left"/>
        </w:tabs>
        <w:numPr>
          <w:ilvl w:val="0"/>
          <w:numId w:val="362"/>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304"/>
        <w:spacing w:after="0" w:line="245" w:lineRule="auto"/>
        <w:tabs>
          <w:tab w:leader="none" w:pos="1939" w:val="left"/>
        </w:tabs>
        <w:numPr>
          <w:ilvl w:val="1"/>
          <w:numId w:val="362"/>
        </w:numPr>
        <w:rPr>
          <w:rFonts w:ascii="Arial" w:cs="Arial" w:eastAsia="Arial" w:hAnsi="Arial"/>
          <w:sz w:val="21"/>
          <w:szCs w:val="21"/>
          <w:b w:val="1"/>
          <w:bCs w:val="1"/>
          <w:color w:val="auto"/>
        </w:rPr>
      </w:pPr>
      <w:r>
        <w:rPr>
          <w:rFonts w:ascii="Arial" w:cs="Arial" w:eastAsia="Arial" w:hAnsi="Arial"/>
          <w:sz w:val="21"/>
          <w:szCs w:val="21"/>
          <w:b w:val="1"/>
          <w:bCs w:val="1"/>
          <w:color w:val="auto"/>
        </w:rPr>
        <w:t>Company’s Successors</w:t>
      </w:r>
      <w:r>
        <w:rPr>
          <w:rFonts w:ascii="Arial" w:cs="Arial" w:eastAsia="Arial" w:hAnsi="Arial"/>
          <w:sz w:val="21"/>
          <w:szCs w:val="21"/>
          <w:color w:val="auto"/>
        </w:rPr>
        <w:t>. Any successor to the Company (whether direct or indirect and whether by</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lease, merger, consolidation, liquidation or otherwise) to all or substantially all of the Company’s business and/or assets shall assume the Company’s, or ensure that the Company fully performs its, obligations under this Agreement and shall perform the Company’s, or ensure that the Company performs its, obligations, under this Agreement in the same manner and to the same extent as the Company would be required to perform such obligations in the absence of a succession. For all purposes under this Agreement, the term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include any such successor. In the case of any transaction in which a successor would not by the foregoing provision or by operation of law be bound by this Agreement, the Company shall require any successor to the Company to expressly and unconditionally assume this Agreement in writing and honor the obligations of the Company hereunder, in the same manner and to the same extent that the Company would be required to perform if no succession had taken place.</w:t>
      </w:r>
    </w:p>
    <w:p>
      <w:pPr>
        <w:spacing w:after="0" w:line="180" w:lineRule="exact"/>
        <w:rPr>
          <w:rFonts w:ascii="Arial" w:cs="Arial" w:eastAsia="Arial" w:hAnsi="Arial"/>
          <w:sz w:val="21"/>
          <w:szCs w:val="21"/>
          <w:b w:val="1"/>
          <w:bCs w:val="1"/>
          <w:color w:val="auto"/>
        </w:rPr>
      </w:pPr>
    </w:p>
    <w:p>
      <w:pPr>
        <w:jc w:val="both"/>
        <w:ind w:firstLine="1304"/>
        <w:spacing w:after="0" w:line="289" w:lineRule="auto"/>
        <w:tabs>
          <w:tab w:leader="none" w:pos="1938" w:val="left"/>
        </w:tabs>
        <w:numPr>
          <w:ilvl w:val="1"/>
          <w:numId w:val="362"/>
        </w:numPr>
        <w:rPr>
          <w:rFonts w:ascii="Arial" w:cs="Arial" w:eastAsia="Arial" w:hAnsi="Arial"/>
          <w:sz w:val="19"/>
          <w:szCs w:val="19"/>
          <w:b w:val="1"/>
          <w:bCs w:val="1"/>
          <w:color w:val="auto"/>
        </w:rPr>
      </w:pPr>
      <w:r>
        <w:rPr>
          <w:rFonts w:ascii="Arial" w:cs="Arial" w:eastAsia="Arial" w:hAnsi="Arial"/>
          <w:sz w:val="19"/>
          <w:szCs w:val="19"/>
          <w:b w:val="1"/>
          <w:bCs w:val="1"/>
          <w:color w:val="auto"/>
        </w:rPr>
        <w:t>Executive’s Successors</w:t>
      </w:r>
      <w:r>
        <w:rPr>
          <w:rFonts w:ascii="Arial" w:cs="Arial" w:eastAsia="Arial" w:hAnsi="Arial"/>
          <w:sz w:val="19"/>
          <w:szCs w:val="19"/>
          <w:color w:val="auto"/>
        </w:rPr>
        <w:t>. Without the written consent of the Company, Executive shall not assign or</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any right or obligation under this Agreement to any other person or entity. Notwithstanding the foregoing, the terms of this Agreement and all rights, benefits and payments of Executive hereunder shall inure to the benefit of, and be enforceable by, Executive’s personal or legal representatives, executors, administrators, successors, heirs, distributees, devisees and legatees.</w:t>
      </w:r>
    </w:p>
    <w:p>
      <w:pPr>
        <w:spacing w:after="0" w:line="135" w:lineRule="exact"/>
        <w:rPr>
          <w:rFonts w:ascii="Arial" w:cs="Arial" w:eastAsia="Arial" w:hAnsi="Arial"/>
          <w:sz w:val="19"/>
          <w:szCs w:val="19"/>
          <w:b w:val="1"/>
          <w:bCs w:val="1"/>
          <w:color w:val="auto"/>
        </w:rPr>
      </w:pPr>
    </w:p>
    <w:p>
      <w:pPr>
        <w:ind w:left="1300" w:hanging="644"/>
        <w:spacing w:after="0"/>
        <w:tabs>
          <w:tab w:leader="none" w:pos="1300" w:val="left"/>
        </w:tabs>
        <w:numPr>
          <w:ilvl w:val="0"/>
          <w:numId w:val="362"/>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304"/>
        <w:spacing w:after="0" w:line="300" w:lineRule="auto"/>
        <w:tabs>
          <w:tab w:leader="none" w:pos="1939" w:val="left"/>
        </w:tabs>
        <w:numPr>
          <w:ilvl w:val="1"/>
          <w:numId w:val="362"/>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Notices and all other communications contemplated by this Agreement shall be in writing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to have been duly given when personally delivered or when mailed by U.S. registered or certified mail, return receipt requested and postage prepaid. In the case of Executive, mailed notices shall be addressed to him at the home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4" w:right="339" w:bottom="1440" w:gutter="0" w:footer="0" w:header="0"/>
        </w:sectPr>
      </w:pPr>
    </w:p>
    <w:bookmarkStart w:id="432" w:name="page433"/>
    <w:bookmarkEnd w:id="432"/>
    <w:p>
      <w:pPr>
        <w:spacing w:after="0" w:line="274" w:lineRule="auto"/>
        <w:rPr>
          <w:sz w:val="20"/>
          <w:szCs w:val="20"/>
          <w:color w:val="auto"/>
        </w:rPr>
      </w:pPr>
      <w:r>
        <w:rPr>
          <w:rFonts w:ascii="Arial" w:cs="Arial" w:eastAsia="Arial" w:hAnsi="Arial"/>
          <w:sz w:val="21"/>
          <w:szCs w:val="21"/>
          <w:color w:val="auto"/>
        </w:rPr>
        <w:t>address which he most recently communicated to the Company in writing. In the case of the Company, mailed notices shall be addressed to its corporate headquarters, and all notices shall be directed to the attention of its Secretary.</w:t>
      </w:r>
    </w:p>
    <w:p>
      <w:pPr>
        <w:spacing w:after="0" w:line="145" w:lineRule="exact"/>
        <w:rPr>
          <w:sz w:val="20"/>
          <w:szCs w:val="20"/>
          <w:color w:val="auto"/>
        </w:rPr>
      </w:pPr>
    </w:p>
    <w:p>
      <w:pPr>
        <w:jc w:val="both"/>
        <w:ind w:firstLine="1304"/>
        <w:spacing w:after="0" w:line="243" w:lineRule="auto"/>
        <w:tabs>
          <w:tab w:leader="none" w:pos="1938" w:val="left"/>
        </w:tabs>
        <w:numPr>
          <w:ilvl w:val="2"/>
          <w:numId w:val="363"/>
        </w:numPr>
        <w:rPr>
          <w:rFonts w:ascii="Arial" w:cs="Arial" w:eastAsia="Arial" w:hAnsi="Arial"/>
          <w:sz w:val="22"/>
          <w:szCs w:val="22"/>
          <w:b w:val="1"/>
          <w:bCs w:val="1"/>
          <w:color w:val="auto"/>
        </w:rPr>
      </w:pPr>
      <w:r>
        <w:rPr>
          <w:rFonts w:ascii="Arial" w:cs="Arial" w:eastAsia="Arial" w:hAnsi="Arial"/>
          <w:sz w:val="22"/>
          <w:szCs w:val="22"/>
          <w:b w:val="1"/>
          <w:bCs w:val="1"/>
          <w:color w:val="auto"/>
        </w:rPr>
        <w:t>Notice of Termination</w:t>
      </w:r>
      <w:r>
        <w:rPr>
          <w:rFonts w:ascii="Arial" w:cs="Arial" w:eastAsia="Arial" w:hAnsi="Arial"/>
          <w:sz w:val="22"/>
          <w:szCs w:val="22"/>
          <w:color w:val="auto"/>
        </w:rPr>
        <w:t>. Any termination by the Company with or without Cause or by Executive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a voluntary resignation for any reason shall be communicated by a notice of termination to the other party hereto given in accordance with this Agreement.</w:t>
      </w:r>
    </w:p>
    <w:p>
      <w:pPr>
        <w:spacing w:after="0" w:line="176" w:lineRule="exact"/>
        <w:rPr>
          <w:rFonts w:ascii="Arial" w:cs="Arial" w:eastAsia="Arial" w:hAnsi="Arial"/>
          <w:sz w:val="22"/>
          <w:szCs w:val="22"/>
          <w:b w:val="1"/>
          <w:bCs w:val="1"/>
          <w:color w:val="auto"/>
        </w:rPr>
      </w:pPr>
    </w:p>
    <w:p>
      <w:pPr>
        <w:jc w:val="both"/>
        <w:ind w:firstLine="656"/>
        <w:spacing w:after="0" w:line="237" w:lineRule="auto"/>
        <w:tabs>
          <w:tab w:leader="none" w:pos="1296" w:val="left"/>
        </w:tabs>
        <w:numPr>
          <w:ilvl w:val="1"/>
          <w:numId w:val="364"/>
        </w:numPr>
        <w:rPr>
          <w:rFonts w:ascii="Arial" w:cs="Arial" w:eastAsia="Arial" w:hAnsi="Arial"/>
          <w:sz w:val="22"/>
          <w:szCs w:val="22"/>
          <w:b w:val="1"/>
          <w:bCs w:val="1"/>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The Company and Executive shall attempt to settle any disputes arising in connection with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through good faith consultation. In the event that Executive and the Company are not able to resolve any such disputes within 15 days after notification in writing to the other, any dispute or claim arising out of or in connection with this Agreement will be finally settled by binding arbitration pursuant to the terms of the arbitration provision set forth in Section 9 of Executive’s January 31, 2020 offer letter agreement with the Company.</w:t>
      </w:r>
    </w:p>
    <w:p>
      <w:pPr>
        <w:spacing w:after="0" w:line="181" w:lineRule="exact"/>
        <w:rPr>
          <w:rFonts w:ascii="Arial" w:cs="Arial" w:eastAsia="Arial" w:hAnsi="Arial"/>
          <w:sz w:val="22"/>
          <w:szCs w:val="22"/>
          <w:b w:val="1"/>
          <w:bCs w:val="1"/>
          <w:color w:val="auto"/>
        </w:rPr>
      </w:pPr>
    </w:p>
    <w:p>
      <w:pPr>
        <w:ind w:left="1300" w:hanging="644"/>
        <w:spacing w:after="0"/>
        <w:tabs>
          <w:tab w:leader="none" w:pos="1300" w:val="left"/>
        </w:tabs>
        <w:numPr>
          <w:ilvl w:val="1"/>
          <w:numId w:val="364"/>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 of Terms</w:t>
      </w:r>
      <w:r>
        <w:rPr>
          <w:rFonts w:ascii="Arial" w:cs="Arial" w:eastAsia="Arial" w:hAnsi="Arial"/>
          <w:sz w:val="21"/>
          <w:szCs w:val="21"/>
          <w:color w:val="auto"/>
        </w:rPr>
        <w:t>. The following terms referred to in this Agreement shall have the following meanings:</w:t>
      </w:r>
    </w:p>
    <w:p>
      <w:pPr>
        <w:spacing w:after="0" w:line="217" w:lineRule="exact"/>
        <w:rPr>
          <w:rFonts w:ascii="Arial" w:cs="Arial" w:eastAsia="Arial" w:hAnsi="Arial"/>
          <w:sz w:val="21"/>
          <w:szCs w:val="21"/>
          <w:b w:val="1"/>
          <w:bCs w:val="1"/>
          <w:color w:val="auto"/>
        </w:rPr>
      </w:pPr>
    </w:p>
    <w:p>
      <w:pPr>
        <w:jc w:val="both"/>
        <w:ind w:firstLine="1304"/>
        <w:spacing w:after="0" w:line="274" w:lineRule="auto"/>
        <w:tabs>
          <w:tab w:leader="none" w:pos="1939" w:val="left"/>
        </w:tabs>
        <w:numPr>
          <w:ilvl w:val="2"/>
          <w:numId w:val="364"/>
        </w:numPr>
        <w:rPr>
          <w:rFonts w:ascii="Arial" w:cs="Arial" w:eastAsia="Arial" w:hAnsi="Arial"/>
          <w:sz w:val="19"/>
          <w:szCs w:val="19"/>
          <w:b w:val="1"/>
          <w:bCs w:val="1"/>
          <w:color w:val="auto"/>
        </w:rPr>
      </w:pPr>
      <w:r>
        <w:rPr>
          <w:rFonts w:ascii="Arial" w:cs="Arial" w:eastAsia="Arial" w:hAnsi="Arial"/>
          <w:sz w:val="19"/>
          <w:szCs w:val="19"/>
          <w:b w:val="1"/>
          <w:bCs w:val="1"/>
          <w:color w:val="auto"/>
        </w:rPr>
        <w:t>Cause</w:t>
      </w:r>
      <w:r>
        <w:rPr>
          <w:rFonts w:ascii="Arial" w:cs="Arial" w:eastAsia="Arial" w:hAnsi="Arial"/>
          <w:sz w:val="19"/>
          <w:szCs w:val="19"/>
          <w:color w:val="auto"/>
        </w:rPr>
        <w: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of Executive’s employment will exist if Executive is terminated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for any of the following reasons: (i) Executive’s commission of any material act of dishonesty which is injurious to the Company; (ii) Executive’s conviction of a felony or any crime involving moral turpitude; (iii) Executive’s willful commission of any action that has caused or is reasonably expected to result in material harm to the business or the reputation of the Company (excluding any action taken in good faith); (iv) Executive’s willful and material violation of any duty or obligation owed by Executive to the Company which causes or is reasonably expected to cause material injury to the Company; (v) Executive’s material breach of any of his obligations under any written agreement or covenant with the Company, including but not limited to Executive’s Confidentiality and Intellectual Property Agreement; or (vi) Executive’s repeated refusal to substantially perform his assigned duties (other than any such failure resulting from incapacity due to physical or mental illness). The term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will be interpreted to include any subsidiary, parent or affiliate of the Company, as appropriate.</w:t>
      </w:r>
    </w:p>
    <w:p>
      <w:pPr>
        <w:spacing w:after="0" w:line="151" w:lineRule="exact"/>
        <w:rPr>
          <w:rFonts w:ascii="Arial" w:cs="Arial" w:eastAsia="Arial" w:hAnsi="Arial"/>
          <w:sz w:val="19"/>
          <w:szCs w:val="19"/>
          <w:b w:val="1"/>
          <w:bCs w:val="1"/>
          <w:color w:val="auto"/>
        </w:rPr>
      </w:pPr>
    </w:p>
    <w:p>
      <w:pPr>
        <w:jc w:val="both"/>
        <w:ind w:firstLine="1304"/>
        <w:spacing w:after="0" w:line="271" w:lineRule="auto"/>
        <w:tabs>
          <w:tab w:leader="none" w:pos="1938" w:val="left"/>
        </w:tabs>
        <w:numPr>
          <w:ilvl w:val="2"/>
          <w:numId w:val="364"/>
        </w:numPr>
        <w:rPr>
          <w:rFonts w:ascii="Arial" w:cs="Arial" w:eastAsia="Arial" w:hAnsi="Arial"/>
          <w:sz w:val="19"/>
          <w:szCs w:val="19"/>
          <w:b w:val="1"/>
          <w:bCs w:val="1"/>
          <w:color w:val="auto"/>
        </w:rPr>
      </w:pPr>
      <w:r>
        <w:rPr>
          <w:rFonts w:ascii="Arial" w:cs="Arial" w:eastAsia="Arial" w:hAnsi="Arial"/>
          <w:sz w:val="19"/>
          <w:szCs w:val="19"/>
          <w:b w:val="1"/>
          <w:bCs w:val="1"/>
          <w:color w:val="auto"/>
        </w:rPr>
        <w:t>Change of Control</w:t>
      </w:r>
      <w:r>
        <w:rPr>
          <w:rFonts w:ascii="Arial" w:cs="Arial" w:eastAsia="Arial" w:hAnsi="Arial"/>
          <w:sz w:val="19"/>
          <w:szCs w:val="19"/>
          <w:color w:val="auto"/>
        </w:rPr>
        <w:t>.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means (1) a sale of all or substantially all of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assets, (2) any merger, consolidation or other business combination transaction of the Company with or into another corporation, entity or person, other than a transaction in which the holders of at least a majority of the shares of voting capital stock of the Company outstanding immediately prior to such transaction continue to hold (either by such shares remaining outstanding or by their being converted into shares of voting capital stock of the surviving entity) a majority of the total voting power represented by the shares of voting capital stock of the Company (or the surviving entity) outstanding immediately after such transaction,</w:t>
      </w:r>
    </w:p>
    <w:p>
      <w:pPr>
        <w:spacing w:after="0" w:line="1" w:lineRule="exact"/>
        <w:rPr>
          <w:rFonts w:ascii="Arial" w:cs="Arial" w:eastAsia="Arial" w:hAnsi="Arial"/>
          <w:sz w:val="19"/>
          <w:szCs w:val="19"/>
          <w:b w:val="1"/>
          <w:bCs w:val="1"/>
          <w:color w:val="auto"/>
        </w:rPr>
      </w:pPr>
    </w:p>
    <w:p>
      <w:pPr>
        <w:jc w:val="both"/>
        <w:ind w:firstLine="8"/>
        <w:spacing w:after="0" w:line="248" w:lineRule="auto"/>
        <w:tabs>
          <w:tab w:leader="none" w:pos="309" w:val="left"/>
        </w:tabs>
        <w:numPr>
          <w:ilvl w:val="0"/>
          <w:numId w:val="365"/>
        </w:numPr>
        <w:rPr>
          <w:rFonts w:ascii="Arial" w:cs="Arial" w:eastAsia="Arial" w:hAnsi="Arial"/>
          <w:sz w:val="21"/>
          <w:szCs w:val="21"/>
          <w:color w:val="auto"/>
        </w:rPr>
      </w:pPr>
      <w:r>
        <w:rPr>
          <w:rFonts w:ascii="Arial" w:cs="Arial" w:eastAsia="Arial" w:hAnsi="Arial"/>
          <w:sz w:val="21"/>
          <w:szCs w:val="21"/>
          <w:color w:val="auto"/>
        </w:rPr>
        <w:t>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 or (4) a contested election of Directors,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4" w:right="339" w:bottom="1440" w:gutter="0" w:footer="0" w:header="0"/>
        </w:sectPr>
      </w:pPr>
    </w:p>
    <w:bookmarkStart w:id="433" w:name="page434"/>
    <w:bookmarkEnd w:id="433"/>
    <w:p>
      <w:pPr>
        <w:jc w:val="both"/>
        <w:spacing w:after="0" w:line="246" w:lineRule="auto"/>
        <w:rPr>
          <w:sz w:val="20"/>
          <w:szCs w:val="20"/>
          <w:color w:val="auto"/>
        </w:rPr>
      </w:pPr>
      <w:r>
        <w:rPr>
          <w:rFonts w:ascii="Arial" w:cs="Arial" w:eastAsia="Arial" w:hAnsi="Arial"/>
          <w:sz w:val="21"/>
          <w:szCs w:val="21"/>
          <w:color w:val="auto"/>
        </w:rPr>
        <w:t>result of which or in connection with which the persons who were Directors before such election or their nominees (the “</w:t>
      </w:r>
      <w:r>
        <w:rPr>
          <w:rFonts w:ascii="Arial" w:cs="Arial" w:eastAsia="Arial" w:hAnsi="Arial"/>
          <w:sz w:val="21"/>
          <w:szCs w:val="21"/>
          <w:b w:val="1"/>
          <w:bCs w:val="1"/>
          <w:i w:val="1"/>
          <w:iCs w:val="1"/>
          <w:color w:val="auto"/>
        </w:rPr>
        <w:t>Incumbent Directors</w:t>
      </w:r>
      <w:r>
        <w:rPr>
          <w:rFonts w:ascii="Arial" w:cs="Arial" w:eastAsia="Arial" w:hAnsi="Arial"/>
          <w:sz w:val="21"/>
          <w:szCs w:val="21"/>
          <w:color w:val="auto"/>
        </w:rPr>
        <w:t xml:space="preserve">”) cease to constitute a majority of the Board;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election or nomination for election by the Company’s shareholders, of any new Director was approved by a vote of at least 50% of the Incumbent Directors, such new Director shall be considered as an Incumbent Director. Notwithstanding the foregoing, to the extent required for compliance with Section 409A of the Code, in no event will a Change of Control be deemed to have occurred if such transaction is not also a “change in the ownership or effective control of” the Company or “a change in the ownership of a substantial portion of the assets of” the Company as determined under Treasury Regulations Section 1.409A3(i)(5) (without regard to any alternative definition thereunder).</w:t>
      </w:r>
    </w:p>
    <w:p>
      <w:pPr>
        <w:spacing w:after="0" w:line="174" w:lineRule="exact"/>
        <w:rPr>
          <w:sz w:val="20"/>
          <w:szCs w:val="20"/>
          <w:color w:val="auto"/>
        </w:rPr>
      </w:pPr>
    </w:p>
    <w:p>
      <w:pPr>
        <w:jc w:val="both"/>
        <w:ind w:firstLine="1304"/>
        <w:spacing w:after="0" w:line="244" w:lineRule="auto"/>
        <w:tabs>
          <w:tab w:leader="none" w:pos="1941" w:val="left"/>
        </w:tabs>
        <w:numPr>
          <w:ilvl w:val="1"/>
          <w:numId w:val="366"/>
        </w:numPr>
        <w:rPr>
          <w:rFonts w:ascii="Arial" w:cs="Arial" w:eastAsia="Arial" w:hAnsi="Arial"/>
          <w:sz w:val="21"/>
          <w:szCs w:val="21"/>
          <w:b w:val="1"/>
          <w:bCs w:val="1"/>
          <w:color w:val="auto"/>
        </w:rPr>
      </w:pPr>
      <w:r>
        <w:rPr>
          <w:rFonts w:ascii="Arial" w:cs="Arial" w:eastAsia="Arial" w:hAnsi="Arial"/>
          <w:sz w:val="21"/>
          <w:szCs w:val="21"/>
          <w:b w:val="1"/>
          <w:bCs w:val="1"/>
          <w:color w:val="auto"/>
        </w:rPr>
        <w:t>Good Reason</w:t>
      </w:r>
      <w:r>
        <w:rPr>
          <w:rFonts w:ascii="Arial" w:cs="Arial" w:eastAsia="Arial" w:hAnsi="Arial"/>
          <w:sz w:val="21"/>
          <w:szCs w:val="21"/>
          <w:color w:val="auto"/>
        </w:rPr>
        <w:t>. “</w:t>
      </w:r>
      <w:r>
        <w:rPr>
          <w:rFonts w:ascii="Arial" w:cs="Arial" w:eastAsia="Arial" w:hAnsi="Arial"/>
          <w:sz w:val="21"/>
          <w:szCs w:val="21"/>
          <w:b w:val="1"/>
          <w:bCs w:val="1"/>
          <w:i w:val="1"/>
          <w:iCs w:val="1"/>
          <w:color w:val="auto"/>
        </w:rPr>
        <w:t>Good Reason</w:t>
      </w:r>
      <w:r>
        <w:rPr>
          <w:rFonts w:ascii="Arial" w:cs="Arial" w:eastAsia="Arial" w:hAnsi="Arial"/>
          <w:sz w:val="21"/>
          <w:szCs w:val="21"/>
          <w:color w:val="auto"/>
        </w:rPr>
        <w:t>” for Executive’s resignation of his employment shall exist following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occurrence of any of the following without Executive’s written consent: (i) a material reduction in job duties, responsibilities, title or authority inconsistent with Executive’s position with the Company; (ii) a material reduction of Executive’s then current base salary, representing a reduction of more than 5% of Executive’s then current base salary; (iii) the relocation of Executive’s principal place of employment to a place that increases Executive’s one-way commute by more than 35 miles as compared to Executive’s then current principal place of employment immediately prior to such relocation (iv) a material reduction in Executive’s target annual bonus opportunity; or (v) the Company’s failure to obtain an agreement from any successor to the Company to assume and agree to perform the obligations under this Agreement in the same manner and to the same extent that the Company would be required to perform, except where such assumption occurs by operation of law; </w:t>
      </w:r>
      <w:r>
        <w:rPr>
          <w:rFonts w:ascii="Arial" w:cs="Arial" w:eastAsia="Arial" w:hAnsi="Arial"/>
          <w:sz w:val="21"/>
          <w:szCs w:val="21"/>
          <w:i w:val="1"/>
          <w:iCs w:val="1"/>
          <w:color w:val="auto"/>
        </w:rPr>
        <w:t>provided</w:t>
      </w:r>
      <w:r>
        <w:rPr>
          <w:rFonts w:ascii="Arial" w:cs="Arial" w:eastAsia="Arial" w:hAnsi="Arial"/>
          <w:sz w:val="21"/>
          <w:szCs w:val="21"/>
          <w:color w:val="auto"/>
        </w:rPr>
        <w:t>, that Executive gives written notice to the Company of the event forming the basis of the termination for Good Reason within 60 days after the date on which the Company gives written notice to Executive of the Company’s affirmative decision to take an action set forth in clause (i), (ii), (iii), (iv) or (v) above, the Company fails to cure such basis for the Good Reason resignation within 30 days after receipt of Executive’s written notice and Executive terminates his employment within 90 days following the expiration of the cure period.</w:t>
      </w:r>
    </w:p>
    <w:p>
      <w:pPr>
        <w:spacing w:after="0" w:line="180" w:lineRule="exact"/>
        <w:rPr>
          <w:rFonts w:ascii="Arial" w:cs="Arial" w:eastAsia="Arial" w:hAnsi="Arial"/>
          <w:sz w:val="21"/>
          <w:szCs w:val="21"/>
          <w:b w:val="1"/>
          <w:bCs w:val="1"/>
          <w:color w:val="auto"/>
        </w:rPr>
      </w:pPr>
    </w:p>
    <w:p>
      <w:pPr>
        <w:ind w:left="1300" w:hanging="644"/>
        <w:spacing w:after="0"/>
        <w:tabs>
          <w:tab w:leader="none" w:pos="1300" w:val="left"/>
        </w:tabs>
        <w:numPr>
          <w:ilvl w:val="0"/>
          <w:numId w:val="36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304"/>
        <w:spacing w:after="0" w:line="235" w:lineRule="auto"/>
        <w:tabs>
          <w:tab w:leader="none" w:pos="1939" w:val="left"/>
        </w:tabs>
        <w:numPr>
          <w:ilvl w:val="1"/>
          <w:numId w:val="367"/>
        </w:numPr>
        <w:rPr>
          <w:rFonts w:ascii="Arial" w:cs="Arial" w:eastAsia="Arial" w:hAnsi="Arial"/>
          <w:sz w:val="22"/>
          <w:szCs w:val="22"/>
          <w:b w:val="1"/>
          <w:bCs w:val="1"/>
          <w:color w:val="auto"/>
        </w:rPr>
      </w:pPr>
      <w:r>
        <w:rPr>
          <w:rFonts w:ascii="Arial" w:cs="Arial" w:eastAsia="Arial" w:hAnsi="Arial"/>
          <w:sz w:val="22"/>
          <w:szCs w:val="22"/>
          <w:b w:val="1"/>
          <w:bCs w:val="1"/>
          <w:color w:val="auto"/>
        </w:rPr>
        <w:t>Executive Obligations</w:t>
      </w:r>
      <w:r>
        <w:rPr>
          <w:rFonts w:ascii="Arial" w:cs="Arial" w:eastAsia="Arial" w:hAnsi="Arial"/>
          <w:sz w:val="22"/>
          <w:szCs w:val="22"/>
          <w:color w:val="auto"/>
        </w:rPr>
        <w:t>. Notwithstanding anything to the contrary contained herein, payment of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COC Benefits or Severance Benefits, as applicable, will be conditioned upon (i) Executive continuing to comply with his obligations under the Confidentiality and Intellectual Property Agreement (or such similar form that Executive previously executed in connection with his employment) during the period of time in which Executive is receiving the COC Benefits or Severance Benefits, as applicable; and (ii) Executive’s resignation from all positions with the Company, any subsidiaries and affiliates, and the Board (as applicable), to be effective no later than the date of Separation from Service (or such other date as determined by the Board).</w:t>
      </w:r>
    </w:p>
    <w:p>
      <w:pPr>
        <w:spacing w:after="0" w:line="183" w:lineRule="exact"/>
        <w:rPr>
          <w:rFonts w:ascii="Arial" w:cs="Arial" w:eastAsia="Arial" w:hAnsi="Arial"/>
          <w:sz w:val="22"/>
          <w:szCs w:val="22"/>
          <w:b w:val="1"/>
          <w:bCs w:val="1"/>
          <w:color w:val="auto"/>
        </w:rPr>
      </w:pPr>
    </w:p>
    <w:p>
      <w:pPr>
        <w:jc w:val="both"/>
        <w:ind w:firstLine="1304"/>
        <w:spacing w:after="0" w:line="254" w:lineRule="auto"/>
        <w:tabs>
          <w:tab w:leader="none" w:pos="1938" w:val="left"/>
        </w:tabs>
        <w:numPr>
          <w:ilvl w:val="1"/>
          <w:numId w:val="367"/>
        </w:numPr>
        <w:rPr>
          <w:rFonts w:ascii="Arial" w:cs="Arial" w:eastAsia="Arial" w:hAnsi="Arial"/>
          <w:sz w:val="21"/>
          <w:szCs w:val="21"/>
          <w:b w:val="1"/>
          <w:bCs w:val="1"/>
          <w:color w:val="auto"/>
        </w:rPr>
      </w:pPr>
      <w:r>
        <w:rPr>
          <w:rFonts w:ascii="Arial" w:cs="Arial" w:eastAsia="Arial" w:hAnsi="Arial"/>
          <w:sz w:val="21"/>
          <w:szCs w:val="21"/>
          <w:b w:val="1"/>
          <w:bCs w:val="1"/>
          <w:color w:val="auto"/>
        </w:rPr>
        <w:t>Income and Employment Taxes</w:t>
      </w:r>
      <w:r>
        <w:rPr>
          <w:rFonts w:ascii="Arial" w:cs="Arial" w:eastAsia="Arial" w:hAnsi="Arial"/>
          <w:sz w:val="21"/>
          <w:szCs w:val="21"/>
          <w:color w:val="auto"/>
        </w:rPr>
        <w:t>. All amounts paid or provided under this Agreement shall be net of</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withholdings, and Executive shall be responsible for any additional taxes of any nature (including any penalties or interest that may apply to such taxes) that the Company reasonably determines apply to any payment made hereunder. Executive’s receipt of any benefit hereunder is conditioned on his satisfaction of any applicable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4" w:right="339" w:bottom="1440" w:gutter="0" w:footer="0" w:header="0"/>
        </w:sectPr>
      </w:pPr>
    </w:p>
    <w:bookmarkStart w:id="434" w:name="page435"/>
    <w:bookmarkEnd w:id="434"/>
    <w:p>
      <w:pPr>
        <w:ind w:right="20"/>
        <w:spacing w:after="0" w:line="250" w:lineRule="auto"/>
        <w:rPr>
          <w:sz w:val="20"/>
          <w:szCs w:val="20"/>
          <w:color w:val="auto"/>
        </w:rPr>
      </w:pPr>
      <w:r>
        <w:rPr>
          <w:rFonts w:ascii="Arial" w:cs="Arial" w:eastAsia="Arial" w:hAnsi="Arial"/>
          <w:sz w:val="22"/>
          <w:szCs w:val="22"/>
          <w:color w:val="auto"/>
        </w:rPr>
        <w:t>or similar obligations that apply to such benefit and any cash payment owed hereunder will be reduced to satisfy any such withholding or similar obligations that may apply.</w:t>
      </w:r>
    </w:p>
    <w:p>
      <w:pPr>
        <w:spacing w:after="0" w:line="169" w:lineRule="exact"/>
        <w:rPr>
          <w:sz w:val="20"/>
          <w:szCs w:val="20"/>
          <w:color w:val="auto"/>
        </w:rPr>
      </w:pPr>
    </w:p>
    <w:p>
      <w:pPr>
        <w:jc w:val="both"/>
        <w:ind w:firstLine="1304"/>
        <w:spacing w:after="0" w:line="274" w:lineRule="auto"/>
        <w:tabs>
          <w:tab w:leader="none" w:pos="1941" w:val="left"/>
        </w:tabs>
        <w:numPr>
          <w:ilvl w:val="0"/>
          <w:numId w:val="368"/>
        </w:numPr>
        <w:rPr>
          <w:rFonts w:ascii="Arial" w:cs="Arial" w:eastAsia="Arial" w:hAnsi="Arial"/>
          <w:sz w:val="19"/>
          <w:szCs w:val="19"/>
          <w:b w:val="1"/>
          <w:bCs w:val="1"/>
          <w:color w:val="auto"/>
        </w:rPr>
      </w:pPr>
      <w:r>
        <w:rPr>
          <w:rFonts w:ascii="Arial" w:cs="Arial" w:eastAsia="Arial" w:hAnsi="Arial"/>
          <w:sz w:val="19"/>
          <w:szCs w:val="19"/>
          <w:b w:val="1"/>
          <w:bCs w:val="1"/>
          <w:color w:val="auto"/>
        </w:rPr>
        <w:t>Alternative Method of Providing COBRA Benefit</w:t>
      </w:r>
      <w:r>
        <w:rPr>
          <w:rFonts w:ascii="Arial" w:cs="Arial" w:eastAsia="Arial" w:hAnsi="Arial"/>
          <w:sz w:val="19"/>
          <w:szCs w:val="19"/>
          <w:color w:val="auto"/>
        </w:rPr>
        <w:t>. If the Company determines, in its sole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Company cannot pay COBRA Premiums as provided in Section 2(a) or 2(b) without potentially incurring financial costs or penalties under applicable law (including, without limitation, Section 2716 of the Public Health Service Act), the Company shall in lieu thereof pay Executive a taxable cash amount, which payment shall be made regardless of whether Executive or Executive’s eligible dependents elect health care continuation coverage (the “</w:t>
      </w:r>
      <w:r>
        <w:rPr>
          <w:rFonts w:ascii="Arial" w:cs="Arial" w:eastAsia="Arial" w:hAnsi="Arial"/>
          <w:sz w:val="19"/>
          <w:szCs w:val="19"/>
          <w:b w:val="1"/>
          <w:bCs w:val="1"/>
          <w:i w:val="1"/>
          <w:iCs w:val="1"/>
          <w:color w:val="auto"/>
        </w:rPr>
        <w:t>Health Care Benefit Payment</w:t>
      </w:r>
      <w:r>
        <w:rPr>
          <w:rFonts w:ascii="Arial" w:cs="Arial" w:eastAsia="Arial" w:hAnsi="Arial"/>
          <w:sz w:val="19"/>
          <w:szCs w:val="19"/>
          <w:color w:val="auto"/>
        </w:rPr>
        <w:t>”). The Health Care Benefit Payment shall be paid in monthly installments over the same time period that the COBRA Premiums would otherwise have been paid on behalf of Executive as set forth in Section 2(a)(ii) or 2(b)(ii), as applicable. The Health Care Benefit Payment shall be equal to the amount that the Company would have otherwise paid for COBRA Premiums (which amount shall be calculated based on the premium for the first month of coverage), and shall be paid until the expiration of the COC COBRA Period or the Severance COBRA Period, as applicable.</w:t>
      </w:r>
    </w:p>
    <w:p>
      <w:pPr>
        <w:spacing w:after="0" w:line="200" w:lineRule="exact"/>
        <w:rPr>
          <w:rFonts w:ascii="Arial" w:cs="Arial" w:eastAsia="Arial" w:hAnsi="Arial"/>
          <w:sz w:val="19"/>
          <w:szCs w:val="19"/>
          <w:b w:val="1"/>
          <w:bCs w:val="1"/>
          <w:color w:val="auto"/>
        </w:rPr>
      </w:pPr>
    </w:p>
    <w:p>
      <w:pPr>
        <w:spacing w:after="0" w:line="201" w:lineRule="exact"/>
        <w:rPr>
          <w:rFonts w:ascii="Arial" w:cs="Arial" w:eastAsia="Arial" w:hAnsi="Arial"/>
          <w:sz w:val="19"/>
          <w:szCs w:val="19"/>
          <w:b w:val="1"/>
          <w:bCs w:val="1"/>
          <w:color w:val="auto"/>
        </w:rPr>
      </w:pPr>
    </w:p>
    <w:p>
      <w:pPr>
        <w:ind w:right="20" w:firstLine="1304"/>
        <w:spacing w:after="0" w:line="334" w:lineRule="auto"/>
        <w:tabs>
          <w:tab w:leader="none" w:pos="1938" w:val="left"/>
        </w:tabs>
        <w:numPr>
          <w:ilvl w:val="0"/>
          <w:numId w:val="368"/>
        </w:numPr>
        <w:rPr>
          <w:rFonts w:ascii="Arial" w:cs="Arial" w:eastAsia="Arial" w:hAnsi="Arial"/>
          <w:sz w:val="19"/>
          <w:szCs w:val="19"/>
          <w:b w:val="1"/>
          <w:bCs w:val="1"/>
          <w:color w:val="auto"/>
        </w:rPr>
      </w:pPr>
      <w:r>
        <w:rPr>
          <w:rFonts w:ascii="Arial" w:cs="Arial" w:eastAsia="Arial" w:hAnsi="Arial"/>
          <w:sz w:val="19"/>
          <w:szCs w:val="19"/>
          <w:b w:val="1"/>
          <w:bCs w:val="1"/>
          <w:color w:val="auto"/>
        </w:rPr>
        <w:t>No Duty to Mitigate</w:t>
      </w:r>
      <w:r>
        <w:rPr>
          <w:rFonts w:ascii="Arial" w:cs="Arial" w:eastAsia="Arial" w:hAnsi="Arial"/>
          <w:sz w:val="19"/>
          <w:szCs w:val="19"/>
          <w:color w:val="auto"/>
        </w:rPr>
        <w:t>. Executive shall not be required to mitigate the amount of any payment contemplated</w:t>
      </w:r>
      <w:r>
        <w:rPr>
          <w:rFonts w:ascii="Arial" w:cs="Arial" w:eastAsia="Arial" w:hAnsi="Arial"/>
          <w:sz w:val="19"/>
          <w:szCs w:val="19"/>
          <w:b w:val="1"/>
          <w:bCs w:val="1"/>
          <w:color w:val="auto"/>
        </w:rPr>
        <w:t xml:space="preserve"> </w:t>
      </w:r>
      <w:r>
        <w:rPr>
          <w:rFonts w:ascii="Arial" w:cs="Arial" w:eastAsia="Arial" w:hAnsi="Arial"/>
          <w:sz w:val="19"/>
          <w:szCs w:val="19"/>
          <w:color w:val="auto"/>
        </w:rPr>
        <w:t>by this Agreement, nor shall any such payment be reduced by any earnings that Executive may receive from any other source.</w:t>
      </w:r>
    </w:p>
    <w:p>
      <w:pPr>
        <w:spacing w:after="0" w:line="93" w:lineRule="exact"/>
        <w:rPr>
          <w:rFonts w:ascii="Arial" w:cs="Arial" w:eastAsia="Arial" w:hAnsi="Arial"/>
          <w:sz w:val="19"/>
          <w:szCs w:val="19"/>
          <w:b w:val="1"/>
          <w:bCs w:val="1"/>
          <w:color w:val="auto"/>
        </w:rPr>
      </w:pPr>
    </w:p>
    <w:p>
      <w:pPr>
        <w:jc w:val="both"/>
        <w:ind w:firstLine="1304"/>
        <w:spacing w:after="0" w:line="289" w:lineRule="auto"/>
        <w:tabs>
          <w:tab w:leader="none" w:pos="1941" w:val="left"/>
        </w:tabs>
        <w:numPr>
          <w:ilvl w:val="0"/>
          <w:numId w:val="368"/>
        </w:numPr>
        <w:rPr>
          <w:rFonts w:ascii="Arial" w:cs="Arial" w:eastAsia="Arial" w:hAnsi="Arial"/>
          <w:sz w:val="19"/>
          <w:szCs w:val="19"/>
          <w:b w:val="1"/>
          <w:bCs w:val="1"/>
          <w:color w:val="auto"/>
        </w:rPr>
      </w:pPr>
      <w:r>
        <w:rPr>
          <w:rFonts w:ascii="Arial" w:cs="Arial" w:eastAsia="Arial" w:hAnsi="Arial"/>
          <w:sz w:val="19"/>
          <w:szCs w:val="19"/>
          <w:b w:val="1"/>
          <w:bCs w:val="1"/>
          <w:color w:val="auto"/>
        </w:rPr>
        <w:t>Waiver</w:t>
      </w:r>
      <w:r>
        <w:rPr>
          <w:rFonts w:ascii="Arial" w:cs="Arial" w:eastAsia="Arial" w:hAnsi="Arial"/>
          <w:sz w:val="19"/>
          <w:szCs w:val="19"/>
          <w:color w:val="auto"/>
        </w:rPr>
        <w:t>. No provision of this Agreement may be waived or discharged unless the waiver or discharge is</w:t>
      </w:r>
      <w:r>
        <w:rPr>
          <w:rFonts w:ascii="Arial" w:cs="Arial" w:eastAsia="Arial" w:hAnsi="Arial"/>
          <w:sz w:val="19"/>
          <w:szCs w:val="19"/>
          <w:b w:val="1"/>
          <w:bCs w:val="1"/>
          <w:color w:val="auto"/>
        </w:rPr>
        <w:t xml:space="preserve"> </w:t>
      </w:r>
      <w:r>
        <w:rPr>
          <w:rFonts w:ascii="Arial" w:cs="Arial" w:eastAsia="Arial" w:hAnsi="Arial"/>
          <w:sz w:val="19"/>
          <w:szCs w:val="19"/>
          <w:color w:val="auto"/>
        </w:rPr>
        <w:t>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35" w:lineRule="exact"/>
        <w:rPr>
          <w:rFonts w:ascii="Arial" w:cs="Arial" w:eastAsia="Arial" w:hAnsi="Arial"/>
          <w:sz w:val="19"/>
          <w:szCs w:val="19"/>
          <w:b w:val="1"/>
          <w:bCs w:val="1"/>
          <w:color w:val="auto"/>
        </w:rPr>
      </w:pPr>
    </w:p>
    <w:p>
      <w:pPr>
        <w:jc w:val="both"/>
        <w:ind w:firstLine="1304"/>
        <w:spacing w:after="0" w:line="237" w:lineRule="auto"/>
        <w:tabs>
          <w:tab w:leader="none" w:pos="1944" w:val="left"/>
        </w:tabs>
        <w:numPr>
          <w:ilvl w:val="0"/>
          <w:numId w:val="368"/>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Agreement supersedes all prior or contemporaneous agreements, whether written or oral,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 respect to the subject matter of this Agreement including without limitation any severance provisions in any employment agreement or offer letter with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for clarification purposes, this Agreement shall not affect any agreements between the Company and Executive regarding intellectual property matters, non-solicitation or non-competition restrictions or confidential information of the Company.</w:t>
      </w:r>
    </w:p>
    <w:p>
      <w:pPr>
        <w:spacing w:after="0" w:line="181" w:lineRule="exact"/>
        <w:rPr>
          <w:rFonts w:ascii="Arial" w:cs="Arial" w:eastAsia="Arial" w:hAnsi="Arial"/>
          <w:sz w:val="22"/>
          <w:szCs w:val="22"/>
          <w:b w:val="1"/>
          <w:bCs w:val="1"/>
          <w:color w:val="auto"/>
        </w:rPr>
      </w:pPr>
    </w:p>
    <w:p>
      <w:pPr>
        <w:ind w:right="20" w:firstLine="1304"/>
        <w:spacing w:after="0" w:line="256" w:lineRule="auto"/>
        <w:tabs>
          <w:tab w:leader="none" w:pos="1939" w:val="left"/>
        </w:tabs>
        <w:numPr>
          <w:ilvl w:val="0"/>
          <w:numId w:val="368"/>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r>
        <w:rPr>
          <w:rFonts w:ascii="Arial" w:cs="Arial" w:eastAsia="Arial" w:hAnsi="Arial"/>
          <w:sz w:val="22"/>
          <w:szCs w:val="22"/>
          <w:color w:val="auto"/>
        </w:rPr>
        <w:t>. The validity, interpretation, construction and performance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internal substantive laws, but not the conflicts of law rules, of the State of California.</w:t>
      </w:r>
    </w:p>
    <w:p>
      <w:pPr>
        <w:spacing w:after="0" w:line="162" w:lineRule="exact"/>
        <w:rPr>
          <w:rFonts w:ascii="Arial" w:cs="Arial" w:eastAsia="Arial" w:hAnsi="Arial"/>
          <w:sz w:val="22"/>
          <w:szCs w:val="22"/>
          <w:b w:val="1"/>
          <w:bCs w:val="1"/>
          <w:color w:val="auto"/>
        </w:rPr>
      </w:pPr>
    </w:p>
    <w:p>
      <w:pPr>
        <w:ind w:firstLine="1304"/>
        <w:spacing w:after="0" w:line="256" w:lineRule="auto"/>
        <w:tabs>
          <w:tab w:leader="none" w:pos="1938" w:val="left"/>
        </w:tabs>
        <w:numPr>
          <w:ilvl w:val="0"/>
          <w:numId w:val="368"/>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The invalidity or unenforceability of any provision or provisions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affect the validity or enforceability of any other provision hereof, which shall remain in full force and effect.</w:t>
      </w:r>
    </w:p>
    <w:p>
      <w:pPr>
        <w:spacing w:after="0" w:line="162" w:lineRule="exact"/>
        <w:rPr>
          <w:rFonts w:ascii="Arial" w:cs="Arial" w:eastAsia="Arial" w:hAnsi="Arial"/>
          <w:sz w:val="22"/>
          <w:szCs w:val="22"/>
          <w:b w:val="1"/>
          <w:bCs w:val="1"/>
          <w:color w:val="auto"/>
        </w:rPr>
      </w:pPr>
    </w:p>
    <w:p>
      <w:pPr>
        <w:jc w:val="both"/>
        <w:ind w:firstLine="1304"/>
        <w:spacing w:after="0" w:line="300" w:lineRule="auto"/>
        <w:tabs>
          <w:tab w:leader="none" w:pos="1932" w:val="left"/>
        </w:tabs>
        <w:numPr>
          <w:ilvl w:val="0"/>
          <w:numId w:val="368"/>
        </w:numPr>
        <w:rPr>
          <w:rFonts w:ascii="Arial" w:cs="Arial" w:eastAsia="Arial" w:hAnsi="Arial"/>
          <w:sz w:val="19"/>
          <w:szCs w:val="19"/>
          <w:b w:val="1"/>
          <w:bCs w:val="1"/>
          <w:color w:val="auto"/>
        </w:rPr>
      </w:pPr>
      <w:r>
        <w:rPr>
          <w:rFonts w:ascii="Arial" w:cs="Arial" w:eastAsia="Arial" w:hAnsi="Arial"/>
          <w:sz w:val="19"/>
          <w:szCs w:val="19"/>
          <w:b w:val="1"/>
          <w:bCs w:val="1"/>
          <w:color w:val="auto"/>
        </w:rPr>
        <w:t>Code Section 409A</w:t>
      </w:r>
      <w:r>
        <w:rPr>
          <w:rFonts w:ascii="Arial" w:cs="Arial" w:eastAsia="Arial" w:hAnsi="Arial"/>
          <w:sz w:val="19"/>
          <w:szCs w:val="19"/>
          <w:color w:val="auto"/>
        </w:rPr>
        <w:t>. It is intended that each installment of the payments and benefits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a separate “payment” for purposes of Treasury Regulation Section 1.409A-2(b)(2)(i). For the avoidance of doubt, it is intended that payments of the amounts set forth in this Agreement satisfy, to the greatest extent possible, the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4" w:right="339" w:bottom="1440" w:gutter="0" w:footer="0" w:header="0"/>
        </w:sectPr>
      </w:pPr>
    </w:p>
    <w:bookmarkStart w:id="435" w:name="page436"/>
    <w:bookmarkEnd w:id="435"/>
    <w:p>
      <w:pPr>
        <w:jc w:val="both"/>
        <w:spacing w:after="0" w:line="272" w:lineRule="auto"/>
        <w:rPr>
          <w:sz w:val="20"/>
          <w:szCs w:val="20"/>
          <w:color w:val="auto"/>
        </w:rPr>
      </w:pPr>
      <w:r>
        <w:rPr>
          <w:rFonts w:ascii="Arial" w:cs="Arial" w:eastAsia="Arial" w:hAnsi="Arial"/>
          <w:sz w:val="19"/>
          <w:szCs w:val="19"/>
          <w:color w:val="auto"/>
        </w:rPr>
        <w:t>from the application of Section 409A of the Code (Section 409A of the Code, together, with any state law of similar effect,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provided under Treasury Regulations 1.409A-1(b)(4), 1.409A-1(b)(5) and 1.409A-1(b)(9). However, if the Company (or, if applicable, the successor entity thereto) determines that any severance payments and benefits provided under this Agreement (the “</w:t>
      </w:r>
      <w:r>
        <w:rPr>
          <w:rFonts w:ascii="Arial" w:cs="Arial" w:eastAsia="Arial" w:hAnsi="Arial"/>
          <w:sz w:val="19"/>
          <w:szCs w:val="19"/>
          <w:b w:val="1"/>
          <w:bCs w:val="1"/>
          <w:i w:val="1"/>
          <w:iCs w:val="1"/>
          <w:color w:val="auto"/>
        </w:rPr>
        <w:t>Agreement Payments</w:t>
      </w:r>
      <w:r>
        <w:rPr>
          <w:rFonts w:ascii="Arial" w:cs="Arial" w:eastAsia="Arial" w:hAnsi="Arial"/>
          <w:sz w:val="19"/>
          <w:szCs w:val="19"/>
          <w:color w:val="auto"/>
        </w:rPr>
        <w:t>”) constitute “deferred compensation” under Section 409A and Executive is, on the date of his Separation from Service, a “specified employee” of the Company or any successor entity thereto, as such term is defined in Section 409A(a)(2)(B)(i) of the Code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then, solely to the extent necessary to avoid the incurrence of the adverse personal tax consequences under Section 409A, the timing of the payment of such severance payments and/or benefits, as applicable, described in Sections 2(a) and 2(b) shall be delayed as follows: on the earlier to occur of (i) the date that is six months and one day after Executive’s Separation from Service or (ii) the date of Executive’s death (such earlier date, the “</w:t>
      </w:r>
      <w:r>
        <w:rPr>
          <w:rFonts w:ascii="Arial" w:cs="Arial" w:eastAsia="Arial" w:hAnsi="Arial"/>
          <w:sz w:val="19"/>
          <w:szCs w:val="19"/>
          <w:b w:val="1"/>
          <w:bCs w:val="1"/>
          <w:i w:val="1"/>
          <w:iCs w:val="1"/>
          <w:color w:val="auto"/>
        </w:rPr>
        <w:t>Delayed Initial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 Date</w:t>
      </w:r>
      <w:r>
        <w:rPr>
          <w:rFonts w:ascii="Arial" w:cs="Arial" w:eastAsia="Arial" w:hAnsi="Arial"/>
          <w:sz w:val="19"/>
          <w:szCs w:val="19"/>
          <w:color w:val="auto"/>
        </w:rPr>
        <w:t>”), the Company (or the successor entity thereto, as applicable) shall pay to Executive a lump sum amount equal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applicable benefit that Executive would otherwise have received through the Delayed Initial Payment Date if the commencement of the payment of the benefit had not been so delayed pursuant to this Section 9(i).</w:t>
      </w:r>
    </w:p>
    <w:p>
      <w:pPr>
        <w:spacing w:after="0" w:line="155" w:lineRule="exact"/>
        <w:rPr>
          <w:sz w:val="20"/>
          <w:szCs w:val="20"/>
          <w:color w:val="auto"/>
        </w:rPr>
      </w:pPr>
    </w:p>
    <w:p>
      <w:pPr>
        <w:ind w:right="20" w:firstLine="1304"/>
        <w:spacing w:after="0" w:line="256" w:lineRule="auto"/>
        <w:tabs>
          <w:tab w:leader="none" w:pos="1944" w:val="left"/>
        </w:tabs>
        <w:numPr>
          <w:ilvl w:val="0"/>
          <w:numId w:val="369"/>
        </w:numPr>
        <w:rPr>
          <w:rFonts w:ascii="Arial" w:cs="Arial" w:eastAsia="Arial" w:hAnsi="Arial"/>
          <w:sz w:val="22"/>
          <w:szCs w:val="22"/>
          <w:b w:val="1"/>
          <w:bCs w:val="1"/>
          <w:color w:val="auto"/>
        </w:rPr>
      </w:pPr>
      <w:r>
        <w:rPr>
          <w:rFonts w:ascii="Arial" w:cs="Arial" w:eastAsia="Arial" w:hAnsi="Arial"/>
          <w:sz w:val="22"/>
          <w:szCs w:val="22"/>
          <w:b w:val="1"/>
          <w:bCs w:val="1"/>
          <w:color w:val="auto"/>
        </w:rPr>
        <w:t>Legal Fees and Expenses</w:t>
      </w:r>
      <w:r>
        <w:rPr>
          <w:rFonts w:ascii="Arial" w:cs="Arial" w:eastAsia="Arial" w:hAnsi="Arial"/>
          <w:sz w:val="22"/>
          <w:szCs w:val="22"/>
          <w:color w:val="auto"/>
        </w:rPr>
        <w:t>. The parties shall each bear their own expenses, legal fees and other fees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in connection with the execution of this Agreement.</w:t>
      </w:r>
    </w:p>
    <w:p>
      <w:pPr>
        <w:spacing w:after="0" w:line="162" w:lineRule="exact"/>
        <w:rPr>
          <w:rFonts w:ascii="Arial" w:cs="Arial" w:eastAsia="Arial" w:hAnsi="Arial"/>
          <w:sz w:val="22"/>
          <w:szCs w:val="22"/>
          <w:b w:val="1"/>
          <w:bCs w:val="1"/>
          <w:color w:val="auto"/>
        </w:rPr>
      </w:pPr>
    </w:p>
    <w:p>
      <w:pPr>
        <w:jc w:val="both"/>
        <w:ind w:firstLine="1304"/>
        <w:spacing w:after="0" w:line="235" w:lineRule="auto"/>
        <w:tabs>
          <w:tab w:leader="none" w:pos="1938" w:val="left"/>
        </w:tabs>
        <w:numPr>
          <w:ilvl w:val="0"/>
          <w:numId w:val="369"/>
        </w:numPr>
        <w:rPr>
          <w:rFonts w:ascii="Arial" w:cs="Arial" w:eastAsia="Arial" w:hAnsi="Arial"/>
          <w:sz w:val="22"/>
          <w:szCs w:val="22"/>
          <w:b w:val="1"/>
          <w:bCs w:val="1"/>
          <w:color w:val="auto"/>
        </w:rPr>
      </w:pPr>
      <w:r>
        <w:rPr>
          <w:rFonts w:ascii="Arial" w:cs="Arial" w:eastAsia="Arial" w:hAnsi="Arial"/>
          <w:sz w:val="22"/>
          <w:szCs w:val="22"/>
          <w:b w:val="1"/>
          <w:bCs w:val="1"/>
          <w:color w:val="auto"/>
        </w:rPr>
        <w:t>Term; Termination</w:t>
      </w:r>
      <w:r>
        <w:rPr>
          <w:rFonts w:ascii="Arial" w:cs="Arial" w:eastAsia="Arial" w:hAnsi="Arial"/>
          <w:sz w:val="22"/>
          <w:szCs w:val="22"/>
          <w:color w:val="auto"/>
        </w:rPr>
        <w:t>. This Agreement shall be effective for an initial period of three (3) years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(the “</w:t>
      </w:r>
      <w:r>
        <w:rPr>
          <w:rFonts w:ascii="Arial" w:cs="Arial" w:eastAsia="Arial" w:hAnsi="Arial"/>
          <w:sz w:val="22"/>
          <w:szCs w:val="22"/>
          <w:b w:val="1"/>
          <w:bCs w:val="1"/>
          <w:i w:val="1"/>
          <w:iCs w:val="1"/>
          <w:color w:val="auto"/>
        </w:rPr>
        <w:t>Initial Term</w:t>
      </w:r>
      <w:r>
        <w:rPr>
          <w:rFonts w:ascii="Arial" w:cs="Arial" w:eastAsia="Arial" w:hAnsi="Arial"/>
          <w:sz w:val="22"/>
          <w:szCs w:val="22"/>
          <w:color w:val="auto"/>
        </w:rPr>
        <w:t>”) and, unless otherwise terminated pursuant to the terms of this Section 9(k), shall be automatically renewed thereafter for additional successive terms equal to one (1) year each (each a “</w:t>
      </w:r>
      <w:r>
        <w:rPr>
          <w:rFonts w:ascii="Arial" w:cs="Arial" w:eastAsia="Arial" w:hAnsi="Arial"/>
          <w:sz w:val="22"/>
          <w:szCs w:val="22"/>
          <w:b w:val="1"/>
          <w:bCs w:val="1"/>
          <w:i w:val="1"/>
          <w:iCs w:val="1"/>
          <w:color w:val="auto"/>
        </w:rPr>
        <w:t>Successive Term</w:t>
      </w:r>
      <w:r>
        <w:rPr>
          <w:rFonts w:ascii="Arial" w:cs="Arial" w:eastAsia="Arial" w:hAnsi="Arial"/>
          <w:sz w:val="22"/>
          <w:szCs w:val="22"/>
          <w:color w:val="auto"/>
        </w:rPr>
        <w:t>” and together with the Initial Term,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unless a notice of termination is issued by the Company no later than sixty (60) days prior to the end of the then current Term. This Agreement, and any rights granted hereunder, will terminate on the date all amounts to be paid by the Company (or any successor to the Company as contemplated in Section 5(a) above) to Executive hereunder are paid.</w:t>
      </w:r>
    </w:p>
    <w:p>
      <w:pPr>
        <w:spacing w:after="0" w:line="183" w:lineRule="exact"/>
        <w:rPr>
          <w:rFonts w:ascii="Arial" w:cs="Arial" w:eastAsia="Arial" w:hAnsi="Arial"/>
          <w:sz w:val="22"/>
          <w:szCs w:val="22"/>
          <w:b w:val="1"/>
          <w:bCs w:val="1"/>
          <w:color w:val="auto"/>
        </w:rPr>
      </w:pPr>
    </w:p>
    <w:p>
      <w:pPr>
        <w:ind w:firstLine="1304"/>
        <w:spacing w:after="0" w:line="256" w:lineRule="auto"/>
        <w:tabs>
          <w:tab w:leader="none" w:pos="1932" w:val="left"/>
        </w:tabs>
        <w:numPr>
          <w:ilvl w:val="0"/>
          <w:numId w:val="369"/>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4" w:right="339" w:bottom="1440" w:gutter="0" w:footer="0" w:header="0"/>
        </w:sectPr>
      </w:pPr>
    </w:p>
    <w:bookmarkStart w:id="436" w:name="page437"/>
    <w:bookmarkEnd w:id="436"/>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set forth above.</w:t>
      </w:r>
    </w:p>
    <w:p>
      <w:pPr>
        <w:spacing w:after="0" w:line="260"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390"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/s/ Reza Zadno,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24130</wp:posOffset>
            </wp:positionV>
            <wp:extent cx="41662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51"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Reza Zadno, PhD</w:t>
      </w:r>
    </w:p>
    <w:p>
      <w:pPr>
        <w:spacing w:after="0" w:line="328" w:lineRule="exact"/>
        <w:rPr>
          <w:sz w:val="20"/>
          <w:szCs w:val="20"/>
          <w:color w:val="auto"/>
        </w:rPr>
      </w:pPr>
    </w:p>
    <w:p>
      <w:pPr>
        <w:ind w:left="4040"/>
        <w:spacing w:after="0"/>
        <w:tabs>
          <w:tab w:leader="none" w:pos="49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September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33020</wp:posOffset>
            </wp:positionV>
            <wp:extent cx="3566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PROCEPT BioRobotics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40" w:type="dxa"/>
        <w:tblCellMar>
          <w:top w:w="0" w:type="dxa"/>
          <w:left w:w="0" w:type="dxa"/>
          <w:bottom w:w="0" w:type="dxa"/>
          <w:right w:w="0" w:type="dxa"/>
        </w:tblCellMar>
      </w:tblPr>
      <w:tr>
        <w:trPr>
          <w:trHeight w:val="285"/>
        </w:trPr>
        <w:tc>
          <w:tcPr>
            <w:tcW w:w="920" w:type="dxa"/>
            <w:vAlign w:val="bottom"/>
          </w:tcPr>
          <w:p>
            <w:pPr>
              <w:ind w:left="40"/>
              <w:spacing w:after="0"/>
              <w:rPr>
                <w:sz w:val="20"/>
                <w:szCs w:val="20"/>
                <w:color w:val="auto"/>
              </w:rPr>
            </w:pPr>
            <w:r>
              <w:rPr>
                <w:rFonts w:ascii="Arial" w:cs="Arial" w:eastAsia="Arial" w:hAnsi="Arial"/>
                <w:sz w:val="22"/>
                <w:szCs w:val="22"/>
                <w:color w:val="auto"/>
              </w:rPr>
              <w:t>By:</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Alaleh Nouri</w:t>
            </w:r>
          </w:p>
        </w:tc>
      </w:tr>
      <w:tr>
        <w:trPr>
          <w:trHeight w:val="550"/>
        </w:trPr>
        <w:tc>
          <w:tcPr>
            <w:tcW w:w="920" w:type="dxa"/>
            <w:vAlign w:val="bottom"/>
          </w:tcPr>
          <w:p>
            <w:pPr>
              <w:ind w:left="40"/>
              <w:spacing w:after="0"/>
              <w:rPr>
                <w:sz w:val="20"/>
                <w:szCs w:val="20"/>
                <w:color w:val="auto"/>
              </w:rPr>
            </w:pPr>
            <w:r>
              <w:rPr>
                <w:rFonts w:ascii="Arial" w:cs="Arial" w:eastAsia="Arial" w:hAnsi="Arial"/>
                <w:sz w:val="22"/>
                <w:szCs w:val="22"/>
                <w:color w:val="auto"/>
              </w:rPr>
              <w:t>Name:</w:t>
            </w:r>
          </w:p>
        </w:tc>
        <w:tc>
          <w:tcPr>
            <w:tcW w:w="5620" w:type="dxa"/>
            <w:vAlign w:val="bottom"/>
          </w:tcPr>
          <w:p>
            <w:pPr>
              <w:ind w:left="60"/>
              <w:spacing w:after="0"/>
              <w:rPr>
                <w:sz w:val="20"/>
                <w:szCs w:val="20"/>
                <w:color w:val="auto"/>
              </w:rPr>
            </w:pPr>
            <w:r>
              <w:rPr>
                <w:rFonts w:ascii="Arial" w:cs="Arial" w:eastAsia="Arial" w:hAnsi="Arial"/>
                <w:sz w:val="22"/>
                <w:szCs w:val="22"/>
                <w:color w:val="auto"/>
              </w:rPr>
              <w:t>Alaleh Nouri</w:t>
            </w:r>
          </w:p>
        </w:tc>
      </w:tr>
      <w:tr>
        <w:trPr>
          <w:trHeight w:val="581"/>
        </w:trPr>
        <w:tc>
          <w:tcPr>
            <w:tcW w:w="920" w:type="dxa"/>
            <w:vAlign w:val="bottom"/>
          </w:tcPr>
          <w:p>
            <w:pPr>
              <w:ind w:left="40"/>
              <w:spacing w:after="0"/>
              <w:rPr>
                <w:sz w:val="20"/>
                <w:szCs w:val="20"/>
                <w:color w:val="auto"/>
              </w:rPr>
            </w:pPr>
            <w:r>
              <w:rPr>
                <w:rFonts w:ascii="Arial" w:cs="Arial" w:eastAsia="Arial" w:hAnsi="Arial"/>
                <w:sz w:val="22"/>
                <w:szCs w:val="22"/>
                <w:color w:val="auto"/>
              </w:rPr>
              <w:t>Title:</w:t>
            </w:r>
          </w:p>
        </w:tc>
        <w:tc>
          <w:tcPr>
            <w:tcW w:w="5620" w:type="dxa"/>
            <w:vAlign w:val="bottom"/>
          </w:tcPr>
          <w:p>
            <w:pPr>
              <w:ind w:left="60"/>
              <w:spacing w:after="0"/>
              <w:rPr>
                <w:sz w:val="20"/>
                <w:szCs w:val="20"/>
                <w:color w:val="auto"/>
              </w:rPr>
            </w:pPr>
            <w:r>
              <w:rPr>
                <w:rFonts w:ascii="Arial" w:cs="Arial" w:eastAsia="Arial" w:hAnsi="Arial"/>
                <w:sz w:val="22"/>
                <w:szCs w:val="22"/>
                <w:color w:val="auto"/>
              </w:rPr>
              <w:t>SVP, General Counsel &amp; Corporate   Secretary</w:t>
            </w:r>
          </w:p>
        </w:tc>
      </w:tr>
      <w:tr>
        <w:trPr>
          <w:trHeight w:val="604"/>
        </w:trPr>
        <w:tc>
          <w:tcPr>
            <w:tcW w:w="920" w:type="dxa"/>
            <w:vAlign w:val="bottom"/>
          </w:tcPr>
          <w:p>
            <w:pPr>
              <w:spacing w:after="0"/>
              <w:rPr>
                <w:sz w:val="20"/>
                <w:szCs w:val="20"/>
                <w:color w:val="auto"/>
              </w:rPr>
            </w:pPr>
            <w:r>
              <w:rPr>
                <w:rFonts w:ascii="Arial" w:cs="Arial" w:eastAsia="Arial" w:hAnsi="Arial"/>
                <w:sz w:val="22"/>
                <w:szCs w:val="22"/>
                <w:color w:val="auto"/>
              </w:rPr>
              <w:t>Date:</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September 7,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Signature Page to Change of Control and Severance Agreement</w:t>
      </w:r>
    </w:p>
    <w:p>
      <w:pPr>
        <w:sectPr>
          <w:pgSz w:w="11900" w:h="16838" w:orient="portrait"/>
          <w:cols w:equalWidth="0" w:num="1">
            <w:col w:w="10580"/>
          </w:cols>
          <w:pgMar w:left="980" w:top="1421" w:right="339" w:bottom="1440" w:gutter="0" w:footer="0" w:header="0"/>
        </w:sectPr>
      </w:pPr>
    </w:p>
    <w:bookmarkStart w:id="437" w:name="page438"/>
    <w:bookmarkEnd w:id="437"/>
    <w:p>
      <w:pPr>
        <w:jc w:val="center"/>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In consideration of receiving certain benefits under my Change of Control and Severance Agreement with PROCEPT BioRobotics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dated [__________,] 2021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the Company’s agreement to the</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nondisparagement covenant set forth on Attachment A hereto, I have agreed to sign this Release. I understand that I am not entitled to benefits under the Agreement unless I sign this Release.</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 hereby confirm my obligations under my Confidentiality and Intellectual Property Agreement (or such similar form that I previously executed in connection with my employment) with the Company.</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Except as otherwise set forth in this Release, I hereby generally and completely release the Company and its current and former directors, officers, executives, shareholders, partners, agents, attorneys, predecessors, successors, parent and subsidiary entities, insurers, affiliates, and assigns (collectively,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 The Released Claims include, but are not limited to: (1) all claims arising out of or in any way related to my employment with the Company or its affiliates, or the termination of that employment;</w:t>
      </w:r>
    </w:p>
    <w:p>
      <w:pPr>
        <w:spacing w:after="0" w:line="1" w:lineRule="exact"/>
        <w:rPr>
          <w:sz w:val="20"/>
          <w:szCs w:val="20"/>
          <w:color w:val="auto"/>
        </w:rPr>
      </w:pPr>
    </w:p>
    <w:p>
      <w:pPr>
        <w:jc w:val="both"/>
        <w:ind w:firstLine="8"/>
        <w:spacing w:after="0" w:line="242" w:lineRule="auto"/>
        <w:tabs>
          <w:tab w:leader="none" w:pos="382" w:val="left"/>
        </w:tabs>
        <w:numPr>
          <w:ilvl w:val="0"/>
          <w:numId w:val="370"/>
        </w:numPr>
        <w:rPr>
          <w:rFonts w:ascii="Arial" w:cs="Arial" w:eastAsia="Arial" w:hAnsi="Arial"/>
          <w:sz w:val="21"/>
          <w:szCs w:val="21"/>
          <w:color w:val="auto"/>
        </w:rPr>
      </w:pPr>
      <w:r>
        <w:rPr>
          <w:rFonts w:ascii="Arial" w:cs="Arial" w:eastAsia="Arial" w:hAnsi="Arial"/>
          <w:sz w:val="21"/>
          <w:szCs w:val="21"/>
          <w:color w:val="auto"/>
        </w:rPr>
        <w:t>all claims related to my compensation or benefits, including salary, bonuses, commissions, vacation pay, expense reimbursements, severance pay, fringe benefits, stock, stock options,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21"/>
          <w:szCs w:val="21"/>
          <w:b w:val="1"/>
          <w:bCs w:val="1"/>
          <w:i w:val="1"/>
          <w:iCs w:val="1"/>
          <w:color w:val="auto"/>
        </w:rPr>
        <w:t>ADEA</w:t>
      </w:r>
      <w:r>
        <w:rPr>
          <w:rFonts w:ascii="Arial" w:cs="Arial" w:eastAsia="Arial" w:hAnsi="Arial"/>
          <w:sz w:val="21"/>
          <w:szCs w:val="21"/>
          <w:color w:val="auto"/>
        </w:rPr>
        <w:t>”), the federal Employee Retirement Income Security Act of 1974 (as amended), the California Fair Employment and Housing Act, the California Labor Code, and the California Business &amp; Professions Code. Notwithstanding the foregoing, the following are not included in the Released Claims (the “</w:t>
      </w:r>
      <w:r>
        <w:rPr>
          <w:rFonts w:ascii="Arial" w:cs="Arial" w:eastAsia="Arial" w:hAnsi="Arial"/>
          <w:sz w:val="21"/>
          <w:szCs w:val="21"/>
          <w:b w:val="1"/>
          <w:bCs w:val="1"/>
          <w:i w:val="1"/>
          <w:iCs w:val="1"/>
          <w:color w:val="auto"/>
        </w:rPr>
        <w:t>Excluded Claims</w:t>
      </w:r>
      <w:r>
        <w:rPr>
          <w:rFonts w:ascii="Arial" w:cs="Arial" w:eastAsia="Arial" w:hAnsi="Arial"/>
          <w:sz w:val="21"/>
          <w:szCs w:val="21"/>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a Company stock option or stock plan;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A-0</w:t>
      </w:r>
    </w:p>
    <w:p>
      <w:pPr>
        <w:sectPr>
          <w:pgSz w:w="11900" w:h="16838" w:orient="portrait"/>
          <w:cols w:equalWidth="0" w:num="1">
            <w:col w:w="11240"/>
          </w:cols>
          <w:pgMar w:left="320" w:top="1408" w:right="339" w:bottom="1440" w:gutter="0" w:footer="0" w:header="0"/>
        </w:sectPr>
      </w:pPr>
    </w:p>
    <w:bookmarkStart w:id="438" w:name="page439"/>
    <w:bookmarkEnd w:id="438"/>
    <w:p>
      <w:pPr>
        <w:spacing w:after="0"/>
        <w:rPr>
          <w:sz w:val="20"/>
          <w:szCs w:val="20"/>
          <w:color w:val="auto"/>
        </w:rPr>
      </w:pPr>
      <w:r>
        <w:rPr>
          <w:rFonts w:ascii="Arial" w:cs="Arial" w:eastAsia="Arial" w:hAnsi="Arial"/>
          <w:sz w:val="22"/>
          <w:szCs w:val="22"/>
          <w:color w:val="auto"/>
        </w:rPr>
        <w:t>any claims for breach of this Release Agreement or (4) any rights which are not waivable as a matter of law.</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In addition, nothing in this Release prevents me from filing, cooperating with, or participating in any proceeding before the Equal Employment Opportunity Commission, the Department of Labor, the California Department of Fair Employment and Housing, the Securities and Exchange Commission, or any other local, state, or federal administrative body or government agency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I further understand this Agreement does not limit my ability to communicate with any Government Agencies or otherwise participate in any investigation or proceeding that may be conducted by any Government Agency, including providing documents or other information, without notice to the Company. While this Agreement does not limit my right to receive an award for information provided to the Securities and Exchange Commission, I understand and agree that, to maximum extent permitted by law, I am otherwise waiving any and all rights I may have to individual relief based on any claims that I have released and any rights I have waived by signing this Agreement. Pursuant to 18 USC Section 1833(b), (1) I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 acknowledge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 hereby represent and warrant that, other than the Excluded Claims, I am not aware of any claims I have or might have against any of the Released Parties that are not included in the Released Claims. I agree that if I hereafter commence any suit arising out of, based upon, or relating to any of the Released Claims or in any manner asserts against the Released Parties, or any of them, any of the Released Claims, then I agree to pay to the Released Parties, and each of them, in addition to any other damages caused to the Released Parties thereby, all attorneys’ fees incurred by the Released Parties in defending or otherwise responding to said suit or Released Claim. Notwithstanding the foregoing, this provision shall not apply to any suit or claim to the extent it challenges the effectiveness of this release with respect to a claim under the ADEA.</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[twenty-one (21) days]</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[forty-five (45) days]</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to consider this Release (although I may choose to voluntarily sign it sooner); (d) I have seven (7) days following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4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4" w:lineRule="exact"/>
        <w:rPr>
          <w:sz w:val="20"/>
          <w:szCs w:val="20"/>
          <w:color w:val="auto"/>
        </w:rPr>
      </w:pPr>
    </w:p>
    <w:p>
      <w:pPr>
        <w:ind w:left="140" w:hanging="132"/>
        <w:spacing w:after="0"/>
        <w:tabs>
          <w:tab w:leader="none" w:pos="140" w:val="left"/>
        </w:tabs>
        <w:numPr>
          <w:ilvl w:val="0"/>
          <w:numId w:val="371"/>
        </w:numPr>
        <w:rPr>
          <w:rFonts w:ascii="Arial" w:cs="Arial" w:eastAsia="Arial" w:hAnsi="Arial"/>
          <w:sz w:val="28"/>
          <w:szCs w:val="28"/>
          <w:color w:val="auto"/>
          <w:vertAlign w:val="superscript"/>
        </w:rPr>
      </w:pPr>
      <w:r>
        <w:rPr>
          <w:rFonts w:ascii="Arial" w:cs="Arial" w:eastAsia="Arial" w:hAnsi="Arial"/>
          <w:sz w:val="22"/>
          <w:szCs w:val="22"/>
          <w:color w:val="auto"/>
        </w:rPr>
        <w:t>Note to Draft: include for ages 40+ individual</w:t>
      </w:r>
    </w:p>
    <w:p>
      <w:pPr>
        <w:spacing w:after="0" w:line="43" w:lineRule="exact"/>
        <w:rPr>
          <w:sz w:val="20"/>
          <w:szCs w:val="20"/>
          <w:color w:val="auto"/>
        </w:rPr>
      </w:pPr>
    </w:p>
    <w:p>
      <w:pPr>
        <w:ind w:left="140" w:hanging="132"/>
        <w:spacing w:after="0"/>
        <w:tabs>
          <w:tab w:leader="none" w:pos="140" w:val="left"/>
        </w:tabs>
        <w:numPr>
          <w:ilvl w:val="0"/>
          <w:numId w:val="372"/>
        </w:numPr>
        <w:rPr>
          <w:rFonts w:ascii="Arial" w:cs="Arial" w:eastAsia="Arial" w:hAnsi="Arial"/>
          <w:sz w:val="28"/>
          <w:szCs w:val="28"/>
          <w:color w:val="auto"/>
          <w:vertAlign w:val="superscript"/>
        </w:rPr>
      </w:pPr>
      <w:r>
        <w:rPr>
          <w:rFonts w:ascii="Arial" w:cs="Arial" w:eastAsia="Arial" w:hAnsi="Arial"/>
          <w:sz w:val="22"/>
          <w:szCs w:val="22"/>
          <w:color w:val="auto"/>
        </w:rPr>
        <w:t>Note to Draft: include for ages 40+ group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14" w:right="339" w:bottom="1440" w:gutter="0" w:footer="0" w:header="0"/>
        </w:sectPr>
      </w:pPr>
    </w:p>
    <w:bookmarkStart w:id="439" w:name="page440"/>
    <w:bookmarkEnd w:id="439"/>
    <w:p>
      <w:pPr>
        <w:jc w:val="both"/>
        <w:spacing w:after="0"/>
        <w:rPr>
          <w:sz w:val="20"/>
          <w:szCs w:val="20"/>
          <w:color w:val="auto"/>
        </w:rPr>
      </w:pPr>
      <w:r>
        <w:rPr>
          <w:rFonts w:ascii="Arial" w:cs="Arial" w:eastAsia="Arial" w:hAnsi="Arial"/>
          <w:sz w:val="22"/>
          <w:szCs w:val="22"/>
          <w:color w:val="auto"/>
        </w:rPr>
        <w:t>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[I have received with this Release all of the information required by the ADEA, including without limitation a detailed list of the job titles and ages of all employees who were terminated in this group termination and the ages of all employees of the Company in the same job classification or organizational unit who were not terminated, along with information on the eligibility factors used to select employees for the group termination and any time limits applicable to this group termination program.]</w:t>
      </w:r>
      <w:r>
        <w:rPr>
          <w:rFonts w:ascii="Arial" w:cs="Arial" w:eastAsia="Arial" w:hAnsi="Arial"/>
          <w:sz w:val="26"/>
          <w:szCs w:val="26"/>
          <w:color w:val="auto"/>
          <w:vertAlign w:val="superscript"/>
        </w:rPr>
        <w:t>4</w:t>
      </w:r>
    </w:p>
    <w:p>
      <w:pPr>
        <w:spacing w:after="0" w:line="7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 may respond accurately and fully to any question, inquiry or request for information when required by legal process.</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I acknowledge that to become effective, I must sign and return this Release to the Company so that it is received not later than [twenty-one (21) days]</w:t>
      </w:r>
      <w:r>
        <w:rPr>
          <w:rFonts w:ascii="Arial" w:cs="Arial" w:eastAsia="Arial" w:hAnsi="Arial"/>
          <w:sz w:val="25"/>
          <w:szCs w:val="25"/>
          <w:color w:val="auto"/>
          <w:vertAlign w:val="superscript"/>
        </w:rPr>
        <w:t>5</w:t>
      </w:r>
      <w:r>
        <w:rPr>
          <w:rFonts w:ascii="Arial" w:cs="Arial" w:eastAsia="Arial" w:hAnsi="Arial"/>
          <w:sz w:val="19"/>
          <w:szCs w:val="19"/>
          <w:color w:val="auto"/>
        </w:rPr>
        <w:t xml:space="preserve"> [forty-five (45) days]</w:t>
      </w:r>
      <w:r>
        <w:rPr>
          <w:rFonts w:ascii="Arial" w:cs="Arial" w:eastAsia="Arial" w:hAnsi="Arial"/>
          <w:sz w:val="25"/>
          <w:szCs w:val="25"/>
          <w:color w:val="auto"/>
          <w:vertAlign w:val="superscript"/>
        </w:rPr>
        <w:t>6</w:t>
      </w:r>
      <w:r>
        <w:rPr>
          <w:rFonts w:ascii="Arial" w:cs="Arial" w:eastAsia="Arial" w:hAnsi="Arial"/>
          <w:sz w:val="19"/>
          <w:szCs w:val="19"/>
          <w:color w:val="auto"/>
        </w:rPr>
        <w:t xml:space="preserve"> following the date it is provided to me, and I must not revoke it thereafter.</w:t>
      </w:r>
    </w:p>
    <w:p>
      <w:pPr>
        <w:spacing w:after="0" w:line="2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I also acknowledge that I have read and understand Section 1542 of the California Civil Code which reads as follows: “</w:t>
      </w:r>
      <w:r>
        <w:rPr>
          <w:rFonts w:ascii="Arial" w:cs="Arial" w:eastAsia="Arial" w:hAnsi="Arial"/>
          <w:sz w:val="19"/>
          <w:szCs w:val="19"/>
          <w:b w:val="1"/>
          <w:bCs w:val="1"/>
          <w:color w:val="auto"/>
        </w:rPr>
        <w:t>A</w:t>
      </w:r>
      <w:r>
        <w:rPr>
          <w:rFonts w:ascii="Arial" w:cs="Arial" w:eastAsia="Arial" w:hAnsi="Arial"/>
          <w:sz w:val="19"/>
          <w:szCs w:val="19"/>
          <w:color w:val="auto"/>
        </w:rPr>
        <w:t xml:space="preserve"> </w:t>
      </w:r>
      <w:r>
        <w:rPr>
          <w:rFonts w:ascii="Arial" w:cs="Arial" w:eastAsia="Arial" w:hAnsi="Arial"/>
          <w:sz w:val="19"/>
          <w:szCs w:val="19"/>
          <w:b w:val="1"/>
          <w:bCs w:val="1"/>
          <w:color w:val="auto"/>
        </w:rPr>
        <w:t>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Arial" w:cs="Arial" w:eastAsia="Arial" w:hAnsi="Arial"/>
          <w:sz w:val="19"/>
          <w:szCs w:val="19"/>
          <w:color w:val="auto"/>
        </w:rPr>
        <w:t>.” I hereby expressly waive and relinquish all rights and benefits under that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law of any jurisdiction of similar effect with respect to any claims I may have against the Company.</w:t>
      </w:r>
    </w:p>
    <w:p>
      <w:pPr>
        <w:spacing w:after="0" w:line="14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This Release Agreement is deemed made and entered into in the [State of California], and in all respects shall be interpreted, enforced and governed under the internal laws of the [State of California], to the extent not preempted by federal law.</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I UNDERSTAND THAT THIS RELEASE AGREEMENT INCLUDES A RELEASE OF ALL KNOWN AND UNKNOWN CLAIMS, EVEN THOSE UNKNOWN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714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6" w:lineRule="exact"/>
        <w:rPr>
          <w:sz w:val="20"/>
          <w:szCs w:val="20"/>
          <w:color w:val="auto"/>
        </w:rPr>
      </w:pPr>
    </w:p>
    <w:p>
      <w:pPr>
        <w:ind w:left="140" w:hanging="132"/>
        <w:spacing w:after="0"/>
        <w:tabs>
          <w:tab w:leader="none" w:pos="140" w:val="left"/>
        </w:tabs>
        <w:numPr>
          <w:ilvl w:val="0"/>
          <w:numId w:val="373"/>
        </w:numPr>
        <w:rPr>
          <w:rFonts w:ascii="Arial" w:cs="Arial" w:eastAsia="Arial" w:hAnsi="Arial"/>
          <w:sz w:val="28"/>
          <w:szCs w:val="28"/>
          <w:color w:val="auto"/>
          <w:vertAlign w:val="superscript"/>
        </w:rPr>
      </w:pPr>
      <w:r>
        <w:rPr>
          <w:rFonts w:ascii="Arial" w:cs="Arial" w:eastAsia="Arial" w:hAnsi="Arial"/>
          <w:sz w:val="22"/>
          <w:szCs w:val="22"/>
          <w:color w:val="auto"/>
        </w:rPr>
        <w:t>Note to Draft: include for 40+ group termination</w:t>
      </w:r>
    </w:p>
    <w:p>
      <w:pPr>
        <w:spacing w:after="0" w:line="43" w:lineRule="exact"/>
        <w:rPr>
          <w:sz w:val="20"/>
          <w:szCs w:val="20"/>
          <w:color w:val="auto"/>
        </w:rPr>
      </w:pPr>
    </w:p>
    <w:p>
      <w:pPr>
        <w:ind w:left="140" w:hanging="132"/>
        <w:spacing w:after="0"/>
        <w:tabs>
          <w:tab w:leader="none" w:pos="140" w:val="left"/>
        </w:tabs>
        <w:numPr>
          <w:ilvl w:val="0"/>
          <w:numId w:val="374"/>
        </w:numPr>
        <w:rPr>
          <w:rFonts w:ascii="Arial" w:cs="Arial" w:eastAsia="Arial" w:hAnsi="Arial"/>
          <w:sz w:val="28"/>
          <w:szCs w:val="28"/>
          <w:color w:val="auto"/>
          <w:vertAlign w:val="superscript"/>
        </w:rPr>
      </w:pPr>
      <w:r>
        <w:rPr>
          <w:rFonts w:ascii="Arial" w:cs="Arial" w:eastAsia="Arial" w:hAnsi="Arial"/>
          <w:sz w:val="22"/>
          <w:szCs w:val="22"/>
          <w:color w:val="auto"/>
        </w:rPr>
        <w:t>Note to Draft: include for ages 40+ individual termination</w:t>
      </w:r>
    </w:p>
    <w:p>
      <w:pPr>
        <w:spacing w:after="0" w:line="98" w:lineRule="exact"/>
        <w:rPr>
          <w:rFonts w:ascii="Arial" w:cs="Arial" w:eastAsia="Arial" w:hAnsi="Arial"/>
          <w:sz w:val="28"/>
          <w:szCs w:val="28"/>
          <w:color w:val="auto"/>
          <w:vertAlign w:val="superscript"/>
        </w:rPr>
      </w:pPr>
    </w:p>
    <w:p>
      <w:pPr>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6</w:t>
      </w:r>
      <w:r>
        <w:rPr>
          <w:rFonts w:ascii="Arial" w:cs="Arial" w:eastAsia="Arial" w:hAnsi="Arial"/>
          <w:sz w:val="22"/>
          <w:szCs w:val="22"/>
          <w:color w:val="auto"/>
        </w:rPr>
        <w:t xml:space="preserve"> Note to Draft: include for 40+ group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14" w:right="339" w:bottom="1440" w:gutter="0" w:footer="0" w:header="0"/>
        </w:sectPr>
      </w:pPr>
    </w:p>
    <w:bookmarkStart w:id="440" w:name="page441"/>
    <w:bookmarkEnd w:id="440"/>
    <w:p>
      <w:pPr>
        <w:spacing w:after="0" w:line="256" w:lineRule="auto"/>
        <w:rPr>
          <w:sz w:val="20"/>
          <w:szCs w:val="20"/>
          <w:color w:val="auto"/>
        </w:rPr>
      </w:pPr>
      <w:r>
        <w:rPr>
          <w:rFonts w:ascii="Arial" w:cs="Arial" w:eastAsia="Arial" w:hAnsi="Arial"/>
          <w:sz w:val="22"/>
          <w:szCs w:val="22"/>
          <w:b w:val="1"/>
          <w:bCs w:val="1"/>
          <w:color w:val="auto"/>
        </w:rPr>
        <w:t>CLAIMS THAT, IF KNOWN BY ME, WOULD AFFECT MY DECISION TO ACCEPT THIS RELEASE AGREEMENT.</w:t>
      </w:r>
    </w:p>
    <w:p>
      <w:pPr>
        <w:spacing w:after="0" w:line="230" w:lineRule="exact"/>
        <w:rPr>
          <w:sz w:val="20"/>
          <w:szCs w:val="20"/>
          <w:color w:val="auto"/>
        </w:rPr>
      </w:pPr>
    </w:p>
    <w:p>
      <w:pPr>
        <w:ind w:left="8120"/>
        <w:spacing w:after="0"/>
        <w:rPr>
          <w:sz w:val="20"/>
          <w:szCs w:val="20"/>
          <w:color w:val="auto"/>
        </w:rPr>
      </w:pPr>
      <w:r>
        <w:rPr>
          <w:rFonts w:ascii="Arial" w:cs="Arial" w:eastAsia="Arial" w:hAnsi="Arial"/>
          <w:sz w:val="22"/>
          <w:szCs w:val="22"/>
          <w:b w:val="1"/>
          <w:bCs w:val="1"/>
          <w:color w:val="auto"/>
        </w:rPr>
        <w:t>Reza Zadno,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267970</wp:posOffset>
            </wp:positionV>
            <wp:extent cx="19970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1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24130</wp:posOffset>
            </wp:positionV>
            <wp:extent cx="16630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08" w:right="339" w:bottom="1440" w:gutter="0" w:footer="0" w:header="0"/>
        </w:sectPr>
      </w:pPr>
    </w:p>
    <w:bookmarkStart w:id="441" w:name="page442"/>
    <w:bookmarkEnd w:id="441"/>
    <w:p>
      <w:pPr>
        <w:jc w:val="center"/>
        <w:spacing w:after="0"/>
        <w:rPr>
          <w:sz w:val="20"/>
          <w:szCs w:val="20"/>
          <w:color w:val="auto"/>
        </w:rPr>
      </w:pPr>
      <w:r>
        <w:rPr>
          <w:rFonts w:ascii="Arial" w:cs="Arial" w:eastAsia="Arial" w:hAnsi="Arial"/>
          <w:sz w:val="22"/>
          <w:szCs w:val="22"/>
          <w:b w:val="1"/>
          <w:bCs w:val="1"/>
          <w:color w:val="auto"/>
        </w:rPr>
        <w:t>Attachment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Nondisparagement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In consideration for Reza Zadno’s execution of the Release Agreement to which this document is an attachment, PROCEPT BioRobotics Corporation agrees (through its officers and directors) not to disparage Reza Zadno in any manner likely to be harmful to his business reputation or personal reputation;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Company may respond accurately and fully to any question, inquiry or request for information when required by legal process.</w:t>
      </w:r>
    </w:p>
    <w:p>
      <w:pPr>
        <w:spacing w:after="0" w:line="223" w:lineRule="exact"/>
        <w:rPr>
          <w:sz w:val="20"/>
          <w:szCs w:val="20"/>
          <w:color w:val="auto"/>
        </w:rPr>
      </w:pPr>
    </w:p>
    <w:p>
      <w:pPr>
        <w:ind w:left="8020"/>
        <w:spacing w:after="0"/>
        <w:rPr>
          <w:sz w:val="20"/>
          <w:szCs w:val="20"/>
          <w:color w:val="auto"/>
        </w:rPr>
      </w:pPr>
      <w:r>
        <w:rPr>
          <w:rFonts w:ascii="Arial" w:cs="Arial" w:eastAsia="Arial" w:hAnsi="Arial"/>
          <w:sz w:val="22"/>
          <w:szCs w:val="22"/>
          <w:b w:val="1"/>
          <w:bCs w:val="1"/>
          <w:color w:val="auto"/>
        </w:rPr>
        <w:t>PROCEPT BioRobotics</w:t>
      </w:r>
    </w:p>
    <w:p>
      <w:pPr>
        <w:spacing w:after="0" w:line="27" w:lineRule="exact"/>
        <w:rPr>
          <w:sz w:val="20"/>
          <w:szCs w:val="20"/>
          <w:color w:val="auto"/>
        </w:rPr>
      </w:pPr>
    </w:p>
    <w:p>
      <w:pPr>
        <w:ind w:left="802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72" w:lineRule="exact"/>
        <w:rPr>
          <w:sz w:val="20"/>
          <w:szCs w:val="20"/>
          <w:color w:val="auto"/>
        </w:rPr>
      </w:pPr>
    </w:p>
    <w:p>
      <w:pPr>
        <w:ind w:left="80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24130</wp:posOffset>
            </wp:positionV>
            <wp:extent cx="16541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8" w:lineRule="exact"/>
        <w:rPr>
          <w:sz w:val="20"/>
          <w:szCs w:val="20"/>
          <w:color w:val="auto"/>
        </w:rPr>
      </w:pPr>
    </w:p>
    <w:p>
      <w:pPr>
        <w:ind w:left="80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24130</wp:posOffset>
            </wp:positionV>
            <wp:extent cx="16541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38" w:lineRule="exact"/>
        <w:rPr>
          <w:sz w:val="20"/>
          <w:szCs w:val="20"/>
          <w:color w:val="auto"/>
        </w:rPr>
      </w:pPr>
    </w:p>
    <w:p>
      <w:pPr>
        <w:ind w:left="80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24130</wp:posOffset>
            </wp:positionV>
            <wp:extent cx="16541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8" w:lineRule="exact"/>
        <w:rPr>
          <w:sz w:val="20"/>
          <w:szCs w:val="20"/>
          <w:color w:val="auto"/>
        </w:rPr>
      </w:pPr>
    </w:p>
    <w:p>
      <w:pPr>
        <w:ind w:left="80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24130</wp:posOffset>
            </wp:positionV>
            <wp:extent cx="1654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42" w:name="page443"/>
    <w:bookmarkEnd w:id="4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PROCEPT BioRobotics Corporation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Change Of Control And Severance Agreement</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2"/>
          <w:szCs w:val="22"/>
          <w:b w:val="1"/>
          <w:bCs w:val="1"/>
          <w:color w:val="auto"/>
        </w:rPr>
        <w:t xml:space="preserve">This Amended and Restated Change of Control and Severance Agreement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[l], 2021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by and between Kevin Waters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xml:space="preserve">”) and </w:t>
      </w:r>
      <w:r>
        <w:rPr>
          <w:rFonts w:ascii="Arial" w:cs="Arial" w:eastAsia="Arial" w:hAnsi="Arial"/>
          <w:sz w:val="22"/>
          <w:szCs w:val="22"/>
          <w:b w:val="1"/>
          <w:bCs w:val="1"/>
          <w:color w:val="auto"/>
        </w:rPr>
        <w:t>PROCEPT BioRobotics</w:t>
      </w:r>
      <w:r>
        <w:rPr>
          <w:rFonts w:ascii="Arial" w:cs="Arial" w:eastAsia="Arial" w:hAnsi="Arial"/>
          <w:sz w:val="22"/>
          <w:szCs w:val="22"/>
          <w:color w:val="auto"/>
        </w:rPr>
        <w:t xml:space="preserve"> </w:t>
      </w:r>
      <w:r>
        <w:rPr>
          <w:rFonts w:ascii="Arial" w:cs="Arial" w:eastAsia="Arial" w:hAnsi="Arial"/>
          <w:sz w:val="22"/>
          <w:szCs w:val="22"/>
          <w:b w:val="1"/>
          <w:bCs w:val="1"/>
          <w:color w:val="auto"/>
        </w:rPr>
        <w:t>Corporation</w:t>
      </w:r>
      <w:r>
        <w:rPr>
          <w:rFonts w:ascii="Arial" w:cs="Arial" w:eastAsia="Arial" w:hAnsi="Arial"/>
          <w:sz w:val="22"/>
          <w:szCs w:val="22"/>
          <w:color w:val="auto"/>
        </w:rPr>
        <w:t>, a California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believes it is in the best interests of the Company and its shareholders to provide incentives for Executive to continue in Executive’s service to the Company and enter into this Agreement to provide Executive with certain protections in the event of Executive’s termination of employment under certain circumstances.</w:t>
      </w:r>
    </w:p>
    <w:p>
      <w:pPr>
        <w:spacing w:after="0" w:line="12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covenants and agreements contained herein, and in</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of the continuing employment of Executive by the Company, the parties hereto agree as follows:</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1. At-Will Employment</w:t>
      </w:r>
      <w:r>
        <w:rPr>
          <w:rFonts w:ascii="Arial" w:cs="Arial" w:eastAsia="Arial" w:hAnsi="Arial"/>
          <w:sz w:val="22"/>
          <w:szCs w:val="22"/>
          <w:color w:val="auto"/>
        </w:rPr>
        <w:t>. Executive’s employment is and shall remain at-will, which means that the Company may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Executive’s employment at any time, with or without advance notice, and with or without Cause. Similarly, Executive may resign Executive’s employment at any time, with or without advance notice. Except as set forth in Section 2 below, Executive shall not receive any compensation of any kind, including, without limitation, stock option or other equity award vesting acceleration and severance benefits, following Executive’s termination of employment with the Company, except as expressly provided herein or expressly provided in a written agreement between Executive and the Company entered into following the Effective Date.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b w:val="1"/>
          <w:bCs w:val="1"/>
          <w:color w:val="auto"/>
        </w:rPr>
        <w:t>(a) Severance Benefits upon a Termination in Connection with or Following a Change of Control</w:t>
      </w:r>
      <w:r>
        <w:rPr>
          <w:rFonts w:ascii="Arial" w:cs="Arial" w:eastAsia="Arial" w:hAnsi="Arial"/>
          <w:sz w:val="21"/>
          <w:szCs w:val="21"/>
          <w:color w:val="auto"/>
        </w:rPr>
        <w:t>. If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employment is terminated by the Company without Cause (as defined below), and other than as a result of death or disability, or Executive resigns Executive’s employment with the Company for Good Reason (as defined below), in either case, three (3) months prior to, on or within twelve (12) months following the effective date of a Change of Control (a “</w:t>
      </w:r>
      <w:r>
        <w:rPr>
          <w:rFonts w:ascii="Arial" w:cs="Arial" w:eastAsia="Arial" w:hAnsi="Arial"/>
          <w:sz w:val="21"/>
          <w:szCs w:val="21"/>
          <w:b w:val="1"/>
          <w:bCs w:val="1"/>
          <w:i w:val="1"/>
          <w:iCs w:val="1"/>
          <w:color w:val="auto"/>
        </w:rPr>
        <w:t>COC</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Termination</w:t>
      </w:r>
      <w:r>
        <w:rPr>
          <w:rFonts w:ascii="Arial" w:cs="Arial" w:eastAsia="Arial" w:hAnsi="Arial"/>
          <w:sz w:val="21"/>
          <w:szCs w:val="21"/>
          <w:color w:val="auto"/>
        </w:rPr>
        <w:t>”), and provided such termination constitutes a “separation from service” (within the meaning of Treasury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Regulation Section 1.409A-1(h), a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 and further provided that Executive delivers a release of claims as required under Section 3 below, then Executive shall be entitled to the following severance benefits (the “</w:t>
      </w:r>
      <w:r>
        <w:rPr>
          <w:rFonts w:ascii="Arial" w:cs="Arial" w:eastAsia="Arial" w:hAnsi="Arial"/>
          <w:sz w:val="21"/>
          <w:szCs w:val="21"/>
          <w:b w:val="1"/>
          <w:bCs w:val="1"/>
          <w:i w:val="1"/>
          <w:iCs w:val="1"/>
          <w:color w:val="auto"/>
        </w:rPr>
        <w:t>COC Benefits</w:t>
      </w:r>
      <w:r>
        <w:rPr>
          <w:rFonts w:ascii="Arial" w:cs="Arial" w:eastAsia="Arial" w:hAnsi="Arial"/>
          <w:sz w:val="21"/>
          <w:szCs w:val="21"/>
          <w:color w:val="auto"/>
        </w:rPr>
        <w:t>”) subject to Sections 3(c) and 9(i):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Note to Draft: To refer to IPO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444" w:name="page445"/>
    <w:bookmarkEnd w:id="444"/>
    <w:p>
      <w:pPr>
        <w:jc w:val="both"/>
        <w:ind w:firstLine="1952"/>
        <w:spacing w:after="0" w:line="246" w:lineRule="auto"/>
        <w:tabs>
          <w:tab w:leader="none" w:pos="2580" w:val="left"/>
        </w:tabs>
        <w:numPr>
          <w:ilvl w:val="1"/>
          <w:numId w:val="375"/>
        </w:numPr>
        <w:rPr>
          <w:rFonts w:ascii="Arial" w:cs="Arial" w:eastAsia="Arial" w:hAnsi="Arial"/>
          <w:sz w:val="21"/>
          <w:szCs w:val="21"/>
          <w:b w:val="1"/>
          <w:bCs w:val="1"/>
          <w:color w:val="auto"/>
        </w:rPr>
      </w:pPr>
      <w:r>
        <w:rPr>
          <w:rFonts w:ascii="Arial" w:cs="Arial" w:eastAsia="Arial" w:hAnsi="Arial"/>
          <w:sz w:val="21"/>
          <w:szCs w:val="21"/>
          <w:color w:val="auto"/>
        </w:rPr>
        <w:t xml:space="preserve">The Company shall pay Executive an amount in cash equal to the sum of (a) eighteen (18) months of Executive’s then current base salary (or if the termination is due to a resignation for Good Reason based on a material reduction in base salary, then the Executive’s annual base salary in effect immediately prior to the reduction), payable in substantially equal installments in accordance with the Company’s normal payroll practice over the eighteen (18) month period following Executive’s Separation from Service and (b) 150% of </w:t>
      </w:r>
      <w:r>
        <w:rPr>
          <w:rFonts w:ascii="Arial" w:cs="Arial" w:eastAsia="Arial" w:hAnsi="Arial"/>
          <w:sz w:val="21"/>
          <w:szCs w:val="21"/>
          <w:color w:val="191919"/>
        </w:rPr>
        <w:t>Executive’s target annual cash bonus for the year during which</w:t>
      </w:r>
      <w:r>
        <w:rPr>
          <w:rFonts w:ascii="Arial" w:cs="Arial" w:eastAsia="Arial" w:hAnsi="Arial"/>
          <w:sz w:val="21"/>
          <w:szCs w:val="21"/>
          <w:color w:val="auto"/>
        </w:rPr>
        <w:t xml:space="preserve"> </w:t>
      </w:r>
      <w:r>
        <w:rPr>
          <w:rFonts w:ascii="Arial" w:cs="Arial" w:eastAsia="Arial" w:hAnsi="Arial"/>
          <w:sz w:val="21"/>
          <w:szCs w:val="21"/>
          <w:color w:val="191919"/>
        </w:rPr>
        <w:t xml:space="preserve">Executive’s Separation from Service occurs, payable in a single lump sum on the later of </w:t>
      </w:r>
      <w:r>
        <w:rPr>
          <w:rFonts w:ascii="Arial" w:cs="Arial" w:eastAsia="Arial" w:hAnsi="Arial"/>
          <w:sz w:val="21"/>
          <w:szCs w:val="21"/>
          <w:color w:val="000000"/>
        </w:rPr>
        <w:t>(x) three days following the Release</w:t>
      </w:r>
      <w:r>
        <w:rPr>
          <w:rFonts w:ascii="Arial" w:cs="Arial" w:eastAsia="Arial" w:hAnsi="Arial"/>
          <w:sz w:val="21"/>
          <w:szCs w:val="21"/>
          <w:color w:val="191919"/>
        </w:rPr>
        <w:t xml:space="preserve"> </w:t>
      </w:r>
      <w:r>
        <w:rPr>
          <w:rFonts w:ascii="Arial" w:cs="Arial" w:eastAsia="Arial" w:hAnsi="Arial"/>
          <w:sz w:val="21"/>
          <w:szCs w:val="21"/>
          <w:color w:val="000000"/>
        </w:rPr>
        <w:t>Effective Date (as defined below) or (y) immediately prior to a Change of Control.</w:t>
      </w:r>
    </w:p>
    <w:p>
      <w:pPr>
        <w:spacing w:after="0" w:line="184" w:lineRule="exact"/>
        <w:rPr>
          <w:rFonts w:ascii="Arial" w:cs="Arial" w:eastAsia="Arial" w:hAnsi="Arial"/>
          <w:sz w:val="21"/>
          <w:szCs w:val="21"/>
          <w:b w:val="1"/>
          <w:bCs w:val="1"/>
          <w:color w:val="auto"/>
        </w:rPr>
      </w:pPr>
    </w:p>
    <w:p>
      <w:pPr>
        <w:jc w:val="both"/>
        <w:ind w:firstLine="1952"/>
        <w:spacing w:after="0" w:line="279" w:lineRule="auto"/>
        <w:tabs>
          <w:tab w:leader="none" w:pos="2586" w:val="left"/>
        </w:tabs>
        <w:numPr>
          <w:ilvl w:val="1"/>
          <w:numId w:val="375"/>
        </w:numPr>
        <w:rPr>
          <w:rFonts w:ascii="Arial" w:cs="Arial" w:eastAsia="Arial" w:hAnsi="Arial"/>
          <w:sz w:val="19"/>
          <w:szCs w:val="19"/>
          <w:b w:val="1"/>
          <w:bCs w:val="1"/>
          <w:color w:val="auto"/>
        </w:rPr>
      </w:pPr>
      <w:r>
        <w:rPr>
          <w:rFonts w:ascii="Arial" w:cs="Arial" w:eastAsia="Arial" w:hAnsi="Arial"/>
          <w:sz w:val="19"/>
          <w:szCs w:val="19"/>
          <w:color w:val="auto"/>
        </w:rPr>
        <w:t xml:space="preserve">Subject to Section 9(c), the Company shall pay Executive’s expenses for continuing Executive’s health care coverage and that of any dependents who are covered at the time of Executive’s Separation from Service </w:t>
      </w:r>
      <w:r>
        <w:rPr>
          <w:rFonts w:ascii="Arial" w:cs="Arial" w:eastAsia="Arial" w:hAnsi="Arial"/>
          <w:sz w:val="19"/>
          <w:szCs w:val="19"/>
          <w:color w:val="191919"/>
        </w:rPr>
        <w:t xml:space="preserve">at then-existing participation and coverage levels </w:t>
      </w:r>
      <w:r>
        <w:rPr>
          <w:rFonts w:ascii="Arial" w:cs="Arial" w:eastAsia="Arial" w:hAnsi="Arial"/>
          <w:sz w:val="19"/>
          <w:szCs w:val="19"/>
          <w:color w:val="000000"/>
        </w:rPr>
        <w:t>(the “</w:t>
      </w:r>
      <w:r>
        <w:rPr>
          <w:rFonts w:ascii="Arial" w:cs="Arial" w:eastAsia="Arial" w:hAnsi="Arial"/>
          <w:sz w:val="19"/>
          <w:szCs w:val="19"/>
          <w:b w:val="1"/>
          <w:bCs w:val="1"/>
          <w:i w:val="1"/>
          <w:iCs w:val="1"/>
          <w:color w:val="000000"/>
        </w:rPr>
        <w:t>COBRA Premiums</w:t>
      </w:r>
      <w:r>
        <w:rPr>
          <w:rFonts w:ascii="Arial" w:cs="Arial" w:eastAsia="Arial" w:hAnsi="Arial"/>
          <w:sz w:val="19"/>
          <w:szCs w:val="19"/>
          <w:color w:val="000000"/>
        </w:rPr>
        <w:t>”) under the Consolidated Omnibus Budget Reconciliation</w:t>
      </w:r>
      <w:r>
        <w:rPr>
          <w:rFonts w:ascii="Arial" w:cs="Arial" w:eastAsia="Arial" w:hAnsi="Arial"/>
          <w:sz w:val="19"/>
          <w:szCs w:val="19"/>
          <w:color w:val="191919"/>
        </w:rPr>
        <w:t xml:space="preserve"> </w:t>
      </w:r>
      <w:r>
        <w:rPr>
          <w:rFonts w:ascii="Arial" w:cs="Arial" w:eastAsia="Arial" w:hAnsi="Arial"/>
          <w:sz w:val="19"/>
          <w:szCs w:val="19"/>
          <w:color w:val="000000"/>
        </w:rPr>
        <w:t>Act of 1985, as amended (“</w:t>
      </w:r>
      <w:r>
        <w:rPr>
          <w:rFonts w:ascii="Arial" w:cs="Arial" w:eastAsia="Arial" w:hAnsi="Arial"/>
          <w:sz w:val="19"/>
          <w:szCs w:val="19"/>
          <w:b w:val="1"/>
          <w:bCs w:val="1"/>
          <w:i w:val="1"/>
          <w:iCs w:val="1"/>
          <w:color w:val="000000"/>
        </w:rPr>
        <w:t>COBRA</w:t>
      </w:r>
      <w:r>
        <w:rPr>
          <w:rFonts w:ascii="Arial" w:cs="Arial" w:eastAsia="Arial" w:hAnsi="Arial"/>
          <w:sz w:val="19"/>
          <w:szCs w:val="19"/>
          <w:color w:val="000000"/>
        </w:rPr>
        <w:t>”) for a period ending on the earlier of eighteen (18) months from the Separation from Service or the date on which Executive becomes eligible to be covered by the health care plans of another employer (the “</w:t>
      </w:r>
      <w:r>
        <w:rPr>
          <w:rFonts w:ascii="Arial" w:cs="Arial" w:eastAsia="Arial" w:hAnsi="Arial"/>
          <w:sz w:val="19"/>
          <w:szCs w:val="19"/>
          <w:b w:val="1"/>
          <w:bCs w:val="1"/>
          <w:i w:val="1"/>
          <w:iCs w:val="1"/>
          <w:color w:val="000000"/>
        </w:rPr>
        <w:t>COC</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COBRA Period</w:t>
      </w:r>
      <w:r>
        <w:rPr>
          <w:rFonts w:ascii="Arial" w:cs="Arial" w:eastAsia="Arial" w:hAnsi="Arial"/>
          <w:sz w:val="19"/>
          <w:szCs w:val="19"/>
          <w:color w:val="000000"/>
        </w:rPr>
        <w:t>”), so long as Executive timely elects and is eligible for such COBRA continuation coverage.</w:t>
      </w:r>
    </w:p>
    <w:p>
      <w:pPr>
        <w:spacing w:after="0" w:line="150" w:lineRule="exact"/>
        <w:rPr>
          <w:rFonts w:ascii="Arial" w:cs="Arial" w:eastAsia="Arial" w:hAnsi="Arial"/>
          <w:sz w:val="19"/>
          <w:szCs w:val="19"/>
          <w:b w:val="1"/>
          <w:bCs w:val="1"/>
          <w:color w:val="auto"/>
        </w:rPr>
      </w:pPr>
    </w:p>
    <w:p>
      <w:pPr>
        <w:jc w:val="both"/>
        <w:ind w:firstLine="1952"/>
        <w:spacing w:after="0" w:line="270" w:lineRule="auto"/>
        <w:tabs>
          <w:tab w:leader="none" w:pos="2592" w:val="left"/>
        </w:tabs>
        <w:numPr>
          <w:ilvl w:val="1"/>
          <w:numId w:val="375"/>
        </w:numPr>
        <w:rPr>
          <w:rFonts w:ascii="Arial" w:cs="Arial" w:eastAsia="Arial" w:hAnsi="Arial"/>
          <w:sz w:val="19"/>
          <w:szCs w:val="19"/>
          <w:b w:val="1"/>
          <w:bCs w:val="1"/>
          <w:color w:val="auto"/>
        </w:rPr>
      </w:pPr>
      <w:r>
        <w:rPr>
          <w:rFonts w:ascii="Arial" w:cs="Arial" w:eastAsia="Arial" w:hAnsi="Arial"/>
          <w:sz w:val="19"/>
          <w:szCs w:val="19"/>
          <w:color w:val="auto"/>
        </w:rPr>
        <w:t>All outstanding unvested Company stock awards then held by Executive (the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xml:space="preserve">”) shall become fully vested and, if applicable, exercisable with respect to all of the shares subject thereto and any restrictions thereon shall lapse, effective on the later of (x) the Release Effective Date or (y) immediately prior to a Change of Control; </w:t>
      </w:r>
      <w:r>
        <w:rPr>
          <w:rFonts w:ascii="Arial" w:cs="Arial" w:eastAsia="Arial" w:hAnsi="Arial"/>
          <w:sz w:val="19"/>
          <w:szCs w:val="19"/>
          <w:i w:val="1"/>
          <w:iCs w:val="1"/>
          <w:color w:val="auto"/>
        </w:rPr>
        <w:t>provided, however</w:t>
      </w:r>
      <w:r>
        <w:rPr>
          <w:rFonts w:ascii="Arial" w:cs="Arial" w:eastAsia="Arial" w:hAnsi="Arial"/>
          <w:sz w:val="19"/>
          <w:szCs w:val="19"/>
          <w:color w:val="auto"/>
        </w:rPr>
        <w:t>, that with respect to any Equity Award that remains subject to the achievement of performance goals as of</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Separation from Service, such Equity Award shall vest only to the extent applicable performance goals are achieved upon a Change of Control that occurs during the three-month period following such Separation from Service. To the extent such Equity Awards are options, such options shall be exercisable by Executive for twelve (12) months following the date of Executive’s Separation from Service (or, if earlier, until such option’s final expiration date). For the avoidance of doubt, any unvested portion of Executive’s outstanding Equity Awards will remain outstanding for three (3) months or until the occurrence of a Change of Control (whichever is earlier) so that any vesting acceleration benefits provided under this clause (iii) can be provided if a Change of Control occurs within three (3) months following such Separation from Service (provided that in no event will an option remain outstanding beyond the option’s final expiration date). In such case, if no Change of Control occurs within three (3) months following Executive’s Separation from Service, any unvested portion of Executive’s Equity Awards automatically will be forfeited for no consideration. Notwithstanding the foregoing, in the event that the definitive agreement for the Change of Control does not provide for the continuance, assumption or substitution of Executive’s Equity Awards, then all of such Equity Awards shall become fully vested with respect to all of the shares subject thereto and any restrictions thereon shall lapse, effective immediately prior to the consummation of the Change of Control.</w:t>
      </w:r>
    </w:p>
    <w:p>
      <w:pPr>
        <w:spacing w:after="0" w:line="200" w:lineRule="exact"/>
        <w:rPr>
          <w:rFonts w:ascii="Arial" w:cs="Arial" w:eastAsia="Arial" w:hAnsi="Arial"/>
          <w:sz w:val="19"/>
          <w:szCs w:val="19"/>
          <w:b w:val="1"/>
          <w:bCs w:val="1"/>
          <w:color w:val="auto"/>
        </w:rPr>
      </w:pPr>
    </w:p>
    <w:p>
      <w:pPr>
        <w:spacing w:after="0" w:line="208" w:lineRule="exact"/>
        <w:rPr>
          <w:rFonts w:ascii="Arial" w:cs="Arial" w:eastAsia="Arial" w:hAnsi="Arial"/>
          <w:sz w:val="19"/>
          <w:szCs w:val="19"/>
          <w:b w:val="1"/>
          <w:bCs w:val="1"/>
          <w:color w:val="auto"/>
        </w:rPr>
      </w:pPr>
    </w:p>
    <w:p>
      <w:pPr>
        <w:jc w:val="both"/>
        <w:ind w:firstLine="1304"/>
        <w:spacing w:after="0" w:line="300" w:lineRule="auto"/>
        <w:tabs>
          <w:tab w:leader="none" w:pos="1938" w:val="left"/>
        </w:tabs>
        <w:numPr>
          <w:ilvl w:val="0"/>
          <w:numId w:val="376"/>
        </w:numPr>
        <w:rPr>
          <w:rFonts w:ascii="Arial" w:cs="Arial" w:eastAsia="Arial" w:hAnsi="Arial"/>
          <w:sz w:val="19"/>
          <w:szCs w:val="19"/>
          <w:b w:val="1"/>
          <w:bCs w:val="1"/>
          <w:color w:val="auto"/>
        </w:rPr>
      </w:pPr>
      <w:r>
        <w:rPr>
          <w:rFonts w:ascii="Arial" w:cs="Arial" w:eastAsia="Arial" w:hAnsi="Arial"/>
          <w:sz w:val="19"/>
          <w:szCs w:val="19"/>
          <w:b w:val="1"/>
          <w:bCs w:val="1"/>
          <w:color w:val="auto"/>
        </w:rPr>
        <w:t>Severance Benefits upon a Termination that is not a COC Termination</w:t>
      </w:r>
      <w:r>
        <w:rPr>
          <w:rFonts w:ascii="Arial" w:cs="Arial" w:eastAsia="Arial" w:hAnsi="Arial"/>
          <w:sz w:val="19"/>
          <w:szCs w:val="19"/>
          <w:color w:val="auto"/>
        </w:rPr>
        <w:t>. If Executive’s employment is</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by the Company without Cause and other than as a result of death or disability, or Executive resigns Executive’s employment with the Company for Good Reason, and such termination is not a COC Termination, and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445" w:name="page446"/>
    <w:bookmarkEnd w:id="445"/>
    <w:p>
      <w:pPr>
        <w:spacing w:after="0" w:line="274" w:lineRule="auto"/>
        <w:rPr>
          <w:sz w:val="20"/>
          <w:szCs w:val="20"/>
          <w:color w:val="auto"/>
        </w:rPr>
      </w:pPr>
      <w:r>
        <w:rPr>
          <w:rFonts w:ascii="Arial" w:cs="Arial" w:eastAsia="Arial" w:hAnsi="Arial"/>
          <w:sz w:val="21"/>
          <w:szCs w:val="21"/>
          <w:color w:val="auto"/>
        </w:rPr>
        <w:t>such termination constitutes a Separation from Service and that Executive delivers a release of claims as required under Section 3 below, then Executive shall be entitled to the following severance benefits (the “</w:t>
      </w:r>
      <w:r>
        <w:rPr>
          <w:rFonts w:ascii="Arial" w:cs="Arial" w:eastAsia="Arial" w:hAnsi="Arial"/>
          <w:sz w:val="21"/>
          <w:szCs w:val="21"/>
          <w:b w:val="1"/>
          <w:bCs w:val="1"/>
          <w:i w:val="1"/>
          <w:iCs w:val="1"/>
          <w:color w:val="auto"/>
        </w:rPr>
        <w:t>Severance Benefits</w:t>
      </w:r>
      <w:r>
        <w:rPr>
          <w:rFonts w:ascii="Arial" w:cs="Arial" w:eastAsia="Arial" w:hAnsi="Arial"/>
          <w:sz w:val="21"/>
          <w:szCs w:val="21"/>
          <w:color w:val="auto"/>
        </w:rPr>
        <w:t>”):</w:t>
      </w:r>
    </w:p>
    <w:p>
      <w:pPr>
        <w:spacing w:after="0" w:line="151" w:lineRule="exact"/>
        <w:rPr>
          <w:sz w:val="20"/>
          <w:szCs w:val="20"/>
          <w:color w:val="auto"/>
        </w:rPr>
      </w:pPr>
    </w:p>
    <w:p>
      <w:pPr>
        <w:jc w:val="both"/>
        <w:ind w:firstLine="1952"/>
        <w:spacing w:after="0" w:line="236" w:lineRule="auto"/>
        <w:tabs>
          <w:tab w:leader="none" w:pos="2580" w:val="left"/>
        </w:tabs>
        <w:numPr>
          <w:ilvl w:val="2"/>
          <w:numId w:val="377"/>
        </w:numPr>
        <w:rPr>
          <w:rFonts w:ascii="Arial" w:cs="Arial" w:eastAsia="Arial" w:hAnsi="Arial"/>
          <w:sz w:val="22"/>
          <w:szCs w:val="22"/>
          <w:b w:val="1"/>
          <w:bCs w:val="1"/>
          <w:color w:val="auto"/>
        </w:rPr>
      </w:pPr>
      <w:r>
        <w:rPr>
          <w:rFonts w:ascii="Arial" w:cs="Arial" w:eastAsia="Arial" w:hAnsi="Arial"/>
          <w:sz w:val="22"/>
          <w:szCs w:val="22"/>
          <w:color w:val="auto"/>
        </w:rPr>
        <w:t>The Company shall pay Executive an amount in cash equal to six (6) months of Executive’s then current base salary (or if the termination is due to a resignation for Good Reason based on a material reduction in base salary, then the Executive’s annual base salary in effect immediately prior to the reduction), payable in substantially equal installments in accordance with the Company’s normal payroll practice over the six (6) month period following Executive’s Separation from Service.</w:t>
      </w:r>
    </w:p>
    <w:p>
      <w:pPr>
        <w:spacing w:after="0" w:line="187" w:lineRule="exact"/>
        <w:rPr>
          <w:rFonts w:ascii="Arial" w:cs="Arial" w:eastAsia="Arial" w:hAnsi="Arial"/>
          <w:sz w:val="22"/>
          <w:szCs w:val="22"/>
          <w:b w:val="1"/>
          <w:bCs w:val="1"/>
          <w:color w:val="auto"/>
        </w:rPr>
      </w:pPr>
    </w:p>
    <w:p>
      <w:pPr>
        <w:jc w:val="both"/>
        <w:ind w:firstLine="1952"/>
        <w:spacing w:after="0" w:line="238" w:lineRule="auto"/>
        <w:tabs>
          <w:tab w:leader="none" w:pos="2586" w:val="left"/>
        </w:tabs>
        <w:numPr>
          <w:ilvl w:val="2"/>
          <w:numId w:val="377"/>
        </w:numPr>
        <w:rPr>
          <w:rFonts w:ascii="Arial" w:cs="Arial" w:eastAsia="Arial" w:hAnsi="Arial"/>
          <w:sz w:val="22"/>
          <w:szCs w:val="22"/>
          <w:b w:val="1"/>
          <w:bCs w:val="1"/>
          <w:color w:val="auto"/>
        </w:rPr>
      </w:pPr>
      <w:r>
        <w:rPr>
          <w:rFonts w:ascii="Arial" w:cs="Arial" w:eastAsia="Arial" w:hAnsi="Arial"/>
          <w:sz w:val="22"/>
          <w:szCs w:val="22"/>
          <w:color w:val="auto"/>
        </w:rPr>
        <w:t>Subject to Section 9(c), the Company shall pay Executive’s COBRA Premiums under COBRA for a period ending on the earlier of six (6) months from the Separation from Service or the date on which Executive becomes eligible to be covered by the health care plans of another employer (the “</w:t>
      </w:r>
      <w:r>
        <w:rPr>
          <w:rFonts w:ascii="Arial" w:cs="Arial" w:eastAsia="Arial" w:hAnsi="Arial"/>
          <w:sz w:val="22"/>
          <w:szCs w:val="22"/>
          <w:b w:val="1"/>
          <w:bCs w:val="1"/>
          <w:i w:val="1"/>
          <w:iCs w:val="1"/>
          <w:color w:val="auto"/>
        </w:rPr>
        <w:t>Severance COBRA Period</w:t>
      </w:r>
      <w:r>
        <w:rPr>
          <w:rFonts w:ascii="Arial" w:cs="Arial" w:eastAsia="Arial" w:hAnsi="Arial"/>
          <w:sz w:val="22"/>
          <w:szCs w:val="22"/>
          <w:color w:val="auto"/>
        </w:rPr>
        <w:t>”), so long as Executive timely elects and is eligible for such COBRA continuation coverage.</w:t>
      </w:r>
    </w:p>
    <w:p>
      <w:pPr>
        <w:spacing w:after="0" w:line="178" w:lineRule="exact"/>
        <w:rPr>
          <w:rFonts w:ascii="Arial" w:cs="Arial" w:eastAsia="Arial" w:hAnsi="Arial"/>
          <w:sz w:val="22"/>
          <w:szCs w:val="22"/>
          <w:b w:val="1"/>
          <w:bCs w:val="1"/>
          <w:color w:val="auto"/>
        </w:rPr>
      </w:pPr>
    </w:p>
    <w:p>
      <w:pPr>
        <w:jc w:val="both"/>
        <w:ind w:firstLine="1304"/>
        <w:spacing w:after="0" w:line="273" w:lineRule="auto"/>
        <w:tabs>
          <w:tab w:leader="none" w:pos="1941" w:val="left"/>
        </w:tabs>
        <w:numPr>
          <w:ilvl w:val="1"/>
          <w:numId w:val="378"/>
        </w:numPr>
        <w:rPr>
          <w:rFonts w:ascii="Arial" w:cs="Arial" w:eastAsia="Arial" w:hAnsi="Arial"/>
          <w:sz w:val="19"/>
          <w:szCs w:val="19"/>
          <w:b w:val="1"/>
          <w:bCs w:val="1"/>
          <w:color w:val="auto"/>
        </w:rPr>
      </w:pPr>
      <w:r>
        <w:rPr>
          <w:rFonts w:ascii="Arial" w:cs="Arial" w:eastAsia="Arial" w:hAnsi="Arial"/>
          <w:sz w:val="19"/>
          <w:szCs w:val="19"/>
          <w:b w:val="1"/>
          <w:bCs w:val="1"/>
          <w:color w:val="auto"/>
        </w:rPr>
        <w:t>Accrued Wages, Bonus and Vacation, Expenses</w:t>
      </w:r>
      <w:r>
        <w:rPr>
          <w:rFonts w:ascii="Arial" w:cs="Arial" w:eastAsia="Arial" w:hAnsi="Arial"/>
          <w:sz w:val="19"/>
          <w:szCs w:val="19"/>
          <w:color w:val="auto"/>
        </w:rPr>
        <w:t>. Without regard to the reason for, or the timing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termination of employment, the Company shall pay (or provide reimbursement to) Executive for (i) any unpaid base salary due for periods prior to and including the date of Separation from Service; (ii) all accrued and unused vacation through the date of Separation from Service, if applicable; (iii) any earned (as determined and approved by the Board prior to the Separation from Service) but not yet paid incentive bonus from the prior fiscal year, which bonus shall be paid in accordance with the Company’s regular bonus payment process and in any event by no later than two and one-half months after the end of such subsequent year; and (iv) following submission of proper expense reports by Executive, all expenses reasonably and necessarily incurred by Executive in connection with the business of the Company prior to the Separation from Service. These payments shall be made promptly upon or following termination and within the period of time mandated by law (or in the case of an earned bonus, within the time period set forth in the Company’s bonus plan and in any event by no later than two and one-half months after the end of the fiscal year following the year in which the bonus was earned).</w:t>
      </w:r>
    </w:p>
    <w:p>
      <w:pPr>
        <w:spacing w:after="0" w:line="155" w:lineRule="exact"/>
        <w:rPr>
          <w:rFonts w:ascii="Arial" w:cs="Arial" w:eastAsia="Arial" w:hAnsi="Arial"/>
          <w:sz w:val="19"/>
          <w:szCs w:val="19"/>
          <w:b w:val="1"/>
          <w:bCs w:val="1"/>
          <w:color w:val="auto"/>
        </w:rPr>
      </w:pPr>
    </w:p>
    <w:p>
      <w:pPr>
        <w:ind w:left="1300" w:hanging="644"/>
        <w:spacing w:after="0"/>
        <w:tabs>
          <w:tab w:leader="none" w:pos="1300" w:val="left"/>
        </w:tabs>
        <w:numPr>
          <w:ilvl w:val="0"/>
          <w:numId w:val="379"/>
        </w:numPr>
        <w:rPr>
          <w:rFonts w:ascii="Arial" w:cs="Arial" w:eastAsia="Arial" w:hAnsi="Arial"/>
          <w:sz w:val="22"/>
          <w:szCs w:val="22"/>
          <w:b w:val="1"/>
          <w:bCs w:val="1"/>
          <w:color w:val="auto"/>
        </w:rPr>
      </w:pPr>
      <w:r>
        <w:rPr>
          <w:rFonts w:ascii="Arial" w:cs="Arial" w:eastAsia="Arial" w:hAnsi="Arial"/>
          <w:sz w:val="22"/>
          <w:szCs w:val="22"/>
          <w:b w:val="1"/>
          <w:bCs w:val="1"/>
          <w:color w:val="auto"/>
        </w:rPr>
        <w:t>Release Required; Timing of Payments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304"/>
        <w:spacing w:after="0" w:line="235" w:lineRule="auto"/>
        <w:tabs>
          <w:tab w:leader="none" w:pos="1939" w:val="left"/>
        </w:tabs>
        <w:numPr>
          <w:ilvl w:val="1"/>
          <w:numId w:val="379"/>
        </w:numPr>
        <w:rPr>
          <w:rFonts w:ascii="Arial" w:cs="Arial" w:eastAsia="Arial" w:hAnsi="Arial"/>
          <w:sz w:val="22"/>
          <w:szCs w:val="22"/>
          <w:b w:val="1"/>
          <w:bCs w:val="1"/>
          <w:color w:val="auto"/>
        </w:rPr>
      </w:pPr>
      <w:r>
        <w:rPr>
          <w:rFonts w:ascii="Arial" w:cs="Arial" w:eastAsia="Arial" w:hAnsi="Arial"/>
          <w:sz w:val="22"/>
          <w:szCs w:val="22"/>
          <w:b w:val="1"/>
          <w:bCs w:val="1"/>
          <w:color w:val="auto"/>
        </w:rPr>
        <w:t>Requirement of Release</w:t>
      </w:r>
      <w:r>
        <w:rPr>
          <w:rFonts w:ascii="Arial" w:cs="Arial" w:eastAsia="Arial" w:hAnsi="Arial"/>
          <w:sz w:val="22"/>
          <w:szCs w:val="22"/>
          <w:color w:val="auto"/>
        </w:rPr>
        <w:t>. Prior to the payment of any COC Benefits (including the acceleration of Equity</w:t>
      </w:r>
      <w:r>
        <w:rPr>
          <w:rFonts w:ascii="Arial" w:cs="Arial" w:eastAsia="Arial" w:hAnsi="Arial"/>
          <w:sz w:val="22"/>
          <w:szCs w:val="22"/>
          <w:b w:val="1"/>
          <w:bCs w:val="1"/>
          <w:color w:val="auto"/>
        </w:rPr>
        <w:t xml:space="preserve"> </w:t>
      </w:r>
      <w:r>
        <w:rPr>
          <w:rFonts w:ascii="Arial" w:cs="Arial" w:eastAsia="Arial" w:hAnsi="Arial"/>
          <w:sz w:val="22"/>
          <w:szCs w:val="22"/>
          <w:color w:val="auto"/>
        </w:rPr>
        <w:t>Awards) or Severance Benefits, Executive shall execute and allow to become effective a standard release agreement releasing the Company (and its successor) from any and all claims Executive (or Executive’s estate or beneficiaries) may have against such entities related to or arising in connection with Executive’s employment and the terms of such employment and termination thereof (the “</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within the time frame set forth therein, but not later than 60 days following Executive’s Separation from Service (the “</w:t>
      </w:r>
      <w:r>
        <w:rPr>
          <w:rFonts w:ascii="Arial" w:cs="Arial" w:eastAsia="Arial" w:hAnsi="Arial"/>
          <w:sz w:val="22"/>
          <w:szCs w:val="22"/>
          <w:b w:val="1"/>
          <w:bCs w:val="1"/>
          <w:i w:val="1"/>
          <w:iCs w:val="1"/>
          <w:color w:val="auto"/>
        </w:rPr>
        <w:t>Release Effective Date</w:t>
      </w:r>
      <w:r>
        <w:rPr>
          <w:rFonts w:ascii="Arial" w:cs="Arial" w:eastAsia="Arial" w:hAnsi="Arial"/>
          <w:sz w:val="22"/>
          <w:szCs w:val="22"/>
          <w:color w:val="auto"/>
        </w:rPr>
        <w:t>”). No COC Benefits or Severance Benefits shall be paid or provided prior to the Release Effective Date.</w:t>
      </w:r>
    </w:p>
    <w:p>
      <w:pPr>
        <w:spacing w:after="0" w:line="183" w:lineRule="exact"/>
        <w:rPr>
          <w:rFonts w:ascii="Arial" w:cs="Arial" w:eastAsia="Arial" w:hAnsi="Arial"/>
          <w:sz w:val="22"/>
          <w:szCs w:val="22"/>
          <w:b w:val="1"/>
          <w:bCs w:val="1"/>
          <w:color w:val="auto"/>
        </w:rPr>
      </w:pPr>
    </w:p>
    <w:p>
      <w:pPr>
        <w:ind w:firstLine="1304"/>
        <w:spacing w:after="0" w:line="256" w:lineRule="auto"/>
        <w:tabs>
          <w:tab w:leader="none" w:pos="1938" w:val="left"/>
        </w:tabs>
        <w:numPr>
          <w:ilvl w:val="1"/>
          <w:numId w:val="379"/>
        </w:numPr>
        <w:rPr>
          <w:rFonts w:ascii="Arial" w:cs="Arial" w:eastAsia="Arial" w:hAnsi="Arial"/>
          <w:sz w:val="22"/>
          <w:szCs w:val="22"/>
          <w:b w:val="1"/>
          <w:bCs w:val="1"/>
          <w:color w:val="auto"/>
        </w:rPr>
      </w:pPr>
      <w:r>
        <w:rPr>
          <w:rFonts w:ascii="Arial" w:cs="Arial" w:eastAsia="Arial" w:hAnsi="Arial"/>
          <w:sz w:val="22"/>
          <w:szCs w:val="22"/>
          <w:b w:val="1"/>
          <w:bCs w:val="1"/>
          <w:color w:val="auto"/>
        </w:rPr>
        <w:t>Form of Release</w:t>
      </w:r>
      <w:r>
        <w:rPr>
          <w:rFonts w:ascii="Arial" w:cs="Arial" w:eastAsia="Arial" w:hAnsi="Arial"/>
          <w:sz w:val="22"/>
          <w:szCs w:val="22"/>
          <w:color w:val="auto"/>
        </w:rPr>
        <w:t>. The Release shall be in substantially the form attached hereto as</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relate to all of Executive’s rights and claims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446" w:name="page447"/>
    <w:bookmarkEnd w:id="446"/>
    <w:p>
      <w:pPr>
        <w:jc w:val="both"/>
        <w:spacing w:after="0" w:line="236" w:lineRule="auto"/>
        <w:rPr>
          <w:sz w:val="20"/>
          <w:szCs w:val="20"/>
          <w:color w:val="auto"/>
        </w:rPr>
      </w:pPr>
      <w:r>
        <w:rPr>
          <w:rFonts w:ascii="Arial" w:cs="Arial" w:eastAsia="Arial" w:hAnsi="Arial"/>
          <w:sz w:val="22"/>
          <w:szCs w:val="22"/>
          <w:color w:val="auto"/>
        </w:rPr>
        <w:t>existence at the time of such execution and shall confirm Executive’s continuing obligations to the Company (including but not limited to obligations under any confidentiality and/or non-solicitation agreement with the Company). Unless a Change of Control has occurred, the Board, in its sole discretion, may modify the form of the required Release to comply with applicable law and shall determine the form of the required Release, which may be incorporated into a termination agreement or other agreement with Executive.</w:t>
      </w:r>
    </w:p>
    <w:p>
      <w:pPr>
        <w:spacing w:after="0" w:line="181" w:lineRule="exact"/>
        <w:rPr>
          <w:sz w:val="20"/>
          <w:szCs w:val="20"/>
          <w:color w:val="auto"/>
        </w:rPr>
      </w:pPr>
    </w:p>
    <w:p>
      <w:pPr>
        <w:jc w:val="both"/>
        <w:ind w:firstLine="1304"/>
        <w:spacing w:after="0" w:line="251" w:lineRule="auto"/>
        <w:tabs>
          <w:tab w:leader="none" w:pos="1941" w:val="left"/>
        </w:tabs>
        <w:numPr>
          <w:ilvl w:val="1"/>
          <w:numId w:val="380"/>
        </w:numPr>
        <w:rPr>
          <w:rFonts w:ascii="Arial" w:cs="Arial" w:eastAsia="Arial" w:hAnsi="Arial"/>
          <w:sz w:val="20"/>
          <w:szCs w:val="20"/>
          <w:b w:val="1"/>
          <w:bCs w:val="1"/>
          <w:color w:val="auto"/>
        </w:rPr>
      </w:pPr>
      <w:r>
        <w:rPr>
          <w:rFonts w:ascii="Arial" w:cs="Arial" w:eastAsia="Arial" w:hAnsi="Arial"/>
          <w:sz w:val="20"/>
          <w:szCs w:val="20"/>
          <w:b w:val="1"/>
          <w:bCs w:val="1"/>
          <w:color w:val="auto"/>
        </w:rPr>
        <w:t>Timing of Payments</w:t>
      </w:r>
      <w:r>
        <w:rPr>
          <w:rFonts w:ascii="Arial" w:cs="Arial" w:eastAsia="Arial" w:hAnsi="Arial"/>
          <w:sz w:val="20"/>
          <w:szCs w:val="20"/>
          <w:color w:val="auto"/>
        </w:rPr>
        <w:t>. Within three (3) days following the Release Effective Date, the Company will pay in</w:t>
      </w:r>
      <w:r>
        <w:rPr>
          <w:rFonts w:ascii="Arial" w:cs="Arial" w:eastAsia="Arial" w:hAnsi="Arial"/>
          <w:sz w:val="20"/>
          <w:szCs w:val="20"/>
          <w:b w:val="1"/>
          <w:bCs w:val="1"/>
          <w:color w:val="auto"/>
        </w:rPr>
        <w:t xml:space="preserve"> </w:t>
      </w:r>
      <w:r>
        <w:rPr>
          <w:rFonts w:ascii="Arial" w:cs="Arial" w:eastAsia="Arial" w:hAnsi="Arial"/>
          <w:sz w:val="20"/>
          <w:szCs w:val="20"/>
          <w:color w:val="auto"/>
        </w:rPr>
        <w:t>a lump sum payment or commence payment of the COC Benefits or Severance Benefits, as applicable, that Executive would otherwise have received on or prior to such date but for the delay in payment related to the effectiveness of the Release, with the balance of the benefits being paid as originally scheduled. Notwithstanding the foregoing, if the Company (or, if applicable, the successor entity thereto) determines that any of the COC Benefits or Severance Benefits constitute “deferred compensation” under Section 409A (defined below) or as otherwise necessary to comply with, or be exempt from, Section 409A, then, solely to the extent necessary to avoid the incurrence of the adverse personal tax consequences under Section 409A, no COC Benefits or Severance Benefits, as applicable, will be paid prior to the 61st day following Executive’s Separation from Service. On the 61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following the date of Separation from Service, the Company will pay to Executive in a lump sum payment the COC Benefits or Severance Benefits, as applicable, that Executive would otherwise have received on or prior to such date, with the balance of the benefits being paid as originally scheduled.</w:t>
      </w:r>
    </w:p>
    <w:p>
      <w:pPr>
        <w:spacing w:after="0" w:line="171" w:lineRule="exact"/>
        <w:rPr>
          <w:rFonts w:ascii="Arial" w:cs="Arial" w:eastAsia="Arial" w:hAnsi="Arial"/>
          <w:sz w:val="20"/>
          <w:szCs w:val="20"/>
          <w:b w:val="1"/>
          <w:bCs w:val="1"/>
          <w:color w:val="auto"/>
        </w:rPr>
      </w:pPr>
    </w:p>
    <w:p>
      <w:pPr>
        <w:jc w:val="both"/>
        <w:ind w:firstLine="656"/>
        <w:spacing w:after="0" w:line="270" w:lineRule="auto"/>
        <w:tabs>
          <w:tab w:leader="none" w:pos="1296" w:val="left"/>
        </w:tabs>
        <w:numPr>
          <w:ilvl w:val="0"/>
          <w:numId w:val="381"/>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 on Payments</w:t>
      </w:r>
      <w:r>
        <w:rPr>
          <w:rFonts w:ascii="Arial" w:cs="Arial" w:eastAsia="Arial" w:hAnsi="Arial"/>
          <w:sz w:val="19"/>
          <w:szCs w:val="19"/>
          <w:color w:val="auto"/>
        </w:rPr>
        <w:t>. If any payment or benefit (including payments and benefits pursuant 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Executive would receive in connection with a Change of Control from the Company or otherwise (“</w:t>
      </w:r>
      <w:r>
        <w:rPr>
          <w:rFonts w:ascii="Arial" w:cs="Arial" w:eastAsia="Arial" w:hAnsi="Arial"/>
          <w:sz w:val="19"/>
          <w:szCs w:val="19"/>
          <w:b w:val="1"/>
          <w:bCs w:val="1"/>
          <w:i w:val="1"/>
          <w:iCs w:val="1"/>
          <w:color w:val="auto"/>
        </w:rPr>
        <w:t>Transaction Payment</w:t>
      </w:r>
      <w:r>
        <w:rPr>
          <w:rFonts w:ascii="Arial" w:cs="Arial" w:eastAsia="Arial" w:hAnsi="Arial"/>
          <w:sz w:val="19"/>
          <w:szCs w:val="19"/>
          <w:color w:val="auto"/>
        </w:rPr>
        <w:t>”) would (i) constitute a “parachute payment” within the meaning of Section 280G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9"/>
          <w:szCs w:val="19"/>
          <w:b w:val="1"/>
          <w:bCs w:val="1"/>
          <w:i w:val="1"/>
          <w:iCs w:val="1"/>
          <w:color w:val="auto"/>
        </w:rPr>
        <w:t>Full Payment</w:t>
      </w:r>
      <w:r>
        <w:rPr>
          <w:rFonts w:ascii="Arial" w:cs="Arial" w:eastAsia="Arial" w:hAnsi="Arial"/>
          <w:sz w:val="19"/>
          <w:szCs w:val="19"/>
          <w:color w:val="auto"/>
        </w:rPr>
        <w:t>”), or (2) payment of only a part of the Transaction Payment so that Executive receives the largest payment possible without the imposition of the Excise Tax (a “</w:t>
      </w:r>
      <w:r>
        <w:rPr>
          <w:rFonts w:ascii="Arial" w:cs="Arial" w:eastAsia="Arial" w:hAnsi="Arial"/>
          <w:sz w:val="19"/>
          <w:szCs w:val="19"/>
          <w:b w:val="1"/>
          <w:bCs w:val="1"/>
          <w:i w:val="1"/>
          <w:iCs w:val="1"/>
          <w:color w:val="auto"/>
        </w:rPr>
        <w:t>Reduced Payment</w:t>
      </w:r>
      <w:r>
        <w:rPr>
          <w:rFonts w:ascii="Arial" w:cs="Arial" w:eastAsia="Arial" w:hAnsi="Arial"/>
          <w:sz w:val="19"/>
          <w:szCs w:val="19"/>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will occur in the following order: (1) reduction of cash payments; (2) cancellation of accelerated vesting of equity awards other than stock options; (3) cancellation of accelerated vesting of stock options; and (4) reduction of other benefits paid to Executive. In the event that acceleration of vesting of equity award compensation is to be reduced, such acceleration of vesting will be cancelled in the reverse order of the date of grant of Executive’s equity awards. In no event will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447" w:name="page448"/>
    <w:bookmarkEnd w:id="447"/>
    <w:p>
      <w:pPr>
        <w:spacing w:after="0"/>
        <w:rPr>
          <w:sz w:val="20"/>
          <w:szCs w:val="20"/>
          <w:color w:val="auto"/>
        </w:rPr>
      </w:pPr>
      <w:r>
        <w:rPr>
          <w:rFonts w:ascii="Arial" w:cs="Arial" w:eastAsia="Arial" w:hAnsi="Arial"/>
          <w:sz w:val="22"/>
          <w:szCs w:val="22"/>
          <w:color w:val="auto"/>
        </w:rPr>
        <w:t>any shareholder be liable to Executive for any amounts not paid as a result of the operation of this Section 4.</w:t>
      </w:r>
    </w:p>
    <w:p>
      <w:pPr>
        <w:spacing w:after="0" w:line="206" w:lineRule="exact"/>
        <w:rPr>
          <w:sz w:val="20"/>
          <w:szCs w:val="20"/>
          <w:color w:val="auto"/>
        </w:rPr>
      </w:pPr>
    </w:p>
    <w:p>
      <w:pPr>
        <w:jc w:val="both"/>
        <w:ind w:firstLine="1304"/>
        <w:spacing w:after="0" w:line="235" w:lineRule="auto"/>
        <w:tabs>
          <w:tab w:leader="none" w:pos="1939" w:val="left"/>
        </w:tabs>
        <w:numPr>
          <w:ilvl w:val="1"/>
          <w:numId w:val="382"/>
        </w:numPr>
        <w:rPr>
          <w:rFonts w:ascii="Arial" w:cs="Arial" w:eastAsia="Arial" w:hAnsi="Arial"/>
          <w:sz w:val="22"/>
          <w:szCs w:val="22"/>
          <w:b w:val="1"/>
          <w:bCs w:val="1"/>
          <w:color w:val="auto"/>
        </w:rPr>
      </w:pPr>
      <w:r>
        <w:rPr>
          <w:rFonts w:ascii="Arial" w:cs="Arial" w:eastAsia="Arial" w:hAnsi="Arial"/>
          <w:sz w:val="22"/>
          <w:szCs w:val="22"/>
          <w:color w:val="auto"/>
        </w:rPr>
        <w:t>The professional firm engaged by the Company for general tax purposes as of the day prior to the effective date of the Change of Control shall make all determinations required to be made under this Section 4. If the professional firm so engaged by the Company is serving as accountant or auditor for the individual, entity or group effecting the Change of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87" w:lineRule="exact"/>
        <w:rPr>
          <w:rFonts w:ascii="Arial" w:cs="Arial" w:eastAsia="Arial" w:hAnsi="Arial"/>
          <w:sz w:val="22"/>
          <w:szCs w:val="22"/>
          <w:b w:val="1"/>
          <w:bCs w:val="1"/>
          <w:color w:val="auto"/>
        </w:rPr>
      </w:pPr>
    </w:p>
    <w:p>
      <w:pPr>
        <w:jc w:val="both"/>
        <w:ind w:firstLine="1304"/>
        <w:spacing w:after="0" w:line="277" w:lineRule="auto"/>
        <w:tabs>
          <w:tab w:leader="none" w:pos="1938" w:val="left"/>
        </w:tabs>
        <w:numPr>
          <w:ilvl w:val="1"/>
          <w:numId w:val="382"/>
        </w:numPr>
        <w:rPr>
          <w:rFonts w:ascii="Arial" w:cs="Arial" w:eastAsia="Arial" w:hAnsi="Arial"/>
          <w:sz w:val="19"/>
          <w:szCs w:val="19"/>
          <w:b w:val="1"/>
          <w:bCs w:val="1"/>
          <w:color w:val="auto"/>
        </w:rPr>
      </w:pPr>
      <w:r>
        <w:rPr>
          <w:rFonts w:ascii="Arial" w:cs="Arial" w:eastAsia="Arial" w:hAnsi="Arial"/>
          <w:sz w:val="19"/>
          <w:szCs w:val="19"/>
          <w:color w:val="auto"/>
        </w:rPr>
        <w:t>The professional firm engaged to make the determinations hereunder shall provide its calculations, together with detailed supporting documentation, to the Company and Executive within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45" w:lineRule="exact"/>
        <w:rPr>
          <w:rFonts w:ascii="Arial" w:cs="Arial" w:eastAsia="Arial" w:hAnsi="Arial"/>
          <w:sz w:val="19"/>
          <w:szCs w:val="19"/>
          <w:b w:val="1"/>
          <w:bCs w:val="1"/>
          <w:color w:val="auto"/>
        </w:rPr>
      </w:pPr>
    </w:p>
    <w:p>
      <w:pPr>
        <w:ind w:left="1300" w:hanging="644"/>
        <w:spacing w:after="0"/>
        <w:tabs>
          <w:tab w:leader="none" w:pos="1300" w:val="left"/>
        </w:tabs>
        <w:numPr>
          <w:ilvl w:val="0"/>
          <w:numId w:val="383"/>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304"/>
        <w:spacing w:after="0" w:line="245" w:lineRule="auto"/>
        <w:tabs>
          <w:tab w:leader="none" w:pos="1939" w:val="left"/>
        </w:tabs>
        <w:numPr>
          <w:ilvl w:val="1"/>
          <w:numId w:val="383"/>
        </w:numPr>
        <w:rPr>
          <w:rFonts w:ascii="Arial" w:cs="Arial" w:eastAsia="Arial" w:hAnsi="Arial"/>
          <w:sz w:val="21"/>
          <w:szCs w:val="21"/>
          <w:b w:val="1"/>
          <w:bCs w:val="1"/>
          <w:color w:val="auto"/>
        </w:rPr>
      </w:pPr>
      <w:r>
        <w:rPr>
          <w:rFonts w:ascii="Arial" w:cs="Arial" w:eastAsia="Arial" w:hAnsi="Arial"/>
          <w:sz w:val="21"/>
          <w:szCs w:val="21"/>
          <w:b w:val="1"/>
          <w:bCs w:val="1"/>
          <w:color w:val="auto"/>
        </w:rPr>
        <w:t>Company’s Successors</w:t>
      </w:r>
      <w:r>
        <w:rPr>
          <w:rFonts w:ascii="Arial" w:cs="Arial" w:eastAsia="Arial" w:hAnsi="Arial"/>
          <w:sz w:val="21"/>
          <w:szCs w:val="21"/>
          <w:color w:val="auto"/>
        </w:rPr>
        <w:t>. Any successor to the Company (whether direct or indirect and whether by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purchase, lease, merger, consolidation, liquidation or otherwise) to all or substantially all of the Company’s business and/or assets shall assume the Company’s, or ensure that the Company fully performs its, obligations under this Agreement and shall perform the Company’s, or ensure that the Company performs its, obligations, under this Agreement in the same manner and to the same extent as the Company would be required to perform such obligations in the absence of a succession. For all purposes under this Agreement, the term “Company” shall include any such successor. </w:t>
      </w:r>
      <w:r>
        <w:rPr>
          <w:rFonts w:ascii="Arial" w:cs="Arial" w:eastAsia="Arial" w:hAnsi="Arial"/>
          <w:sz w:val="21"/>
          <w:szCs w:val="21"/>
          <w:color w:val="191919"/>
        </w:rPr>
        <w:t>In the case of any transaction in which a successor would not</w:t>
      </w:r>
      <w:r>
        <w:rPr>
          <w:rFonts w:ascii="Arial" w:cs="Arial" w:eastAsia="Arial" w:hAnsi="Arial"/>
          <w:sz w:val="21"/>
          <w:szCs w:val="21"/>
          <w:color w:val="auto"/>
        </w:rPr>
        <w:t xml:space="preserve"> </w:t>
      </w:r>
      <w:r>
        <w:rPr>
          <w:rFonts w:ascii="Arial" w:cs="Arial" w:eastAsia="Arial" w:hAnsi="Arial"/>
          <w:sz w:val="21"/>
          <w:szCs w:val="21"/>
          <w:color w:val="191919"/>
        </w:rPr>
        <w:t>by the foregoing provision or by operation of law be bound by this Agreement, the Company shall require any successor to the Company to expressly and unconditionally assume this Agreement in writing and honor the obligations of the Company hereunder, in the same manner and to the same extent that the Company would be required to perform if no succession had taken place.</w:t>
      </w:r>
    </w:p>
    <w:p>
      <w:pPr>
        <w:spacing w:after="0" w:line="180" w:lineRule="exact"/>
        <w:rPr>
          <w:rFonts w:ascii="Arial" w:cs="Arial" w:eastAsia="Arial" w:hAnsi="Arial"/>
          <w:sz w:val="21"/>
          <w:szCs w:val="21"/>
          <w:b w:val="1"/>
          <w:bCs w:val="1"/>
          <w:color w:val="auto"/>
        </w:rPr>
      </w:pPr>
    </w:p>
    <w:p>
      <w:pPr>
        <w:jc w:val="both"/>
        <w:ind w:firstLine="1304"/>
        <w:spacing w:after="0" w:line="289" w:lineRule="auto"/>
        <w:tabs>
          <w:tab w:leader="none" w:pos="1938" w:val="left"/>
        </w:tabs>
        <w:numPr>
          <w:ilvl w:val="1"/>
          <w:numId w:val="383"/>
        </w:numPr>
        <w:rPr>
          <w:rFonts w:ascii="Arial" w:cs="Arial" w:eastAsia="Arial" w:hAnsi="Arial"/>
          <w:sz w:val="19"/>
          <w:szCs w:val="19"/>
          <w:b w:val="1"/>
          <w:bCs w:val="1"/>
          <w:color w:val="auto"/>
        </w:rPr>
      </w:pPr>
      <w:r>
        <w:rPr>
          <w:rFonts w:ascii="Arial" w:cs="Arial" w:eastAsia="Arial" w:hAnsi="Arial"/>
          <w:sz w:val="19"/>
          <w:szCs w:val="19"/>
          <w:b w:val="1"/>
          <w:bCs w:val="1"/>
          <w:color w:val="auto"/>
        </w:rPr>
        <w:t>Executive’s Successors</w:t>
      </w:r>
      <w:r>
        <w:rPr>
          <w:rFonts w:ascii="Arial" w:cs="Arial" w:eastAsia="Arial" w:hAnsi="Arial"/>
          <w:sz w:val="19"/>
          <w:szCs w:val="19"/>
          <w:color w:val="auto"/>
        </w:rPr>
        <w:t>. Without the written consent of the Company, Executive shall not assign or</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any right or obligation under this Agreement to any other person or entity. Notwithstanding the foregoing, the terms of this Agreement and all rights, benefits and payments of Executive hereunder shall inure to the benefit of, and be enforceable by, Executive’s personal or legal representatives, executors, administrators, successors, heirs, distributees, devisees and legatees.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4" w:right="339" w:bottom="1440" w:gutter="0" w:footer="0" w:header="0"/>
        </w:sectPr>
      </w:pPr>
    </w:p>
    <w:bookmarkStart w:id="448" w:name="page449"/>
    <w:bookmarkEnd w:id="448"/>
    <w:p>
      <w:pPr>
        <w:ind w:left="1300" w:hanging="644"/>
        <w:spacing w:after="0"/>
        <w:tabs>
          <w:tab w:leader="none" w:pos="1300" w:val="left"/>
        </w:tabs>
        <w:numPr>
          <w:ilvl w:val="0"/>
          <w:numId w:val="38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304"/>
        <w:spacing w:after="0" w:line="283" w:lineRule="auto"/>
        <w:tabs>
          <w:tab w:leader="none" w:pos="1939" w:val="left"/>
        </w:tabs>
        <w:numPr>
          <w:ilvl w:val="1"/>
          <w:numId w:val="384"/>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Notices and all other communications contemplated by this Agreement shall be in writing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to have been duly given when personally delivered or when mailed by U.S. registered or certified mail, return receipt requested and postage prepaid. In the case of Executive, mailed notices shall be addressed to Executive at the home address which Executive’s most recently communicated to the Company in writing. In the case of the Company, mailed notices shall be addressed to its corporate headquarters, and all notices shall be directed to the attention of its Secretary.</w:t>
      </w:r>
    </w:p>
    <w:p>
      <w:pPr>
        <w:spacing w:after="0" w:line="142" w:lineRule="exact"/>
        <w:rPr>
          <w:rFonts w:ascii="Arial" w:cs="Arial" w:eastAsia="Arial" w:hAnsi="Arial"/>
          <w:sz w:val="19"/>
          <w:szCs w:val="19"/>
          <w:b w:val="1"/>
          <w:bCs w:val="1"/>
          <w:color w:val="auto"/>
        </w:rPr>
      </w:pPr>
    </w:p>
    <w:p>
      <w:pPr>
        <w:jc w:val="both"/>
        <w:ind w:firstLine="1304"/>
        <w:spacing w:after="0" w:line="243" w:lineRule="auto"/>
        <w:tabs>
          <w:tab w:leader="none" w:pos="1938" w:val="left"/>
        </w:tabs>
        <w:numPr>
          <w:ilvl w:val="1"/>
          <w:numId w:val="384"/>
        </w:numPr>
        <w:rPr>
          <w:rFonts w:ascii="Arial" w:cs="Arial" w:eastAsia="Arial" w:hAnsi="Arial"/>
          <w:sz w:val="22"/>
          <w:szCs w:val="22"/>
          <w:b w:val="1"/>
          <w:bCs w:val="1"/>
          <w:color w:val="auto"/>
        </w:rPr>
      </w:pPr>
      <w:r>
        <w:rPr>
          <w:rFonts w:ascii="Arial" w:cs="Arial" w:eastAsia="Arial" w:hAnsi="Arial"/>
          <w:sz w:val="22"/>
          <w:szCs w:val="22"/>
          <w:b w:val="1"/>
          <w:bCs w:val="1"/>
          <w:color w:val="auto"/>
        </w:rPr>
        <w:t>Notice of Termination</w:t>
      </w:r>
      <w:r>
        <w:rPr>
          <w:rFonts w:ascii="Arial" w:cs="Arial" w:eastAsia="Arial" w:hAnsi="Arial"/>
          <w:sz w:val="22"/>
          <w:szCs w:val="22"/>
          <w:color w:val="auto"/>
        </w:rPr>
        <w:t>. Any termination by the Company with or without Cause or by Executive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a voluntary resignation for any reason shall be communicated by a notice of termination to the other party hereto given in accordance with this Agreement.</w:t>
      </w:r>
    </w:p>
    <w:p>
      <w:pPr>
        <w:spacing w:after="0" w:line="176" w:lineRule="exact"/>
        <w:rPr>
          <w:rFonts w:ascii="Arial" w:cs="Arial" w:eastAsia="Arial" w:hAnsi="Arial"/>
          <w:sz w:val="22"/>
          <w:szCs w:val="22"/>
          <w:b w:val="1"/>
          <w:bCs w:val="1"/>
          <w:color w:val="auto"/>
        </w:rPr>
      </w:pPr>
    </w:p>
    <w:p>
      <w:pPr>
        <w:jc w:val="both"/>
        <w:ind w:firstLine="656"/>
        <w:spacing w:after="0" w:line="269" w:lineRule="auto"/>
        <w:tabs>
          <w:tab w:leader="none" w:pos="1296" w:val="left"/>
        </w:tabs>
        <w:numPr>
          <w:ilvl w:val="0"/>
          <w:numId w:val="384"/>
        </w:numPr>
        <w:rPr>
          <w:rFonts w:ascii="Arial" w:cs="Arial" w:eastAsia="Arial" w:hAnsi="Arial"/>
          <w:sz w:val="19"/>
          <w:szCs w:val="19"/>
          <w:b w:val="1"/>
          <w:bCs w:val="1"/>
          <w:color w:val="auto"/>
        </w:rPr>
      </w:pPr>
      <w:r>
        <w:rPr>
          <w:rFonts w:ascii="Arial" w:cs="Arial" w:eastAsia="Arial" w:hAnsi="Arial"/>
          <w:sz w:val="19"/>
          <w:szCs w:val="19"/>
          <w:b w:val="1"/>
          <w:bCs w:val="1"/>
          <w:color w:val="auto"/>
        </w:rPr>
        <w:t>Arbitration</w:t>
      </w:r>
      <w:r>
        <w:rPr>
          <w:rFonts w:ascii="Arial" w:cs="Arial" w:eastAsia="Arial" w:hAnsi="Arial"/>
          <w:sz w:val="19"/>
          <w:szCs w:val="19"/>
          <w:color w:val="auto"/>
        </w:rPr>
        <w:t>. The Company and Executive shall attempt to settle any disputes arising in connection with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through good faith consultation. In the event that Executive and the Company are not able to resolve any such disputes within 15 days after notification in writing to the other (the “</w:t>
      </w:r>
      <w:r>
        <w:rPr>
          <w:rFonts w:ascii="Arial" w:cs="Arial" w:eastAsia="Arial" w:hAnsi="Arial"/>
          <w:sz w:val="19"/>
          <w:szCs w:val="19"/>
          <w:b w:val="1"/>
          <w:bCs w:val="1"/>
          <w:i w:val="1"/>
          <w:iCs w:val="1"/>
          <w:color w:val="auto"/>
        </w:rPr>
        <w:t>Initial Period</w:t>
      </w:r>
      <w:r>
        <w:rPr>
          <w:rFonts w:ascii="Arial" w:cs="Arial" w:eastAsia="Arial" w:hAnsi="Arial"/>
          <w:sz w:val="19"/>
          <w:szCs w:val="19"/>
          <w:color w:val="auto"/>
        </w:rPr>
        <w:t>”), any dispute or claim arising out of or in connection with this Agreement will be finally settled by binding arbitration in San Mateo County, California, in accordance with the process outlined in this Section 7. To ensure the timely and economical resolution of disputes that may arise in connection with Executive’s employment with the Company, Executive and the Company agree that, after the expiration of the Initial Period, any and all disputes, claims, or causes of action arising from or relating to the enforcement, breach, performance, negotiation, execution, or interpretation of this Agreement, or Executive’s employment, or the termination of Executive’s employment, including but not limited to all statutory claims, shall be resolved pursuant to the Federal Arbitration Act, 9 U.S.C. §1-16, and to the fullest extent permitted by law, by final, binding and confidential arbitration by a single arbitrator conducted by JAMS, Inc.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under the then applicable JAMS rules (available upon request and also currently available at http://www.jamsadr.com/rules-employment-arbitration</w:t>
      </w:r>
      <w:r>
        <w:rPr>
          <w:rFonts w:ascii="Arial" w:cs="Arial" w:eastAsia="Arial" w:hAnsi="Arial"/>
          <w:sz w:val="19"/>
          <w:szCs w:val="19"/>
          <w:u w:val="single" w:color="auto"/>
          <w:color w:val="0563C1"/>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By agreeing to this arbitration procedure, both Executive and the</w:t>
      </w:r>
    </w:p>
    <w:p>
      <w:pPr>
        <w:spacing w:after="0" w:line="1" w:lineRule="exact"/>
        <w:rPr>
          <w:rFonts w:ascii="Arial" w:cs="Arial" w:eastAsia="Arial" w:hAnsi="Arial"/>
          <w:sz w:val="19"/>
          <w:szCs w:val="19"/>
          <w:b w:val="1"/>
          <w:bCs w:val="1"/>
          <w:color w:val="auto"/>
        </w:rPr>
      </w:pPr>
    </w:p>
    <w:p>
      <w:pPr>
        <w:jc w:val="both"/>
        <w:spacing w:after="0" w:line="270" w:lineRule="auto"/>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Company waive the right to resolve any such dispute through a trial by jury or judge or administrative proceeding and agree that the arbitrator’s award shall be final and binding on both parties. This arbitration provision is to be construed as broadly as is permissible under applicable law. </w:t>
      </w:r>
      <w:r>
        <w:rPr>
          <w:rFonts w:ascii="Arial" w:cs="Arial" w:eastAsia="Arial" w:hAnsi="Arial"/>
          <w:sz w:val="19"/>
          <w:szCs w:val="19"/>
          <w:color w:val="auto"/>
        </w:rPr>
        <w:t>The Company acknowledges that Executive will have the right to be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8" w:right="339" w:bottom="1440" w:gutter="0" w:footer="0" w:header="0"/>
        </w:sectPr>
      </w:pPr>
    </w:p>
    <w:bookmarkStart w:id="449" w:name="page450"/>
    <w:bookmarkEnd w:id="449"/>
    <w:p>
      <w:pPr>
        <w:spacing w:after="0"/>
        <w:rPr>
          <w:sz w:val="20"/>
          <w:szCs w:val="20"/>
          <w:color w:val="auto"/>
        </w:rPr>
      </w:pPr>
      <w:r>
        <w:rPr>
          <w:rFonts w:ascii="Arial" w:cs="Arial" w:eastAsia="Arial" w:hAnsi="Arial"/>
          <w:sz w:val="19"/>
          <w:szCs w:val="19"/>
          <w:color w:val="auto"/>
        </w:rPr>
        <w:t>such arbitrations may be entered and enforced as judgments in the federal and state courts of any competent jurisdiction.</w:t>
      </w:r>
    </w:p>
    <w:p>
      <w:pPr>
        <w:spacing w:after="0" w:line="235" w:lineRule="exact"/>
        <w:rPr>
          <w:sz w:val="20"/>
          <w:szCs w:val="20"/>
          <w:color w:val="auto"/>
        </w:rPr>
      </w:pPr>
    </w:p>
    <w:p>
      <w:pPr>
        <w:ind w:left="1300" w:hanging="644"/>
        <w:spacing w:after="0"/>
        <w:tabs>
          <w:tab w:leader="none" w:pos="1300" w:val="left"/>
        </w:tabs>
        <w:numPr>
          <w:ilvl w:val="0"/>
          <w:numId w:val="385"/>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 of Terms</w:t>
      </w:r>
      <w:r>
        <w:rPr>
          <w:rFonts w:ascii="Arial" w:cs="Arial" w:eastAsia="Arial" w:hAnsi="Arial"/>
          <w:sz w:val="21"/>
          <w:szCs w:val="21"/>
          <w:color w:val="auto"/>
        </w:rPr>
        <w:t>. The following terms referred to in this Agreement shall have the following meanings:</w:t>
      </w:r>
    </w:p>
    <w:p>
      <w:pPr>
        <w:spacing w:after="0" w:line="217" w:lineRule="exact"/>
        <w:rPr>
          <w:rFonts w:ascii="Arial" w:cs="Arial" w:eastAsia="Arial" w:hAnsi="Arial"/>
          <w:sz w:val="21"/>
          <w:szCs w:val="21"/>
          <w:b w:val="1"/>
          <w:bCs w:val="1"/>
          <w:color w:val="auto"/>
        </w:rPr>
      </w:pPr>
    </w:p>
    <w:p>
      <w:pPr>
        <w:jc w:val="both"/>
        <w:ind w:firstLine="1304"/>
        <w:spacing w:after="0" w:line="274" w:lineRule="auto"/>
        <w:tabs>
          <w:tab w:leader="none" w:pos="1939" w:val="left"/>
        </w:tabs>
        <w:numPr>
          <w:ilvl w:val="1"/>
          <w:numId w:val="385"/>
        </w:numPr>
        <w:rPr>
          <w:rFonts w:ascii="Arial" w:cs="Arial" w:eastAsia="Arial" w:hAnsi="Arial"/>
          <w:sz w:val="19"/>
          <w:szCs w:val="19"/>
          <w:b w:val="1"/>
          <w:bCs w:val="1"/>
          <w:color w:val="auto"/>
        </w:rPr>
      </w:pPr>
      <w:r>
        <w:rPr>
          <w:rFonts w:ascii="Arial" w:cs="Arial" w:eastAsia="Arial" w:hAnsi="Arial"/>
          <w:sz w:val="19"/>
          <w:szCs w:val="19"/>
          <w:b w:val="1"/>
          <w:bCs w:val="1"/>
          <w:color w:val="auto"/>
        </w:rPr>
        <w:t>Cause</w:t>
      </w:r>
      <w:r>
        <w:rPr>
          <w:rFonts w:ascii="Arial" w:cs="Arial" w:eastAsia="Arial" w:hAnsi="Arial"/>
          <w:sz w:val="19"/>
          <w:szCs w:val="19"/>
          <w:color w:val="auto"/>
        </w:rPr>
        <w: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of Executive’s employment will exist if Executive is terminated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for any of the following reasons: (i) Executive’s commission of any material act of dishonesty which is injurious to the Company; (ii) Executive’s conviction of a felony or any crime involving moral turpitude; (iii) Executive’s willful commission of any action that has caused or is reasonably expected to result in material harm to the business or the reputation of the Company (excluding any action taken in good faith); (iv) Executive’s willful and material violation of any duty or obligation owed by Executive to the Company which causes or is reasonably expected to cause material injury to the Company; (v) Executive’s material breach of any of Executive’s obligations under any written agreement or covenant with the Company, including but not limited to Executive’s Confidentiality and Intellectual Property Agreement; or (vi) Executive’s repeated refusal to substantially perform Executive’s assigned duties (</w:t>
      </w:r>
      <w:r>
        <w:rPr>
          <w:rFonts w:ascii="Arial" w:cs="Arial" w:eastAsia="Arial" w:hAnsi="Arial"/>
          <w:sz w:val="19"/>
          <w:szCs w:val="19"/>
          <w:color w:val="191919"/>
        </w:rPr>
        <w:t>other than any such failure resulting from incapacity due to physical or mental illness)</w:t>
      </w:r>
      <w:r>
        <w:rPr>
          <w:rFonts w:ascii="Arial" w:cs="Arial" w:eastAsia="Arial" w:hAnsi="Arial"/>
          <w:sz w:val="19"/>
          <w:szCs w:val="19"/>
          <w:color w:val="auto"/>
        </w:rPr>
        <w:t>. The term “Company” will be interpreted to include any subsidiary, parent or affiliate of the Company, as appropriate.</w:t>
      </w:r>
    </w:p>
    <w:p>
      <w:pPr>
        <w:spacing w:after="0" w:line="151" w:lineRule="exact"/>
        <w:rPr>
          <w:rFonts w:ascii="Arial" w:cs="Arial" w:eastAsia="Arial" w:hAnsi="Arial"/>
          <w:sz w:val="19"/>
          <w:szCs w:val="19"/>
          <w:b w:val="1"/>
          <w:bCs w:val="1"/>
          <w:color w:val="auto"/>
        </w:rPr>
      </w:pPr>
    </w:p>
    <w:p>
      <w:pPr>
        <w:jc w:val="both"/>
        <w:ind w:firstLine="1304"/>
        <w:spacing w:after="0" w:line="243" w:lineRule="auto"/>
        <w:tabs>
          <w:tab w:leader="none" w:pos="1938" w:val="left"/>
        </w:tabs>
        <w:numPr>
          <w:ilvl w:val="1"/>
          <w:numId w:val="385"/>
        </w:numPr>
        <w:rPr>
          <w:rFonts w:ascii="Arial" w:cs="Arial" w:eastAsia="Arial" w:hAnsi="Arial"/>
          <w:sz w:val="21"/>
          <w:szCs w:val="21"/>
          <w:b w:val="1"/>
          <w:bCs w:val="1"/>
          <w:color w:val="auto"/>
        </w:rPr>
      </w:pPr>
      <w:r>
        <w:rPr>
          <w:rFonts w:ascii="Arial" w:cs="Arial" w:eastAsia="Arial" w:hAnsi="Arial"/>
          <w:sz w:val="21"/>
          <w:szCs w:val="21"/>
          <w:b w:val="1"/>
          <w:bCs w:val="1"/>
          <w:color w:val="auto"/>
        </w:rPr>
        <w:t>Change of Control</w:t>
      </w:r>
      <w:r>
        <w:rPr>
          <w:rFonts w:ascii="Arial" w:cs="Arial" w:eastAsia="Arial" w:hAnsi="Arial"/>
          <w:sz w:val="21"/>
          <w:szCs w:val="21"/>
          <w:color w:val="auto"/>
        </w:rPr>
        <w:t>. “</w:t>
      </w:r>
      <w:r>
        <w:rPr>
          <w:rFonts w:ascii="Arial" w:cs="Arial" w:eastAsia="Arial" w:hAnsi="Arial"/>
          <w:sz w:val="21"/>
          <w:szCs w:val="21"/>
          <w:b w:val="1"/>
          <w:bCs w:val="1"/>
          <w:i w:val="1"/>
          <w:iCs w:val="1"/>
          <w:color w:val="auto"/>
        </w:rPr>
        <w:t>Change of Control</w:t>
      </w:r>
      <w:r>
        <w:rPr>
          <w:rFonts w:ascii="Arial" w:cs="Arial" w:eastAsia="Arial" w:hAnsi="Arial"/>
          <w:sz w:val="21"/>
          <w:szCs w:val="21"/>
          <w:color w:val="auto"/>
        </w:rPr>
        <w:t>” means (1) a sale of all or substantially all of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assets, (2) any merger, consolidation or other business combination transaction of the Company with or into another corporation, entity or person, other than a transaction in which the holders of at least a majority of the shares of voting capital stock of the Company outstanding immediately prior to such transaction continue to hold (either by such shares remaining outstanding or by their being converted into shares of voting capital stock of the surviving entity) a majority of the total voting power represented by the shares of voting capital stock of the Company (or the surviving entity) outstanding immediately after such transaction, (3)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 or (4) a contested election of Directors, as a result of which or in connection with which the persons who were Directors before such election or their nominees (the “</w:t>
      </w:r>
      <w:r>
        <w:rPr>
          <w:rFonts w:ascii="Arial" w:cs="Arial" w:eastAsia="Arial" w:hAnsi="Arial"/>
          <w:sz w:val="21"/>
          <w:szCs w:val="21"/>
          <w:b w:val="1"/>
          <w:bCs w:val="1"/>
          <w:i w:val="1"/>
          <w:iCs w:val="1"/>
          <w:color w:val="auto"/>
        </w:rPr>
        <w:t>Incumbent Directors</w:t>
      </w:r>
      <w:r>
        <w:rPr>
          <w:rFonts w:ascii="Arial" w:cs="Arial" w:eastAsia="Arial" w:hAnsi="Arial"/>
          <w:sz w:val="21"/>
          <w:szCs w:val="21"/>
          <w:color w:val="auto"/>
        </w:rPr>
        <w:t>”) cease to constitute a majority of the Board; provided however that if the election or nomination for election by the Company’s shareholders, of any new Director was approved by a vote of at least 50% of the Incumbent Directors, such new Director shall be considered as an Incumbent Director. Notwithstanding the foregoing, to the extent required for compliance with Section 409A of the Code, in no event will a Change of Control be deemed to have occurred if such transaction is not also a “change in the ownership or effective control of” the Company or “a change in the ownership of a substantial portion of the assets of” the Company as determined under Treasury Regulations Section 1.409A-3(i)(5) (without regard to any alternative definition thereunder).</w:t>
      </w:r>
    </w:p>
    <w:p>
      <w:pPr>
        <w:spacing w:after="0" w:line="190" w:lineRule="exact"/>
        <w:rPr>
          <w:rFonts w:ascii="Arial" w:cs="Arial" w:eastAsia="Arial" w:hAnsi="Arial"/>
          <w:sz w:val="21"/>
          <w:szCs w:val="21"/>
          <w:b w:val="1"/>
          <w:bCs w:val="1"/>
          <w:color w:val="auto"/>
        </w:rPr>
      </w:pPr>
    </w:p>
    <w:p>
      <w:pPr>
        <w:jc w:val="both"/>
        <w:ind w:firstLine="1304"/>
        <w:spacing w:after="0" w:line="243" w:lineRule="auto"/>
        <w:tabs>
          <w:tab w:leader="none" w:pos="1941" w:val="left"/>
        </w:tabs>
        <w:numPr>
          <w:ilvl w:val="1"/>
          <w:numId w:val="385"/>
        </w:numPr>
        <w:rPr>
          <w:rFonts w:ascii="Arial" w:cs="Arial" w:eastAsia="Arial" w:hAnsi="Arial"/>
          <w:sz w:val="22"/>
          <w:szCs w:val="22"/>
          <w:b w:val="1"/>
          <w:bCs w:val="1"/>
          <w:color w:val="auto"/>
        </w:rPr>
      </w:pPr>
      <w:r>
        <w:rPr>
          <w:rFonts w:ascii="Arial" w:cs="Arial" w:eastAsia="Arial" w:hAnsi="Arial"/>
          <w:sz w:val="22"/>
          <w:szCs w:val="22"/>
          <w:b w:val="1"/>
          <w:bCs w:val="1"/>
          <w:color w:val="auto"/>
        </w:rPr>
        <w:t>Good Reason</w:t>
      </w:r>
      <w:r>
        <w:rPr>
          <w:rFonts w:ascii="Arial" w:cs="Arial" w:eastAsia="Arial" w:hAnsi="Arial"/>
          <w:sz w:val="22"/>
          <w:szCs w:val="22"/>
          <w:color w:val="auto"/>
        </w:rPr>
        <w:t>. “</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for Executive’s resignation of Executive’s employment shall exist</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occurrence of any of the following without Executive’s written consent: (i) a material reduction in job duties, responsibilities, title or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450" w:name="page451"/>
    <w:bookmarkEnd w:id="450"/>
    <w:p>
      <w:pPr>
        <w:jc w:val="both"/>
        <w:spacing w:after="0" w:line="244" w:lineRule="auto"/>
        <w:rPr>
          <w:sz w:val="20"/>
          <w:szCs w:val="20"/>
          <w:color w:val="auto"/>
        </w:rPr>
      </w:pPr>
      <w:r>
        <w:rPr>
          <w:rFonts w:ascii="Arial" w:cs="Arial" w:eastAsia="Arial" w:hAnsi="Arial"/>
          <w:sz w:val="21"/>
          <w:szCs w:val="21"/>
          <w:color w:val="auto"/>
        </w:rPr>
        <w:t xml:space="preserve">inconsistent with Executive’s position with the Company; (ii) a material reduction of Executive’s then current base salary, representing a reduction of more than 5% of Executive’s then current base salary; (iii) the relocation of Executive’s principal place of employment to a place that increases Executive’s one-way commute by more than 35 miles as compared to Executive’s then current principal place of employment immediately prior to such relocation; (iv) a material reduction in Executive’s target annual bonus opportunity; or (v) the Company’s failure to obtain </w:t>
      </w:r>
      <w:r>
        <w:rPr>
          <w:rFonts w:ascii="Arial" w:cs="Arial" w:eastAsia="Arial" w:hAnsi="Arial"/>
          <w:sz w:val="21"/>
          <w:szCs w:val="21"/>
          <w:color w:val="191919"/>
        </w:rPr>
        <w:t>an</w:t>
      </w:r>
      <w:r>
        <w:rPr>
          <w:rFonts w:ascii="Arial" w:cs="Arial" w:eastAsia="Arial" w:hAnsi="Arial"/>
          <w:sz w:val="21"/>
          <w:szCs w:val="21"/>
          <w:color w:val="auto"/>
        </w:rPr>
        <w:t xml:space="preserve"> </w:t>
      </w:r>
      <w:r>
        <w:rPr>
          <w:rFonts w:ascii="Arial" w:cs="Arial" w:eastAsia="Arial" w:hAnsi="Arial"/>
          <w:sz w:val="21"/>
          <w:szCs w:val="21"/>
          <w:color w:val="1C1C1C"/>
        </w:rPr>
        <w:t>agreement</w:t>
      </w:r>
      <w:r>
        <w:rPr>
          <w:rFonts w:ascii="Arial" w:cs="Arial" w:eastAsia="Arial" w:hAnsi="Arial"/>
          <w:sz w:val="21"/>
          <w:szCs w:val="21"/>
          <w:color w:val="auto"/>
        </w:rPr>
        <w:t xml:space="preserve"> </w:t>
      </w:r>
      <w:r>
        <w:rPr>
          <w:rFonts w:ascii="Arial" w:cs="Arial" w:eastAsia="Arial" w:hAnsi="Arial"/>
          <w:sz w:val="21"/>
          <w:szCs w:val="21"/>
          <w:color w:val="191919"/>
        </w:rPr>
        <w:t>from any successor to the Company to assume</w:t>
      </w:r>
      <w:r>
        <w:rPr>
          <w:rFonts w:ascii="Arial" w:cs="Arial" w:eastAsia="Arial" w:hAnsi="Arial"/>
          <w:sz w:val="21"/>
          <w:szCs w:val="21"/>
          <w:color w:val="auto"/>
        </w:rPr>
        <w:t xml:space="preserve"> </w:t>
      </w:r>
      <w:r>
        <w:rPr>
          <w:rFonts w:ascii="Arial" w:cs="Arial" w:eastAsia="Arial" w:hAnsi="Arial"/>
          <w:sz w:val="21"/>
          <w:szCs w:val="21"/>
          <w:color w:val="191919"/>
        </w:rPr>
        <w:t>and agree to perform the obligations under this Agreement in the same manner and to the same extent that the Company would be required to perform, except where such assumption occurs by operation of law</w:t>
      </w:r>
      <w:r>
        <w:rPr>
          <w:rFonts w:ascii="Arial" w:cs="Arial" w:eastAsia="Arial" w:hAnsi="Arial"/>
          <w:sz w:val="21"/>
          <w:szCs w:val="21"/>
          <w:color w:val="000000"/>
        </w:rPr>
        <w:t>;</w:t>
      </w:r>
      <w:r>
        <w:rPr>
          <w:rFonts w:ascii="Arial" w:cs="Arial" w:eastAsia="Arial" w:hAnsi="Arial"/>
          <w:sz w:val="21"/>
          <w:szCs w:val="21"/>
          <w:color w:val="191919"/>
        </w:rPr>
        <w:t xml:space="preserve"> </w:t>
      </w:r>
      <w:r>
        <w:rPr>
          <w:rFonts w:ascii="Arial" w:cs="Arial" w:eastAsia="Arial" w:hAnsi="Arial"/>
          <w:sz w:val="21"/>
          <w:szCs w:val="21"/>
          <w:i w:val="1"/>
          <w:iCs w:val="1"/>
          <w:color w:val="000000"/>
        </w:rPr>
        <w:t>provided</w:t>
      </w:r>
      <w:r>
        <w:rPr>
          <w:rFonts w:ascii="Arial" w:cs="Arial" w:eastAsia="Arial" w:hAnsi="Arial"/>
          <w:sz w:val="21"/>
          <w:szCs w:val="21"/>
          <w:color w:val="000000"/>
        </w:rPr>
        <w:t>, that Executive gives written notice to</w:t>
      </w:r>
      <w:r>
        <w:rPr>
          <w:rFonts w:ascii="Arial" w:cs="Arial" w:eastAsia="Arial" w:hAnsi="Arial"/>
          <w:sz w:val="21"/>
          <w:szCs w:val="21"/>
          <w:color w:val="191919"/>
        </w:rPr>
        <w:t xml:space="preserve"> </w:t>
      </w:r>
      <w:r>
        <w:rPr>
          <w:rFonts w:ascii="Arial" w:cs="Arial" w:eastAsia="Arial" w:hAnsi="Arial"/>
          <w:sz w:val="21"/>
          <w:szCs w:val="21"/>
          <w:color w:val="000000"/>
        </w:rPr>
        <w:t>the Company of the event forming the basis of the termination for Good Reason within 60 days after the date on which the Company gives written notice to Executive of the Company’s affirmative decision to take an action set forth in clause (i), (ii), (iii), (iv) or (v) above, the Company fails to cure such basis for the Good Reason resignation within 30 days after receipt of Executive’s written notice and Executive terminates Executive’s employment within 90 days following the expiration of the cure period.</w:t>
      </w:r>
    </w:p>
    <w:p>
      <w:pPr>
        <w:spacing w:after="0" w:line="180" w:lineRule="exact"/>
        <w:rPr>
          <w:sz w:val="20"/>
          <w:szCs w:val="20"/>
          <w:color w:val="auto"/>
        </w:rPr>
      </w:pPr>
    </w:p>
    <w:p>
      <w:pPr>
        <w:ind w:left="1300" w:hanging="644"/>
        <w:spacing w:after="0"/>
        <w:tabs>
          <w:tab w:leader="none" w:pos="1300" w:val="left"/>
        </w:tabs>
        <w:numPr>
          <w:ilvl w:val="0"/>
          <w:numId w:val="38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304"/>
        <w:spacing w:after="0" w:line="235" w:lineRule="auto"/>
        <w:tabs>
          <w:tab w:leader="none" w:pos="1939" w:val="left"/>
        </w:tabs>
        <w:numPr>
          <w:ilvl w:val="1"/>
          <w:numId w:val="386"/>
        </w:numPr>
        <w:rPr>
          <w:rFonts w:ascii="Arial" w:cs="Arial" w:eastAsia="Arial" w:hAnsi="Arial"/>
          <w:sz w:val="22"/>
          <w:szCs w:val="22"/>
          <w:b w:val="1"/>
          <w:bCs w:val="1"/>
          <w:color w:val="auto"/>
        </w:rPr>
      </w:pPr>
      <w:r>
        <w:rPr>
          <w:rFonts w:ascii="Arial" w:cs="Arial" w:eastAsia="Arial" w:hAnsi="Arial"/>
          <w:sz w:val="22"/>
          <w:szCs w:val="22"/>
          <w:b w:val="1"/>
          <w:bCs w:val="1"/>
          <w:color w:val="auto"/>
        </w:rPr>
        <w:t>Executive Obligations</w:t>
      </w:r>
      <w:r>
        <w:rPr>
          <w:rFonts w:ascii="Arial" w:cs="Arial" w:eastAsia="Arial" w:hAnsi="Arial"/>
          <w:sz w:val="22"/>
          <w:szCs w:val="22"/>
          <w:color w:val="auto"/>
        </w:rPr>
        <w:t>. Notwithstanding anything to the contrary contained herein, payment of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COC Benefits or Severance Benefits, as applicable, will be conditioned upon (i) Executive continuing to comply with Executive’s obligations under the Confidentiality and Intellectual Property Agreement (or such similar form that Executive previously executed in connection with Executive’s employment) during the period of time in which Executive is receiving the COC Benefits or Severance Benefits, as applicable; and (ii) Executive’s resignation from all positions with the Company, any subsidiaries and affiliates, and the Board (as applicable), to be effective no later than the date of Separation from Service (or such other date as determined by the Board).</w:t>
      </w:r>
    </w:p>
    <w:p>
      <w:pPr>
        <w:spacing w:after="0" w:line="183" w:lineRule="exact"/>
        <w:rPr>
          <w:rFonts w:ascii="Arial" w:cs="Arial" w:eastAsia="Arial" w:hAnsi="Arial"/>
          <w:sz w:val="22"/>
          <w:szCs w:val="22"/>
          <w:b w:val="1"/>
          <w:bCs w:val="1"/>
          <w:color w:val="auto"/>
        </w:rPr>
      </w:pPr>
    </w:p>
    <w:p>
      <w:pPr>
        <w:jc w:val="both"/>
        <w:ind w:firstLine="1304"/>
        <w:spacing w:after="0" w:line="236" w:lineRule="auto"/>
        <w:tabs>
          <w:tab w:leader="none" w:pos="1938" w:val="left"/>
        </w:tabs>
        <w:numPr>
          <w:ilvl w:val="1"/>
          <w:numId w:val="386"/>
        </w:numPr>
        <w:rPr>
          <w:rFonts w:ascii="Arial" w:cs="Arial" w:eastAsia="Arial" w:hAnsi="Arial"/>
          <w:sz w:val="22"/>
          <w:szCs w:val="22"/>
          <w:b w:val="1"/>
          <w:bCs w:val="1"/>
          <w:color w:val="auto"/>
        </w:rPr>
      </w:pPr>
      <w:r>
        <w:rPr>
          <w:rFonts w:ascii="Arial" w:cs="Arial" w:eastAsia="Arial" w:hAnsi="Arial"/>
          <w:sz w:val="22"/>
          <w:szCs w:val="22"/>
          <w:b w:val="1"/>
          <w:bCs w:val="1"/>
          <w:color w:val="auto"/>
        </w:rPr>
        <w:t>Income and Employment Taxes</w:t>
      </w:r>
      <w:r>
        <w:rPr>
          <w:rFonts w:ascii="Arial" w:cs="Arial" w:eastAsia="Arial" w:hAnsi="Arial"/>
          <w:sz w:val="22"/>
          <w:szCs w:val="22"/>
          <w:color w:val="auto"/>
        </w:rPr>
        <w:t>. All amounts paid or provided under this Agreement shall be net of</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withholdings, and Executive shall be responsible for any additional taxes of any nature (including any penalties or interest that may apply to such taxes) that the Company reasonably determines apply to any payment made hereunder. Executive’s receipt of any benefit hereunder is conditioned on Executive’s satisfaction of any applicable withholding or similar obligations that apply to such benefit and any cash payment owed hereunder will be reduced to satisfy any such withholding or similar obligations that may apply.</w:t>
      </w:r>
    </w:p>
    <w:p>
      <w:pPr>
        <w:spacing w:after="0" w:line="181" w:lineRule="exact"/>
        <w:rPr>
          <w:rFonts w:ascii="Arial" w:cs="Arial" w:eastAsia="Arial" w:hAnsi="Arial"/>
          <w:sz w:val="22"/>
          <w:szCs w:val="22"/>
          <w:b w:val="1"/>
          <w:bCs w:val="1"/>
          <w:color w:val="auto"/>
        </w:rPr>
      </w:pPr>
    </w:p>
    <w:p>
      <w:pPr>
        <w:jc w:val="both"/>
        <w:ind w:firstLine="1304"/>
        <w:spacing w:after="0" w:line="246" w:lineRule="auto"/>
        <w:tabs>
          <w:tab w:leader="none" w:pos="1941" w:val="left"/>
        </w:tabs>
        <w:numPr>
          <w:ilvl w:val="1"/>
          <w:numId w:val="386"/>
        </w:numPr>
        <w:rPr>
          <w:rFonts w:ascii="Arial" w:cs="Arial" w:eastAsia="Arial" w:hAnsi="Arial"/>
          <w:sz w:val="21"/>
          <w:szCs w:val="21"/>
          <w:b w:val="1"/>
          <w:bCs w:val="1"/>
          <w:color w:val="auto"/>
        </w:rPr>
      </w:pPr>
      <w:r>
        <w:rPr>
          <w:rFonts w:ascii="Arial" w:cs="Arial" w:eastAsia="Arial" w:hAnsi="Arial"/>
          <w:sz w:val="21"/>
          <w:szCs w:val="21"/>
          <w:b w:val="1"/>
          <w:bCs w:val="1"/>
          <w:color w:val="auto"/>
        </w:rPr>
        <w:t>Alternative Method of Providing COBRA Benefit</w:t>
      </w:r>
      <w:r>
        <w:rPr>
          <w:rFonts w:ascii="Arial" w:cs="Arial" w:eastAsia="Arial" w:hAnsi="Arial"/>
          <w:sz w:val="21"/>
          <w:szCs w:val="21"/>
          <w:color w:val="auto"/>
        </w:rPr>
        <w:t>. If the Company determines, in its sole discretion,</w:t>
      </w:r>
      <w:r>
        <w:rPr>
          <w:rFonts w:ascii="Arial" w:cs="Arial" w:eastAsia="Arial" w:hAnsi="Arial"/>
          <w:sz w:val="21"/>
          <w:szCs w:val="21"/>
          <w:b w:val="1"/>
          <w:bCs w:val="1"/>
          <w:color w:val="auto"/>
        </w:rPr>
        <w:t xml:space="preserve"> </w:t>
      </w:r>
      <w:r>
        <w:rPr>
          <w:rFonts w:ascii="Arial" w:cs="Arial" w:eastAsia="Arial" w:hAnsi="Arial"/>
          <w:sz w:val="21"/>
          <w:szCs w:val="21"/>
          <w:color w:val="auto"/>
        </w:rPr>
        <w:t>that the Company cannot pay COBRA Premiums as provided in Section 2(a) or 2(b) without potentially incurring financial costs or penalties under applicable law (including, without limitation, Section 2716 of the Public Health Service Act), the Company shall in lieu thereof pay Executive a taxable cash amount, which payment shall be made regardless of whether Executive or Executive’s eligible dependents elect health care continuation coverage (the “</w:t>
      </w:r>
      <w:r>
        <w:rPr>
          <w:rFonts w:ascii="Arial" w:cs="Arial" w:eastAsia="Arial" w:hAnsi="Arial"/>
          <w:sz w:val="21"/>
          <w:szCs w:val="21"/>
          <w:b w:val="1"/>
          <w:bCs w:val="1"/>
          <w:i w:val="1"/>
          <w:iCs w:val="1"/>
          <w:color w:val="auto"/>
        </w:rPr>
        <w:t>Health Care Benefit Payment</w:t>
      </w:r>
      <w:r>
        <w:rPr>
          <w:rFonts w:ascii="Arial" w:cs="Arial" w:eastAsia="Arial" w:hAnsi="Arial"/>
          <w:sz w:val="21"/>
          <w:szCs w:val="21"/>
          <w:color w:val="auto"/>
        </w:rPr>
        <w:t>”). The Health Care Benefit Payment shall be paid in monthly installments over the same time period that the COBRA Premiums would otherwise have been paid on behalf of Executive as set forth in Section 2(a)(ii) or 2(b)(ii). The Health Care Benefit Payment shall be equal to the amount that the Company would have otherwise paid for COBRA Premiums (which amount shall be calculated based on the premium for the first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451" w:name="page452"/>
    <w:bookmarkEnd w:id="451"/>
    <w:p>
      <w:pPr>
        <w:spacing w:after="0"/>
        <w:rPr>
          <w:sz w:val="20"/>
          <w:szCs w:val="20"/>
          <w:color w:val="auto"/>
        </w:rPr>
      </w:pPr>
      <w:r>
        <w:rPr>
          <w:rFonts w:ascii="Arial" w:cs="Arial" w:eastAsia="Arial" w:hAnsi="Arial"/>
          <w:sz w:val="19"/>
          <w:szCs w:val="19"/>
          <w:color w:val="auto"/>
        </w:rPr>
        <w:t>of coverage), and shall be paid until the expiration of the COC COBRA Period or the Severance COBRA Period, as applicable.</w:t>
      </w:r>
    </w:p>
    <w:p>
      <w:pPr>
        <w:spacing w:after="0" w:line="235" w:lineRule="exact"/>
        <w:rPr>
          <w:sz w:val="20"/>
          <w:szCs w:val="20"/>
          <w:color w:val="auto"/>
        </w:rPr>
      </w:pPr>
    </w:p>
    <w:p>
      <w:pPr>
        <w:ind w:right="20" w:firstLine="1304"/>
        <w:spacing w:after="0" w:line="334" w:lineRule="auto"/>
        <w:tabs>
          <w:tab w:leader="none" w:pos="1938" w:val="left"/>
        </w:tabs>
        <w:numPr>
          <w:ilvl w:val="0"/>
          <w:numId w:val="387"/>
        </w:numPr>
        <w:rPr>
          <w:rFonts w:ascii="Arial" w:cs="Arial" w:eastAsia="Arial" w:hAnsi="Arial"/>
          <w:sz w:val="19"/>
          <w:szCs w:val="19"/>
          <w:b w:val="1"/>
          <w:bCs w:val="1"/>
          <w:color w:val="auto"/>
        </w:rPr>
      </w:pPr>
      <w:r>
        <w:rPr>
          <w:rFonts w:ascii="Arial" w:cs="Arial" w:eastAsia="Arial" w:hAnsi="Arial"/>
          <w:sz w:val="19"/>
          <w:szCs w:val="19"/>
          <w:b w:val="1"/>
          <w:bCs w:val="1"/>
          <w:color w:val="auto"/>
        </w:rPr>
        <w:t>No Duty to Mitigate</w:t>
      </w:r>
      <w:r>
        <w:rPr>
          <w:rFonts w:ascii="Arial" w:cs="Arial" w:eastAsia="Arial" w:hAnsi="Arial"/>
          <w:sz w:val="19"/>
          <w:szCs w:val="19"/>
          <w:color w:val="auto"/>
        </w:rPr>
        <w:t>. Executive shall not be required to mitigate the amount of any payment contemplated</w:t>
      </w:r>
      <w:r>
        <w:rPr>
          <w:rFonts w:ascii="Arial" w:cs="Arial" w:eastAsia="Arial" w:hAnsi="Arial"/>
          <w:sz w:val="19"/>
          <w:szCs w:val="19"/>
          <w:b w:val="1"/>
          <w:bCs w:val="1"/>
          <w:color w:val="auto"/>
        </w:rPr>
        <w:t xml:space="preserve"> </w:t>
      </w:r>
      <w:r>
        <w:rPr>
          <w:rFonts w:ascii="Arial" w:cs="Arial" w:eastAsia="Arial" w:hAnsi="Arial"/>
          <w:sz w:val="19"/>
          <w:szCs w:val="19"/>
          <w:color w:val="auto"/>
        </w:rPr>
        <w:t>by this Agreement, nor shall any such payment be reduced by any earnings that Executive may receive from any other source.</w:t>
      </w:r>
    </w:p>
    <w:p>
      <w:pPr>
        <w:spacing w:after="0" w:line="93" w:lineRule="exact"/>
        <w:rPr>
          <w:rFonts w:ascii="Arial" w:cs="Arial" w:eastAsia="Arial" w:hAnsi="Arial"/>
          <w:sz w:val="19"/>
          <w:szCs w:val="19"/>
          <w:b w:val="1"/>
          <w:bCs w:val="1"/>
          <w:color w:val="auto"/>
        </w:rPr>
      </w:pPr>
    </w:p>
    <w:p>
      <w:pPr>
        <w:jc w:val="both"/>
        <w:ind w:firstLine="1304"/>
        <w:spacing w:after="0" w:line="289" w:lineRule="auto"/>
        <w:tabs>
          <w:tab w:leader="none" w:pos="1941" w:val="left"/>
        </w:tabs>
        <w:numPr>
          <w:ilvl w:val="0"/>
          <w:numId w:val="387"/>
        </w:numPr>
        <w:rPr>
          <w:rFonts w:ascii="Arial" w:cs="Arial" w:eastAsia="Arial" w:hAnsi="Arial"/>
          <w:sz w:val="19"/>
          <w:szCs w:val="19"/>
          <w:b w:val="1"/>
          <w:bCs w:val="1"/>
          <w:color w:val="auto"/>
        </w:rPr>
      </w:pPr>
      <w:r>
        <w:rPr>
          <w:rFonts w:ascii="Arial" w:cs="Arial" w:eastAsia="Arial" w:hAnsi="Arial"/>
          <w:sz w:val="19"/>
          <w:szCs w:val="19"/>
          <w:b w:val="1"/>
          <w:bCs w:val="1"/>
          <w:color w:val="auto"/>
        </w:rPr>
        <w:t>Waiver</w:t>
      </w:r>
      <w:r>
        <w:rPr>
          <w:rFonts w:ascii="Arial" w:cs="Arial" w:eastAsia="Arial" w:hAnsi="Arial"/>
          <w:sz w:val="19"/>
          <w:szCs w:val="19"/>
          <w:color w:val="auto"/>
        </w:rPr>
        <w:t>. No provision of this Agreement may be waived or discharged unless the waiver or discharge is</w:t>
      </w:r>
      <w:r>
        <w:rPr>
          <w:rFonts w:ascii="Arial" w:cs="Arial" w:eastAsia="Arial" w:hAnsi="Arial"/>
          <w:sz w:val="19"/>
          <w:szCs w:val="19"/>
          <w:b w:val="1"/>
          <w:bCs w:val="1"/>
          <w:color w:val="auto"/>
        </w:rPr>
        <w:t xml:space="preserve"> </w:t>
      </w:r>
      <w:r>
        <w:rPr>
          <w:rFonts w:ascii="Arial" w:cs="Arial" w:eastAsia="Arial" w:hAnsi="Arial"/>
          <w:sz w:val="19"/>
          <w:szCs w:val="19"/>
          <w:color w:val="auto"/>
        </w:rPr>
        <w:t>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35" w:lineRule="exact"/>
        <w:rPr>
          <w:rFonts w:ascii="Arial" w:cs="Arial" w:eastAsia="Arial" w:hAnsi="Arial"/>
          <w:sz w:val="19"/>
          <w:szCs w:val="19"/>
          <w:b w:val="1"/>
          <w:bCs w:val="1"/>
          <w:color w:val="auto"/>
        </w:rPr>
      </w:pPr>
    </w:p>
    <w:p>
      <w:pPr>
        <w:jc w:val="both"/>
        <w:ind w:firstLine="1304"/>
        <w:spacing w:after="0" w:line="237" w:lineRule="auto"/>
        <w:tabs>
          <w:tab w:leader="none" w:pos="1944" w:val="left"/>
        </w:tabs>
        <w:numPr>
          <w:ilvl w:val="0"/>
          <w:numId w:val="387"/>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Agreement supersedes all prior or contemporaneous agreements, whether written or oral,</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subject matter of this Agreement including without limitation any severance provisions in any employment agreement or offer letter with the Company; provided that, for clarification purposes, this Agreement shall not affect any agreements between the Company and Executive regarding intellectual property matters, non-solicitation or non-competition restrictions or confidential information of the Company.</w:t>
      </w:r>
    </w:p>
    <w:p>
      <w:pPr>
        <w:spacing w:after="0" w:line="181" w:lineRule="exact"/>
        <w:rPr>
          <w:rFonts w:ascii="Arial" w:cs="Arial" w:eastAsia="Arial" w:hAnsi="Arial"/>
          <w:sz w:val="22"/>
          <w:szCs w:val="22"/>
          <w:b w:val="1"/>
          <w:bCs w:val="1"/>
          <w:color w:val="auto"/>
        </w:rPr>
      </w:pPr>
    </w:p>
    <w:p>
      <w:pPr>
        <w:ind w:right="20" w:firstLine="1304"/>
        <w:spacing w:after="0" w:line="256" w:lineRule="auto"/>
        <w:tabs>
          <w:tab w:leader="none" w:pos="1939" w:val="left"/>
        </w:tabs>
        <w:numPr>
          <w:ilvl w:val="0"/>
          <w:numId w:val="387"/>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r>
        <w:rPr>
          <w:rFonts w:ascii="Arial" w:cs="Arial" w:eastAsia="Arial" w:hAnsi="Arial"/>
          <w:sz w:val="22"/>
          <w:szCs w:val="22"/>
          <w:color w:val="auto"/>
        </w:rPr>
        <w:t>. The validity, interpretation, construction and performance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internal substantive laws, but not the conflicts of law rules, of the State of California.</w:t>
      </w:r>
    </w:p>
    <w:p>
      <w:pPr>
        <w:spacing w:after="0" w:line="162" w:lineRule="exact"/>
        <w:rPr>
          <w:rFonts w:ascii="Arial" w:cs="Arial" w:eastAsia="Arial" w:hAnsi="Arial"/>
          <w:sz w:val="22"/>
          <w:szCs w:val="22"/>
          <w:b w:val="1"/>
          <w:bCs w:val="1"/>
          <w:color w:val="auto"/>
        </w:rPr>
      </w:pPr>
    </w:p>
    <w:p>
      <w:pPr>
        <w:ind w:firstLine="1304"/>
        <w:spacing w:after="0" w:line="256" w:lineRule="auto"/>
        <w:tabs>
          <w:tab w:leader="none" w:pos="1938" w:val="left"/>
        </w:tabs>
        <w:numPr>
          <w:ilvl w:val="0"/>
          <w:numId w:val="387"/>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The invalidity or unenforceability of any provision or provisions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affect the validity or enforceability of any other provision hereof, which shall remain in full force and effect.</w:t>
      </w:r>
    </w:p>
    <w:p>
      <w:pPr>
        <w:spacing w:after="0" w:line="162" w:lineRule="exact"/>
        <w:rPr>
          <w:rFonts w:ascii="Arial" w:cs="Arial" w:eastAsia="Arial" w:hAnsi="Arial"/>
          <w:sz w:val="22"/>
          <w:szCs w:val="22"/>
          <w:b w:val="1"/>
          <w:bCs w:val="1"/>
          <w:color w:val="auto"/>
        </w:rPr>
      </w:pPr>
    </w:p>
    <w:p>
      <w:pPr>
        <w:jc w:val="both"/>
        <w:ind w:firstLine="1304"/>
        <w:spacing w:after="0" w:line="272" w:lineRule="auto"/>
        <w:tabs>
          <w:tab w:leader="none" w:pos="1932" w:val="left"/>
        </w:tabs>
        <w:numPr>
          <w:ilvl w:val="0"/>
          <w:numId w:val="387"/>
        </w:numPr>
        <w:rPr>
          <w:rFonts w:ascii="Arial" w:cs="Arial" w:eastAsia="Arial" w:hAnsi="Arial"/>
          <w:sz w:val="19"/>
          <w:szCs w:val="19"/>
          <w:b w:val="1"/>
          <w:bCs w:val="1"/>
          <w:color w:val="auto"/>
        </w:rPr>
      </w:pPr>
      <w:r>
        <w:rPr>
          <w:rFonts w:ascii="Arial" w:cs="Arial" w:eastAsia="Arial" w:hAnsi="Arial"/>
          <w:sz w:val="19"/>
          <w:szCs w:val="19"/>
          <w:b w:val="1"/>
          <w:bCs w:val="1"/>
          <w:color w:val="auto"/>
        </w:rPr>
        <w:t>Code Section 409A</w:t>
      </w:r>
      <w:r>
        <w:rPr>
          <w:rFonts w:ascii="Arial" w:cs="Arial" w:eastAsia="Arial" w:hAnsi="Arial"/>
          <w:sz w:val="19"/>
          <w:szCs w:val="19"/>
          <w:color w:val="auto"/>
        </w:rPr>
        <w:t>. It is intended that each installment of the payments and benefits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a separate “payment” for purposes of Treasury Regulation Section 1.409A-2(b)(2)(i). For the avoidance of doubt, it is intended that payments of the amounts set forth in this Agreement satisfy, to the greatest extent possible, the exemptions from the application of Section 409A of the Code (Section 409A of the Code, together, with any state law of similar effect,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409A</w:t>
      </w:r>
      <w:r>
        <w:rPr>
          <w:rFonts w:ascii="Arial" w:cs="Arial" w:eastAsia="Arial" w:hAnsi="Arial"/>
          <w:sz w:val="19"/>
          <w:szCs w:val="19"/>
          <w:color w:val="auto"/>
        </w:rPr>
        <w:t>”) provided under Treasury Regulations 1.409A-1(b)(4), 1.409A-1(b)(5) and 1.409A-1(b)(9). However, if the Company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if applicable, the successor entity thereto) determines that any severance payments and benefits provided under this Agreement (the “</w:t>
      </w:r>
      <w:r>
        <w:rPr>
          <w:rFonts w:ascii="Arial" w:cs="Arial" w:eastAsia="Arial" w:hAnsi="Arial"/>
          <w:sz w:val="19"/>
          <w:szCs w:val="19"/>
          <w:b w:val="1"/>
          <w:bCs w:val="1"/>
          <w:i w:val="1"/>
          <w:iCs w:val="1"/>
          <w:color w:val="auto"/>
        </w:rPr>
        <w:t>Agreement Payments</w:t>
      </w:r>
      <w:r>
        <w:rPr>
          <w:rFonts w:ascii="Arial" w:cs="Arial" w:eastAsia="Arial" w:hAnsi="Arial"/>
          <w:sz w:val="19"/>
          <w:szCs w:val="19"/>
          <w:color w:val="auto"/>
        </w:rPr>
        <w:t>”) constitute “deferred compensation” under Section 409A and Executive is, on the date of Executive’s Separation from Service, a “specified employee” of the Company or any successor entity thereto, as such term is defined in Section 409A(a)(2)(B)(i) of the Code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then, solely to the extent necessary to avoid the incurrence of the adverse personal tax consequences under Section 409A, the timing of the payment of such severance payments and/or benefits, as applicable, described in Sections 2(a) and 2(b) shall be delayed as follows: on the earlier to occur of (i) the date that is six months and one day after Executive’s Separation from Service or (ii) the date of Executive’s death (such earlier date, the “</w:t>
      </w:r>
      <w:r>
        <w:rPr>
          <w:rFonts w:ascii="Arial" w:cs="Arial" w:eastAsia="Arial" w:hAnsi="Arial"/>
          <w:sz w:val="19"/>
          <w:szCs w:val="19"/>
          <w:b w:val="1"/>
          <w:bCs w:val="1"/>
          <w:i w:val="1"/>
          <w:iCs w:val="1"/>
          <w:color w:val="auto"/>
        </w:rPr>
        <w:t>Delayed Initial Payment Date</w:t>
      </w:r>
      <w:r>
        <w:rPr>
          <w:rFonts w:ascii="Arial" w:cs="Arial" w:eastAsia="Arial" w:hAnsi="Arial"/>
          <w:sz w:val="19"/>
          <w:szCs w:val="19"/>
          <w:color w:val="auto"/>
        </w:rPr>
        <w:t>”), the Company (or the successor entity thereto, as applicable) shall pay to Executive a lump sum amount equal to the applicable benefit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4" w:right="339" w:bottom="1440" w:gutter="0" w:footer="0" w:header="0"/>
        </w:sectPr>
      </w:pPr>
    </w:p>
    <w:bookmarkStart w:id="452" w:name="page453"/>
    <w:bookmarkEnd w:id="452"/>
    <w:p>
      <w:pPr>
        <w:ind w:right="20"/>
        <w:spacing w:after="0" w:line="250" w:lineRule="auto"/>
        <w:rPr>
          <w:sz w:val="20"/>
          <w:szCs w:val="20"/>
          <w:color w:val="auto"/>
        </w:rPr>
      </w:pPr>
      <w:r>
        <w:rPr>
          <w:rFonts w:ascii="Arial" w:cs="Arial" w:eastAsia="Arial" w:hAnsi="Arial"/>
          <w:sz w:val="22"/>
          <w:szCs w:val="22"/>
          <w:color w:val="auto"/>
        </w:rPr>
        <w:t>Executive would otherwise have received through the Delayed Initial Payment Date if the commencement of the payment of the benefit had not been so delayed pursuant to this Section 9(i).</w:t>
      </w:r>
    </w:p>
    <w:p>
      <w:pPr>
        <w:spacing w:after="0" w:line="169" w:lineRule="exact"/>
        <w:rPr>
          <w:sz w:val="20"/>
          <w:szCs w:val="20"/>
          <w:color w:val="auto"/>
        </w:rPr>
      </w:pPr>
    </w:p>
    <w:p>
      <w:pPr>
        <w:ind w:right="20" w:firstLine="1304"/>
        <w:spacing w:after="0" w:line="256" w:lineRule="auto"/>
        <w:tabs>
          <w:tab w:leader="none" w:pos="1944" w:val="left"/>
        </w:tabs>
        <w:numPr>
          <w:ilvl w:val="0"/>
          <w:numId w:val="388"/>
        </w:numPr>
        <w:rPr>
          <w:rFonts w:ascii="Arial" w:cs="Arial" w:eastAsia="Arial" w:hAnsi="Arial"/>
          <w:sz w:val="22"/>
          <w:szCs w:val="22"/>
          <w:b w:val="1"/>
          <w:bCs w:val="1"/>
          <w:color w:val="auto"/>
        </w:rPr>
      </w:pPr>
      <w:r>
        <w:rPr>
          <w:rFonts w:ascii="Arial" w:cs="Arial" w:eastAsia="Arial" w:hAnsi="Arial"/>
          <w:sz w:val="22"/>
          <w:szCs w:val="22"/>
          <w:b w:val="1"/>
          <w:bCs w:val="1"/>
          <w:color w:val="auto"/>
        </w:rPr>
        <w:t>Legal Fees and Expenses</w:t>
      </w:r>
      <w:r>
        <w:rPr>
          <w:rFonts w:ascii="Arial" w:cs="Arial" w:eastAsia="Arial" w:hAnsi="Arial"/>
          <w:sz w:val="22"/>
          <w:szCs w:val="22"/>
          <w:color w:val="auto"/>
        </w:rPr>
        <w:t>. The parties shall each bear their own expenses, legal fees and other fees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in connection with the execution of this Agreement.</w:t>
      </w:r>
    </w:p>
    <w:p>
      <w:pPr>
        <w:spacing w:after="0" w:line="162" w:lineRule="exact"/>
        <w:rPr>
          <w:rFonts w:ascii="Arial" w:cs="Arial" w:eastAsia="Arial" w:hAnsi="Arial"/>
          <w:sz w:val="22"/>
          <w:szCs w:val="22"/>
          <w:b w:val="1"/>
          <w:bCs w:val="1"/>
          <w:color w:val="auto"/>
        </w:rPr>
      </w:pPr>
    </w:p>
    <w:p>
      <w:pPr>
        <w:jc w:val="both"/>
        <w:ind w:firstLine="1304"/>
        <w:spacing w:after="0" w:line="235" w:lineRule="auto"/>
        <w:tabs>
          <w:tab w:leader="none" w:pos="1938" w:val="left"/>
        </w:tabs>
        <w:numPr>
          <w:ilvl w:val="0"/>
          <w:numId w:val="388"/>
        </w:numPr>
        <w:rPr>
          <w:rFonts w:ascii="Arial" w:cs="Arial" w:eastAsia="Arial" w:hAnsi="Arial"/>
          <w:sz w:val="22"/>
          <w:szCs w:val="22"/>
          <w:b w:val="1"/>
          <w:bCs w:val="1"/>
          <w:color w:val="auto"/>
        </w:rPr>
      </w:pPr>
      <w:r>
        <w:rPr>
          <w:rFonts w:ascii="Arial" w:cs="Arial" w:eastAsia="Arial" w:hAnsi="Arial"/>
          <w:sz w:val="22"/>
          <w:szCs w:val="22"/>
          <w:b w:val="1"/>
          <w:bCs w:val="1"/>
          <w:color w:val="auto"/>
        </w:rPr>
        <w:t>Term; Termination</w:t>
      </w:r>
      <w:r>
        <w:rPr>
          <w:rFonts w:ascii="Arial" w:cs="Arial" w:eastAsia="Arial" w:hAnsi="Arial"/>
          <w:sz w:val="22"/>
          <w:szCs w:val="22"/>
          <w:color w:val="auto"/>
        </w:rPr>
        <w:t>. This Agreement shall be effective for an initial period of three (3) years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(the “</w:t>
      </w:r>
      <w:r>
        <w:rPr>
          <w:rFonts w:ascii="Arial" w:cs="Arial" w:eastAsia="Arial" w:hAnsi="Arial"/>
          <w:sz w:val="22"/>
          <w:szCs w:val="22"/>
          <w:b w:val="1"/>
          <w:bCs w:val="1"/>
          <w:i w:val="1"/>
          <w:iCs w:val="1"/>
          <w:color w:val="auto"/>
        </w:rPr>
        <w:t>Initial Term</w:t>
      </w:r>
      <w:r>
        <w:rPr>
          <w:rFonts w:ascii="Arial" w:cs="Arial" w:eastAsia="Arial" w:hAnsi="Arial"/>
          <w:sz w:val="22"/>
          <w:szCs w:val="22"/>
          <w:color w:val="auto"/>
        </w:rPr>
        <w:t>”) and, unless otherwise terminated pursuant to the terms of this Section 9(k), shall be automatically renewed thereafter for additional successive terms equal to one (1) year each (each a “</w:t>
      </w:r>
      <w:r>
        <w:rPr>
          <w:rFonts w:ascii="Arial" w:cs="Arial" w:eastAsia="Arial" w:hAnsi="Arial"/>
          <w:sz w:val="22"/>
          <w:szCs w:val="22"/>
          <w:b w:val="1"/>
          <w:bCs w:val="1"/>
          <w:i w:val="1"/>
          <w:iCs w:val="1"/>
          <w:color w:val="auto"/>
        </w:rPr>
        <w:t>Successive Term</w:t>
      </w:r>
      <w:r>
        <w:rPr>
          <w:rFonts w:ascii="Arial" w:cs="Arial" w:eastAsia="Arial" w:hAnsi="Arial"/>
          <w:sz w:val="22"/>
          <w:szCs w:val="22"/>
          <w:color w:val="auto"/>
        </w:rPr>
        <w:t>” and together with the Initial Term,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unless a notice of termination is issued by the Company no later than sixty (60) days prior to the end of the then current Term. This Agreement, and any rights granted hereunder, will terminate on the date all amounts to be paid by the Company (or any successor to the Company as contemplated in Section 5(a) above) to Executive hereunder are paid.</w:t>
      </w:r>
    </w:p>
    <w:p>
      <w:pPr>
        <w:spacing w:after="0" w:line="183" w:lineRule="exact"/>
        <w:rPr>
          <w:rFonts w:ascii="Arial" w:cs="Arial" w:eastAsia="Arial" w:hAnsi="Arial"/>
          <w:sz w:val="22"/>
          <w:szCs w:val="22"/>
          <w:b w:val="1"/>
          <w:bCs w:val="1"/>
          <w:color w:val="auto"/>
        </w:rPr>
      </w:pPr>
    </w:p>
    <w:p>
      <w:pPr>
        <w:ind w:firstLine="1304"/>
        <w:spacing w:after="0" w:line="256" w:lineRule="auto"/>
        <w:tabs>
          <w:tab w:leader="none" w:pos="1932" w:val="left"/>
        </w:tabs>
        <w:numPr>
          <w:ilvl w:val="0"/>
          <w:numId w:val="388"/>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162"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453" w:name="page454"/>
    <w:bookmarkEnd w:id="453"/>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set forth above.</w:t>
      </w:r>
    </w:p>
    <w:p>
      <w:pPr>
        <w:spacing w:after="0" w:line="274"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/s/ Kevin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24130</wp:posOffset>
            </wp:positionV>
            <wp:extent cx="2871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45" w:lineRule="exact"/>
        <w:rPr>
          <w:sz w:val="20"/>
          <w:szCs w:val="20"/>
          <w:color w:val="auto"/>
        </w:rPr>
      </w:pPr>
    </w:p>
    <w:p>
      <w:pPr>
        <w:ind w:left="6720"/>
        <w:spacing w:after="0"/>
        <w:rPr>
          <w:sz w:val="20"/>
          <w:szCs w:val="20"/>
          <w:color w:val="auto"/>
        </w:rPr>
      </w:pPr>
      <w:r>
        <w:rPr>
          <w:rFonts w:ascii="Arial" w:cs="Arial" w:eastAsia="Arial" w:hAnsi="Arial"/>
          <w:sz w:val="22"/>
          <w:szCs w:val="22"/>
          <w:b w:val="1"/>
          <w:bCs w:val="1"/>
          <w:color w:val="auto"/>
        </w:rPr>
        <w:t>Kevin Waters</w:t>
      </w:r>
    </w:p>
    <w:p>
      <w:pPr>
        <w:spacing w:after="0" w:line="334" w:lineRule="exact"/>
        <w:rPr>
          <w:sz w:val="20"/>
          <w:szCs w:val="20"/>
          <w:color w:val="auto"/>
        </w:rPr>
      </w:pPr>
    </w:p>
    <w:p>
      <w:pPr>
        <w:ind w:left="6080"/>
        <w:spacing w:after="0"/>
        <w:tabs>
          <w:tab w:leader="none" w:pos="67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September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24130</wp:posOffset>
            </wp:positionV>
            <wp:extent cx="24428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720"/>
        <w:spacing w:after="0"/>
        <w:rPr>
          <w:sz w:val="20"/>
          <w:szCs w:val="20"/>
          <w:color w:val="auto"/>
        </w:rPr>
      </w:pPr>
      <w:r>
        <w:rPr>
          <w:rFonts w:ascii="Arial" w:cs="Arial" w:eastAsia="Arial" w:hAnsi="Arial"/>
          <w:sz w:val="22"/>
          <w:szCs w:val="22"/>
          <w:b w:val="1"/>
          <w:bCs w:val="1"/>
          <w:color w:val="auto"/>
        </w:rPr>
        <w:t>PROCEPT BioRobotics Corporation</w:t>
      </w:r>
    </w:p>
    <w:p>
      <w:pPr>
        <w:spacing w:after="0" w:line="320" w:lineRule="exact"/>
        <w:rPr>
          <w:sz w:val="20"/>
          <w:szCs w:val="20"/>
          <w:color w:val="auto"/>
        </w:rPr>
      </w:pPr>
    </w:p>
    <w:p>
      <w:pPr>
        <w:ind w:left="6080"/>
        <w:spacing w:after="0"/>
        <w:tabs>
          <w:tab w:leader="none" w:pos="6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Alaleh Nouri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24130</wp:posOffset>
            </wp:positionV>
            <wp:extent cx="24428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1"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Name: Alaleh Nouri</w:t>
      </w:r>
    </w:p>
    <w:p>
      <w:pPr>
        <w:spacing w:after="0" w:line="328" w:lineRule="exact"/>
        <w:rPr>
          <w:sz w:val="20"/>
          <w:szCs w:val="20"/>
          <w:color w:val="auto"/>
        </w:rPr>
      </w:pPr>
    </w:p>
    <w:p>
      <w:pPr>
        <w:ind w:left="6760"/>
        <w:spacing w:after="0"/>
        <w:tabs>
          <w:tab w:leader="none" w:pos="7400" w:val="left"/>
          <w:tab w:leader="none" w:pos="8320" w:val="left"/>
          <w:tab w:leader="none" w:pos="9260" w:val="left"/>
          <w:tab w:leader="none" w:pos="9660" w:val="left"/>
        </w:tabs>
        <w:rPr>
          <w:sz w:val="20"/>
          <w:szCs w:val="20"/>
          <w:color w:val="auto"/>
        </w:rPr>
      </w:pPr>
      <w:r>
        <w:rPr>
          <w:rFonts w:ascii="Arial" w:cs="Arial" w:eastAsia="Arial" w:hAnsi="Arial"/>
          <w:sz w:val="22"/>
          <w:szCs w:val="22"/>
          <w:color w:val="auto"/>
        </w:rPr>
        <w:t>SVP,</w:t>
        <w:tab/>
        <w:t>General</w:t>
        <w:tab/>
        <w:t>Counsel</w:t>
        <w:tab/>
        <w:t>&amp;</w:t>
      </w:r>
      <w:r>
        <w:rPr>
          <w:sz w:val="20"/>
          <w:szCs w:val="20"/>
          <w:color w:val="auto"/>
        </w:rPr>
        <w:tab/>
      </w:r>
      <w:r>
        <w:rPr>
          <w:rFonts w:ascii="Arial" w:cs="Arial" w:eastAsia="Arial" w:hAnsi="Arial"/>
          <w:sz w:val="19"/>
          <w:szCs w:val="19"/>
          <w:color w:val="auto"/>
        </w:rPr>
        <w:t>Corporate</w:t>
      </w:r>
    </w:p>
    <w:p>
      <w:pPr>
        <w:spacing w:after="0" w:line="21" w:lineRule="exact"/>
        <w:rPr>
          <w:sz w:val="20"/>
          <w:szCs w:val="20"/>
          <w:color w:val="auto"/>
        </w:rPr>
      </w:pPr>
    </w:p>
    <w:p>
      <w:pPr>
        <w:ind w:left="6080"/>
        <w:spacing w:after="0"/>
        <w:tabs>
          <w:tab w:leader="none" w:pos="6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w:t>
      </w:r>
    </w:p>
    <w:p>
      <w:pPr>
        <w:spacing w:after="0" w:line="310" w:lineRule="exact"/>
        <w:rPr>
          <w:sz w:val="20"/>
          <w:szCs w:val="20"/>
          <w:color w:val="auto"/>
        </w:rPr>
      </w:pPr>
    </w:p>
    <w:p>
      <w:pPr>
        <w:ind w:left="6080"/>
        <w:spacing w:after="0"/>
        <w:tabs>
          <w:tab w:leader="none" w:pos="67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September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24130</wp:posOffset>
            </wp:positionV>
            <wp:extent cx="24428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10560"/>
          </w:cols>
          <w:pgMar w:left="980" w:top="1440" w:right="359" w:bottom="1440" w:gutter="0" w:footer="0" w:header="0"/>
        </w:sectPr>
      </w:pPr>
    </w:p>
    <w:bookmarkStart w:id="454" w:name="page455"/>
    <w:bookmarkEnd w:id="454"/>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In consideration of receiving certain benefits under my Change of Control and Severance Agreement with PROCEPT BioRobotics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dated [__________,] 2021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the Company’s agreement to the</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nondisparagement covenant set forth on Attachment A hereto, I have agreed to sign this Release. I understand that I am not entitled to benefits under the Agreement unless I sign this Release.</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 hereby confirm my obligations under my Confidentiality and Intellectual Property Agreement (or such similar form that I previously executed in connection with my employment) with the Company.</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Except as otherwise set forth in this Release, I hereby generally and completely release the Company and its current and former directors, officers, executives, shareholders, partners, agents, attorneys, predecessors, successors, parent and subsidiary entities, insurers, affiliates, and assigns (collectively,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 The Released Claims include, but are not limited to: (1) all claims arising out of or in any way related to my employment with the Company or its affiliates, or the termination of that employment;</w:t>
      </w:r>
    </w:p>
    <w:p>
      <w:pPr>
        <w:spacing w:after="0" w:line="1" w:lineRule="exact"/>
        <w:rPr>
          <w:sz w:val="20"/>
          <w:szCs w:val="20"/>
          <w:color w:val="auto"/>
        </w:rPr>
      </w:pPr>
    </w:p>
    <w:p>
      <w:pPr>
        <w:jc w:val="both"/>
        <w:ind w:firstLine="8"/>
        <w:spacing w:after="0" w:line="249" w:lineRule="auto"/>
        <w:tabs>
          <w:tab w:leader="none" w:pos="382" w:val="left"/>
        </w:tabs>
        <w:numPr>
          <w:ilvl w:val="0"/>
          <w:numId w:val="389"/>
        </w:numPr>
        <w:rPr>
          <w:rFonts w:ascii="Arial" w:cs="Arial" w:eastAsia="Arial" w:hAnsi="Arial"/>
          <w:sz w:val="20"/>
          <w:szCs w:val="20"/>
          <w:color w:val="auto"/>
        </w:rPr>
      </w:pPr>
      <w:r>
        <w:rPr>
          <w:rFonts w:ascii="Arial" w:cs="Arial" w:eastAsia="Arial" w:hAnsi="Arial"/>
          <w:sz w:val="20"/>
          <w:szCs w:val="20"/>
          <w:color w:val="auto"/>
        </w:rPr>
        <w:t>all claims related to my compensation or benefits, including salary, bonuses, commissions, vacation pay, expense reimbursements, severance pay, fringe benefits, stock, stock options,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20"/>
          <w:szCs w:val="20"/>
          <w:b w:val="1"/>
          <w:bCs w:val="1"/>
          <w:i w:val="1"/>
          <w:iCs w:val="1"/>
          <w:color w:val="auto"/>
        </w:rPr>
        <w:t>ADEA</w:t>
      </w:r>
      <w:r>
        <w:rPr>
          <w:rFonts w:ascii="Arial" w:cs="Arial" w:eastAsia="Arial" w:hAnsi="Arial"/>
          <w:sz w:val="20"/>
          <w:szCs w:val="20"/>
          <w:color w:val="auto"/>
        </w:rPr>
        <w:t>”),]</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the federal Employee Retirement Income Security Act of 1974 (as amended), the California Fair Employment and Housing Act, the California Labor Code, and the California Business &amp; Professions Code. Notwithstanding the foregoing, the following are not included in the Released Claims (the “</w:t>
      </w:r>
      <w:r>
        <w:rPr>
          <w:rFonts w:ascii="Arial" w:cs="Arial" w:eastAsia="Arial" w:hAnsi="Arial"/>
          <w:sz w:val="20"/>
          <w:szCs w:val="20"/>
          <w:b w:val="1"/>
          <w:bCs w:val="1"/>
          <w:i w:val="1"/>
          <w:iCs w:val="1"/>
          <w:color w:val="auto"/>
        </w:rPr>
        <w:t>Excluded Claims</w:t>
      </w:r>
      <w:r>
        <w:rPr>
          <w:rFonts w:ascii="Arial" w:cs="Arial" w:eastAsia="Arial" w:hAnsi="Arial"/>
          <w:sz w:val="20"/>
          <w:szCs w:val="20"/>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14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5" w:lineRule="exact"/>
        <w:rPr>
          <w:sz w:val="20"/>
          <w:szCs w:val="20"/>
          <w:color w:val="auto"/>
        </w:rPr>
      </w:pPr>
    </w:p>
    <w:p>
      <w:pPr>
        <w:ind w:left="120" w:hanging="112"/>
        <w:spacing w:after="0"/>
        <w:tabs>
          <w:tab w:leader="none" w:pos="120" w:val="left"/>
        </w:tabs>
        <w:numPr>
          <w:ilvl w:val="0"/>
          <w:numId w:val="390"/>
        </w:numPr>
        <w:rPr>
          <w:rFonts w:ascii="Arial" w:cs="Arial" w:eastAsia="Arial" w:hAnsi="Arial"/>
          <w:sz w:val="23"/>
          <w:szCs w:val="23"/>
          <w:color w:val="auto"/>
          <w:vertAlign w:val="superscript"/>
        </w:rPr>
      </w:pPr>
      <w:r>
        <w:rPr>
          <w:rFonts w:ascii="Arial" w:cs="Arial" w:eastAsia="Arial" w:hAnsi="Arial"/>
          <w:sz w:val="18"/>
          <w:szCs w:val="18"/>
          <w:color w:val="auto"/>
        </w:rPr>
        <w:t>Note to Draft: include for age 40+ individual termination and 40+ group termination</w:t>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200" w:lineRule="exact"/>
        <w:rPr>
          <w:sz w:val="20"/>
          <w:szCs w:val="20"/>
          <w:color w:val="auto"/>
        </w:rPr>
      </w:pP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that I purchased other than pursuant to a Company stock option or stock plan; (3) any claims for breach of this Release Agreement or (4) any rights which are not waivable as a matter of law.</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In addition, nothing in this Release prevents me from filing, cooperating with, or participating in any proceeding before the Equal Employment Opportunity Commission, the Department of Labor, the California Department of Fair Employment and Housing, the Securities and Exchange Commission, or any other local, state, or federal administrative body or government agency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I further understand this Agreement does not limit my ability to communicate with any Government Agencies or otherwise participate in any investigation or proceeding that may be conducted by any Government Agency, including providing documents or other information, without notice to the Company. While this Agreement does not limit my right to receive an award for information provided to the Securities and Exchange Commission, I understand and agree that, to maximum extent permitted by law, I am otherwise waiving any and all rights I may have to individual relief based on any claims that I have released and any rights I have waived by signing this Agreement. Pursuant to 18 USC Section 1833(b), (1) I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 acknowledge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 hereby represent and warrant that, other than the Excluded Claims, I am not aware of any claims I have or might have against any of the Released Parties that are not included in the Released Claims. I agree that if I hereafter commence any suit arising out of, based upon, or relating to any of the Released Claims or in any manner asserts against the Released Parties, or any of them, any of the Released Claims, then I agree to pay to the Released Parties, and each of them, in addition to any other damages caused to the Released Parties thereby, all attorneys’ fees incurred by the Released Parties in defending or otherwise responding to said suit or Released Claim. Notwithstanding the foregoing, this provision shall not apply to any suit or claim to the extent it challenges the effectiveness of this release with respect to a claim under the ADEA.</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[twenty-one (21) days]</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[forty-five (45) days]</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to consider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14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8" w:lineRule="exact"/>
        <w:rPr>
          <w:sz w:val="20"/>
          <w:szCs w:val="20"/>
          <w:color w:val="auto"/>
        </w:rPr>
      </w:pPr>
    </w:p>
    <w:p>
      <w:pPr>
        <w:ind w:left="120" w:hanging="112"/>
        <w:spacing w:after="0"/>
        <w:tabs>
          <w:tab w:leader="none" w:pos="120" w:val="left"/>
        </w:tabs>
        <w:numPr>
          <w:ilvl w:val="0"/>
          <w:numId w:val="391"/>
        </w:numPr>
        <w:rPr>
          <w:rFonts w:ascii="Arial" w:cs="Arial" w:eastAsia="Arial" w:hAnsi="Arial"/>
          <w:sz w:val="23"/>
          <w:szCs w:val="23"/>
          <w:color w:val="auto"/>
          <w:vertAlign w:val="superscript"/>
        </w:rPr>
      </w:pPr>
      <w:r>
        <w:rPr>
          <w:rFonts w:ascii="Arial" w:cs="Arial" w:eastAsia="Arial" w:hAnsi="Arial"/>
          <w:sz w:val="18"/>
          <w:szCs w:val="18"/>
          <w:color w:val="auto"/>
        </w:rPr>
        <w:t>Note to Draft: include for ages 40+ individual</w:t>
      </w:r>
    </w:p>
    <w:p>
      <w:pPr>
        <w:ind w:left="120" w:hanging="112"/>
        <w:spacing w:after="0" w:line="204" w:lineRule="auto"/>
        <w:tabs>
          <w:tab w:leader="none" w:pos="120" w:val="left"/>
        </w:tabs>
        <w:numPr>
          <w:ilvl w:val="0"/>
          <w:numId w:val="392"/>
        </w:numPr>
        <w:rPr>
          <w:rFonts w:ascii="Arial" w:cs="Arial" w:eastAsia="Arial" w:hAnsi="Arial"/>
          <w:sz w:val="23"/>
          <w:szCs w:val="23"/>
          <w:color w:val="auto"/>
          <w:vertAlign w:val="superscript"/>
        </w:rPr>
      </w:pPr>
      <w:r>
        <w:rPr>
          <w:rFonts w:ascii="Arial" w:cs="Arial" w:eastAsia="Arial" w:hAnsi="Arial"/>
          <w:sz w:val="18"/>
          <w:szCs w:val="18"/>
          <w:color w:val="auto"/>
        </w:rPr>
        <w:t>Note to Draft: include for ages 40+ group termination</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200" w:lineRule="exact"/>
        <w:rPr>
          <w:sz w:val="20"/>
          <w:szCs w:val="20"/>
          <w:color w:val="auto"/>
        </w:rPr>
      </w:pPr>
    </w:p>
    <w:p>
      <w:pPr>
        <w:spacing w:after="0" w:line="247"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(although I may choose to voluntarily sign it sooner); (d) I have seven (7)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w:t>
      </w:r>
      <w:r>
        <w:rPr>
          <w:rFonts w:ascii="Arial" w:cs="Arial" w:eastAsia="Arial" w:hAnsi="Arial"/>
          <w:sz w:val="25"/>
          <w:szCs w:val="25"/>
          <w:color w:val="auto"/>
          <w:vertAlign w:val="superscript"/>
        </w:rPr>
        <w:t>5</w:t>
      </w:r>
    </w:p>
    <w:p>
      <w:pPr>
        <w:spacing w:after="0" w:line="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[I have received with this Release all of the information required by the ADEA, including without limitation a detailed list of the job titles and ages of all employees who were terminated in this group termination and the ages of all employees of the Company in the same job classification or organizational unit who were not terminated, along with information on the eligibility factors used to select employees for the group termination and any time limits applicable to this group termination program.]</w:t>
      </w:r>
      <w:r>
        <w:rPr>
          <w:rFonts w:ascii="Arial" w:cs="Arial" w:eastAsia="Arial" w:hAnsi="Arial"/>
          <w:sz w:val="26"/>
          <w:szCs w:val="26"/>
          <w:color w:val="auto"/>
          <w:vertAlign w:val="superscript"/>
        </w:rPr>
        <w:t>6</w:t>
      </w:r>
    </w:p>
    <w:p>
      <w:pPr>
        <w:spacing w:after="0" w:line="7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 may respond accurately and fully to any question, inquiry or request for information when required by legal process.</w:t>
      </w:r>
    </w:p>
    <w:p>
      <w:pPr>
        <w:spacing w:after="0" w:line="16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I acknowledge that to become effective, I must sign and return this Release to the Company so that it is received not later than [fourteen (14) days]</w:t>
      </w:r>
      <w:r>
        <w:rPr>
          <w:rFonts w:ascii="Arial" w:cs="Arial" w:eastAsia="Arial" w:hAnsi="Arial"/>
          <w:sz w:val="28"/>
          <w:szCs w:val="28"/>
          <w:color w:val="auto"/>
          <w:vertAlign w:val="superscript"/>
        </w:rPr>
        <w:t>7</w:t>
      </w:r>
      <w:r>
        <w:rPr>
          <w:rFonts w:ascii="Arial" w:cs="Arial" w:eastAsia="Arial" w:hAnsi="Arial"/>
          <w:sz w:val="22"/>
          <w:szCs w:val="22"/>
          <w:color w:val="auto"/>
        </w:rPr>
        <w:t xml:space="preserve"> [twenty-one (21) days]</w:t>
      </w:r>
      <w:r>
        <w:rPr>
          <w:rFonts w:ascii="Arial" w:cs="Arial" w:eastAsia="Arial" w:hAnsi="Arial"/>
          <w:sz w:val="28"/>
          <w:szCs w:val="28"/>
          <w:color w:val="auto"/>
          <w:vertAlign w:val="superscript"/>
        </w:rPr>
        <w:t>8</w:t>
      </w:r>
      <w:r>
        <w:rPr>
          <w:rFonts w:ascii="Arial" w:cs="Arial" w:eastAsia="Arial" w:hAnsi="Arial"/>
          <w:sz w:val="22"/>
          <w:szCs w:val="22"/>
          <w:color w:val="auto"/>
        </w:rPr>
        <w:t xml:space="preserve"> [forty-five (45) days]</w:t>
      </w:r>
      <w:r>
        <w:rPr>
          <w:rFonts w:ascii="Arial" w:cs="Arial" w:eastAsia="Arial" w:hAnsi="Arial"/>
          <w:sz w:val="28"/>
          <w:szCs w:val="28"/>
          <w:color w:val="auto"/>
          <w:vertAlign w:val="superscript"/>
        </w:rPr>
        <w:t>9</w:t>
      </w:r>
      <w:r>
        <w:rPr>
          <w:rFonts w:ascii="Arial" w:cs="Arial" w:eastAsia="Arial" w:hAnsi="Arial"/>
          <w:sz w:val="22"/>
          <w:szCs w:val="22"/>
          <w:color w:val="auto"/>
        </w:rPr>
        <w:t xml:space="preserve"> following the date it is provided to me [or such other date as specified by the Company]</w:t>
      </w:r>
      <w:r>
        <w:rPr>
          <w:rFonts w:ascii="Arial" w:cs="Arial" w:eastAsia="Arial" w:hAnsi="Arial"/>
          <w:sz w:val="28"/>
          <w:szCs w:val="28"/>
          <w:color w:val="auto"/>
          <w:vertAlign w:val="superscript"/>
        </w:rPr>
        <w:t>10</w:t>
      </w:r>
      <w:r>
        <w:rPr>
          <w:rFonts w:ascii="Arial" w:cs="Arial" w:eastAsia="Arial" w:hAnsi="Arial"/>
          <w:sz w:val="22"/>
          <w:szCs w:val="22"/>
          <w:color w:val="auto"/>
        </w:rPr>
        <w:t>[, and I must not revoke it thereafter]</w:t>
      </w:r>
      <w:r>
        <w:rPr>
          <w:rFonts w:ascii="Arial" w:cs="Arial" w:eastAsia="Arial" w:hAnsi="Arial"/>
          <w:sz w:val="28"/>
          <w:szCs w:val="28"/>
          <w:color w:val="auto"/>
          <w:vertAlign w:val="superscript"/>
        </w:rPr>
        <w:t>11</w:t>
      </w:r>
      <w:r>
        <w:rPr>
          <w:rFonts w:ascii="Arial" w:cs="Arial" w:eastAsia="Arial" w:hAnsi="Arial"/>
          <w:sz w:val="22"/>
          <w:szCs w:val="22"/>
          <w:color w:val="auto"/>
        </w:rPr>
        <w:t>.</w:t>
      </w:r>
    </w:p>
    <w:p>
      <w:pPr>
        <w:spacing w:after="0" w:line="9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I also acknowledge that I have read and understand Section 1542 of the California Civil Code which reads as follows: “</w:t>
      </w:r>
      <w:r>
        <w:rPr>
          <w:rFonts w:ascii="Arial" w:cs="Arial" w:eastAsia="Arial" w:hAnsi="Arial"/>
          <w:sz w:val="19"/>
          <w:szCs w:val="19"/>
          <w:b w:val="1"/>
          <w:bCs w:val="1"/>
          <w:color w:val="auto"/>
        </w:rPr>
        <w:t>A</w:t>
      </w:r>
      <w:r>
        <w:rPr>
          <w:rFonts w:ascii="Arial" w:cs="Arial" w:eastAsia="Arial" w:hAnsi="Arial"/>
          <w:sz w:val="19"/>
          <w:szCs w:val="19"/>
          <w:color w:val="auto"/>
        </w:rPr>
        <w:t xml:space="preserve"> </w:t>
      </w:r>
      <w:r>
        <w:rPr>
          <w:rFonts w:ascii="Arial" w:cs="Arial" w:eastAsia="Arial" w:hAnsi="Arial"/>
          <w:sz w:val="19"/>
          <w:szCs w:val="19"/>
          <w:b w:val="1"/>
          <w:bCs w:val="1"/>
          <w:color w:val="auto"/>
        </w:rPr>
        <w:t>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Arial" w:cs="Arial" w:eastAsia="Arial" w:hAnsi="Arial"/>
          <w:sz w:val="19"/>
          <w:szCs w:val="19"/>
          <w:color w:val="auto"/>
        </w:rPr>
        <w:t>.” I hereby expressly waive and relinquish all rights and benefits under that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law of any jurisdiction of similar effect with respect to any claims I may have against the Company.</w:t>
      </w:r>
    </w:p>
    <w:p>
      <w:pPr>
        <w:spacing w:after="0" w:line="14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This Release Agreement is deemed made and entered into in the [State of California], and in all respects shall be interpreted, enforced and governed under the internal laws of the [State of California], to the extent not preempted by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714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6" w:lineRule="exact"/>
        <w:rPr>
          <w:sz w:val="20"/>
          <w:szCs w:val="20"/>
          <w:color w:val="auto"/>
        </w:rPr>
      </w:pPr>
    </w:p>
    <w:p>
      <w:pPr>
        <w:ind w:left="120" w:hanging="112"/>
        <w:spacing w:after="0"/>
        <w:tabs>
          <w:tab w:leader="none" w:pos="120" w:val="left"/>
        </w:tabs>
        <w:numPr>
          <w:ilvl w:val="0"/>
          <w:numId w:val="393"/>
        </w:numPr>
        <w:rPr>
          <w:rFonts w:ascii="Arial" w:cs="Arial" w:eastAsia="Arial" w:hAnsi="Arial"/>
          <w:sz w:val="23"/>
          <w:szCs w:val="23"/>
          <w:color w:val="auto"/>
          <w:vertAlign w:val="superscript"/>
        </w:rPr>
      </w:pPr>
      <w:r>
        <w:rPr>
          <w:rFonts w:ascii="Arial" w:cs="Arial" w:eastAsia="Arial" w:hAnsi="Arial"/>
          <w:sz w:val="18"/>
          <w:szCs w:val="18"/>
          <w:color w:val="auto"/>
        </w:rPr>
        <w:t>Note to Draft: include for ages 40+ individual termination and 40+ group termination</w:t>
      </w:r>
    </w:p>
    <w:p>
      <w:pPr>
        <w:spacing w:after="0" w:line="1" w:lineRule="exact"/>
        <w:rPr>
          <w:rFonts w:ascii="Arial" w:cs="Arial" w:eastAsia="Arial" w:hAnsi="Arial"/>
          <w:sz w:val="23"/>
          <w:szCs w:val="23"/>
          <w:color w:val="auto"/>
          <w:vertAlign w:val="superscript"/>
        </w:rPr>
      </w:pP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6</w:t>
      </w:r>
      <w:r>
        <w:rPr>
          <w:rFonts w:ascii="Arial" w:cs="Arial" w:eastAsia="Arial" w:hAnsi="Arial"/>
          <w:sz w:val="18"/>
          <w:szCs w:val="18"/>
          <w:color w:val="auto"/>
        </w:rPr>
        <w:t xml:space="preserve"> Note to Draft: include for 40+ group termination</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7</w:t>
      </w:r>
      <w:r>
        <w:rPr>
          <w:rFonts w:ascii="Arial" w:cs="Arial" w:eastAsia="Arial" w:hAnsi="Arial"/>
          <w:sz w:val="18"/>
          <w:szCs w:val="18"/>
          <w:color w:val="auto"/>
        </w:rPr>
        <w:t xml:space="preserve"> Note to Draft: include for below 40 individual/group termination</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8</w:t>
      </w:r>
      <w:r>
        <w:rPr>
          <w:rFonts w:ascii="Arial" w:cs="Arial" w:eastAsia="Arial" w:hAnsi="Arial"/>
          <w:sz w:val="18"/>
          <w:szCs w:val="18"/>
          <w:color w:val="auto"/>
        </w:rPr>
        <w:t xml:space="preserve"> Note to Draft: include for ages 40+ individual termination</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9</w:t>
      </w:r>
      <w:r>
        <w:rPr>
          <w:rFonts w:ascii="Arial" w:cs="Arial" w:eastAsia="Arial" w:hAnsi="Arial"/>
          <w:sz w:val="18"/>
          <w:szCs w:val="18"/>
          <w:color w:val="auto"/>
        </w:rPr>
        <w:t xml:space="preserve"> Note to Draft: include for 40+ group termination</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10</w:t>
      </w:r>
      <w:r>
        <w:rPr>
          <w:rFonts w:ascii="Arial" w:cs="Arial" w:eastAsia="Arial" w:hAnsi="Arial"/>
          <w:sz w:val="18"/>
          <w:szCs w:val="18"/>
          <w:color w:val="auto"/>
        </w:rPr>
        <w:t xml:space="preserve"> Note to Draft: include for below 40 individual/group termination</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11</w:t>
      </w:r>
      <w:r>
        <w:rPr>
          <w:rFonts w:ascii="Arial" w:cs="Arial" w:eastAsia="Arial" w:hAnsi="Arial"/>
          <w:sz w:val="18"/>
          <w:szCs w:val="18"/>
          <w:color w:val="auto"/>
        </w:rPr>
        <w:t xml:space="preserve"> Note to Draft: include for ages 40+ individual and 40+ group termination</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200" w:lineRule="exact"/>
        <w:rPr>
          <w:sz w:val="20"/>
          <w:szCs w:val="20"/>
          <w:color w:val="auto"/>
        </w:rPr>
      </w:pPr>
    </w:p>
    <w:p>
      <w:pPr>
        <w:spacing w:after="0" w:line="24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I UNDERSTAND THAT THIS RELEASE AGREEMENT INCLUDES A RELEASE OF ALL KNOWN AND UNKNOWN CLAIMS, EVEN THOSE UNKNOWN CLAIMS THAT, IF KNOWN BY ME, WOULD AFFECT MY DECISION TO ACCEPT THIS RELEASE AGREEMENT.</w:t>
      </w:r>
    </w:p>
    <w:p>
      <w:pPr>
        <w:spacing w:after="0" w:line="244" w:lineRule="exact"/>
        <w:rPr>
          <w:sz w:val="20"/>
          <w:szCs w:val="20"/>
          <w:color w:val="auto"/>
        </w:rPr>
      </w:pPr>
    </w:p>
    <w:p>
      <w:pPr>
        <w:ind w:left="8220"/>
        <w:spacing w:after="0"/>
        <w:rPr>
          <w:sz w:val="20"/>
          <w:szCs w:val="20"/>
          <w:color w:val="auto"/>
        </w:rPr>
      </w:pPr>
      <w:r>
        <w:rPr>
          <w:rFonts w:ascii="Arial" w:cs="Arial" w:eastAsia="Arial" w:hAnsi="Arial"/>
          <w:sz w:val="22"/>
          <w:szCs w:val="22"/>
          <w:b w:val="1"/>
          <w:bCs w:val="1"/>
          <w:color w:val="auto"/>
        </w:rPr>
        <w:t>Kevin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576580</wp:posOffset>
            </wp:positionV>
            <wp:extent cx="19291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2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24130</wp:posOffset>
            </wp:positionV>
            <wp:extent cx="15430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Attachment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Nondisparagement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In consideration for Kevin Waters’s execution of the Release Agreement to which this document is an attachment, PROCEPT BioRobotics Corporation agrees (through its officers and directors) not to disparage Kevin Waters in any manner likely to be harmful to [his/her] business reputation or personal reputation;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Company may respond accurately and fully to any question, inquiry or request for information when required by legal process.</w:t>
      </w:r>
    </w:p>
    <w:p>
      <w:pPr>
        <w:spacing w:after="0" w:line="200" w:lineRule="exact"/>
        <w:rPr>
          <w:sz w:val="20"/>
          <w:szCs w:val="20"/>
          <w:color w:val="auto"/>
        </w:rPr>
      </w:pPr>
    </w:p>
    <w:p>
      <w:pPr>
        <w:spacing w:after="0" w:line="239" w:lineRule="exact"/>
        <w:rPr>
          <w:sz w:val="20"/>
          <w:szCs w:val="20"/>
          <w:color w:val="auto"/>
        </w:rPr>
      </w:pPr>
    </w:p>
    <w:p>
      <w:pPr>
        <w:ind w:left="7120"/>
        <w:spacing w:after="0"/>
        <w:rPr>
          <w:sz w:val="20"/>
          <w:szCs w:val="20"/>
          <w:color w:val="auto"/>
        </w:rPr>
      </w:pPr>
      <w:r>
        <w:rPr>
          <w:rFonts w:ascii="Arial" w:cs="Arial" w:eastAsia="Arial" w:hAnsi="Arial"/>
          <w:sz w:val="22"/>
          <w:szCs w:val="22"/>
          <w:b w:val="1"/>
          <w:bCs w:val="1"/>
          <w:color w:val="auto"/>
        </w:rPr>
        <w:t>PROCEPT BioRobotics Corporation</w:t>
      </w:r>
    </w:p>
    <w:p>
      <w:pPr>
        <w:spacing w:after="0" w:line="200" w:lineRule="exact"/>
        <w:rPr>
          <w:sz w:val="20"/>
          <w:szCs w:val="20"/>
          <w:color w:val="auto"/>
        </w:rPr>
      </w:pPr>
    </w:p>
    <w:p>
      <w:pPr>
        <w:spacing w:after="0" w:line="296"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24130</wp:posOffset>
            </wp:positionV>
            <wp:extent cx="22199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8"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24130</wp:posOffset>
            </wp:positionV>
            <wp:extent cx="22199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8"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24130</wp:posOffset>
            </wp:positionV>
            <wp:extent cx="22199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8"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24130</wp:posOffset>
            </wp:positionV>
            <wp:extent cx="22199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0" w:name="page461"/>
    <w:bookmarkEnd w:id="460"/>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PROCEPT BioRobotics Corporation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Change Of Control And Severance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b w:val="1"/>
          <w:bCs w:val="1"/>
          <w:color w:val="auto"/>
        </w:rPr>
        <w:t xml:space="preserve">This Amended and Restated Change of Control and Severance Agreement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[l], 2021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by and between Hisham Shiblaq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xml:space="preserve">”) and </w:t>
      </w:r>
      <w:r>
        <w:rPr>
          <w:rFonts w:ascii="Arial" w:cs="Arial" w:eastAsia="Arial" w:hAnsi="Arial"/>
          <w:sz w:val="22"/>
          <w:szCs w:val="22"/>
          <w:b w:val="1"/>
          <w:bCs w:val="1"/>
          <w:color w:val="auto"/>
        </w:rPr>
        <w:t>PROCEPT BioRobotics</w:t>
      </w:r>
      <w:r>
        <w:rPr>
          <w:rFonts w:ascii="Arial" w:cs="Arial" w:eastAsia="Arial" w:hAnsi="Arial"/>
          <w:sz w:val="22"/>
          <w:szCs w:val="22"/>
          <w:color w:val="auto"/>
        </w:rPr>
        <w:t xml:space="preserve"> </w:t>
      </w:r>
      <w:r>
        <w:rPr>
          <w:rFonts w:ascii="Arial" w:cs="Arial" w:eastAsia="Arial" w:hAnsi="Arial"/>
          <w:sz w:val="22"/>
          <w:szCs w:val="22"/>
          <w:b w:val="1"/>
          <w:bCs w:val="1"/>
          <w:color w:val="auto"/>
        </w:rPr>
        <w:t>Corporation</w:t>
      </w:r>
      <w:r>
        <w:rPr>
          <w:rFonts w:ascii="Arial" w:cs="Arial" w:eastAsia="Arial" w:hAnsi="Arial"/>
          <w:sz w:val="22"/>
          <w:szCs w:val="22"/>
          <w:color w:val="auto"/>
        </w:rPr>
        <w:t>, a California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believes it is in the best interests of the Company and its shareholders to provide incentives for Executive to continue in Executive’s service to the Company and enter into this Agreement to provide Executive with certain protections in the event of Executive’s termination of employment under certain circumstances.</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covenants and agreements contained herein, and in</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of the continuing employment of Executive by the Company, the parties hereto agree as follows:</w:t>
      </w:r>
    </w:p>
    <w:p>
      <w:pPr>
        <w:spacing w:after="0" w:line="16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1. At-Will Employment</w:t>
      </w:r>
      <w:r>
        <w:rPr>
          <w:rFonts w:ascii="Arial" w:cs="Arial" w:eastAsia="Arial" w:hAnsi="Arial"/>
          <w:sz w:val="22"/>
          <w:szCs w:val="22"/>
          <w:color w:val="auto"/>
        </w:rPr>
        <w:t>. Executive’s employment is and shall remain at-will, which means that the Company may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Executive’s employment at any time, with or without advance notice, and with or without Cause. Similarly, Executive may resign Executive’s employment at any time, with or without advance notice. Except as set forth in Section 2 below, Executive shall not receive any compensation of any kind, including, without limitation, stock option or other equity award vesting acceleration and severance benefits, following Executive’s termination of employment with the Company, except as expressly provided herein or expressly provided in a written agreement between Executive and the Company entered into following the Effective Date.</w:t>
      </w:r>
    </w:p>
    <w:p>
      <w:pPr>
        <w:spacing w:after="0" w:line="18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8"/>
          <w:szCs w:val="18"/>
          <w:b w:val="1"/>
          <w:bCs w:val="1"/>
          <w:color w:val="auto"/>
        </w:rPr>
        <w:t>Severance Benefits</w:t>
      </w:r>
      <w:r>
        <w:rPr>
          <w:rFonts w:ascii="Arial" w:cs="Arial" w:eastAsia="Arial" w:hAnsi="Arial"/>
          <w:sz w:val="18"/>
          <w:szCs w:val="18"/>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b w:val="1"/>
          <w:bCs w:val="1"/>
          <w:color w:val="auto"/>
        </w:rPr>
        <w:t>(a) Severance Benefits upon a Termination in Connection with or Following a Change of Control</w:t>
      </w:r>
      <w:r>
        <w:rPr>
          <w:rFonts w:ascii="Arial" w:cs="Arial" w:eastAsia="Arial" w:hAnsi="Arial"/>
          <w:sz w:val="22"/>
          <w:szCs w:val="22"/>
          <w:color w:val="auto"/>
        </w:rPr>
        <w:t>. If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employment is terminated by the Company without Cause (as defined below), and other than as a result of death or disability, or Executive resigns Executive’s employment with the Company for Good Reason (as defined below), in either case, three (3) months prior to, on or within twelve (12) months following the effective date of a Change of Control (a “</w:t>
      </w:r>
      <w:r>
        <w:rPr>
          <w:rFonts w:ascii="Arial" w:cs="Arial" w:eastAsia="Arial" w:hAnsi="Arial"/>
          <w:sz w:val="22"/>
          <w:szCs w:val="22"/>
          <w:b w:val="1"/>
          <w:bCs w:val="1"/>
          <w:i w:val="1"/>
          <w:iCs w:val="1"/>
          <w:color w:val="auto"/>
        </w:rPr>
        <w:t>COC</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Termination</w:t>
      </w:r>
      <w:r>
        <w:rPr>
          <w:rFonts w:ascii="Arial" w:cs="Arial" w:eastAsia="Arial" w:hAnsi="Arial"/>
          <w:sz w:val="22"/>
          <w:szCs w:val="22"/>
          <w:color w:val="auto"/>
        </w:rPr>
        <w:t>”), and provided such termination constitutes a “separation from service” (within the meaning of Treasury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Regulation Section 1.409A-1(h), a “</w:t>
      </w:r>
      <w:r>
        <w:rPr>
          <w:rFonts w:ascii="Arial" w:cs="Arial" w:eastAsia="Arial" w:hAnsi="Arial"/>
          <w:sz w:val="22"/>
          <w:szCs w:val="22"/>
          <w:b w:val="1"/>
          <w:bCs w:val="1"/>
          <w:i w:val="1"/>
          <w:iCs w:val="1"/>
          <w:color w:val="auto"/>
        </w:rPr>
        <w:t>Separation from Service</w:t>
      </w:r>
      <w:r>
        <w:rPr>
          <w:rFonts w:ascii="Arial" w:cs="Arial" w:eastAsia="Arial" w:hAnsi="Arial"/>
          <w:sz w:val="22"/>
          <w:szCs w:val="22"/>
          <w:color w:val="auto"/>
        </w:rPr>
        <w:t>”), and further provided that Executive delivers a release of claims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Note to Draft: To refer to IPO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61" w:name="page462"/>
    <w:bookmarkEnd w:id="461"/>
    <w:p>
      <w:pPr>
        <w:spacing w:after="0" w:line="200" w:lineRule="exact"/>
        <w:rPr>
          <w:sz w:val="20"/>
          <w:szCs w:val="20"/>
          <w:color w:val="auto"/>
        </w:rPr>
      </w:pP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required under Section 3 below, then Executive shall be entitled to the following severance benefits (the “</w:t>
      </w:r>
      <w:r>
        <w:rPr>
          <w:rFonts w:ascii="Arial" w:cs="Arial" w:eastAsia="Arial" w:hAnsi="Arial"/>
          <w:sz w:val="22"/>
          <w:szCs w:val="22"/>
          <w:b w:val="1"/>
          <w:bCs w:val="1"/>
          <w:i w:val="1"/>
          <w:iCs w:val="1"/>
          <w:color w:val="auto"/>
        </w:rPr>
        <w:t>COC Benefits</w:t>
      </w:r>
      <w:r>
        <w:rPr>
          <w:rFonts w:ascii="Arial" w:cs="Arial" w:eastAsia="Arial" w:hAnsi="Arial"/>
          <w:sz w:val="22"/>
          <w:szCs w:val="22"/>
          <w:color w:val="auto"/>
        </w:rPr>
        <w:t>”) subject to Sections 3(c) and 9(i):</w:t>
      </w:r>
    </w:p>
    <w:p>
      <w:pPr>
        <w:spacing w:after="0" w:line="175" w:lineRule="exact"/>
        <w:rPr>
          <w:sz w:val="20"/>
          <w:szCs w:val="20"/>
          <w:color w:val="auto"/>
        </w:rPr>
      </w:pPr>
    </w:p>
    <w:p>
      <w:pPr>
        <w:jc w:val="both"/>
        <w:ind w:firstLine="1952"/>
        <w:spacing w:after="0" w:line="260" w:lineRule="auto"/>
        <w:tabs>
          <w:tab w:leader="none" w:pos="2418" w:val="left"/>
        </w:tabs>
        <w:numPr>
          <w:ilvl w:val="1"/>
          <w:numId w:val="394"/>
        </w:numPr>
        <w:rPr>
          <w:rFonts w:ascii="Arial" w:cs="Arial" w:eastAsia="Arial" w:hAnsi="Arial"/>
          <w:sz w:val="21"/>
          <w:szCs w:val="21"/>
          <w:b w:val="1"/>
          <w:bCs w:val="1"/>
          <w:color w:val="auto"/>
        </w:rPr>
      </w:pPr>
      <w:r>
        <w:rPr>
          <w:rFonts w:ascii="Arial" w:cs="Arial" w:eastAsia="Arial" w:hAnsi="Arial"/>
          <w:sz w:val="21"/>
          <w:szCs w:val="21"/>
          <w:color w:val="auto"/>
        </w:rPr>
        <w:t xml:space="preserve">The Company shall pay Executive an amount in cash equal to the sum of (a) twelve (12) months of Executive’s then current base salary (or if the termination is due to a resignation for Good Reason based on a material reduction in base salary, then the Executive’s annual base salary in effect immediately prior to the reduction), payable in substantially equal installments in accordance with the Company’s normal payroll practice over the twelve (12) month period following Executive’s Separation from Service and (b) 100% of </w:t>
      </w:r>
      <w:r>
        <w:rPr>
          <w:rFonts w:ascii="Arial" w:cs="Arial" w:eastAsia="Arial" w:hAnsi="Arial"/>
          <w:sz w:val="21"/>
          <w:szCs w:val="21"/>
          <w:color w:val="191919"/>
        </w:rPr>
        <w:t>Executive’s target annual cash bonus for the year during which Executive’s Separation</w:t>
      </w:r>
      <w:r>
        <w:rPr>
          <w:rFonts w:ascii="Arial" w:cs="Arial" w:eastAsia="Arial" w:hAnsi="Arial"/>
          <w:sz w:val="21"/>
          <w:szCs w:val="21"/>
          <w:color w:val="auto"/>
        </w:rPr>
        <w:t xml:space="preserve"> </w:t>
      </w:r>
      <w:r>
        <w:rPr>
          <w:rFonts w:ascii="Arial" w:cs="Arial" w:eastAsia="Arial" w:hAnsi="Arial"/>
          <w:sz w:val="21"/>
          <w:szCs w:val="21"/>
          <w:color w:val="191919"/>
        </w:rPr>
        <w:t xml:space="preserve">from Service occurs, payable in a single lump sum on the later of </w:t>
      </w:r>
      <w:r>
        <w:rPr>
          <w:rFonts w:ascii="Arial" w:cs="Arial" w:eastAsia="Arial" w:hAnsi="Arial"/>
          <w:sz w:val="21"/>
          <w:szCs w:val="21"/>
          <w:color w:val="000000"/>
        </w:rPr>
        <w:t>(x) three days following the Release Effective Date (as defined</w:t>
      </w:r>
      <w:r>
        <w:rPr>
          <w:rFonts w:ascii="Arial" w:cs="Arial" w:eastAsia="Arial" w:hAnsi="Arial"/>
          <w:sz w:val="21"/>
          <w:szCs w:val="21"/>
          <w:color w:val="191919"/>
        </w:rPr>
        <w:t xml:space="preserve"> </w:t>
      </w:r>
      <w:r>
        <w:rPr>
          <w:rFonts w:ascii="Arial" w:cs="Arial" w:eastAsia="Arial" w:hAnsi="Arial"/>
          <w:sz w:val="21"/>
          <w:szCs w:val="21"/>
          <w:color w:val="000000"/>
        </w:rPr>
        <w:t>below) or (y) immediately prior to a Change of Control.</w:t>
      </w:r>
    </w:p>
    <w:p>
      <w:pPr>
        <w:spacing w:after="0" w:line="180" w:lineRule="exact"/>
        <w:rPr>
          <w:rFonts w:ascii="Arial" w:cs="Arial" w:eastAsia="Arial" w:hAnsi="Arial"/>
          <w:sz w:val="21"/>
          <w:szCs w:val="21"/>
          <w:b w:val="1"/>
          <w:bCs w:val="1"/>
          <w:color w:val="auto"/>
        </w:rPr>
      </w:pPr>
    </w:p>
    <w:p>
      <w:pPr>
        <w:jc w:val="both"/>
        <w:ind w:firstLine="1952"/>
        <w:spacing w:after="0" w:line="294" w:lineRule="auto"/>
        <w:tabs>
          <w:tab w:leader="none" w:pos="2545" w:val="left"/>
        </w:tabs>
        <w:numPr>
          <w:ilvl w:val="1"/>
          <w:numId w:val="394"/>
        </w:numPr>
        <w:rPr>
          <w:rFonts w:ascii="Arial" w:cs="Arial" w:eastAsia="Arial" w:hAnsi="Arial"/>
          <w:sz w:val="19"/>
          <w:szCs w:val="19"/>
          <w:b w:val="1"/>
          <w:bCs w:val="1"/>
          <w:color w:val="auto"/>
        </w:rPr>
      </w:pPr>
      <w:r>
        <w:rPr>
          <w:rFonts w:ascii="Arial" w:cs="Arial" w:eastAsia="Arial" w:hAnsi="Arial"/>
          <w:sz w:val="19"/>
          <w:szCs w:val="19"/>
          <w:color w:val="auto"/>
        </w:rPr>
        <w:t xml:space="preserve">Subject to Section 9(c), the Company shall pay Executive’s expenses for continuing Executive’s health care coverage and that of any dependents who are covered at the time of Executive’s Separation from Service </w:t>
      </w:r>
      <w:r>
        <w:rPr>
          <w:rFonts w:ascii="Arial" w:cs="Arial" w:eastAsia="Arial" w:hAnsi="Arial"/>
          <w:sz w:val="19"/>
          <w:szCs w:val="19"/>
          <w:color w:val="191919"/>
        </w:rPr>
        <w:t xml:space="preserve">at then-existing participation and coverage levels </w:t>
      </w:r>
      <w:r>
        <w:rPr>
          <w:rFonts w:ascii="Arial" w:cs="Arial" w:eastAsia="Arial" w:hAnsi="Arial"/>
          <w:sz w:val="19"/>
          <w:szCs w:val="19"/>
          <w:color w:val="000000"/>
        </w:rPr>
        <w:t>(the “</w:t>
      </w:r>
      <w:r>
        <w:rPr>
          <w:rFonts w:ascii="Arial" w:cs="Arial" w:eastAsia="Arial" w:hAnsi="Arial"/>
          <w:sz w:val="19"/>
          <w:szCs w:val="19"/>
          <w:b w:val="1"/>
          <w:bCs w:val="1"/>
          <w:i w:val="1"/>
          <w:iCs w:val="1"/>
          <w:color w:val="000000"/>
        </w:rPr>
        <w:t>COBRA Premiums</w:t>
      </w:r>
      <w:r>
        <w:rPr>
          <w:rFonts w:ascii="Arial" w:cs="Arial" w:eastAsia="Arial" w:hAnsi="Arial"/>
          <w:sz w:val="19"/>
          <w:szCs w:val="19"/>
          <w:color w:val="000000"/>
        </w:rPr>
        <w:t>”) under the Consolidated Omnibus Budget Reconciliation</w:t>
      </w:r>
      <w:r>
        <w:rPr>
          <w:rFonts w:ascii="Arial" w:cs="Arial" w:eastAsia="Arial" w:hAnsi="Arial"/>
          <w:sz w:val="19"/>
          <w:szCs w:val="19"/>
          <w:color w:val="191919"/>
        </w:rPr>
        <w:t xml:space="preserve"> </w:t>
      </w:r>
      <w:r>
        <w:rPr>
          <w:rFonts w:ascii="Arial" w:cs="Arial" w:eastAsia="Arial" w:hAnsi="Arial"/>
          <w:sz w:val="19"/>
          <w:szCs w:val="19"/>
          <w:color w:val="000000"/>
        </w:rPr>
        <w:t>Act of 1985, as amended (“</w:t>
      </w:r>
      <w:r>
        <w:rPr>
          <w:rFonts w:ascii="Arial" w:cs="Arial" w:eastAsia="Arial" w:hAnsi="Arial"/>
          <w:sz w:val="19"/>
          <w:szCs w:val="19"/>
          <w:b w:val="1"/>
          <w:bCs w:val="1"/>
          <w:i w:val="1"/>
          <w:iCs w:val="1"/>
          <w:color w:val="000000"/>
        </w:rPr>
        <w:t>COBRA</w:t>
      </w:r>
      <w:r>
        <w:rPr>
          <w:rFonts w:ascii="Arial" w:cs="Arial" w:eastAsia="Arial" w:hAnsi="Arial"/>
          <w:sz w:val="19"/>
          <w:szCs w:val="19"/>
          <w:color w:val="000000"/>
        </w:rPr>
        <w:t>”) for a period ending on the earlier of twelve (12) months from the Separation from Service or the date on which Executive becomes eligible to be covered by the health care plans of another employer (the “</w:t>
      </w:r>
      <w:r>
        <w:rPr>
          <w:rFonts w:ascii="Arial" w:cs="Arial" w:eastAsia="Arial" w:hAnsi="Arial"/>
          <w:sz w:val="19"/>
          <w:szCs w:val="19"/>
          <w:b w:val="1"/>
          <w:bCs w:val="1"/>
          <w:i w:val="1"/>
          <w:iCs w:val="1"/>
          <w:color w:val="000000"/>
        </w:rPr>
        <w:t>COC COBRA</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Period</w:t>
      </w:r>
      <w:r>
        <w:rPr>
          <w:rFonts w:ascii="Arial" w:cs="Arial" w:eastAsia="Arial" w:hAnsi="Arial"/>
          <w:sz w:val="19"/>
          <w:szCs w:val="19"/>
          <w:color w:val="000000"/>
        </w:rPr>
        <w:t>”), so long as Executive timely elects and is eligible for such COBRA continuation coverage.</w:t>
      </w:r>
    </w:p>
    <w:p>
      <w:pPr>
        <w:spacing w:after="0" w:line="149" w:lineRule="exact"/>
        <w:rPr>
          <w:rFonts w:ascii="Arial" w:cs="Arial" w:eastAsia="Arial" w:hAnsi="Arial"/>
          <w:sz w:val="19"/>
          <w:szCs w:val="19"/>
          <w:b w:val="1"/>
          <w:bCs w:val="1"/>
          <w:color w:val="auto"/>
        </w:rPr>
      </w:pPr>
    </w:p>
    <w:p>
      <w:pPr>
        <w:jc w:val="both"/>
        <w:ind w:firstLine="1952"/>
        <w:spacing w:after="0" w:line="283" w:lineRule="auto"/>
        <w:tabs>
          <w:tab w:leader="none" w:pos="2484" w:val="left"/>
        </w:tabs>
        <w:numPr>
          <w:ilvl w:val="1"/>
          <w:numId w:val="394"/>
        </w:numPr>
        <w:rPr>
          <w:rFonts w:ascii="Arial" w:cs="Arial" w:eastAsia="Arial" w:hAnsi="Arial"/>
          <w:sz w:val="19"/>
          <w:szCs w:val="19"/>
          <w:b w:val="1"/>
          <w:bCs w:val="1"/>
          <w:color w:val="auto"/>
        </w:rPr>
      </w:pPr>
      <w:r>
        <w:rPr>
          <w:rFonts w:ascii="Arial" w:cs="Arial" w:eastAsia="Arial" w:hAnsi="Arial"/>
          <w:sz w:val="19"/>
          <w:szCs w:val="19"/>
          <w:color w:val="auto"/>
        </w:rPr>
        <w:t>All outstanding unvested Company stock awards then held by Executive (the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xml:space="preserve">”) shall become fully vested and, if applicable, exercisable with respect to all of the shares subject thereto and any restrictions thereon shall lapse, effective on the later of (x) the Release Effective Date or (y) immediately prior to a Change of Control;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any Equity Award that remains subject to the achievement of performance goals as of Executive’s</w:t>
      </w:r>
      <w:r>
        <w:rPr>
          <w:rFonts w:ascii="Arial" w:cs="Arial" w:eastAsia="Arial" w:hAnsi="Arial"/>
          <w:sz w:val="19"/>
          <w:szCs w:val="19"/>
          <w:i w:val="1"/>
          <w:iCs w:val="1"/>
          <w:color w:val="auto"/>
        </w:rPr>
        <w:t xml:space="preserve"> </w:t>
      </w:r>
      <w:r>
        <w:rPr>
          <w:rFonts w:ascii="Arial" w:cs="Arial" w:eastAsia="Arial" w:hAnsi="Arial"/>
          <w:sz w:val="19"/>
          <w:szCs w:val="19"/>
          <w:color w:val="auto"/>
        </w:rPr>
        <w:t>Separation from Service, such Equity Award shall vest only to the extent applicable performance goals are achieved upon a Change of Control that occurs during the three-month period following such Separation from Service. To the extent such Equity Awards are options, such options shall be exercisable by Executive for twelve (12) months following the date of Executive’s Separation from Service (or, if earlier, until such option’s final expiration date). For the avoidance of doubt, any unvested portion of Executive’s outstanding Equity Awards will remain outstanding for three (3) months or until the occurrence of a Change of Control (whichever is earlier) so that any vesting acceleration benefits provided under this clause (iii) can be provided if a Change of Control occurs within three (3) months following such Separation from Service (provided that in no event will an option remain outstanding beyond the option’s final expiration date). In such case, if no Change of Control occurs within three</w:t>
      </w:r>
    </w:p>
    <w:p>
      <w:pPr>
        <w:spacing w:after="0" w:line="4" w:lineRule="exact"/>
        <w:rPr>
          <w:rFonts w:ascii="Arial" w:cs="Arial" w:eastAsia="Arial" w:hAnsi="Arial"/>
          <w:sz w:val="19"/>
          <w:szCs w:val="19"/>
          <w:b w:val="1"/>
          <w:bCs w:val="1"/>
          <w:color w:val="auto"/>
        </w:rPr>
      </w:pPr>
    </w:p>
    <w:p>
      <w:pPr>
        <w:jc w:val="both"/>
        <w:ind w:firstLine="8"/>
        <w:spacing w:after="0" w:line="258" w:lineRule="auto"/>
        <w:tabs>
          <w:tab w:leader="none" w:pos="306" w:val="left"/>
        </w:tabs>
        <w:numPr>
          <w:ilvl w:val="0"/>
          <w:numId w:val="395"/>
        </w:numPr>
        <w:rPr>
          <w:rFonts w:ascii="Arial" w:cs="Arial" w:eastAsia="Arial" w:hAnsi="Arial"/>
          <w:sz w:val="21"/>
          <w:szCs w:val="21"/>
          <w:color w:val="auto"/>
        </w:rPr>
      </w:pPr>
      <w:r>
        <w:rPr>
          <w:rFonts w:ascii="Arial" w:cs="Arial" w:eastAsia="Arial" w:hAnsi="Arial"/>
          <w:sz w:val="21"/>
          <w:szCs w:val="21"/>
          <w:color w:val="auto"/>
        </w:rPr>
        <w:t>months following Executive’s Separation from Service, any unvested portion of Executive’s Equity Awards automatically will be forfeited for no consideration. Notwithstanding the foregoing, in the event that the definitive agreement for the Change of Control does not provide for the continuance, assumption or substitution of Executive’s Equity Awards, then all of such Equity Awards shall become fully vested with respect to all of the shares subject thereto and any restrictions thereon shall lapse, effective immediately prior to the consummation of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62" w:name="page463"/>
    <w:bookmarkEnd w:id="462"/>
    <w:p>
      <w:pPr>
        <w:spacing w:after="0" w:line="200" w:lineRule="exact"/>
        <w:rPr>
          <w:sz w:val="20"/>
          <w:szCs w:val="20"/>
          <w:color w:val="auto"/>
        </w:rPr>
      </w:pPr>
    </w:p>
    <w:p>
      <w:pPr>
        <w:spacing w:after="0" w:line="254" w:lineRule="exact"/>
        <w:rPr>
          <w:sz w:val="20"/>
          <w:szCs w:val="20"/>
          <w:color w:val="auto"/>
        </w:rPr>
      </w:pPr>
    </w:p>
    <w:p>
      <w:pPr>
        <w:jc w:val="both"/>
        <w:ind w:firstLine="1304"/>
        <w:spacing w:after="0" w:line="298" w:lineRule="auto"/>
        <w:tabs>
          <w:tab w:leader="none" w:pos="1845" w:val="left"/>
        </w:tabs>
        <w:numPr>
          <w:ilvl w:val="1"/>
          <w:numId w:val="396"/>
        </w:numPr>
        <w:rPr>
          <w:rFonts w:ascii="Arial" w:cs="Arial" w:eastAsia="Arial" w:hAnsi="Arial"/>
          <w:sz w:val="19"/>
          <w:szCs w:val="19"/>
          <w:b w:val="1"/>
          <w:bCs w:val="1"/>
          <w:color w:val="auto"/>
        </w:rPr>
      </w:pPr>
      <w:r>
        <w:rPr>
          <w:rFonts w:ascii="Arial" w:cs="Arial" w:eastAsia="Arial" w:hAnsi="Arial"/>
          <w:sz w:val="19"/>
          <w:szCs w:val="19"/>
          <w:b w:val="1"/>
          <w:bCs w:val="1"/>
          <w:color w:val="auto"/>
        </w:rPr>
        <w:t>Severance Benefits upon a Termination that is not a COC Termination</w:t>
      </w:r>
      <w:r>
        <w:rPr>
          <w:rFonts w:ascii="Arial" w:cs="Arial" w:eastAsia="Arial" w:hAnsi="Arial"/>
          <w:sz w:val="19"/>
          <w:szCs w:val="19"/>
          <w:color w:val="auto"/>
        </w:rPr>
        <w:t>. If Executive’s employment is</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by the Company without Cause and other than as a result of death or disability, or Executive resigns Executive’s employment with the Company for Good Reason, and such termination is not a COC Termination, and provided such termination constitutes a Separation from Service and that Executive delivers a release of claims as required under Section 3 below, then Executive shall be entitled to the following severance benefits (the “</w:t>
      </w:r>
      <w:r>
        <w:rPr>
          <w:rFonts w:ascii="Arial" w:cs="Arial" w:eastAsia="Arial" w:hAnsi="Arial"/>
          <w:sz w:val="19"/>
          <w:szCs w:val="19"/>
          <w:b w:val="1"/>
          <w:bCs w:val="1"/>
          <w:i w:val="1"/>
          <w:iCs w:val="1"/>
          <w:color w:val="auto"/>
        </w:rPr>
        <w:t>Severance Benefits</w:t>
      </w:r>
      <w:r>
        <w:rPr>
          <w:rFonts w:ascii="Arial" w:cs="Arial" w:eastAsia="Arial" w:hAnsi="Arial"/>
          <w:sz w:val="19"/>
          <w:szCs w:val="19"/>
          <w:color w:val="auto"/>
        </w:rPr>
        <w:t>”):</w:t>
      </w:r>
    </w:p>
    <w:p>
      <w:pPr>
        <w:spacing w:after="0" w:line="148" w:lineRule="exact"/>
        <w:rPr>
          <w:rFonts w:ascii="Arial" w:cs="Arial" w:eastAsia="Arial" w:hAnsi="Arial"/>
          <w:sz w:val="19"/>
          <w:szCs w:val="19"/>
          <w:b w:val="1"/>
          <w:bCs w:val="1"/>
          <w:color w:val="auto"/>
        </w:rPr>
      </w:pPr>
    </w:p>
    <w:p>
      <w:pPr>
        <w:jc w:val="both"/>
        <w:ind w:firstLine="1952"/>
        <w:spacing w:after="0" w:line="248" w:lineRule="auto"/>
        <w:tabs>
          <w:tab w:leader="none" w:pos="2458" w:val="left"/>
        </w:tabs>
        <w:numPr>
          <w:ilvl w:val="2"/>
          <w:numId w:val="396"/>
        </w:numPr>
        <w:rPr>
          <w:rFonts w:ascii="Arial" w:cs="Arial" w:eastAsia="Arial" w:hAnsi="Arial"/>
          <w:sz w:val="22"/>
          <w:szCs w:val="22"/>
          <w:b w:val="1"/>
          <w:bCs w:val="1"/>
          <w:color w:val="auto"/>
        </w:rPr>
      </w:pPr>
      <w:r>
        <w:rPr>
          <w:rFonts w:ascii="Arial" w:cs="Arial" w:eastAsia="Arial" w:hAnsi="Arial"/>
          <w:sz w:val="22"/>
          <w:szCs w:val="22"/>
          <w:color w:val="auto"/>
        </w:rPr>
        <w:t>The Company shall pay Executive an amount in cash equal to six (6) months of Executive’s then current base salary (or if the termination is due to a resignation for Good Reason based on a material reduction in base salary, then the Executive’s annual base salary in effect immediately prior to the reduction), payable in substantially equal installments in accordance with the Company’s normal payroll practice over the six (6) month period following Executive’s Separation from Service.</w:t>
      </w:r>
    </w:p>
    <w:p>
      <w:pPr>
        <w:spacing w:after="0" w:line="191" w:lineRule="exact"/>
        <w:rPr>
          <w:rFonts w:ascii="Arial" w:cs="Arial" w:eastAsia="Arial" w:hAnsi="Arial"/>
          <w:sz w:val="22"/>
          <w:szCs w:val="22"/>
          <w:b w:val="1"/>
          <w:bCs w:val="1"/>
          <w:color w:val="auto"/>
        </w:rPr>
      </w:pPr>
    </w:p>
    <w:p>
      <w:pPr>
        <w:jc w:val="both"/>
        <w:ind w:firstLine="1952"/>
        <w:spacing w:after="0" w:line="250" w:lineRule="auto"/>
        <w:tabs>
          <w:tab w:leader="none" w:pos="2451" w:val="left"/>
        </w:tabs>
        <w:numPr>
          <w:ilvl w:val="2"/>
          <w:numId w:val="396"/>
        </w:numPr>
        <w:rPr>
          <w:rFonts w:ascii="Arial" w:cs="Arial" w:eastAsia="Arial" w:hAnsi="Arial"/>
          <w:sz w:val="22"/>
          <w:szCs w:val="22"/>
          <w:b w:val="1"/>
          <w:bCs w:val="1"/>
          <w:color w:val="auto"/>
        </w:rPr>
      </w:pPr>
      <w:r>
        <w:rPr>
          <w:rFonts w:ascii="Arial" w:cs="Arial" w:eastAsia="Arial" w:hAnsi="Arial"/>
          <w:sz w:val="22"/>
          <w:szCs w:val="22"/>
          <w:color w:val="auto"/>
        </w:rPr>
        <w:t>Subject to Section 9(c), the Company shall pay Executive’s COBRA Premiums under COBRA for a period ending on the earlier of six (6) months from the Separation from Service or the date on which Executive becomes eligible to be covered by the health care plans of another employer (the “</w:t>
      </w:r>
      <w:r>
        <w:rPr>
          <w:rFonts w:ascii="Arial" w:cs="Arial" w:eastAsia="Arial" w:hAnsi="Arial"/>
          <w:sz w:val="22"/>
          <w:szCs w:val="22"/>
          <w:b w:val="1"/>
          <w:bCs w:val="1"/>
          <w:i w:val="1"/>
          <w:iCs w:val="1"/>
          <w:color w:val="auto"/>
        </w:rPr>
        <w:t>Severance COBRA Period</w:t>
      </w:r>
      <w:r>
        <w:rPr>
          <w:rFonts w:ascii="Arial" w:cs="Arial" w:eastAsia="Arial" w:hAnsi="Arial"/>
          <w:sz w:val="22"/>
          <w:szCs w:val="22"/>
          <w:color w:val="auto"/>
        </w:rPr>
        <w:t>”), so long as Executive timely elects and is eligible for such COBRA continuation coverage.</w:t>
      </w:r>
    </w:p>
    <w:p>
      <w:pPr>
        <w:spacing w:after="0" w:line="181" w:lineRule="exact"/>
        <w:rPr>
          <w:rFonts w:ascii="Arial" w:cs="Arial" w:eastAsia="Arial" w:hAnsi="Arial"/>
          <w:sz w:val="22"/>
          <w:szCs w:val="22"/>
          <w:b w:val="1"/>
          <w:bCs w:val="1"/>
          <w:color w:val="auto"/>
        </w:rPr>
      </w:pPr>
    </w:p>
    <w:p>
      <w:pPr>
        <w:jc w:val="both"/>
        <w:ind w:firstLine="1304"/>
        <w:spacing w:after="0" w:line="288" w:lineRule="auto"/>
        <w:tabs>
          <w:tab w:leader="none" w:pos="1902" w:val="left"/>
        </w:tabs>
        <w:numPr>
          <w:ilvl w:val="1"/>
          <w:numId w:val="396"/>
        </w:numPr>
        <w:rPr>
          <w:rFonts w:ascii="Arial" w:cs="Arial" w:eastAsia="Arial" w:hAnsi="Arial"/>
          <w:sz w:val="19"/>
          <w:szCs w:val="19"/>
          <w:b w:val="1"/>
          <w:bCs w:val="1"/>
          <w:color w:val="auto"/>
        </w:rPr>
      </w:pPr>
      <w:r>
        <w:rPr>
          <w:rFonts w:ascii="Arial" w:cs="Arial" w:eastAsia="Arial" w:hAnsi="Arial"/>
          <w:sz w:val="19"/>
          <w:szCs w:val="19"/>
          <w:b w:val="1"/>
          <w:bCs w:val="1"/>
          <w:color w:val="auto"/>
        </w:rPr>
        <w:t>Accrued Wages, Bonus and Vacation, Expenses</w:t>
      </w:r>
      <w:r>
        <w:rPr>
          <w:rFonts w:ascii="Arial" w:cs="Arial" w:eastAsia="Arial" w:hAnsi="Arial"/>
          <w:sz w:val="19"/>
          <w:szCs w:val="19"/>
          <w:color w:val="auto"/>
        </w:rPr>
        <w:t>. Without regard to the reason for, or the timing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termination of employment, the Company shall pay (or provide reimbursement to) Executive for (i) any unpaid base salary due for periods prior to and including the date of Separation from Service; (ii) all accrued and unused vacation through the date of Separation from Service, if applicable; (iii) any earned (as determined and approved by the Board prior to the Separation from Service) but not yet paid incentive bonus from the prior fiscal year, which bonus shall be paid in accordance with the Company’s regular bonus payment process and in any event by no later than two and one-half months after the end of such subsequent year; and (iv) following submission of proper expense reports by Executive, all expenses reasonably and necessarily incurred by Executive in connection with the business of the Company prior to the Separation from Service. These payments shall be made promptly upon or following termination and within the period of time mandated by law (or in the case of an earned bonus, within the time period set forth in the Company’s bonus plan and in any event by no later than two and one-half months after the end of the fiscal year following the year in which the bonus was earned).</w:t>
      </w:r>
    </w:p>
    <w:p>
      <w:pPr>
        <w:spacing w:after="0" w:line="153" w:lineRule="exact"/>
        <w:rPr>
          <w:rFonts w:ascii="Arial" w:cs="Arial" w:eastAsia="Arial" w:hAnsi="Arial"/>
          <w:sz w:val="19"/>
          <w:szCs w:val="19"/>
          <w:b w:val="1"/>
          <w:bCs w:val="1"/>
          <w:color w:val="auto"/>
        </w:rPr>
      </w:pPr>
    </w:p>
    <w:p>
      <w:pPr>
        <w:ind w:left="1040" w:hanging="384"/>
        <w:spacing w:after="0"/>
        <w:tabs>
          <w:tab w:leader="none" w:pos="1040" w:val="left"/>
        </w:tabs>
        <w:numPr>
          <w:ilvl w:val="0"/>
          <w:numId w:val="397"/>
        </w:numPr>
        <w:rPr>
          <w:rFonts w:ascii="Arial" w:cs="Arial" w:eastAsia="Arial" w:hAnsi="Arial"/>
          <w:sz w:val="22"/>
          <w:szCs w:val="22"/>
          <w:b w:val="1"/>
          <w:bCs w:val="1"/>
          <w:color w:val="auto"/>
        </w:rPr>
      </w:pPr>
      <w:r>
        <w:rPr>
          <w:rFonts w:ascii="Arial" w:cs="Arial" w:eastAsia="Arial" w:hAnsi="Arial"/>
          <w:sz w:val="22"/>
          <w:szCs w:val="22"/>
          <w:b w:val="1"/>
          <w:bCs w:val="1"/>
          <w:color w:val="auto"/>
        </w:rPr>
        <w:t>Release Required; Timing of Payments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304"/>
        <w:spacing w:after="0" w:line="249" w:lineRule="auto"/>
        <w:tabs>
          <w:tab w:leader="none" w:pos="1827" w:val="left"/>
        </w:tabs>
        <w:numPr>
          <w:ilvl w:val="1"/>
          <w:numId w:val="397"/>
        </w:numPr>
        <w:rPr>
          <w:rFonts w:ascii="Arial" w:cs="Arial" w:eastAsia="Arial" w:hAnsi="Arial"/>
          <w:sz w:val="22"/>
          <w:szCs w:val="22"/>
          <w:b w:val="1"/>
          <w:bCs w:val="1"/>
          <w:color w:val="auto"/>
        </w:rPr>
      </w:pPr>
      <w:r>
        <w:rPr>
          <w:rFonts w:ascii="Arial" w:cs="Arial" w:eastAsia="Arial" w:hAnsi="Arial"/>
          <w:sz w:val="22"/>
          <w:szCs w:val="22"/>
          <w:b w:val="1"/>
          <w:bCs w:val="1"/>
          <w:color w:val="auto"/>
        </w:rPr>
        <w:t>Requirement of Release</w:t>
      </w:r>
      <w:r>
        <w:rPr>
          <w:rFonts w:ascii="Arial" w:cs="Arial" w:eastAsia="Arial" w:hAnsi="Arial"/>
          <w:sz w:val="22"/>
          <w:szCs w:val="22"/>
          <w:color w:val="auto"/>
        </w:rPr>
        <w:t>. Prior to the payment of any COC Benefits (including the acceleration of Equity</w:t>
      </w:r>
      <w:r>
        <w:rPr>
          <w:rFonts w:ascii="Arial" w:cs="Arial" w:eastAsia="Arial" w:hAnsi="Arial"/>
          <w:sz w:val="22"/>
          <w:szCs w:val="22"/>
          <w:b w:val="1"/>
          <w:bCs w:val="1"/>
          <w:color w:val="auto"/>
        </w:rPr>
        <w:t xml:space="preserve"> </w:t>
      </w:r>
      <w:r>
        <w:rPr>
          <w:rFonts w:ascii="Arial" w:cs="Arial" w:eastAsia="Arial" w:hAnsi="Arial"/>
          <w:sz w:val="22"/>
          <w:szCs w:val="22"/>
          <w:color w:val="auto"/>
        </w:rPr>
        <w:t>Awards) or Severance Benefits, Executive shall execute and allow to become effective a standard release agreement releasing the Company (and its successor) from any and all claims Executive (or Executive’s estate or beneficiaries) may have against such entities related to or arising in connection with Executive’s employment and the terms of such employment and termination thereof (the “</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within the time frame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63" w:name="page464"/>
    <w:bookmarkEnd w:id="463"/>
    <w:p>
      <w:pPr>
        <w:spacing w:after="0" w:line="200" w:lineRule="exact"/>
        <w:rPr>
          <w:sz w:val="20"/>
          <w:szCs w:val="20"/>
          <w:color w:val="auto"/>
        </w:rPr>
      </w:pP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forth therein, but not later than 60 days following Executive’s Separation from Service (the “</w:t>
      </w:r>
      <w:r>
        <w:rPr>
          <w:rFonts w:ascii="Arial" w:cs="Arial" w:eastAsia="Arial" w:hAnsi="Arial"/>
          <w:sz w:val="22"/>
          <w:szCs w:val="22"/>
          <w:b w:val="1"/>
          <w:bCs w:val="1"/>
          <w:i w:val="1"/>
          <w:iCs w:val="1"/>
          <w:color w:val="auto"/>
        </w:rPr>
        <w:t>Release Effective Date</w:t>
      </w:r>
      <w:r>
        <w:rPr>
          <w:rFonts w:ascii="Arial" w:cs="Arial" w:eastAsia="Arial" w:hAnsi="Arial"/>
          <w:sz w:val="22"/>
          <w:szCs w:val="22"/>
          <w:color w:val="auto"/>
        </w:rPr>
        <w:t>”). No COC Benefits or Severance Benefits shall be paid or provided prior to the Release Effective Date.</w:t>
      </w:r>
    </w:p>
    <w:p>
      <w:pPr>
        <w:spacing w:after="0" w:line="169" w:lineRule="exact"/>
        <w:rPr>
          <w:sz w:val="20"/>
          <w:szCs w:val="20"/>
          <w:color w:val="auto"/>
        </w:rPr>
      </w:pPr>
    </w:p>
    <w:p>
      <w:pPr>
        <w:jc w:val="both"/>
        <w:ind w:firstLine="1304"/>
        <w:spacing w:after="0" w:line="262" w:lineRule="auto"/>
        <w:tabs>
          <w:tab w:leader="none" w:pos="1893" w:val="left"/>
        </w:tabs>
        <w:numPr>
          <w:ilvl w:val="1"/>
          <w:numId w:val="398"/>
        </w:numPr>
        <w:rPr>
          <w:rFonts w:ascii="Arial" w:cs="Arial" w:eastAsia="Arial" w:hAnsi="Arial"/>
          <w:sz w:val="21"/>
          <w:szCs w:val="21"/>
          <w:b w:val="1"/>
          <w:bCs w:val="1"/>
          <w:color w:val="auto"/>
        </w:rPr>
      </w:pPr>
      <w:r>
        <w:rPr>
          <w:rFonts w:ascii="Arial" w:cs="Arial" w:eastAsia="Arial" w:hAnsi="Arial"/>
          <w:sz w:val="21"/>
          <w:szCs w:val="21"/>
          <w:b w:val="1"/>
          <w:bCs w:val="1"/>
          <w:color w:val="auto"/>
        </w:rPr>
        <w:t>Form of Release</w:t>
      </w:r>
      <w:r>
        <w:rPr>
          <w:rFonts w:ascii="Arial" w:cs="Arial" w:eastAsia="Arial" w:hAnsi="Arial"/>
          <w:sz w:val="21"/>
          <w:szCs w:val="21"/>
          <w:color w:val="auto"/>
        </w:rPr>
        <w:t>. The Release shall be in substantially the form attached hereto as</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Exhibit A</w:t>
      </w:r>
      <w:r>
        <w:rPr>
          <w:rFonts w:ascii="Arial" w:cs="Arial" w:eastAsia="Arial" w:hAnsi="Arial"/>
          <w:sz w:val="21"/>
          <w:szCs w:val="21"/>
          <w:b w:val="1"/>
          <w:bCs w:val="1"/>
          <w:color w:val="auto"/>
        </w:rPr>
        <w:t xml:space="preserve"> </w:t>
      </w:r>
      <w:r>
        <w:rPr>
          <w:rFonts w:ascii="Arial" w:cs="Arial" w:eastAsia="Arial" w:hAnsi="Arial"/>
          <w:sz w:val="21"/>
          <w:szCs w:val="21"/>
          <w:color w:val="auto"/>
        </w:rPr>
        <w:t>and shall</w:t>
      </w:r>
      <w:r>
        <w:rPr>
          <w:rFonts w:ascii="Arial" w:cs="Arial" w:eastAsia="Arial" w:hAnsi="Arial"/>
          <w:sz w:val="21"/>
          <w:szCs w:val="21"/>
          <w:b w:val="1"/>
          <w:bCs w:val="1"/>
          <w:color w:val="auto"/>
        </w:rPr>
        <w:t xml:space="preserve"> </w:t>
      </w:r>
      <w:r>
        <w:rPr>
          <w:rFonts w:ascii="Arial" w:cs="Arial" w:eastAsia="Arial" w:hAnsi="Arial"/>
          <w:sz w:val="21"/>
          <w:szCs w:val="21"/>
          <w:color w:val="auto"/>
        </w:rPr>
        <w:t>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Unless a Change of Control has occurred, the Board, in its sole discretion, may modify the form of the required Release to comply with applicable law and shall determine the form of the required Release, which may be incorporated into a termination agreement or other agreement with Executive.</w:t>
      </w:r>
    </w:p>
    <w:p>
      <w:pPr>
        <w:spacing w:after="0" w:line="173" w:lineRule="exact"/>
        <w:rPr>
          <w:rFonts w:ascii="Arial" w:cs="Arial" w:eastAsia="Arial" w:hAnsi="Arial"/>
          <w:sz w:val="21"/>
          <w:szCs w:val="21"/>
          <w:b w:val="1"/>
          <w:bCs w:val="1"/>
          <w:color w:val="auto"/>
        </w:rPr>
      </w:pPr>
    </w:p>
    <w:p>
      <w:pPr>
        <w:jc w:val="both"/>
        <w:ind w:firstLine="1304"/>
        <w:spacing w:after="0" w:line="264" w:lineRule="auto"/>
        <w:tabs>
          <w:tab w:leader="none" w:pos="1757" w:val="left"/>
        </w:tabs>
        <w:numPr>
          <w:ilvl w:val="1"/>
          <w:numId w:val="398"/>
        </w:numPr>
        <w:rPr>
          <w:rFonts w:ascii="Arial" w:cs="Arial" w:eastAsia="Arial" w:hAnsi="Arial"/>
          <w:sz w:val="20"/>
          <w:szCs w:val="20"/>
          <w:b w:val="1"/>
          <w:bCs w:val="1"/>
          <w:color w:val="auto"/>
        </w:rPr>
      </w:pPr>
      <w:r>
        <w:rPr>
          <w:rFonts w:ascii="Arial" w:cs="Arial" w:eastAsia="Arial" w:hAnsi="Arial"/>
          <w:sz w:val="20"/>
          <w:szCs w:val="20"/>
          <w:b w:val="1"/>
          <w:bCs w:val="1"/>
          <w:color w:val="auto"/>
        </w:rPr>
        <w:t>Timing of Payments</w:t>
      </w:r>
      <w:r>
        <w:rPr>
          <w:rFonts w:ascii="Arial" w:cs="Arial" w:eastAsia="Arial" w:hAnsi="Arial"/>
          <w:sz w:val="20"/>
          <w:szCs w:val="20"/>
          <w:color w:val="auto"/>
        </w:rPr>
        <w:t>. Within three (3) days following the Release Effective Date, the Company will pay in a</w:t>
      </w:r>
      <w:r>
        <w:rPr>
          <w:rFonts w:ascii="Arial" w:cs="Arial" w:eastAsia="Arial" w:hAnsi="Arial"/>
          <w:sz w:val="20"/>
          <w:szCs w:val="20"/>
          <w:b w:val="1"/>
          <w:bCs w:val="1"/>
          <w:color w:val="auto"/>
        </w:rPr>
        <w:t xml:space="preserve"> </w:t>
      </w:r>
      <w:r>
        <w:rPr>
          <w:rFonts w:ascii="Arial" w:cs="Arial" w:eastAsia="Arial" w:hAnsi="Arial"/>
          <w:sz w:val="20"/>
          <w:szCs w:val="20"/>
          <w:color w:val="auto"/>
        </w:rPr>
        <w:t>lump sum payment or commence payment of the COC Benefits or Severance Benefits, as applicable, that Executive would otherwise have received on or prior to such date but for the delay in payment related to the effectiveness of the Release, with the balance of the benefits being paid as originally scheduled. Notwithstanding the foregoing, if the Company (or, if applicable, the successor entity thereto) determines that any of the COC Benefits or Severance Benefits constitute “deferred compensation” under Section 409A (defined below) or as otherwise necessary to comply with, or be exempt from, Section 409A, then, solely to the extent necessary to avoid the incurrence of the adverse personal tax consequences under Section 409A, no COC Benefits or Severance Benefits, as applicable, will be paid prior to the 61st day following Executive’s Separation from Service. On the 61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following the date of Separation from Service, the Company will pay to Executive in a lump sum payment the COC Benefits or Severance Benefits, as applicable, that Executive would otherwise have received on or prior to such date, with the balance of the benefits being paid as originally scheduled.</w:t>
      </w:r>
    </w:p>
    <w:p>
      <w:pPr>
        <w:spacing w:after="0" w:line="178" w:lineRule="exact"/>
        <w:rPr>
          <w:rFonts w:ascii="Arial" w:cs="Arial" w:eastAsia="Arial" w:hAnsi="Arial"/>
          <w:sz w:val="20"/>
          <w:szCs w:val="20"/>
          <w:b w:val="1"/>
          <w:bCs w:val="1"/>
          <w:color w:val="auto"/>
        </w:rPr>
      </w:pPr>
    </w:p>
    <w:p>
      <w:pPr>
        <w:jc w:val="both"/>
        <w:ind w:firstLine="656"/>
        <w:spacing w:after="0" w:line="287" w:lineRule="auto"/>
        <w:tabs>
          <w:tab w:leader="none" w:pos="1080" w:val="left"/>
        </w:tabs>
        <w:numPr>
          <w:ilvl w:val="0"/>
          <w:numId w:val="399"/>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 on Payments</w:t>
      </w:r>
      <w:r>
        <w:rPr>
          <w:rFonts w:ascii="Arial" w:cs="Arial" w:eastAsia="Arial" w:hAnsi="Arial"/>
          <w:sz w:val="19"/>
          <w:szCs w:val="19"/>
          <w:color w:val="auto"/>
        </w:rPr>
        <w:t>. If any payment or benefit (including payments and benefits pursuant 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Executive would receive in connection with a Change of Control from the Company or otherwise (“</w:t>
      </w:r>
      <w:r>
        <w:rPr>
          <w:rFonts w:ascii="Arial" w:cs="Arial" w:eastAsia="Arial" w:hAnsi="Arial"/>
          <w:sz w:val="19"/>
          <w:szCs w:val="19"/>
          <w:b w:val="1"/>
          <w:bCs w:val="1"/>
          <w:i w:val="1"/>
          <w:iCs w:val="1"/>
          <w:color w:val="auto"/>
        </w:rPr>
        <w:t>Transaction Payment</w:t>
      </w:r>
      <w:r>
        <w:rPr>
          <w:rFonts w:ascii="Arial" w:cs="Arial" w:eastAsia="Arial" w:hAnsi="Arial"/>
          <w:sz w:val="19"/>
          <w:szCs w:val="19"/>
          <w:color w:val="auto"/>
        </w:rPr>
        <w:t>”) would (i) constitute a “parachute payment” within the meaning of Section 280G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9"/>
          <w:szCs w:val="19"/>
          <w:b w:val="1"/>
          <w:bCs w:val="1"/>
          <w:i w:val="1"/>
          <w:iCs w:val="1"/>
          <w:color w:val="auto"/>
        </w:rPr>
        <w:t>Full Payment</w:t>
      </w:r>
      <w:r>
        <w:rPr>
          <w:rFonts w:ascii="Arial" w:cs="Arial" w:eastAsia="Arial" w:hAnsi="Arial"/>
          <w:sz w:val="19"/>
          <w:szCs w:val="19"/>
          <w:color w:val="auto"/>
        </w:rPr>
        <w:t>”), or (2) payment of only a part of the Transaction Payment so that Executive receives the largest payment possible without the imposition of the Excise Tax (a “</w:t>
      </w:r>
      <w:r>
        <w:rPr>
          <w:rFonts w:ascii="Arial" w:cs="Arial" w:eastAsia="Arial" w:hAnsi="Arial"/>
          <w:sz w:val="19"/>
          <w:szCs w:val="19"/>
          <w:b w:val="1"/>
          <w:bCs w:val="1"/>
          <w:i w:val="1"/>
          <w:iCs w:val="1"/>
          <w:color w:val="auto"/>
        </w:rPr>
        <w:t>Reduced Payment</w:t>
      </w:r>
      <w:r>
        <w:rPr>
          <w:rFonts w:ascii="Arial" w:cs="Arial" w:eastAsia="Arial" w:hAnsi="Arial"/>
          <w:sz w:val="19"/>
          <w:szCs w:val="19"/>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464" w:name="page465"/>
    <w:bookmarkEnd w:id="464"/>
    <w:p>
      <w:pPr>
        <w:spacing w:after="0" w:line="200" w:lineRule="exact"/>
        <w:rPr>
          <w:sz w:val="20"/>
          <w:szCs w:val="20"/>
          <w:color w:val="auto"/>
        </w:rPr>
      </w:pP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made, (x) Executive shall have no rights to any additional payments and/or benefits constituting the Transaction Payment, and (y) reduction in payments and/or benefits will occur in the following order: (1) reduction of cash payments; (2) cancellation of accelerated vesting of equity awards other than stock options; (3) cancellation of accelerated vesting of stock options; and (4) reduction of other benefits paid to Executive. In the event that acceleration of vesting of equity award compensation is to be reduced, such acceleration of vesting will be cancelled in the reverse order of the date of grant of Executive’s equity awards. In no event will the Company or any shareholder be liable to Executive for any amounts not paid as a result of the operation of this Section 4.</w:t>
      </w:r>
    </w:p>
    <w:p>
      <w:pPr>
        <w:spacing w:after="0" w:line="196" w:lineRule="exact"/>
        <w:rPr>
          <w:sz w:val="20"/>
          <w:szCs w:val="20"/>
          <w:color w:val="auto"/>
        </w:rPr>
      </w:pPr>
    </w:p>
    <w:p>
      <w:pPr>
        <w:jc w:val="both"/>
        <w:ind w:firstLine="1304"/>
        <w:spacing w:after="0" w:line="247" w:lineRule="auto"/>
        <w:tabs>
          <w:tab w:leader="none" w:pos="1804" w:val="left"/>
        </w:tabs>
        <w:numPr>
          <w:ilvl w:val="1"/>
          <w:numId w:val="400"/>
        </w:numPr>
        <w:rPr>
          <w:rFonts w:ascii="Arial" w:cs="Arial" w:eastAsia="Arial" w:hAnsi="Arial"/>
          <w:sz w:val="22"/>
          <w:szCs w:val="22"/>
          <w:b w:val="1"/>
          <w:bCs w:val="1"/>
          <w:color w:val="auto"/>
        </w:rPr>
      </w:pPr>
      <w:r>
        <w:rPr>
          <w:rFonts w:ascii="Arial" w:cs="Arial" w:eastAsia="Arial" w:hAnsi="Arial"/>
          <w:sz w:val="22"/>
          <w:szCs w:val="22"/>
          <w:color w:val="auto"/>
        </w:rPr>
        <w:t>The professional firm engaged by the Company for general tax purposes as of the day prior to the effective date of the Change of Control shall make all determinations required to be made under this Section 4. If the professional firm so engaged by the Company is serving as accountant or auditor for the individual, entity or group effecting the Change of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92" w:lineRule="exact"/>
        <w:rPr>
          <w:rFonts w:ascii="Arial" w:cs="Arial" w:eastAsia="Arial" w:hAnsi="Arial"/>
          <w:sz w:val="22"/>
          <w:szCs w:val="22"/>
          <w:b w:val="1"/>
          <w:bCs w:val="1"/>
          <w:color w:val="auto"/>
        </w:rPr>
      </w:pPr>
    </w:p>
    <w:p>
      <w:pPr>
        <w:jc w:val="both"/>
        <w:ind w:firstLine="1304"/>
        <w:spacing w:after="0" w:line="292" w:lineRule="auto"/>
        <w:tabs>
          <w:tab w:leader="none" w:pos="1803" w:val="left"/>
        </w:tabs>
        <w:numPr>
          <w:ilvl w:val="1"/>
          <w:numId w:val="400"/>
        </w:numPr>
        <w:rPr>
          <w:rFonts w:ascii="Arial" w:cs="Arial" w:eastAsia="Arial" w:hAnsi="Arial"/>
          <w:sz w:val="19"/>
          <w:szCs w:val="19"/>
          <w:b w:val="1"/>
          <w:bCs w:val="1"/>
          <w:color w:val="auto"/>
        </w:rPr>
      </w:pPr>
      <w:r>
        <w:rPr>
          <w:rFonts w:ascii="Arial" w:cs="Arial" w:eastAsia="Arial" w:hAnsi="Arial"/>
          <w:sz w:val="19"/>
          <w:szCs w:val="19"/>
          <w:color w:val="auto"/>
        </w:rPr>
        <w:t>The professional firm engaged to make the determinations hereunder shall provide its calculations, together with detailed supporting documentation, to the Company and Executive within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44" w:lineRule="exact"/>
        <w:rPr>
          <w:rFonts w:ascii="Arial" w:cs="Arial" w:eastAsia="Arial" w:hAnsi="Arial"/>
          <w:sz w:val="19"/>
          <w:szCs w:val="19"/>
          <w:b w:val="1"/>
          <w:bCs w:val="1"/>
          <w:color w:val="auto"/>
        </w:rPr>
      </w:pPr>
    </w:p>
    <w:p>
      <w:pPr>
        <w:ind w:left="1040" w:hanging="384"/>
        <w:spacing w:after="0"/>
        <w:tabs>
          <w:tab w:leader="none" w:pos="1040" w:val="left"/>
        </w:tabs>
        <w:numPr>
          <w:ilvl w:val="0"/>
          <w:numId w:val="401"/>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304"/>
        <w:spacing w:after="0" w:line="259" w:lineRule="auto"/>
        <w:tabs>
          <w:tab w:leader="none" w:pos="1764" w:val="left"/>
        </w:tabs>
        <w:numPr>
          <w:ilvl w:val="1"/>
          <w:numId w:val="401"/>
        </w:numPr>
        <w:rPr>
          <w:rFonts w:ascii="Arial" w:cs="Arial" w:eastAsia="Arial" w:hAnsi="Arial"/>
          <w:sz w:val="21"/>
          <w:szCs w:val="21"/>
          <w:b w:val="1"/>
          <w:bCs w:val="1"/>
          <w:color w:val="auto"/>
        </w:rPr>
      </w:pPr>
      <w:r>
        <w:rPr>
          <w:rFonts w:ascii="Arial" w:cs="Arial" w:eastAsia="Arial" w:hAnsi="Arial"/>
          <w:sz w:val="21"/>
          <w:szCs w:val="21"/>
          <w:b w:val="1"/>
          <w:bCs w:val="1"/>
          <w:color w:val="auto"/>
        </w:rPr>
        <w:t>Company’s Successors</w:t>
      </w:r>
      <w:r>
        <w:rPr>
          <w:rFonts w:ascii="Arial" w:cs="Arial" w:eastAsia="Arial" w:hAnsi="Arial"/>
          <w:sz w:val="21"/>
          <w:szCs w:val="21"/>
          <w:color w:val="auto"/>
        </w:rPr>
        <w:t>. Any successor to the Company (whether direct or indirect and whether by purchase,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lease, merger, consolidation, liquidation or otherwise) to all or substantially all of the Company’s business and/or assets shall assume the Company’s, or ensure that the Company fully performs its, obligations under this Agreement and shall perform the Company’s, or ensure that the Company performs its, obligations, under this Agreement in the same manner and to the same extent as the Company would be required to perform such obligations in the absence of a succession. For all purposes under this Agreement, the term “Company” shall include any such successor. </w:t>
      </w:r>
      <w:r>
        <w:rPr>
          <w:rFonts w:ascii="Arial" w:cs="Arial" w:eastAsia="Arial" w:hAnsi="Arial"/>
          <w:sz w:val="21"/>
          <w:szCs w:val="21"/>
          <w:color w:val="191919"/>
        </w:rPr>
        <w:t>In the case of any transaction in which a successor would not</w:t>
      </w:r>
      <w:r>
        <w:rPr>
          <w:rFonts w:ascii="Arial" w:cs="Arial" w:eastAsia="Arial" w:hAnsi="Arial"/>
          <w:sz w:val="21"/>
          <w:szCs w:val="21"/>
          <w:color w:val="auto"/>
        </w:rPr>
        <w:t xml:space="preserve"> </w:t>
      </w:r>
      <w:r>
        <w:rPr>
          <w:rFonts w:ascii="Arial" w:cs="Arial" w:eastAsia="Arial" w:hAnsi="Arial"/>
          <w:sz w:val="21"/>
          <w:szCs w:val="21"/>
          <w:color w:val="191919"/>
        </w:rPr>
        <w:t>by the foregoing provision or by operation of law be bound by this Agreement, the Company shall require any successor to the Company to expressly and unconditionally assume this Agreement in writing and honor the obligations of the Company hereunder, in the same manner and to the same extent that the Company would be required to perform if no succession had taken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465" w:name="page466"/>
    <w:bookmarkEnd w:id="465"/>
    <w:p>
      <w:pPr>
        <w:spacing w:after="0" w:line="200" w:lineRule="exact"/>
        <w:rPr>
          <w:sz w:val="20"/>
          <w:szCs w:val="20"/>
          <w:color w:val="auto"/>
        </w:rPr>
      </w:pPr>
    </w:p>
    <w:p>
      <w:pPr>
        <w:spacing w:after="0" w:line="254" w:lineRule="exact"/>
        <w:rPr>
          <w:sz w:val="20"/>
          <w:szCs w:val="20"/>
          <w:color w:val="auto"/>
        </w:rPr>
      </w:pPr>
    </w:p>
    <w:p>
      <w:pPr>
        <w:jc w:val="both"/>
        <w:ind w:firstLine="1304"/>
        <w:spacing w:after="0" w:line="304" w:lineRule="auto"/>
        <w:tabs>
          <w:tab w:leader="none" w:pos="1798" w:val="left"/>
        </w:tabs>
        <w:numPr>
          <w:ilvl w:val="1"/>
          <w:numId w:val="402"/>
        </w:numPr>
        <w:rPr>
          <w:rFonts w:ascii="Arial" w:cs="Arial" w:eastAsia="Arial" w:hAnsi="Arial"/>
          <w:sz w:val="19"/>
          <w:szCs w:val="19"/>
          <w:b w:val="1"/>
          <w:bCs w:val="1"/>
          <w:color w:val="auto"/>
        </w:rPr>
      </w:pPr>
      <w:r>
        <w:rPr>
          <w:rFonts w:ascii="Arial" w:cs="Arial" w:eastAsia="Arial" w:hAnsi="Arial"/>
          <w:sz w:val="19"/>
          <w:szCs w:val="19"/>
          <w:b w:val="1"/>
          <w:bCs w:val="1"/>
          <w:color w:val="auto"/>
        </w:rPr>
        <w:t>Executive’s Successors</w:t>
      </w:r>
      <w:r>
        <w:rPr>
          <w:rFonts w:ascii="Arial" w:cs="Arial" w:eastAsia="Arial" w:hAnsi="Arial"/>
          <w:sz w:val="19"/>
          <w:szCs w:val="19"/>
          <w:color w:val="auto"/>
        </w:rPr>
        <w:t>. Without the written consent of the Company, Executive shall not assign or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any right or obligation under this Agreement to any other person or entity. Notwithstanding the foregoing, the terms of this Agreement and all rights, benefits and payments of Executive hereunder shall inure to the benefit of, and be enforceable by, Executive’s personal or legal representatives, executors, administrators, successors, heirs, distributees, devisees and legatees.</w:t>
      </w:r>
    </w:p>
    <w:p>
      <w:pPr>
        <w:spacing w:after="0" w:line="135" w:lineRule="exact"/>
        <w:rPr>
          <w:rFonts w:ascii="Arial" w:cs="Arial" w:eastAsia="Arial" w:hAnsi="Arial"/>
          <w:sz w:val="19"/>
          <w:szCs w:val="19"/>
          <w:b w:val="1"/>
          <w:bCs w:val="1"/>
          <w:color w:val="auto"/>
        </w:rPr>
      </w:pPr>
    </w:p>
    <w:p>
      <w:pPr>
        <w:ind w:left="1040" w:hanging="384"/>
        <w:spacing w:after="0"/>
        <w:tabs>
          <w:tab w:leader="none" w:pos="1040" w:val="left"/>
        </w:tabs>
        <w:numPr>
          <w:ilvl w:val="0"/>
          <w:numId w:val="403"/>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304"/>
        <w:spacing w:after="0" w:line="298" w:lineRule="auto"/>
        <w:tabs>
          <w:tab w:leader="none" w:pos="1764" w:val="left"/>
        </w:tabs>
        <w:numPr>
          <w:ilvl w:val="1"/>
          <w:numId w:val="403"/>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Notices and all other communications contemplated by this Agreement shall be in writing and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deemed to have been duly given when personally delivered or when mailed by U.S. registered or certified mail, return receipt requested and postage prepaid. In the case of Executive, mailed notices shall be addressed to Executive at the home address which Executive’s most recently communicated to the Company in writing. In the case of the Company, mailed notices shall be addressed to its corporate headquarters, and all notices shall be directed to the attention of its Secretary.</w:t>
      </w:r>
    </w:p>
    <w:p>
      <w:pPr>
        <w:spacing w:after="0" w:line="142" w:lineRule="exact"/>
        <w:rPr>
          <w:rFonts w:ascii="Arial" w:cs="Arial" w:eastAsia="Arial" w:hAnsi="Arial"/>
          <w:sz w:val="19"/>
          <w:szCs w:val="19"/>
          <w:b w:val="1"/>
          <w:bCs w:val="1"/>
          <w:color w:val="auto"/>
        </w:rPr>
      </w:pPr>
    </w:p>
    <w:p>
      <w:pPr>
        <w:jc w:val="both"/>
        <w:ind w:firstLine="1304"/>
        <w:spacing w:after="0" w:line="256" w:lineRule="auto"/>
        <w:tabs>
          <w:tab w:leader="none" w:pos="1794" w:val="left"/>
        </w:tabs>
        <w:numPr>
          <w:ilvl w:val="1"/>
          <w:numId w:val="403"/>
        </w:numPr>
        <w:rPr>
          <w:rFonts w:ascii="Arial" w:cs="Arial" w:eastAsia="Arial" w:hAnsi="Arial"/>
          <w:sz w:val="22"/>
          <w:szCs w:val="22"/>
          <w:b w:val="1"/>
          <w:bCs w:val="1"/>
          <w:color w:val="auto"/>
        </w:rPr>
      </w:pPr>
      <w:r>
        <w:rPr>
          <w:rFonts w:ascii="Arial" w:cs="Arial" w:eastAsia="Arial" w:hAnsi="Arial"/>
          <w:sz w:val="22"/>
          <w:szCs w:val="22"/>
          <w:b w:val="1"/>
          <w:bCs w:val="1"/>
          <w:color w:val="auto"/>
        </w:rPr>
        <w:t>Notice of Termination</w:t>
      </w:r>
      <w:r>
        <w:rPr>
          <w:rFonts w:ascii="Arial" w:cs="Arial" w:eastAsia="Arial" w:hAnsi="Arial"/>
          <w:sz w:val="22"/>
          <w:szCs w:val="22"/>
          <w:color w:val="auto"/>
        </w:rPr>
        <w:t>. Any termination by the Company with or without Cause or by Executive as a result</w:t>
      </w:r>
      <w:r>
        <w:rPr>
          <w:rFonts w:ascii="Arial" w:cs="Arial" w:eastAsia="Arial" w:hAnsi="Arial"/>
          <w:sz w:val="22"/>
          <w:szCs w:val="22"/>
          <w:b w:val="1"/>
          <w:bCs w:val="1"/>
          <w:color w:val="auto"/>
        </w:rPr>
        <w:t xml:space="preserve"> </w:t>
      </w:r>
      <w:r>
        <w:rPr>
          <w:rFonts w:ascii="Arial" w:cs="Arial" w:eastAsia="Arial" w:hAnsi="Arial"/>
          <w:sz w:val="22"/>
          <w:szCs w:val="22"/>
          <w:color w:val="auto"/>
        </w:rPr>
        <w:t>of a voluntary resignation for any reason shall be communicated by a notice of termination to the other party hereto given in accordance with this Agreement.</w:t>
      </w:r>
    </w:p>
    <w:p>
      <w:pPr>
        <w:spacing w:after="0" w:line="176" w:lineRule="exact"/>
        <w:rPr>
          <w:rFonts w:ascii="Arial" w:cs="Arial" w:eastAsia="Arial" w:hAnsi="Arial"/>
          <w:sz w:val="22"/>
          <w:szCs w:val="22"/>
          <w:b w:val="1"/>
          <w:bCs w:val="1"/>
          <w:color w:val="auto"/>
        </w:rPr>
      </w:pPr>
    </w:p>
    <w:p>
      <w:pPr>
        <w:jc w:val="both"/>
        <w:ind w:firstLine="656"/>
        <w:spacing w:after="0" w:line="283" w:lineRule="auto"/>
        <w:tabs>
          <w:tab w:leader="none" w:pos="1190" w:val="left"/>
        </w:tabs>
        <w:numPr>
          <w:ilvl w:val="0"/>
          <w:numId w:val="403"/>
        </w:numPr>
        <w:rPr>
          <w:rFonts w:ascii="Arial" w:cs="Arial" w:eastAsia="Arial" w:hAnsi="Arial"/>
          <w:sz w:val="19"/>
          <w:szCs w:val="19"/>
          <w:b w:val="1"/>
          <w:bCs w:val="1"/>
          <w:color w:val="auto"/>
        </w:rPr>
      </w:pPr>
      <w:r>
        <w:rPr>
          <w:rFonts w:ascii="Arial" w:cs="Arial" w:eastAsia="Arial" w:hAnsi="Arial"/>
          <w:sz w:val="19"/>
          <w:szCs w:val="19"/>
          <w:b w:val="1"/>
          <w:bCs w:val="1"/>
          <w:color w:val="auto"/>
        </w:rPr>
        <w:t>Arbitration</w:t>
      </w:r>
      <w:r>
        <w:rPr>
          <w:rFonts w:ascii="Arial" w:cs="Arial" w:eastAsia="Arial" w:hAnsi="Arial"/>
          <w:sz w:val="19"/>
          <w:szCs w:val="19"/>
          <w:color w:val="auto"/>
        </w:rPr>
        <w:t>. The Company and Executive shall attempt to settle any disputes arising in connection with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through good faith consultation. In the event that Executive and the Company are not able to resolve any such disputes within 15 days after notification in writing to the other (the “</w:t>
      </w:r>
      <w:r>
        <w:rPr>
          <w:rFonts w:ascii="Arial" w:cs="Arial" w:eastAsia="Arial" w:hAnsi="Arial"/>
          <w:sz w:val="19"/>
          <w:szCs w:val="19"/>
          <w:b w:val="1"/>
          <w:bCs w:val="1"/>
          <w:i w:val="1"/>
          <w:iCs w:val="1"/>
          <w:color w:val="auto"/>
        </w:rPr>
        <w:t>Initial Period</w:t>
      </w:r>
      <w:r>
        <w:rPr>
          <w:rFonts w:ascii="Arial" w:cs="Arial" w:eastAsia="Arial" w:hAnsi="Arial"/>
          <w:sz w:val="19"/>
          <w:szCs w:val="19"/>
          <w:color w:val="auto"/>
        </w:rPr>
        <w:t>”), any dispute or claim arising out of or in connection with this Agreement will be finally settled by binding arbitration in San Mateo County, California, in accordance with the process outlined in this Section 7. To ensure the timely and economical resolution of disputes that may arise in connection with Executive’s employment with the Company, Executive and the Company agree that, after the expiration of the Initial Period, any and all disputes, claims, or causes of action arising from or relating to the enforcement, breach, performance, negotiation, execution, or interpretation of this Agreement, or Executive’s employment, or the termination of Executive’s employment, including but not limited to all statutory claims, shall be resolved pursuant to the Federal Arbitration Act, 9 U.S.C. §1-16, and to the fullest extent permitted by law, by final, binding and confidential arbitration by a single arbitrator conducted by JAMS, Inc.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xml:space="preserve">”) under the then applicable JAMS rules (available upon request and also currently available at </w:t>
      </w:r>
      <w:r>
        <w:rPr>
          <w:rFonts w:ascii="Arial" w:cs="Arial" w:eastAsia="Arial" w:hAnsi="Arial"/>
          <w:sz w:val="19"/>
          <w:szCs w:val="19"/>
          <w:u w:val="single" w:color="auto"/>
          <w:color w:val="0563C1"/>
        </w:rPr>
        <w:t>http://www.jamsadr.com/rules-employment-arbitration/</w:t>
      </w:r>
      <w:r>
        <w:rPr>
          <w:rFonts w:ascii="Arial" w:cs="Arial" w:eastAsia="Arial" w:hAnsi="Arial"/>
          <w:sz w:val="19"/>
          <w:szCs w:val="19"/>
          <w:color w:val="000000"/>
        </w:rPr>
        <w:t>).</w:t>
      </w:r>
      <w:r>
        <w:rPr>
          <w:rFonts w:ascii="Arial" w:cs="Arial" w:eastAsia="Arial" w:hAnsi="Arial"/>
          <w:sz w:val="19"/>
          <w:szCs w:val="19"/>
          <w:color w:val="0563C1"/>
        </w:rPr>
        <w:t xml:space="preserve"> </w:t>
      </w:r>
      <w:r>
        <w:rPr>
          <w:rFonts w:ascii="Arial" w:cs="Arial" w:eastAsia="Arial" w:hAnsi="Arial"/>
          <w:sz w:val="19"/>
          <w:szCs w:val="19"/>
          <w:b w:val="1"/>
          <w:bCs w:val="1"/>
          <w:color w:val="000000"/>
        </w:rPr>
        <w:t>By agreeing to this arbitration procedure, both Executive and the</w:t>
      </w:r>
    </w:p>
    <w:p>
      <w:pPr>
        <w:spacing w:after="0" w:line="10" w:lineRule="exact"/>
        <w:rPr>
          <w:rFonts w:ascii="Arial" w:cs="Arial" w:eastAsia="Arial" w:hAnsi="Arial"/>
          <w:sz w:val="19"/>
          <w:szCs w:val="19"/>
          <w:b w:val="1"/>
          <w:bCs w:val="1"/>
          <w:color w:val="auto"/>
        </w:rPr>
      </w:pPr>
    </w:p>
    <w:p>
      <w:pPr>
        <w:jc w:val="both"/>
        <w:spacing w:after="0" w:line="244" w:lineRule="auto"/>
        <w:rPr>
          <w:rFonts w:ascii="Arial" w:cs="Arial" w:eastAsia="Arial" w:hAnsi="Arial"/>
          <w:sz w:val="19"/>
          <w:szCs w:val="19"/>
          <w:b w:val="1"/>
          <w:bCs w:val="1"/>
          <w:color w:val="auto"/>
        </w:rPr>
      </w:pPr>
      <w:r>
        <w:rPr>
          <w:rFonts w:ascii="Arial" w:cs="Arial" w:eastAsia="Arial" w:hAnsi="Arial"/>
          <w:sz w:val="22"/>
          <w:szCs w:val="22"/>
          <w:b w:val="1"/>
          <w:bCs w:val="1"/>
          <w:color w:val="auto"/>
        </w:rPr>
        <w:t xml:space="preserve">Company waive the right to resolve any such dispute through a trial by jury or judge or administrative proceeding and agree that the arbitrator’s award shall be final and binding on both parties. This arbitration provision is to be construed as broadly as is permissible under applicable law. </w:t>
      </w:r>
      <w:r>
        <w:rPr>
          <w:rFonts w:ascii="Arial" w:cs="Arial" w:eastAsia="Arial" w:hAnsi="Arial"/>
          <w:sz w:val="22"/>
          <w:szCs w:val="22"/>
          <w:color w:val="auto"/>
        </w:rPr>
        <w:t>The Company acknowledges that Executive will have the right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represented by legal counsel at any arbitration proceeding. Questions of whether a claim is subject to arbitration under this agreement shall be decided by the arbitrator. Likewise, procedural questions which grow out of the dispute and bear on the final disposition are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466" w:name="page467"/>
    <w:bookmarkEnd w:id="466"/>
    <w:p>
      <w:pPr>
        <w:spacing w:after="0" w:line="200" w:lineRule="exact"/>
        <w:rPr>
          <w:sz w:val="20"/>
          <w:szCs w:val="20"/>
          <w:color w:val="auto"/>
        </w:rPr>
      </w:pPr>
    </w:p>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50" w:lineRule="exact"/>
        <w:rPr>
          <w:sz w:val="20"/>
          <w:szCs w:val="20"/>
          <w:color w:val="auto"/>
        </w:rPr>
      </w:pPr>
    </w:p>
    <w:p>
      <w:pPr>
        <w:ind w:left="1040" w:hanging="384"/>
        <w:spacing w:after="0"/>
        <w:tabs>
          <w:tab w:leader="none" w:pos="1040" w:val="left"/>
        </w:tabs>
        <w:numPr>
          <w:ilvl w:val="0"/>
          <w:numId w:val="404"/>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 of Terms</w:t>
      </w:r>
      <w:r>
        <w:rPr>
          <w:rFonts w:ascii="Arial" w:cs="Arial" w:eastAsia="Arial" w:hAnsi="Arial"/>
          <w:sz w:val="21"/>
          <w:szCs w:val="21"/>
          <w:color w:val="auto"/>
        </w:rPr>
        <w:t>. The following terms referred to in this Agreement shall have the following meanings:</w:t>
      </w:r>
    </w:p>
    <w:p>
      <w:pPr>
        <w:spacing w:after="0" w:line="231" w:lineRule="exact"/>
        <w:rPr>
          <w:rFonts w:ascii="Arial" w:cs="Arial" w:eastAsia="Arial" w:hAnsi="Arial"/>
          <w:sz w:val="21"/>
          <w:szCs w:val="21"/>
          <w:b w:val="1"/>
          <w:bCs w:val="1"/>
          <w:color w:val="auto"/>
        </w:rPr>
      </w:pPr>
    </w:p>
    <w:p>
      <w:pPr>
        <w:jc w:val="both"/>
        <w:ind w:firstLine="1304"/>
        <w:spacing w:after="0" w:line="289" w:lineRule="auto"/>
        <w:tabs>
          <w:tab w:leader="none" w:pos="1885" w:val="left"/>
        </w:tabs>
        <w:numPr>
          <w:ilvl w:val="1"/>
          <w:numId w:val="404"/>
        </w:numPr>
        <w:rPr>
          <w:rFonts w:ascii="Arial" w:cs="Arial" w:eastAsia="Arial" w:hAnsi="Arial"/>
          <w:sz w:val="19"/>
          <w:szCs w:val="19"/>
          <w:b w:val="1"/>
          <w:bCs w:val="1"/>
          <w:color w:val="auto"/>
        </w:rPr>
      </w:pPr>
      <w:r>
        <w:rPr>
          <w:rFonts w:ascii="Arial" w:cs="Arial" w:eastAsia="Arial" w:hAnsi="Arial"/>
          <w:sz w:val="19"/>
          <w:szCs w:val="19"/>
          <w:b w:val="1"/>
          <w:bCs w:val="1"/>
          <w:color w:val="auto"/>
        </w:rPr>
        <w:t>Cause</w:t>
      </w:r>
      <w:r>
        <w:rPr>
          <w:rFonts w:ascii="Arial" w:cs="Arial" w:eastAsia="Arial" w:hAnsi="Arial"/>
          <w:sz w:val="19"/>
          <w:szCs w:val="19"/>
          <w:color w:val="auto"/>
        </w:rPr>
        <w: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of Executive’s employment will exist if Executive is terminated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for any of the following reasons: (i) Executive’s commission of any material act of dishonesty which is injurious to the Company; (ii) Executive’s conviction of a felony or any crime involving moral turpitude; (iii) Executive’s willful commission of any action that has caused or is reasonably expected to result in material harm to the business or the reputation of the Company (excluding any action taken in good faith); (iv) Executive’s willful and material violation of any duty or obligation owed by Executive to the Company which causes or is reasonably expected to cause material injury to the Company; (v) Executive’s material breach of any of Executive’s obligations under any written agreement or covenant with the Company, including but not limited to Executive’s Confidentiality and Intellectual Property Agreement; or (vi) Executive’s repeated refusal to substantially perform Executive’s assigned duties (</w:t>
      </w:r>
      <w:r>
        <w:rPr>
          <w:rFonts w:ascii="Arial" w:cs="Arial" w:eastAsia="Arial" w:hAnsi="Arial"/>
          <w:sz w:val="19"/>
          <w:szCs w:val="19"/>
          <w:color w:val="191919"/>
        </w:rPr>
        <w:t>other than any such failure resulting from incapacity due to physical or mental illness)</w:t>
      </w:r>
      <w:r>
        <w:rPr>
          <w:rFonts w:ascii="Arial" w:cs="Arial" w:eastAsia="Arial" w:hAnsi="Arial"/>
          <w:sz w:val="19"/>
          <w:szCs w:val="19"/>
          <w:color w:val="auto"/>
        </w:rPr>
        <w:t>. The term “Company” will be interpreted to include any subsidiary, parent or affiliate of the Company, as appropriate.</w:t>
      </w:r>
    </w:p>
    <w:p>
      <w:pPr>
        <w:spacing w:after="0" w:line="150" w:lineRule="exact"/>
        <w:rPr>
          <w:rFonts w:ascii="Arial" w:cs="Arial" w:eastAsia="Arial" w:hAnsi="Arial"/>
          <w:sz w:val="19"/>
          <w:szCs w:val="19"/>
          <w:b w:val="1"/>
          <w:bCs w:val="1"/>
          <w:color w:val="auto"/>
        </w:rPr>
      </w:pPr>
    </w:p>
    <w:p>
      <w:pPr>
        <w:jc w:val="both"/>
        <w:ind w:firstLine="1304"/>
        <w:spacing w:after="0" w:line="258" w:lineRule="auto"/>
        <w:tabs>
          <w:tab w:leader="none" w:pos="1884" w:val="left"/>
        </w:tabs>
        <w:numPr>
          <w:ilvl w:val="1"/>
          <w:numId w:val="404"/>
        </w:numPr>
        <w:rPr>
          <w:rFonts w:ascii="Arial" w:cs="Arial" w:eastAsia="Arial" w:hAnsi="Arial"/>
          <w:sz w:val="21"/>
          <w:szCs w:val="21"/>
          <w:b w:val="1"/>
          <w:bCs w:val="1"/>
          <w:color w:val="auto"/>
        </w:rPr>
      </w:pPr>
      <w:r>
        <w:rPr>
          <w:rFonts w:ascii="Arial" w:cs="Arial" w:eastAsia="Arial" w:hAnsi="Arial"/>
          <w:sz w:val="21"/>
          <w:szCs w:val="21"/>
          <w:b w:val="1"/>
          <w:bCs w:val="1"/>
          <w:color w:val="auto"/>
        </w:rPr>
        <w:t>Change of Control</w:t>
      </w:r>
      <w:r>
        <w:rPr>
          <w:rFonts w:ascii="Arial" w:cs="Arial" w:eastAsia="Arial" w:hAnsi="Arial"/>
          <w:sz w:val="21"/>
          <w:szCs w:val="21"/>
          <w:color w:val="auto"/>
        </w:rPr>
        <w:t>. “</w:t>
      </w:r>
      <w:r>
        <w:rPr>
          <w:rFonts w:ascii="Arial" w:cs="Arial" w:eastAsia="Arial" w:hAnsi="Arial"/>
          <w:sz w:val="21"/>
          <w:szCs w:val="21"/>
          <w:b w:val="1"/>
          <w:bCs w:val="1"/>
          <w:i w:val="1"/>
          <w:iCs w:val="1"/>
          <w:color w:val="auto"/>
        </w:rPr>
        <w:t>Change of Control</w:t>
      </w:r>
      <w:r>
        <w:rPr>
          <w:rFonts w:ascii="Arial" w:cs="Arial" w:eastAsia="Arial" w:hAnsi="Arial"/>
          <w:sz w:val="21"/>
          <w:szCs w:val="21"/>
          <w:color w:val="auto"/>
        </w:rPr>
        <w:t>” means (1) a sale of all or substantially all of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assets, (2) any merger, consolidation or other business combination transaction of the Company with or into another corporation, entity or person, other than a transaction in which the holders of at least a majority of the shares of voting capital stock of the Company outstanding immediately prior to such transaction continue to hold (either by such shares remaining outstanding or by their being converted into shares of voting capital stock of the surviving entity) a majority of the total voting power represented by the shares of voting capital stock of the Company (or the surviving entity) outstanding immediately after such transaction, (3)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 or (4) a contested election of Directors, as a result of which or in connection with which the persons who were Directors before such election or their nominees (the “</w:t>
      </w:r>
      <w:r>
        <w:rPr>
          <w:rFonts w:ascii="Arial" w:cs="Arial" w:eastAsia="Arial" w:hAnsi="Arial"/>
          <w:sz w:val="21"/>
          <w:szCs w:val="21"/>
          <w:b w:val="1"/>
          <w:bCs w:val="1"/>
          <w:i w:val="1"/>
          <w:iCs w:val="1"/>
          <w:color w:val="auto"/>
        </w:rPr>
        <w:t>Incumbent Directors</w:t>
      </w:r>
      <w:r>
        <w:rPr>
          <w:rFonts w:ascii="Arial" w:cs="Arial" w:eastAsia="Arial" w:hAnsi="Arial"/>
          <w:sz w:val="21"/>
          <w:szCs w:val="21"/>
          <w:color w:val="auto"/>
        </w:rPr>
        <w:t>”) cease to constitute a majority of the Board; provided however that if the election or nomination for election by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467" w:name="page468"/>
    <w:bookmarkEnd w:id="467"/>
    <w:p>
      <w:pPr>
        <w:spacing w:after="0" w:line="200" w:lineRule="exact"/>
        <w:rPr>
          <w:sz w:val="20"/>
          <w:szCs w:val="20"/>
          <w:color w:val="auto"/>
        </w:rPr>
      </w:pP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of any new Director was approved by a vote of at least 50% of the Incumbent Directors, such new Director shall be considered as an Incumbent Director. Notwithstanding the foregoing, to the extent required for compliance with Section 409A of the Code, in no event will a Change of Control be deemed to have occurred if such transaction is not also a “change in the ownership or effective control of” the Company or “a change in the ownership of a substantial portion of the assets of” the Company as determined under Treasury Regulations Section 1.409A-3(i)(5) (without regard to any alternative definition thereunder).</w:t>
      </w:r>
    </w:p>
    <w:p>
      <w:pPr>
        <w:spacing w:after="0" w:line="141" w:lineRule="exact"/>
        <w:rPr>
          <w:sz w:val="20"/>
          <w:szCs w:val="20"/>
          <w:color w:val="auto"/>
        </w:rPr>
      </w:pPr>
    </w:p>
    <w:p>
      <w:pPr>
        <w:jc w:val="both"/>
        <w:ind w:firstLine="1304"/>
        <w:spacing w:after="0" w:line="287" w:lineRule="auto"/>
        <w:tabs>
          <w:tab w:leader="none" w:pos="1773" w:val="left"/>
        </w:tabs>
        <w:numPr>
          <w:ilvl w:val="1"/>
          <w:numId w:val="405"/>
        </w:numPr>
        <w:rPr>
          <w:rFonts w:ascii="Arial" w:cs="Arial" w:eastAsia="Arial" w:hAnsi="Arial"/>
          <w:sz w:val="19"/>
          <w:szCs w:val="19"/>
          <w:b w:val="1"/>
          <w:bCs w:val="1"/>
          <w:color w:val="auto"/>
        </w:rPr>
      </w:pPr>
      <w:r>
        <w:rPr>
          <w:rFonts w:ascii="Arial" w:cs="Arial" w:eastAsia="Arial" w:hAnsi="Arial"/>
          <w:sz w:val="19"/>
          <w:szCs w:val="19"/>
          <w:b w:val="1"/>
          <w:bCs w:val="1"/>
          <w:color w:val="auto"/>
        </w:rPr>
        <w:t>Good Reason</w:t>
      </w:r>
      <w:r>
        <w:rPr>
          <w:rFonts w:ascii="Arial" w:cs="Arial" w:eastAsia="Arial" w:hAnsi="Arial"/>
          <w:sz w:val="19"/>
          <w:szCs w:val="19"/>
          <w:color w:val="auto"/>
        </w:rPr>
        <w:t>.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Executive’s resignation of Executive’s employment shall exist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occurrence of any of the following without Executive’s written consent: (i) a material reduction in job duties, responsibilities, title or authority inconsistent with Executive’s position with the Company; (ii) a material reduction of Executive’s then current base salary, representing a reduction of more than 5% of Executive’s then current base salary; (iii) the relocation of Executive’s principal place of employment to a place that increases Executive’s one-way commute by more than 35 miles as compared to Executive’s then current principal place of employment immediately prior to such relocation; (iv) a material reduction in Executive’s target annual bonus opportunity; or (v) the Company’s failure to obtain </w:t>
      </w:r>
      <w:r>
        <w:rPr>
          <w:rFonts w:ascii="Arial" w:cs="Arial" w:eastAsia="Arial" w:hAnsi="Arial"/>
          <w:sz w:val="19"/>
          <w:szCs w:val="19"/>
          <w:color w:val="191919"/>
        </w:rPr>
        <w:t>an</w:t>
      </w:r>
      <w:r>
        <w:rPr>
          <w:rFonts w:ascii="Arial" w:cs="Arial" w:eastAsia="Arial" w:hAnsi="Arial"/>
          <w:sz w:val="19"/>
          <w:szCs w:val="19"/>
          <w:color w:val="auto"/>
        </w:rPr>
        <w:t xml:space="preserve"> </w:t>
      </w:r>
      <w:r>
        <w:rPr>
          <w:rFonts w:ascii="Arial" w:cs="Arial" w:eastAsia="Arial" w:hAnsi="Arial"/>
          <w:sz w:val="19"/>
          <w:szCs w:val="19"/>
          <w:color w:val="1C1C1C"/>
        </w:rPr>
        <w:t>agreement</w:t>
      </w:r>
      <w:r>
        <w:rPr>
          <w:rFonts w:ascii="Arial" w:cs="Arial" w:eastAsia="Arial" w:hAnsi="Arial"/>
          <w:sz w:val="19"/>
          <w:szCs w:val="19"/>
          <w:color w:val="auto"/>
        </w:rPr>
        <w:t xml:space="preserve"> </w:t>
      </w:r>
      <w:r>
        <w:rPr>
          <w:rFonts w:ascii="Arial" w:cs="Arial" w:eastAsia="Arial" w:hAnsi="Arial"/>
          <w:sz w:val="19"/>
          <w:szCs w:val="19"/>
          <w:color w:val="191919"/>
        </w:rPr>
        <w:t>from any successor to the</w:t>
      </w:r>
      <w:r>
        <w:rPr>
          <w:rFonts w:ascii="Arial" w:cs="Arial" w:eastAsia="Arial" w:hAnsi="Arial"/>
          <w:sz w:val="19"/>
          <w:szCs w:val="19"/>
          <w:color w:val="auto"/>
        </w:rPr>
        <w:t xml:space="preserve"> </w:t>
      </w:r>
      <w:r>
        <w:rPr>
          <w:rFonts w:ascii="Arial" w:cs="Arial" w:eastAsia="Arial" w:hAnsi="Arial"/>
          <w:sz w:val="19"/>
          <w:szCs w:val="19"/>
          <w:color w:val="191919"/>
        </w:rPr>
        <w:t>Company to assume and agree to perform the obligations under this Agreement in the same manner and to the same extent that the Company would be required to perform, except where such assumption occurs by operation of law</w:t>
      </w:r>
      <w:r>
        <w:rPr>
          <w:rFonts w:ascii="Arial" w:cs="Arial" w:eastAsia="Arial" w:hAnsi="Arial"/>
          <w:sz w:val="19"/>
          <w:szCs w:val="19"/>
          <w:color w:val="000000"/>
        </w:rPr>
        <w:t>;</w:t>
      </w:r>
      <w:r>
        <w:rPr>
          <w:rFonts w:ascii="Arial" w:cs="Arial" w:eastAsia="Arial" w:hAnsi="Arial"/>
          <w:sz w:val="19"/>
          <w:szCs w:val="19"/>
          <w:color w:val="191919"/>
        </w:rPr>
        <w:t xml:space="preserve"> </w:t>
      </w:r>
      <w:r>
        <w:rPr>
          <w:rFonts w:ascii="Arial" w:cs="Arial" w:eastAsia="Arial" w:hAnsi="Arial"/>
          <w:sz w:val="19"/>
          <w:szCs w:val="19"/>
          <w:i w:val="1"/>
          <w:iCs w:val="1"/>
          <w:color w:val="000000"/>
        </w:rPr>
        <w:t>provided</w:t>
      </w:r>
      <w:r>
        <w:rPr>
          <w:rFonts w:ascii="Arial" w:cs="Arial" w:eastAsia="Arial" w:hAnsi="Arial"/>
          <w:sz w:val="19"/>
          <w:szCs w:val="19"/>
          <w:color w:val="000000"/>
        </w:rPr>
        <w:t>, that Executive</w:t>
      </w:r>
      <w:r>
        <w:rPr>
          <w:rFonts w:ascii="Arial" w:cs="Arial" w:eastAsia="Arial" w:hAnsi="Arial"/>
          <w:sz w:val="19"/>
          <w:szCs w:val="19"/>
          <w:color w:val="191919"/>
        </w:rPr>
        <w:t xml:space="preserve"> </w:t>
      </w:r>
      <w:r>
        <w:rPr>
          <w:rFonts w:ascii="Arial" w:cs="Arial" w:eastAsia="Arial" w:hAnsi="Arial"/>
          <w:sz w:val="19"/>
          <w:szCs w:val="19"/>
          <w:color w:val="000000"/>
        </w:rPr>
        <w:t>gives written notice to the Company of the event forming the basis of the termination for Good Reason within 60 days after the date on which the Company gives written notice to Executive of the Company’s affirmative decision to take an action set forth in clause (i), (ii), (iii), (iv) or (v) above, the Company fails to cure such basis for the Good Reason resignation within 30 days after receipt of Executive’s written notice and Executive terminates Executive’s employment within 90 days following the expiration of the cure period.</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ind w:left="1040" w:hanging="384"/>
        <w:spacing w:after="0"/>
        <w:tabs>
          <w:tab w:leader="none" w:pos="1040" w:val="left"/>
        </w:tabs>
        <w:numPr>
          <w:ilvl w:val="0"/>
          <w:numId w:val="40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304"/>
        <w:spacing w:after="0" w:line="247" w:lineRule="auto"/>
        <w:tabs>
          <w:tab w:leader="none" w:pos="1829" w:val="left"/>
        </w:tabs>
        <w:numPr>
          <w:ilvl w:val="1"/>
          <w:numId w:val="406"/>
        </w:numPr>
        <w:rPr>
          <w:rFonts w:ascii="Arial" w:cs="Arial" w:eastAsia="Arial" w:hAnsi="Arial"/>
          <w:sz w:val="22"/>
          <w:szCs w:val="22"/>
          <w:b w:val="1"/>
          <w:bCs w:val="1"/>
          <w:color w:val="auto"/>
        </w:rPr>
      </w:pPr>
      <w:r>
        <w:rPr>
          <w:rFonts w:ascii="Arial" w:cs="Arial" w:eastAsia="Arial" w:hAnsi="Arial"/>
          <w:sz w:val="22"/>
          <w:szCs w:val="22"/>
          <w:b w:val="1"/>
          <w:bCs w:val="1"/>
          <w:color w:val="auto"/>
        </w:rPr>
        <w:t>Executive Obligations</w:t>
      </w:r>
      <w:r>
        <w:rPr>
          <w:rFonts w:ascii="Arial" w:cs="Arial" w:eastAsia="Arial" w:hAnsi="Arial"/>
          <w:sz w:val="22"/>
          <w:szCs w:val="22"/>
          <w:color w:val="auto"/>
        </w:rPr>
        <w:t>. Notwithstanding anything to the contrary contained herein, payment of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COC Benefits or Severance Benefits, as applicable, will be conditioned upon (i) Executive continuing to comply with Executive’s obligations under the Confidentiality and Intellectual Property Agreement (or such similar form that Executive previously executed in connection with Executive’s employment) during the period of time in which Executive is receiving the COC Benefits or Severance Benefits, as applicable; and (ii) Executive’s resignation from all positions with the Company, any subsidiaries and affiliates, and the Board (as applicable), to be effective no later than the date of Separation from Service (or such other date as determined by the Board).</w:t>
      </w:r>
    </w:p>
    <w:p>
      <w:pPr>
        <w:spacing w:after="0" w:line="189" w:lineRule="exact"/>
        <w:rPr>
          <w:rFonts w:ascii="Arial" w:cs="Arial" w:eastAsia="Arial" w:hAnsi="Arial"/>
          <w:sz w:val="22"/>
          <w:szCs w:val="22"/>
          <w:b w:val="1"/>
          <w:bCs w:val="1"/>
          <w:color w:val="auto"/>
        </w:rPr>
      </w:pPr>
    </w:p>
    <w:p>
      <w:pPr>
        <w:jc w:val="both"/>
        <w:ind w:firstLine="1304"/>
        <w:spacing w:after="0" w:line="267" w:lineRule="auto"/>
        <w:tabs>
          <w:tab w:leader="none" w:pos="1923" w:val="left"/>
        </w:tabs>
        <w:numPr>
          <w:ilvl w:val="1"/>
          <w:numId w:val="406"/>
        </w:numPr>
        <w:rPr>
          <w:rFonts w:ascii="Arial" w:cs="Arial" w:eastAsia="Arial" w:hAnsi="Arial"/>
          <w:sz w:val="21"/>
          <w:szCs w:val="21"/>
          <w:b w:val="1"/>
          <w:bCs w:val="1"/>
          <w:color w:val="auto"/>
        </w:rPr>
      </w:pPr>
      <w:r>
        <w:rPr>
          <w:rFonts w:ascii="Arial" w:cs="Arial" w:eastAsia="Arial" w:hAnsi="Arial"/>
          <w:sz w:val="21"/>
          <w:szCs w:val="21"/>
          <w:b w:val="1"/>
          <w:bCs w:val="1"/>
          <w:color w:val="auto"/>
        </w:rPr>
        <w:t>Income and Employment Taxes</w:t>
      </w:r>
      <w:r>
        <w:rPr>
          <w:rFonts w:ascii="Arial" w:cs="Arial" w:eastAsia="Arial" w:hAnsi="Arial"/>
          <w:sz w:val="21"/>
          <w:szCs w:val="21"/>
          <w:color w:val="auto"/>
        </w:rPr>
        <w:t>. All amounts paid or provided under this Agreement shall be net of</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withholdings, and Executive shall be responsible for any additional taxes of any nature (including any penalties or interest that may apply to such taxes) that the Company reasonably determines apply to any payment made hereunder. Executive’s receipt of any benefit hereunder is conditioned on Executive’s satisfaction of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468" w:name="page469"/>
    <w:bookmarkEnd w:id="468"/>
    <w:p>
      <w:pPr>
        <w:spacing w:after="0" w:line="200" w:lineRule="exact"/>
        <w:rPr>
          <w:sz w:val="20"/>
          <w:szCs w:val="20"/>
          <w:color w:val="auto"/>
        </w:rPr>
      </w:pPr>
    </w:p>
    <w:p>
      <w:pPr>
        <w:spacing w:after="0" w:line="26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withholding or similar obligations that apply to such benefit and any cash payment owed hereunder will be reduced to satisfy any such withholding or similar obligations that may apply.</w:t>
      </w:r>
    </w:p>
    <w:p>
      <w:pPr>
        <w:spacing w:after="0" w:line="169" w:lineRule="exact"/>
        <w:rPr>
          <w:sz w:val="20"/>
          <w:szCs w:val="20"/>
          <w:color w:val="auto"/>
        </w:rPr>
      </w:pPr>
    </w:p>
    <w:p>
      <w:pPr>
        <w:jc w:val="both"/>
        <w:ind w:firstLine="1304"/>
        <w:spacing w:after="0" w:line="259" w:lineRule="auto"/>
        <w:tabs>
          <w:tab w:leader="none" w:pos="1782" w:val="left"/>
        </w:tabs>
        <w:numPr>
          <w:ilvl w:val="0"/>
          <w:numId w:val="407"/>
        </w:numPr>
        <w:rPr>
          <w:rFonts w:ascii="Arial" w:cs="Arial" w:eastAsia="Arial" w:hAnsi="Arial"/>
          <w:sz w:val="21"/>
          <w:szCs w:val="21"/>
          <w:b w:val="1"/>
          <w:bCs w:val="1"/>
          <w:color w:val="auto"/>
        </w:rPr>
      </w:pPr>
      <w:r>
        <w:rPr>
          <w:rFonts w:ascii="Arial" w:cs="Arial" w:eastAsia="Arial" w:hAnsi="Arial"/>
          <w:sz w:val="21"/>
          <w:szCs w:val="21"/>
          <w:b w:val="1"/>
          <w:bCs w:val="1"/>
          <w:color w:val="auto"/>
        </w:rPr>
        <w:t>Alternative Method of Providing COBRA Benefit</w:t>
      </w:r>
      <w:r>
        <w:rPr>
          <w:rFonts w:ascii="Arial" w:cs="Arial" w:eastAsia="Arial" w:hAnsi="Arial"/>
          <w:sz w:val="21"/>
          <w:szCs w:val="21"/>
          <w:color w:val="auto"/>
        </w:rPr>
        <w:t>. If the Company determines, in its sole discretion, that</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cannot pay COBRA Premiums as provided in Section 2(a) or 2(b) without potentially incurring financial costs or penalties under applicable law (including, without limitation, Section 2716 of the Public Health Service Act), the Company shall in lieu thereof pay Executive a taxable cash amount, which payment shall be made regardless of whether Executive or Executive’s eligible dependents elect health care continuation coverage (the “</w:t>
      </w:r>
      <w:r>
        <w:rPr>
          <w:rFonts w:ascii="Arial" w:cs="Arial" w:eastAsia="Arial" w:hAnsi="Arial"/>
          <w:sz w:val="21"/>
          <w:szCs w:val="21"/>
          <w:b w:val="1"/>
          <w:bCs w:val="1"/>
          <w:i w:val="1"/>
          <w:iCs w:val="1"/>
          <w:color w:val="auto"/>
        </w:rPr>
        <w:t>Health Care Benefit Payment</w:t>
      </w:r>
      <w:r>
        <w:rPr>
          <w:rFonts w:ascii="Arial" w:cs="Arial" w:eastAsia="Arial" w:hAnsi="Arial"/>
          <w:sz w:val="21"/>
          <w:szCs w:val="21"/>
          <w:color w:val="auto"/>
        </w:rPr>
        <w:t>”). The Health Care Benefit Payment shall be paid in monthly installments over the same time period that the COBRA Premiums would otherwise have been paid on behalf of Executive as set forth in Section 2(a)(ii) or 2(b)(ii). The Health Care Benefit Payment shall be equal to the amount that the Company would have otherwise paid for COBRA Premiums (which amount shall be calculated based on the premium for the first month of coverage), and shall be paid until the expiration of the COC COBRA Period or the Severance COBRA Period, as applicable.</w:t>
      </w:r>
    </w:p>
    <w:p>
      <w:pPr>
        <w:spacing w:after="0" w:line="175" w:lineRule="exact"/>
        <w:rPr>
          <w:rFonts w:ascii="Arial" w:cs="Arial" w:eastAsia="Arial" w:hAnsi="Arial"/>
          <w:sz w:val="21"/>
          <w:szCs w:val="21"/>
          <w:b w:val="1"/>
          <w:bCs w:val="1"/>
          <w:color w:val="auto"/>
        </w:rPr>
      </w:pPr>
    </w:p>
    <w:p>
      <w:pPr>
        <w:ind w:right="20" w:firstLine="1304"/>
        <w:spacing w:after="0" w:line="349" w:lineRule="auto"/>
        <w:tabs>
          <w:tab w:leader="none" w:pos="1815" w:val="left"/>
        </w:tabs>
        <w:numPr>
          <w:ilvl w:val="0"/>
          <w:numId w:val="407"/>
        </w:numPr>
        <w:rPr>
          <w:rFonts w:ascii="Arial" w:cs="Arial" w:eastAsia="Arial" w:hAnsi="Arial"/>
          <w:sz w:val="19"/>
          <w:szCs w:val="19"/>
          <w:b w:val="1"/>
          <w:bCs w:val="1"/>
          <w:color w:val="auto"/>
        </w:rPr>
      </w:pPr>
      <w:r>
        <w:rPr>
          <w:rFonts w:ascii="Arial" w:cs="Arial" w:eastAsia="Arial" w:hAnsi="Arial"/>
          <w:sz w:val="19"/>
          <w:szCs w:val="19"/>
          <w:b w:val="1"/>
          <w:bCs w:val="1"/>
          <w:color w:val="auto"/>
        </w:rPr>
        <w:t>No Duty to Mitigate</w:t>
      </w:r>
      <w:r>
        <w:rPr>
          <w:rFonts w:ascii="Arial" w:cs="Arial" w:eastAsia="Arial" w:hAnsi="Arial"/>
          <w:sz w:val="19"/>
          <w:szCs w:val="19"/>
          <w:color w:val="auto"/>
        </w:rPr>
        <w:t>. Executive shall not be required to mitigate the amount of any payment contemplated</w:t>
      </w:r>
      <w:r>
        <w:rPr>
          <w:rFonts w:ascii="Arial" w:cs="Arial" w:eastAsia="Arial" w:hAnsi="Arial"/>
          <w:sz w:val="19"/>
          <w:szCs w:val="19"/>
          <w:b w:val="1"/>
          <w:bCs w:val="1"/>
          <w:color w:val="auto"/>
        </w:rPr>
        <w:t xml:space="preserve"> </w:t>
      </w:r>
      <w:r>
        <w:rPr>
          <w:rFonts w:ascii="Arial" w:cs="Arial" w:eastAsia="Arial" w:hAnsi="Arial"/>
          <w:sz w:val="19"/>
          <w:szCs w:val="19"/>
          <w:color w:val="auto"/>
        </w:rPr>
        <w:t>by this Agreement, nor shall any such payment be reduced by any earnings that Executive may receive from any other source.</w:t>
      </w:r>
    </w:p>
    <w:p>
      <w:pPr>
        <w:spacing w:after="0" w:line="93" w:lineRule="exact"/>
        <w:rPr>
          <w:rFonts w:ascii="Arial" w:cs="Arial" w:eastAsia="Arial" w:hAnsi="Arial"/>
          <w:sz w:val="19"/>
          <w:szCs w:val="19"/>
          <w:b w:val="1"/>
          <w:bCs w:val="1"/>
          <w:color w:val="auto"/>
        </w:rPr>
      </w:pPr>
    </w:p>
    <w:p>
      <w:pPr>
        <w:jc w:val="both"/>
        <w:ind w:firstLine="1304"/>
        <w:spacing w:after="0" w:line="304" w:lineRule="auto"/>
        <w:tabs>
          <w:tab w:leader="none" w:pos="1842" w:val="left"/>
        </w:tabs>
        <w:numPr>
          <w:ilvl w:val="0"/>
          <w:numId w:val="407"/>
        </w:numPr>
        <w:rPr>
          <w:rFonts w:ascii="Arial" w:cs="Arial" w:eastAsia="Arial" w:hAnsi="Arial"/>
          <w:sz w:val="19"/>
          <w:szCs w:val="19"/>
          <w:b w:val="1"/>
          <w:bCs w:val="1"/>
          <w:color w:val="auto"/>
        </w:rPr>
      </w:pPr>
      <w:r>
        <w:rPr>
          <w:rFonts w:ascii="Arial" w:cs="Arial" w:eastAsia="Arial" w:hAnsi="Arial"/>
          <w:sz w:val="19"/>
          <w:szCs w:val="19"/>
          <w:b w:val="1"/>
          <w:bCs w:val="1"/>
          <w:color w:val="auto"/>
        </w:rPr>
        <w:t>Waiver</w:t>
      </w:r>
      <w:r>
        <w:rPr>
          <w:rFonts w:ascii="Arial" w:cs="Arial" w:eastAsia="Arial" w:hAnsi="Arial"/>
          <w:sz w:val="19"/>
          <w:szCs w:val="19"/>
          <w:color w:val="auto"/>
        </w:rPr>
        <w:t>. No provision of this Agreement may be waived or discharged unless the waiver or discharge is</w:t>
      </w:r>
      <w:r>
        <w:rPr>
          <w:rFonts w:ascii="Arial" w:cs="Arial" w:eastAsia="Arial" w:hAnsi="Arial"/>
          <w:sz w:val="19"/>
          <w:szCs w:val="19"/>
          <w:b w:val="1"/>
          <w:bCs w:val="1"/>
          <w:color w:val="auto"/>
        </w:rPr>
        <w:t xml:space="preserve"> </w:t>
      </w:r>
      <w:r>
        <w:rPr>
          <w:rFonts w:ascii="Arial" w:cs="Arial" w:eastAsia="Arial" w:hAnsi="Arial"/>
          <w:sz w:val="19"/>
          <w:szCs w:val="19"/>
          <w:color w:val="auto"/>
        </w:rPr>
        <w:t>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35" w:lineRule="exact"/>
        <w:rPr>
          <w:rFonts w:ascii="Arial" w:cs="Arial" w:eastAsia="Arial" w:hAnsi="Arial"/>
          <w:sz w:val="19"/>
          <w:szCs w:val="19"/>
          <w:b w:val="1"/>
          <w:bCs w:val="1"/>
          <w:color w:val="auto"/>
        </w:rPr>
      </w:pPr>
    </w:p>
    <w:p>
      <w:pPr>
        <w:jc w:val="both"/>
        <w:ind w:firstLine="1304"/>
        <w:spacing w:after="0" w:line="249" w:lineRule="auto"/>
        <w:tabs>
          <w:tab w:leader="none" w:pos="1782" w:val="left"/>
        </w:tabs>
        <w:numPr>
          <w:ilvl w:val="0"/>
          <w:numId w:val="407"/>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Agreement supersedes all prior or contemporaneous agreements, whether written or oral,</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subject matter of this Agreement including without limitation any severance provisions in any employment agreement or offer letter with the Company; provided that, for clarification purposes, this Agreement shall not affect any agreements between the Company and Executive regarding intellectual property matters, non-solicitation or non-competition restrictions or confidential information of the Company.</w:t>
      </w:r>
    </w:p>
    <w:p>
      <w:pPr>
        <w:spacing w:after="0" w:line="186" w:lineRule="exact"/>
        <w:rPr>
          <w:rFonts w:ascii="Arial" w:cs="Arial" w:eastAsia="Arial" w:hAnsi="Arial"/>
          <w:sz w:val="22"/>
          <w:szCs w:val="22"/>
          <w:b w:val="1"/>
          <w:bCs w:val="1"/>
          <w:color w:val="auto"/>
        </w:rPr>
      </w:pPr>
    </w:p>
    <w:p>
      <w:pPr>
        <w:ind w:right="20" w:firstLine="1304"/>
        <w:spacing w:after="0" w:line="269" w:lineRule="auto"/>
        <w:tabs>
          <w:tab w:leader="none" w:pos="1926" w:val="left"/>
        </w:tabs>
        <w:numPr>
          <w:ilvl w:val="0"/>
          <w:numId w:val="407"/>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r>
        <w:rPr>
          <w:rFonts w:ascii="Arial" w:cs="Arial" w:eastAsia="Arial" w:hAnsi="Arial"/>
          <w:sz w:val="22"/>
          <w:szCs w:val="22"/>
          <w:color w:val="auto"/>
        </w:rPr>
        <w:t>. The validity, interpretation, construction and performance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internal substantive laws, but not the conflicts of law rules, of the State of California.</w:t>
      </w:r>
    </w:p>
    <w:p>
      <w:pPr>
        <w:spacing w:after="0" w:line="161" w:lineRule="exact"/>
        <w:rPr>
          <w:rFonts w:ascii="Arial" w:cs="Arial" w:eastAsia="Arial" w:hAnsi="Arial"/>
          <w:sz w:val="22"/>
          <w:szCs w:val="22"/>
          <w:b w:val="1"/>
          <w:bCs w:val="1"/>
          <w:color w:val="auto"/>
        </w:rPr>
      </w:pPr>
    </w:p>
    <w:p>
      <w:pPr>
        <w:ind w:firstLine="1304"/>
        <w:spacing w:after="0" w:line="269" w:lineRule="auto"/>
        <w:tabs>
          <w:tab w:leader="none" w:pos="1830" w:val="left"/>
        </w:tabs>
        <w:numPr>
          <w:ilvl w:val="0"/>
          <w:numId w:val="407"/>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The invalidity or unenforceability of any provision or provisions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affect the validity or enforceability of any other provision hereof, which shall remain in full force and effect.</w:t>
      </w:r>
    </w:p>
    <w:p>
      <w:pPr>
        <w:spacing w:after="0" w:line="161" w:lineRule="exact"/>
        <w:rPr>
          <w:rFonts w:ascii="Arial" w:cs="Arial" w:eastAsia="Arial" w:hAnsi="Arial"/>
          <w:sz w:val="22"/>
          <w:szCs w:val="22"/>
          <w:b w:val="1"/>
          <w:bCs w:val="1"/>
          <w:color w:val="auto"/>
        </w:rPr>
      </w:pPr>
    </w:p>
    <w:p>
      <w:pPr>
        <w:jc w:val="both"/>
        <w:ind w:firstLine="1304"/>
        <w:spacing w:after="0" w:line="256" w:lineRule="auto"/>
        <w:tabs>
          <w:tab w:leader="none" w:pos="1797" w:val="left"/>
        </w:tabs>
        <w:numPr>
          <w:ilvl w:val="0"/>
          <w:numId w:val="407"/>
        </w:numPr>
        <w:rPr>
          <w:rFonts w:ascii="Arial" w:cs="Arial" w:eastAsia="Arial" w:hAnsi="Arial"/>
          <w:sz w:val="22"/>
          <w:szCs w:val="22"/>
          <w:b w:val="1"/>
          <w:bCs w:val="1"/>
          <w:color w:val="auto"/>
        </w:rPr>
      </w:pPr>
      <w:r>
        <w:rPr>
          <w:rFonts w:ascii="Arial" w:cs="Arial" w:eastAsia="Arial" w:hAnsi="Arial"/>
          <w:sz w:val="22"/>
          <w:szCs w:val="22"/>
          <w:b w:val="1"/>
          <w:bCs w:val="1"/>
          <w:color w:val="auto"/>
        </w:rPr>
        <w:t>Code Section 409A</w:t>
      </w:r>
      <w:r>
        <w:rPr>
          <w:rFonts w:ascii="Arial" w:cs="Arial" w:eastAsia="Arial" w:hAnsi="Arial"/>
          <w:sz w:val="22"/>
          <w:szCs w:val="22"/>
          <w:color w:val="auto"/>
        </w:rPr>
        <w:t>. It is intended that each installment of the payments and benefits provided for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a separate “payment” for purposes of Treasury Regulation Section 1.409A-2(b)(2)(i). For the avoidance of doubt, it is intended that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469" w:name="page470"/>
    <w:bookmarkEnd w:id="469"/>
    <w:p>
      <w:pPr>
        <w:spacing w:after="0" w:line="200" w:lineRule="exact"/>
        <w:rPr>
          <w:sz w:val="20"/>
          <w:szCs w:val="20"/>
          <w:color w:val="auto"/>
        </w:rPr>
      </w:pPr>
    </w:p>
    <w:p>
      <w:pPr>
        <w:spacing w:after="0" w:line="26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of the amounts set forth in this Agreement satisfy, to the greatest extent possible, the exemptions from the application of Section 409A of the Code (Section 409A of the Code, together, with any state law of similar effect,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provided under Treasury Regulations 1.409A-1(b)(4), 1.409A-1(b)(5) and 1.409A-1(b)(9). However, if the Company (or, if applicable, the successor entity thereto) determines that any severance payments and benefits provided under this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Payments</w:t>
      </w:r>
      <w:r>
        <w:rPr>
          <w:rFonts w:ascii="Arial" w:cs="Arial" w:eastAsia="Arial" w:hAnsi="Arial"/>
          <w:sz w:val="19"/>
          <w:szCs w:val="19"/>
          <w:color w:val="auto"/>
        </w:rPr>
        <w:t>”) constitute “deferred compensation” under Section 409A and Executive is, on the date of Executive’s Separation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Service, a “specified employee” of the Company or any successor entity thereto, as such term is defined in Section 409A(a)(2)(B)</w:t>
      </w:r>
    </w:p>
    <w:p>
      <w:pPr>
        <w:jc w:val="both"/>
        <w:ind w:firstLine="8"/>
        <w:spacing w:after="0" w:line="288" w:lineRule="auto"/>
        <w:tabs>
          <w:tab w:leader="none" w:pos="263" w:val="left"/>
        </w:tabs>
        <w:numPr>
          <w:ilvl w:val="0"/>
          <w:numId w:val="408"/>
        </w:numPr>
        <w:rPr>
          <w:rFonts w:ascii="Arial" w:cs="Arial" w:eastAsia="Arial" w:hAnsi="Arial"/>
          <w:sz w:val="19"/>
          <w:szCs w:val="19"/>
          <w:color w:val="auto"/>
        </w:rPr>
      </w:pPr>
      <w:r>
        <w:rPr>
          <w:rFonts w:ascii="Arial" w:cs="Arial" w:eastAsia="Arial" w:hAnsi="Arial"/>
          <w:sz w:val="19"/>
          <w:szCs w:val="19"/>
          <w:color w:val="auto"/>
        </w:rPr>
        <w:t>of the Code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then, solely to the extent necessary to avoid the incurrence of the adverse personal tax consequences under Section 409A, the timing of the payment of such severance payments and/or benefits, as applicable, described in Sections 2(a) and 2(b) shall be delayed as follows: on the earlier to occur of (i) the date that is six months and one day after Executive’s Separation from Service or (ii) the date of Executive’s death (such earlier date, the “</w:t>
      </w:r>
      <w:r>
        <w:rPr>
          <w:rFonts w:ascii="Arial" w:cs="Arial" w:eastAsia="Arial" w:hAnsi="Arial"/>
          <w:sz w:val="19"/>
          <w:szCs w:val="19"/>
          <w:b w:val="1"/>
          <w:bCs w:val="1"/>
          <w:i w:val="1"/>
          <w:iCs w:val="1"/>
          <w:color w:val="auto"/>
        </w:rPr>
        <w:t>Delayed Initial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 Date</w:t>
      </w:r>
      <w:r>
        <w:rPr>
          <w:rFonts w:ascii="Arial" w:cs="Arial" w:eastAsia="Arial" w:hAnsi="Arial"/>
          <w:sz w:val="19"/>
          <w:szCs w:val="19"/>
          <w:color w:val="auto"/>
        </w:rPr>
        <w:t>”), the Company (or the successor entity thereto, as applicable) shall pay to Executive a lump sum amount equal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applicable benefit that Executive would otherwise have received through the Delayed Initial Payment Date if the commencement of the payment of the benefit had not been so delayed pursuant to this Section 9(i).</w:t>
      </w:r>
    </w:p>
    <w:p>
      <w:pPr>
        <w:spacing w:after="0" w:line="152" w:lineRule="exact"/>
        <w:rPr>
          <w:rFonts w:ascii="Arial" w:cs="Arial" w:eastAsia="Arial" w:hAnsi="Arial"/>
          <w:sz w:val="19"/>
          <w:szCs w:val="19"/>
          <w:color w:val="auto"/>
        </w:rPr>
      </w:pPr>
    </w:p>
    <w:p>
      <w:pPr>
        <w:ind w:firstLine="1304"/>
        <w:spacing w:after="0" w:line="269" w:lineRule="auto"/>
        <w:tabs>
          <w:tab w:leader="none" w:pos="1751" w:val="left"/>
        </w:tabs>
        <w:numPr>
          <w:ilvl w:val="1"/>
          <w:numId w:val="408"/>
        </w:numPr>
        <w:rPr>
          <w:rFonts w:ascii="Arial" w:cs="Arial" w:eastAsia="Arial" w:hAnsi="Arial"/>
          <w:sz w:val="22"/>
          <w:szCs w:val="22"/>
          <w:b w:val="1"/>
          <w:bCs w:val="1"/>
          <w:color w:val="auto"/>
        </w:rPr>
      </w:pPr>
      <w:r>
        <w:rPr>
          <w:rFonts w:ascii="Arial" w:cs="Arial" w:eastAsia="Arial" w:hAnsi="Arial"/>
          <w:sz w:val="22"/>
          <w:szCs w:val="22"/>
          <w:b w:val="1"/>
          <w:bCs w:val="1"/>
          <w:color w:val="auto"/>
        </w:rPr>
        <w:t>Legal Fees and Expenses</w:t>
      </w:r>
      <w:r>
        <w:rPr>
          <w:rFonts w:ascii="Arial" w:cs="Arial" w:eastAsia="Arial" w:hAnsi="Arial"/>
          <w:sz w:val="22"/>
          <w:szCs w:val="22"/>
          <w:color w:val="auto"/>
        </w:rPr>
        <w:t>. The parties shall each bear their own expenses, legal fees and other fees incurred</w:t>
      </w:r>
      <w:r>
        <w:rPr>
          <w:rFonts w:ascii="Arial" w:cs="Arial" w:eastAsia="Arial" w:hAnsi="Arial"/>
          <w:sz w:val="22"/>
          <w:szCs w:val="22"/>
          <w:b w:val="1"/>
          <w:bCs w:val="1"/>
          <w:color w:val="auto"/>
        </w:rPr>
        <w:t xml:space="preserve"> </w:t>
      </w:r>
      <w:r>
        <w:rPr>
          <w:rFonts w:ascii="Arial" w:cs="Arial" w:eastAsia="Arial" w:hAnsi="Arial"/>
          <w:sz w:val="22"/>
          <w:szCs w:val="22"/>
          <w:color w:val="auto"/>
        </w:rPr>
        <w:t>in connection with the execution of this Agreement.</w:t>
      </w:r>
    </w:p>
    <w:p>
      <w:pPr>
        <w:spacing w:after="0" w:line="161" w:lineRule="exact"/>
        <w:rPr>
          <w:rFonts w:ascii="Arial" w:cs="Arial" w:eastAsia="Arial" w:hAnsi="Arial"/>
          <w:sz w:val="22"/>
          <w:szCs w:val="22"/>
          <w:b w:val="1"/>
          <w:bCs w:val="1"/>
          <w:color w:val="auto"/>
        </w:rPr>
      </w:pPr>
    </w:p>
    <w:p>
      <w:pPr>
        <w:jc w:val="both"/>
        <w:ind w:firstLine="1304"/>
        <w:spacing w:after="0" w:line="247" w:lineRule="auto"/>
        <w:tabs>
          <w:tab w:leader="none" w:pos="1891" w:val="left"/>
        </w:tabs>
        <w:numPr>
          <w:ilvl w:val="1"/>
          <w:numId w:val="408"/>
        </w:numPr>
        <w:rPr>
          <w:rFonts w:ascii="Arial" w:cs="Arial" w:eastAsia="Arial" w:hAnsi="Arial"/>
          <w:sz w:val="22"/>
          <w:szCs w:val="22"/>
          <w:b w:val="1"/>
          <w:bCs w:val="1"/>
          <w:color w:val="auto"/>
        </w:rPr>
      </w:pPr>
      <w:r>
        <w:rPr>
          <w:rFonts w:ascii="Arial" w:cs="Arial" w:eastAsia="Arial" w:hAnsi="Arial"/>
          <w:sz w:val="22"/>
          <w:szCs w:val="22"/>
          <w:b w:val="1"/>
          <w:bCs w:val="1"/>
          <w:color w:val="auto"/>
        </w:rPr>
        <w:t>Term; Termination</w:t>
      </w:r>
      <w:r>
        <w:rPr>
          <w:rFonts w:ascii="Arial" w:cs="Arial" w:eastAsia="Arial" w:hAnsi="Arial"/>
          <w:sz w:val="22"/>
          <w:szCs w:val="22"/>
          <w:color w:val="auto"/>
        </w:rPr>
        <w:t>. This Agreement shall be effective for an initial period of three (3) years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(the “</w:t>
      </w:r>
      <w:r>
        <w:rPr>
          <w:rFonts w:ascii="Arial" w:cs="Arial" w:eastAsia="Arial" w:hAnsi="Arial"/>
          <w:sz w:val="22"/>
          <w:szCs w:val="22"/>
          <w:b w:val="1"/>
          <w:bCs w:val="1"/>
          <w:i w:val="1"/>
          <w:iCs w:val="1"/>
          <w:color w:val="auto"/>
        </w:rPr>
        <w:t>Initial Term</w:t>
      </w:r>
      <w:r>
        <w:rPr>
          <w:rFonts w:ascii="Arial" w:cs="Arial" w:eastAsia="Arial" w:hAnsi="Arial"/>
          <w:sz w:val="22"/>
          <w:szCs w:val="22"/>
          <w:color w:val="auto"/>
        </w:rPr>
        <w:t>”) and, unless otherwise terminated pursuant to the terms of this Section 9(k), shall be automatically renewed thereafter for additional successive terms equal to one (1) year each (each a “</w:t>
      </w:r>
      <w:r>
        <w:rPr>
          <w:rFonts w:ascii="Arial" w:cs="Arial" w:eastAsia="Arial" w:hAnsi="Arial"/>
          <w:sz w:val="22"/>
          <w:szCs w:val="22"/>
          <w:b w:val="1"/>
          <w:bCs w:val="1"/>
          <w:i w:val="1"/>
          <w:iCs w:val="1"/>
          <w:color w:val="auto"/>
        </w:rPr>
        <w:t>Successive Term</w:t>
      </w:r>
      <w:r>
        <w:rPr>
          <w:rFonts w:ascii="Arial" w:cs="Arial" w:eastAsia="Arial" w:hAnsi="Arial"/>
          <w:sz w:val="22"/>
          <w:szCs w:val="22"/>
          <w:color w:val="auto"/>
        </w:rPr>
        <w:t>” and together with the Initial Term,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unless a notice of termination is issued by the Company no later than sixty (60) days prior to the end of the then current Term. This Agreement, and any rights granted hereunder, will terminate on the date all amounts to be paid by the Company (or any successor to the Company as contemplated in Section 5(a) above) to Executive hereunder are paid.</w:t>
      </w:r>
    </w:p>
    <w:p>
      <w:pPr>
        <w:spacing w:after="0" w:line="189" w:lineRule="exact"/>
        <w:rPr>
          <w:rFonts w:ascii="Arial" w:cs="Arial" w:eastAsia="Arial" w:hAnsi="Arial"/>
          <w:sz w:val="22"/>
          <w:szCs w:val="22"/>
          <w:b w:val="1"/>
          <w:bCs w:val="1"/>
          <w:color w:val="auto"/>
        </w:rPr>
      </w:pPr>
    </w:p>
    <w:p>
      <w:pPr>
        <w:ind w:firstLine="1304"/>
        <w:spacing w:after="0" w:line="269" w:lineRule="auto"/>
        <w:tabs>
          <w:tab w:leader="none" w:pos="1729" w:val="left"/>
        </w:tabs>
        <w:numPr>
          <w:ilvl w:val="1"/>
          <w:numId w:val="408"/>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 an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but all of which together will constitute one and the same instrument.</w:t>
      </w:r>
    </w:p>
    <w:p>
      <w:pPr>
        <w:spacing w:after="0" w:line="162"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470" w:name="page471"/>
    <w:bookmarkEnd w:id="470"/>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as of the date first set forth above.</w:t>
      </w:r>
    </w:p>
    <w:p>
      <w:pPr>
        <w:sectPr>
          <w:pgSz w:w="11900" w:h="16838" w:orient="portrait"/>
          <w:cols w:equalWidth="0" w:num="1">
            <w:col w:w="9479"/>
          </w:cols>
          <w:pgMar w:left="980" w:top="1440" w:right="1440" w:bottom="1440" w:gutter="0" w:footer="0" w:header="0"/>
        </w:sect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Hisham Shiblaq</w:t>
      </w: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 Hisham Shiblaq</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Hisham Shiblaq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-160020</wp:posOffset>
            </wp:positionV>
            <wp:extent cx="15513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73" w:lineRule="exact"/>
        <w:rPr>
          <w:sz w:val="20"/>
          <w:szCs w:val="20"/>
          <w:color w:val="auto"/>
        </w:rPr>
      </w:pPr>
    </w:p>
    <w:p>
      <w:pPr>
        <w:jc w:val="both"/>
        <w:ind w:left="4540"/>
        <w:spacing w:after="0"/>
        <w:tabs>
          <w:tab w:leader="none" w:pos="5280" w:val="left"/>
        </w:tabs>
        <w:rPr>
          <w:sz w:val="20"/>
          <w:szCs w:val="20"/>
          <w:color w:val="auto"/>
        </w:rPr>
      </w:pPr>
      <w:r>
        <w:rPr>
          <w:rFonts w:ascii="Arial" w:cs="Arial" w:eastAsia="Arial" w:hAnsi="Arial"/>
          <w:sz w:val="22"/>
          <w:szCs w:val="22"/>
          <w:color w:val="auto"/>
        </w:rPr>
        <w:t>Date:</w:t>
        <w:tab/>
        <w:t>September 07, 2021</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PROCEPT BioRobotics</w:t>
      </w:r>
    </w:p>
    <w:p>
      <w:pPr>
        <w:ind w:left="3260"/>
        <w:spacing w:after="0"/>
        <w:rPr>
          <w:sz w:val="20"/>
          <w:szCs w:val="20"/>
          <w:color w:val="auto"/>
        </w:rPr>
      </w:pPr>
      <w:r>
        <w:rPr>
          <w:rFonts w:ascii="Arial" w:cs="Arial" w:eastAsia="Arial" w:hAnsi="Arial"/>
          <w:sz w:val="22"/>
          <w:szCs w:val="22"/>
          <w:b w:val="1"/>
          <w:bCs w:val="1"/>
          <w:color w:val="auto"/>
        </w:rPr>
        <w:t>Corporation</w:t>
      </w:r>
    </w:p>
    <w:p>
      <w:pPr>
        <w:spacing w:after="0" w:line="232"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gridSpan w:val="2"/>
          </w:tcPr>
          <w:p>
            <w:pPr>
              <w:ind w:left="340"/>
              <w:spacing w:after="0"/>
              <w:rPr>
                <w:sz w:val="20"/>
                <w:szCs w:val="20"/>
                <w:color w:val="auto"/>
              </w:rPr>
            </w:pPr>
            <w:r>
              <w:rPr>
                <w:rFonts w:ascii="Arial" w:cs="Arial" w:eastAsia="Arial" w:hAnsi="Arial"/>
                <w:sz w:val="22"/>
                <w:szCs w:val="22"/>
                <w:color w:val="auto"/>
              </w:rPr>
              <w:t>/s/ Alaleh</w:t>
            </w:r>
          </w:p>
        </w:tc>
        <w:tc>
          <w:tcPr>
            <w:tcW w:w="0" w:type="dxa"/>
            <w:vAlign w:val="bottom"/>
          </w:tcPr>
          <w:p>
            <w:pPr>
              <w:spacing w:after="0"/>
              <w:rPr>
                <w:sz w:val="1"/>
                <w:szCs w:val="1"/>
                <w:color w:val="auto"/>
              </w:rPr>
            </w:pPr>
          </w:p>
        </w:tc>
      </w:tr>
      <w:tr>
        <w:trPr>
          <w:trHeight w:val="276"/>
        </w:trPr>
        <w:tc>
          <w:tcPr>
            <w:tcW w:w="3080" w:type="dxa"/>
            <w:vAlign w:val="bottom"/>
            <w:gridSpan w:val="4"/>
          </w:tcPr>
          <w:p>
            <w:pPr>
              <w:spacing w:after="0"/>
              <w:rPr>
                <w:sz w:val="20"/>
                <w:szCs w:val="20"/>
                <w:color w:val="auto"/>
              </w:rPr>
            </w:pPr>
            <w:r>
              <w:rPr>
                <w:rFonts w:ascii="Arial" w:cs="Arial" w:eastAsia="Arial" w:hAnsi="Arial"/>
                <w:sz w:val="22"/>
                <w:szCs w:val="22"/>
                <w:color w:val="auto"/>
              </w:rPr>
              <w:t>By: Nouri</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80" w:type="dxa"/>
            <w:vAlign w:val="bottom"/>
            <w:gridSpan w:val="2"/>
            <w:vMerge w:val="restart"/>
          </w:tcPr>
          <w:p>
            <w:pPr>
              <w:spacing w:after="0"/>
              <w:rPr>
                <w:sz w:val="20"/>
                <w:szCs w:val="20"/>
                <w:color w:val="auto"/>
              </w:rPr>
            </w:pPr>
            <w:r>
              <w:rPr>
                <w:rFonts w:ascii="Arial" w:cs="Arial" w:eastAsia="Arial" w:hAnsi="Arial"/>
                <w:sz w:val="22"/>
                <w:szCs w:val="22"/>
                <w:color w:val="auto"/>
              </w:rPr>
              <w:t>Name:</w:t>
            </w:r>
          </w:p>
        </w:tc>
        <w:tc>
          <w:tcPr>
            <w:tcW w:w="2400" w:type="dxa"/>
            <w:vAlign w:val="bottom"/>
            <w:gridSpan w:val="2"/>
          </w:tcPr>
          <w:p>
            <w:pPr>
              <w:ind w:left="840"/>
              <w:spacing w:after="0"/>
              <w:rPr>
                <w:sz w:val="20"/>
                <w:szCs w:val="20"/>
                <w:color w:val="auto"/>
              </w:rPr>
            </w:pPr>
            <w:r>
              <w:rPr>
                <w:rFonts w:ascii="Arial" w:cs="Arial" w:eastAsia="Arial" w:hAnsi="Arial"/>
                <w:sz w:val="22"/>
                <w:szCs w:val="22"/>
                <w:color w:val="auto"/>
              </w:rPr>
              <w:t>Alaleh</w:t>
            </w:r>
          </w:p>
        </w:tc>
        <w:tc>
          <w:tcPr>
            <w:tcW w:w="0" w:type="dxa"/>
            <w:vAlign w:val="bottom"/>
          </w:tcPr>
          <w:p>
            <w:pPr>
              <w:spacing w:after="0"/>
              <w:rPr>
                <w:sz w:val="1"/>
                <w:szCs w:val="1"/>
                <w:color w:val="auto"/>
              </w:rPr>
            </w:pPr>
          </w:p>
        </w:tc>
      </w:tr>
      <w:tr>
        <w:trPr>
          <w:trHeight w:val="274"/>
        </w:trPr>
        <w:tc>
          <w:tcPr>
            <w:tcW w:w="680" w:type="dxa"/>
            <w:vAlign w:val="bottom"/>
            <w:gridSpan w:val="2"/>
            <w:vMerge w:val="continue"/>
          </w:tcPr>
          <w:p>
            <w:pPr>
              <w:spacing w:after="0"/>
              <w:rPr>
                <w:sz w:val="23"/>
                <w:szCs w:val="23"/>
                <w:color w:val="auto"/>
              </w:rPr>
            </w:pPr>
          </w:p>
        </w:tc>
        <w:tc>
          <w:tcPr>
            <w:tcW w:w="2400" w:type="dxa"/>
            <w:vAlign w:val="bottom"/>
            <w:gridSpan w:val="2"/>
          </w:tcPr>
          <w:p>
            <w:pPr>
              <w:ind w:left="180"/>
              <w:spacing w:after="0"/>
              <w:rPr>
                <w:sz w:val="20"/>
                <w:szCs w:val="20"/>
                <w:color w:val="auto"/>
              </w:rPr>
            </w:pPr>
            <w:r>
              <w:rPr>
                <w:rFonts w:ascii="Arial" w:cs="Arial" w:eastAsia="Arial" w:hAnsi="Arial"/>
                <w:sz w:val="22"/>
                <w:szCs w:val="22"/>
                <w:color w:val="auto"/>
              </w:rPr>
              <w:t>Nouri</w:t>
            </w:r>
          </w:p>
        </w:tc>
        <w:tc>
          <w:tcPr>
            <w:tcW w:w="0" w:type="dxa"/>
            <w:vAlign w:val="bottom"/>
          </w:tcPr>
          <w:p>
            <w:pPr>
              <w:spacing w:after="0"/>
              <w:rPr>
                <w:sz w:val="1"/>
                <w:szCs w:val="1"/>
                <w:color w:val="auto"/>
              </w:rPr>
            </w:pPr>
          </w:p>
        </w:tc>
      </w:tr>
      <w:tr>
        <w:trPr>
          <w:trHeight w:val="482"/>
        </w:trPr>
        <w:tc>
          <w:tcPr>
            <w:tcW w:w="680" w:type="dxa"/>
            <w:vAlign w:val="bottom"/>
            <w:gridSpan w:val="2"/>
          </w:tcPr>
          <w:p>
            <w:pPr>
              <w:spacing w:after="0"/>
              <w:rPr>
                <w:sz w:val="20"/>
                <w:szCs w:val="20"/>
                <w:color w:val="auto"/>
              </w:rPr>
            </w:pPr>
            <w:r>
              <w:rPr>
                <w:rFonts w:ascii="Arial" w:cs="Arial" w:eastAsia="Arial" w:hAnsi="Arial"/>
                <w:sz w:val="22"/>
                <w:szCs w:val="22"/>
                <w:color w:val="auto"/>
              </w:rPr>
              <w:t>Title:</w:t>
            </w:r>
          </w:p>
        </w:tc>
        <w:tc>
          <w:tcPr>
            <w:tcW w:w="2400" w:type="dxa"/>
            <w:vAlign w:val="bottom"/>
            <w:gridSpan w:val="2"/>
          </w:tcPr>
          <w:p>
            <w:pPr>
              <w:ind w:left="760"/>
              <w:spacing w:after="0"/>
              <w:rPr>
                <w:sz w:val="20"/>
                <w:szCs w:val="20"/>
                <w:color w:val="auto"/>
              </w:rPr>
            </w:pPr>
            <w:r>
              <w:rPr>
                <w:rFonts w:ascii="Arial" w:cs="Arial" w:eastAsia="Arial" w:hAnsi="Arial"/>
                <w:sz w:val="22"/>
                <w:szCs w:val="22"/>
                <w:color w:val="auto"/>
              </w:rPr>
              <w:t>SVP, General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Counsel &amp; Corporate</w:t>
            </w:r>
          </w:p>
        </w:tc>
        <w:tc>
          <w:tcPr>
            <w:tcW w:w="0" w:type="dxa"/>
            <w:vAlign w:val="bottom"/>
          </w:tcPr>
          <w:p>
            <w:pPr>
              <w:spacing w:after="0"/>
              <w:rPr>
                <w:sz w:val="1"/>
                <w:szCs w:val="1"/>
                <w:color w:val="auto"/>
              </w:rPr>
            </w:pPr>
          </w:p>
        </w:tc>
      </w:tr>
      <w:tr>
        <w:trPr>
          <w:trHeight w:val="274"/>
        </w:trPr>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0" w:type="dxa"/>
            <w:vAlign w:val="bottom"/>
            <w:gridSpan w:val="2"/>
          </w:tcPr>
          <w:p>
            <w:pPr>
              <w:ind w:left="100"/>
              <w:spacing w:after="0"/>
              <w:rPr>
                <w:sz w:val="20"/>
                <w:szCs w:val="20"/>
                <w:color w:val="auto"/>
              </w:rPr>
            </w:pPr>
            <w:r>
              <w:rPr>
                <w:rFonts w:ascii="Arial" w:cs="Arial" w:eastAsia="Arial" w:hAnsi="Arial"/>
                <w:sz w:val="22"/>
                <w:szCs w:val="22"/>
                <w:color w:val="auto"/>
              </w:rPr>
              <w:t>Secretary</w:t>
            </w:r>
          </w:p>
        </w:tc>
        <w:tc>
          <w:tcPr>
            <w:tcW w:w="0" w:type="dxa"/>
            <w:vAlign w:val="bottom"/>
          </w:tcPr>
          <w:p>
            <w:pPr>
              <w:spacing w:after="0"/>
              <w:rPr>
                <w:sz w:val="1"/>
                <w:szCs w:val="1"/>
                <w:color w:val="auto"/>
              </w:rPr>
            </w:pPr>
          </w:p>
        </w:tc>
      </w:tr>
      <w:tr>
        <w:trPr>
          <w:trHeight w:val="540"/>
        </w:trPr>
        <w:tc>
          <w:tcPr>
            <w:tcW w:w="680" w:type="dxa"/>
            <w:vAlign w:val="bottom"/>
            <w:gridSpan w:val="2"/>
          </w:tcPr>
          <w:p>
            <w:pPr>
              <w:spacing w:after="0"/>
              <w:rPr>
                <w:sz w:val="20"/>
                <w:szCs w:val="20"/>
                <w:color w:val="auto"/>
              </w:rPr>
            </w:pPr>
            <w:r>
              <w:rPr>
                <w:rFonts w:ascii="Arial" w:cs="Arial" w:eastAsia="Arial" w:hAnsi="Arial"/>
                <w:sz w:val="22"/>
                <w:szCs w:val="22"/>
                <w:color w:val="auto"/>
              </w:rPr>
              <w:t>Date:</w:t>
            </w:r>
          </w:p>
        </w:tc>
        <w:tc>
          <w:tcPr>
            <w:tcW w:w="2400" w:type="dxa"/>
            <w:vAlign w:val="bottom"/>
            <w:gridSpan w:val="2"/>
          </w:tcPr>
          <w:p>
            <w:pPr>
              <w:ind w:left="680"/>
              <w:spacing w:after="0"/>
              <w:rPr>
                <w:sz w:val="20"/>
                <w:szCs w:val="20"/>
                <w:color w:val="auto"/>
              </w:rPr>
            </w:pPr>
            <w:r>
              <w:rPr>
                <w:rFonts w:ascii="Arial" w:cs="Arial" w:eastAsia="Arial" w:hAnsi="Arial"/>
                <w:sz w:val="22"/>
                <w:szCs w:val="22"/>
                <w:color w:val="auto"/>
                <w:w w:val="85"/>
              </w:rPr>
              <w:t>September 07,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9479"/>
          </w:cols>
          <w:pgMar w:left="980" w:top="1440" w:right="1440" w:bottom="1440" w:gutter="0" w:footer="0" w:header="0"/>
          <w:type w:val="continuous"/>
        </w:sectPr>
      </w:pPr>
    </w:p>
    <w:bookmarkStart w:id="471" w:name="page472"/>
    <w:bookmarkEnd w:id="471"/>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In consideration of receiving certain benefits under my Change of Control and Severance Agreement with PROCEPT BioRobotics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dated [__________,] 2021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the Company’s agreement to the</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nondisparagement covenant set forth on Attachment A hereto, I have agreed to sign this Release. I understand that I am not entitled to benefits under the Agreement unless I sign this Release.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 hereby confirm my obligations under my Confidentiality and Intellectual Property Agreement (or such similar form that I previously executed in connection with my employment) with the Company.</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Except as otherwise set forth in this Release, I hereby generally and completely release the Company and its current and former directors, officers, executives, shareholders, partners, agents, attorneys, predecessors, successors, parent and subsidiary entities, insurers, affiliates, and assigns (collectively,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 The Released Claims include, but are not limited to: (1) all claims arising out of or in any way related to my employment with the Company or its affiliates, or the termination of that employment;</w:t>
      </w:r>
    </w:p>
    <w:p>
      <w:pPr>
        <w:jc w:val="both"/>
        <w:ind w:firstLine="8"/>
        <w:spacing w:after="0" w:line="263" w:lineRule="auto"/>
        <w:tabs>
          <w:tab w:leader="none" w:pos="382" w:val="left"/>
        </w:tabs>
        <w:numPr>
          <w:ilvl w:val="0"/>
          <w:numId w:val="409"/>
        </w:numPr>
        <w:rPr>
          <w:rFonts w:ascii="Arial" w:cs="Arial" w:eastAsia="Arial" w:hAnsi="Arial"/>
          <w:sz w:val="20"/>
          <w:szCs w:val="20"/>
          <w:color w:val="auto"/>
        </w:rPr>
      </w:pPr>
      <w:r>
        <w:rPr>
          <w:rFonts w:ascii="Arial" w:cs="Arial" w:eastAsia="Arial" w:hAnsi="Arial"/>
          <w:sz w:val="20"/>
          <w:szCs w:val="20"/>
          <w:color w:val="auto"/>
        </w:rPr>
        <w:t>all claims related to my compensation or benefits, including salary, bonuses, commissions, vacation pay, expense reimbursements, severance pay, fringe benefits, stock, stock options,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20"/>
          <w:szCs w:val="20"/>
          <w:b w:val="1"/>
          <w:bCs w:val="1"/>
          <w:i w:val="1"/>
          <w:iCs w:val="1"/>
          <w:color w:val="auto"/>
        </w:rPr>
        <w:t>ADEA</w:t>
      </w:r>
      <w:r>
        <w:rPr>
          <w:rFonts w:ascii="Arial" w:cs="Arial" w:eastAsia="Arial" w:hAnsi="Arial"/>
          <w:sz w:val="20"/>
          <w:szCs w:val="20"/>
          <w:color w:val="auto"/>
        </w:rPr>
        <w:t>”),]</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the federal Employee Retirement Income Security Act of 1974 (as amended), the California Fair Employment and Housing Act, the California Labor Code, and the California Business &amp; Professions Code. Notwithstanding the foregoing, the following are not included in the Released Claims (the “</w:t>
      </w:r>
      <w:r>
        <w:rPr>
          <w:rFonts w:ascii="Arial" w:cs="Arial" w:eastAsia="Arial" w:hAnsi="Arial"/>
          <w:sz w:val="20"/>
          <w:szCs w:val="20"/>
          <w:b w:val="1"/>
          <w:bCs w:val="1"/>
          <w:i w:val="1"/>
          <w:iCs w:val="1"/>
          <w:color w:val="auto"/>
        </w:rPr>
        <w:t>Excluded Claims</w:t>
      </w:r>
      <w:r>
        <w:rPr>
          <w:rFonts w:ascii="Arial" w:cs="Arial" w:eastAsia="Arial" w:hAnsi="Arial"/>
          <w:sz w:val="20"/>
          <w:szCs w:val="20"/>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14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4" w:lineRule="exact"/>
        <w:rPr>
          <w:sz w:val="20"/>
          <w:szCs w:val="20"/>
          <w:color w:val="auto"/>
        </w:rPr>
      </w:pPr>
    </w:p>
    <w:p>
      <w:pPr>
        <w:ind w:left="120" w:hanging="112"/>
        <w:spacing w:after="0"/>
        <w:tabs>
          <w:tab w:leader="none" w:pos="120" w:val="left"/>
        </w:tabs>
        <w:numPr>
          <w:ilvl w:val="0"/>
          <w:numId w:val="410"/>
        </w:numPr>
        <w:rPr>
          <w:rFonts w:ascii="Arial" w:cs="Arial" w:eastAsia="Arial" w:hAnsi="Arial"/>
          <w:sz w:val="23"/>
          <w:szCs w:val="23"/>
          <w:color w:val="auto"/>
          <w:vertAlign w:val="superscript"/>
        </w:rPr>
      </w:pPr>
      <w:r>
        <w:rPr>
          <w:rFonts w:ascii="Arial" w:cs="Arial" w:eastAsia="Arial" w:hAnsi="Arial"/>
          <w:sz w:val="18"/>
          <w:szCs w:val="18"/>
          <w:color w:val="auto"/>
        </w:rPr>
        <w:t>Note to Draft: include for age 40+ individual termination and 40+ group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40" w:right="339" w:bottom="1440" w:gutter="0" w:footer="0" w:header="0"/>
        </w:sectPr>
      </w:pPr>
    </w:p>
    <w:bookmarkStart w:id="472" w:name="page473"/>
    <w:bookmarkEnd w:id="472"/>
    <w:p>
      <w:pPr>
        <w:spacing w:after="0" w:line="200" w:lineRule="exact"/>
        <w:rPr>
          <w:sz w:val="20"/>
          <w:szCs w:val="20"/>
          <w:color w:val="auto"/>
        </w:rPr>
      </w:pP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course of my employment with the Company or any shares of capital stock or other securities of the Company that I purchased other than pursuant to a Company stock option or stock plan; (3) any claims for breach of this Release Agreement or (4) any rights which are not waivable as a matter of law.</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In addition, nothing in this Release prevents me from filing, cooperating with, or participating in any proceeding before the Equal Employment Opportunity Commission, the Department of Labor, the California Department of Fair Employment and Housing, the Securities and Exchange Commission, or any other local, state, or federal administrative body or government agency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I further understand this Agreement does not limit my ability to communicate with any Government Agencies or otherwise participate in any investigation or proceeding that may be conducted by any Government Agency, including providing documents or other information, without notice to the Company. While this Agreement does not limit my right to receive an award for information provided to the Securities and Exchange Commission, I understand and agree that, to maximum extent permitted by law, I am otherwise waiving any and all rights I may have to individual relief based on any claims that I have released and any rights I have waived by signing this Agreement. Pursuant to 18 USC Section 1833(b), (1) I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 acknowledge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6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 hereby represent and warrant that, other than the Excluded Claims, I am not aware of any claims I have or might have against any of the Released Parties that are not included in the Released Claims. I agree that if I hereafter commence any suit arising out of, based upon, or relating to any of the Released Claims or in any manner asserts against the Released Parties, or any of them, any of the Released Claims, then I agree to pay to the Released Parties, and each of them, in addition to any other damages caused to the Released Parties thereby, all attorneys’ fees incurred by the Released Parties in defending or otherwise responding to said suit or Released Claim. Notwithstanding the foregoing, this provision shall not apply to any suit or claim to the extent it challenges the effectiveness of this release with respect to a claim under the ADEA.</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40" w:right="339" w:bottom="1440" w:gutter="0" w:footer="0" w:header="0"/>
        </w:sectPr>
      </w:pPr>
    </w:p>
    <w:bookmarkStart w:id="473" w:name="page474"/>
    <w:bookmarkEnd w:id="473"/>
    <w:p>
      <w:pPr>
        <w:spacing w:after="0" w:line="200" w:lineRule="exact"/>
        <w:rPr>
          <w:sz w:val="20"/>
          <w:szCs w:val="20"/>
          <w:color w:val="auto"/>
        </w:rPr>
      </w:pP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do so); (c) I have [twenty-one (21) days]</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[forty-five (45) days]</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to consider this Release (although I may choose to voluntarily sign it sooner); (d) I have seven (7)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w:t>
      </w:r>
      <w:r>
        <w:rPr>
          <w:rFonts w:ascii="Arial" w:cs="Arial" w:eastAsia="Arial" w:hAnsi="Arial"/>
          <w:sz w:val="27"/>
          <w:szCs w:val="27"/>
          <w:color w:val="auto"/>
          <w:vertAlign w:val="superscript"/>
        </w:rPr>
        <w:t>5</w:t>
      </w:r>
    </w:p>
    <w:p>
      <w:pPr>
        <w:spacing w:after="0" w:line="10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0"/>
          <w:szCs w:val="20"/>
          <w:color w:val="auto"/>
        </w:rPr>
        <w:t>[I have received with this Release all of the information required by the ADEA, including without limitation a detailed list of the job titles and ages of all employees who were terminated in this group termination and the ages of all employees of the Company in the same job classification or organizational unit who were not terminated, along with information on the eligibility factors used to select employees for the group termination and any time limits applicable to this group termination program.]</w:t>
      </w:r>
      <w:r>
        <w:rPr>
          <w:rFonts w:ascii="Arial" w:cs="Arial" w:eastAsia="Arial" w:hAnsi="Arial"/>
          <w:sz w:val="26"/>
          <w:szCs w:val="26"/>
          <w:color w:val="auto"/>
          <w:vertAlign w:val="superscript"/>
        </w:rPr>
        <w:t>6</w:t>
      </w:r>
    </w:p>
    <w:p>
      <w:pPr>
        <w:spacing w:after="0" w:line="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 may respond accurately and fully to any question, inquiry or request for information when required by legal process.</w:t>
      </w:r>
    </w:p>
    <w:p>
      <w:pPr>
        <w:spacing w:after="0" w:line="16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I acknowledge that to become effective, I must sign and return this Release to the Company so that it is received not later than [fourteen (14) days]</w:t>
      </w:r>
      <w:r>
        <w:rPr>
          <w:rFonts w:ascii="Arial" w:cs="Arial" w:eastAsia="Arial" w:hAnsi="Arial"/>
          <w:sz w:val="28"/>
          <w:szCs w:val="28"/>
          <w:color w:val="auto"/>
          <w:vertAlign w:val="superscript"/>
        </w:rPr>
        <w:t>7</w:t>
      </w:r>
      <w:r>
        <w:rPr>
          <w:rFonts w:ascii="Arial" w:cs="Arial" w:eastAsia="Arial" w:hAnsi="Arial"/>
          <w:sz w:val="22"/>
          <w:szCs w:val="22"/>
          <w:color w:val="auto"/>
        </w:rPr>
        <w:t xml:space="preserve"> [twenty-one (21) days]</w:t>
      </w:r>
      <w:r>
        <w:rPr>
          <w:rFonts w:ascii="Arial" w:cs="Arial" w:eastAsia="Arial" w:hAnsi="Arial"/>
          <w:sz w:val="28"/>
          <w:szCs w:val="28"/>
          <w:color w:val="auto"/>
          <w:vertAlign w:val="superscript"/>
        </w:rPr>
        <w:t>8</w:t>
      </w:r>
      <w:r>
        <w:rPr>
          <w:rFonts w:ascii="Arial" w:cs="Arial" w:eastAsia="Arial" w:hAnsi="Arial"/>
          <w:sz w:val="22"/>
          <w:szCs w:val="22"/>
          <w:color w:val="auto"/>
        </w:rPr>
        <w:t xml:space="preserve"> [forty-five (45) days]</w:t>
      </w:r>
      <w:r>
        <w:rPr>
          <w:rFonts w:ascii="Arial" w:cs="Arial" w:eastAsia="Arial" w:hAnsi="Arial"/>
          <w:sz w:val="28"/>
          <w:szCs w:val="28"/>
          <w:color w:val="auto"/>
          <w:vertAlign w:val="superscript"/>
        </w:rPr>
        <w:t>9</w:t>
      </w:r>
      <w:r>
        <w:rPr>
          <w:rFonts w:ascii="Arial" w:cs="Arial" w:eastAsia="Arial" w:hAnsi="Arial"/>
          <w:sz w:val="22"/>
          <w:szCs w:val="22"/>
          <w:color w:val="auto"/>
        </w:rPr>
        <w:t xml:space="preserve"> following the date it is provided to me [or such other date as specified by the Company]</w:t>
      </w:r>
      <w:r>
        <w:rPr>
          <w:rFonts w:ascii="Arial" w:cs="Arial" w:eastAsia="Arial" w:hAnsi="Arial"/>
          <w:sz w:val="28"/>
          <w:szCs w:val="28"/>
          <w:color w:val="auto"/>
          <w:vertAlign w:val="superscript"/>
        </w:rPr>
        <w:t>10</w:t>
      </w:r>
      <w:r>
        <w:rPr>
          <w:rFonts w:ascii="Arial" w:cs="Arial" w:eastAsia="Arial" w:hAnsi="Arial"/>
          <w:sz w:val="22"/>
          <w:szCs w:val="22"/>
          <w:color w:val="auto"/>
        </w:rPr>
        <w:t>[, and I must not revoke it thereafter]</w:t>
      </w:r>
      <w:r>
        <w:rPr>
          <w:rFonts w:ascii="Arial" w:cs="Arial" w:eastAsia="Arial" w:hAnsi="Arial"/>
          <w:sz w:val="28"/>
          <w:szCs w:val="28"/>
          <w:color w:val="auto"/>
          <w:vertAlign w:val="superscript"/>
        </w:rPr>
        <w:t>11</w:t>
      </w:r>
      <w:r>
        <w:rPr>
          <w:rFonts w:ascii="Arial" w:cs="Arial" w:eastAsia="Arial" w:hAnsi="Arial"/>
          <w:sz w:val="22"/>
          <w:szCs w:val="22"/>
          <w:color w:val="auto"/>
        </w:rPr>
        <w:t>.</w:t>
      </w:r>
    </w:p>
    <w:p>
      <w:pPr>
        <w:spacing w:after="0" w:line="10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I also acknowledge that I have read and understand Section 1542 of the California Civil Code which reads as follows: “</w:t>
      </w:r>
      <w:r>
        <w:rPr>
          <w:rFonts w:ascii="Arial" w:cs="Arial" w:eastAsia="Arial" w:hAnsi="Arial"/>
          <w:sz w:val="19"/>
          <w:szCs w:val="19"/>
          <w:b w:val="1"/>
          <w:bCs w:val="1"/>
          <w:color w:val="auto"/>
        </w:rPr>
        <w:t>A</w:t>
      </w:r>
      <w:r>
        <w:rPr>
          <w:rFonts w:ascii="Arial" w:cs="Arial" w:eastAsia="Arial" w:hAnsi="Arial"/>
          <w:sz w:val="19"/>
          <w:szCs w:val="19"/>
          <w:color w:val="auto"/>
        </w:rPr>
        <w:t xml:space="preserve"> </w:t>
      </w:r>
      <w:r>
        <w:rPr>
          <w:rFonts w:ascii="Arial" w:cs="Arial" w:eastAsia="Arial" w:hAnsi="Arial"/>
          <w:sz w:val="19"/>
          <w:szCs w:val="19"/>
          <w:b w:val="1"/>
          <w:bCs w:val="1"/>
          <w:color w:val="auto"/>
        </w:rPr>
        <w:t>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Arial" w:cs="Arial" w:eastAsia="Arial" w:hAnsi="Arial"/>
          <w:sz w:val="19"/>
          <w:szCs w:val="19"/>
          <w:color w:val="auto"/>
        </w:rPr>
        <w:t>.” I hereby expressly waive and relinquish all rights and benefits under that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law of any jurisdiction of similar effect with respect to any claims I may have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714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6" w:lineRule="exact"/>
        <w:rPr>
          <w:sz w:val="20"/>
          <w:szCs w:val="20"/>
          <w:color w:val="auto"/>
        </w:rPr>
      </w:pPr>
    </w:p>
    <w:p>
      <w:pPr>
        <w:ind w:left="120" w:hanging="112"/>
        <w:spacing w:after="0"/>
        <w:tabs>
          <w:tab w:leader="none" w:pos="120" w:val="left"/>
        </w:tabs>
        <w:numPr>
          <w:ilvl w:val="0"/>
          <w:numId w:val="411"/>
        </w:numPr>
        <w:rPr>
          <w:rFonts w:ascii="Arial" w:cs="Arial" w:eastAsia="Arial" w:hAnsi="Arial"/>
          <w:sz w:val="23"/>
          <w:szCs w:val="23"/>
          <w:color w:val="auto"/>
          <w:vertAlign w:val="superscript"/>
        </w:rPr>
      </w:pPr>
      <w:r>
        <w:rPr>
          <w:rFonts w:ascii="Arial" w:cs="Arial" w:eastAsia="Arial" w:hAnsi="Arial"/>
          <w:sz w:val="18"/>
          <w:szCs w:val="18"/>
          <w:color w:val="auto"/>
        </w:rPr>
        <w:t>Note to Draft: include for ages 40+ individual</w:t>
      </w:r>
    </w:p>
    <w:p>
      <w:pPr>
        <w:ind w:left="120" w:hanging="112"/>
        <w:spacing w:after="0" w:line="196" w:lineRule="auto"/>
        <w:tabs>
          <w:tab w:leader="none" w:pos="120" w:val="left"/>
        </w:tabs>
        <w:numPr>
          <w:ilvl w:val="0"/>
          <w:numId w:val="412"/>
        </w:numPr>
        <w:rPr>
          <w:rFonts w:ascii="Arial" w:cs="Arial" w:eastAsia="Arial" w:hAnsi="Arial"/>
          <w:sz w:val="23"/>
          <w:szCs w:val="23"/>
          <w:color w:val="auto"/>
          <w:vertAlign w:val="superscript"/>
        </w:rPr>
      </w:pPr>
      <w:r>
        <w:rPr>
          <w:rFonts w:ascii="Arial" w:cs="Arial" w:eastAsia="Arial" w:hAnsi="Arial"/>
          <w:sz w:val="18"/>
          <w:szCs w:val="18"/>
          <w:color w:val="auto"/>
        </w:rPr>
        <w:t>Note to Draft: include for ages 40+ group termination</w:t>
      </w:r>
    </w:p>
    <w:p>
      <w:pPr>
        <w:ind w:left="120" w:hanging="112"/>
        <w:spacing w:after="0" w:line="204" w:lineRule="auto"/>
        <w:tabs>
          <w:tab w:leader="none" w:pos="120" w:val="left"/>
        </w:tabs>
        <w:numPr>
          <w:ilvl w:val="0"/>
          <w:numId w:val="413"/>
        </w:numPr>
        <w:rPr>
          <w:rFonts w:ascii="Arial" w:cs="Arial" w:eastAsia="Arial" w:hAnsi="Arial"/>
          <w:sz w:val="23"/>
          <w:szCs w:val="23"/>
          <w:color w:val="auto"/>
          <w:vertAlign w:val="superscript"/>
        </w:rPr>
      </w:pPr>
      <w:r>
        <w:rPr>
          <w:rFonts w:ascii="Arial" w:cs="Arial" w:eastAsia="Arial" w:hAnsi="Arial"/>
          <w:sz w:val="18"/>
          <w:szCs w:val="18"/>
          <w:color w:val="auto"/>
        </w:rPr>
        <w:t>Note to Draft: include for ages 40+ individual termination and 40+ group termination</w:t>
      </w:r>
    </w:p>
    <w:p>
      <w:pPr>
        <w:spacing w:after="0" w:line="2" w:lineRule="exact"/>
        <w:rPr>
          <w:rFonts w:ascii="Arial" w:cs="Arial" w:eastAsia="Arial" w:hAnsi="Arial"/>
          <w:sz w:val="23"/>
          <w:szCs w:val="23"/>
          <w:color w:val="auto"/>
          <w:vertAlign w:val="superscript"/>
        </w:rPr>
      </w:pP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6</w:t>
      </w:r>
      <w:r>
        <w:rPr>
          <w:rFonts w:ascii="Arial" w:cs="Arial" w:eastAsia="Arial" w:hAnsi="Arial"/>
          <w:sz w:val="18"/>
          <w:szCs w:val="18"/>
          <w:color w:val="auto"/>
        </w:rPr>
        <w:t xml:space="preserve"> Note to Draft: include for 40+ group termination</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7</w:t>
      </w:r>
      <w:r>
        <w:rPr>
          <w:rFonts w:ascii="Arial" w:cs="Arial" w:eastAsia="Arial" w:hAnsi="Arial"/>
          <w:sz w:val="18"/>
          <w:szCs w:val="18"/>
          <w:color w:val="auto"/>
        </w:rPr>
        <w:t xml:space="preserve"> Note to Draft: include for below 40 individual/group termination</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8</w:t>
      </w:r>
      <w:r>
        <w:rPr>
          <w:rFonts w:ascii="Arial" w:cs="Arial" w:eastAsia="Arial" w:hAnsi="Arial"/>
          <w:sz w:val="18"/>
          <w:szCs w:val="18"/>
          <w:color w:val="auto"/>
        </w:rPr>
        <w:t xml:space="preserve"> Note to Draft: include for ages 40+ individual termination</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9</w:t>
      </w:r>
      <w:r>
        <w:rPr>
          <w:rFonts w:ascii="Arial" w:cs="Arial" w:eastAsia="Arial" w:hAnsi="Arial"/>
          <w:sz w:val="18"/>
          <w:szCs w:val="18"/>
          <w:color w:val="auto"/>
        </w:rPr>
        <w:t xml:space="preserve"> Note to Draft: include for 40+ group termination</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10</w:t>
      </w:r>
      <w:r>
        <w:rPr>
          <w:rFonts w:ascii="Arial" w:cs="Arial" w:eastAsia="Arial" w:hAnsi="Arial"/>
          <w:sz w:val="18"/>
          <w:szCs w:val="18"/>
          <w:color w:val="auto"/>
        </w:rPr>
        <w:t xml:space="preserve"> Note to Draft: include for below 40 individual/group termination</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11</w:t>
      </w:r>
      <w:r>
        <w:rPr>
          <w:rFonts w:ascii="Arial" w:cs="Arial" w:eastAsia="Arial" w:hAnsi="Arial"/>
          <w:sz w:val="18"/>
          <w:szCs w:val="18"/>
          <w:color w:val="auto"/>
        </w:rPr>
        <w:t xml:space="preserve"> Note to Draft: include for ages 40+ individual and 40+ group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40" w:right="339" w:bottom="1440" w:gutter="0" w:footer="0" w:header="0"/>
        </w:sectPr>
      </w:pPr>
    </w:p>
    <w:bookmarkStart w:id="474" w:name="page475"/>
    <w:bookmarkEnd w:id="474"/>
    <w:p>
      <w:pPr>
        <w:spacing w:after="0" w:line="200" w:lineRule="exact"/>
        <w:rPr>
          <w:sz w:val="20"/>
          <w:szCs w:val="20"/>
          <w:color w:val="auto"/>
        </w:rPr>
      </w:pPr>
    </w:p>
    <w:p>
      <w:pPr>
        <w:spacing w:after="0" w:line="26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This Release Agreement is deemed made and entered into in the [State of California], and in all respects shall be interpreted, enforced and governed under the internal laws of the [State of California], to the extent not preempted by federal law.</w:t>
      </w:r>
    </w:p>
    <w:p>
      <w:pPr>
        <w:spacing w:after="0" w:line="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I UNDERSTAND THAT THIS RELEASE AGREEMENT INCLUDES A RELEASE OF ALL KNOWN AND UNKNOWN CLAIMS, EVEN THOSE UNKNOWN CLAIMS THAT, IF KNOWN BY ME, WOULD AFFECT MY DECISION TO ACCEPT THIS RELEASE AGREEMENT.</w:t>
      </w:r>
    </w:p>
    <w:p>
      <w:pPr>
        <w:spacing w:after="0" w:line="203" w:lineRule="exact"/>
        <w:rPr>
          <w:sz w:val="20"/>
          <w:szCs w:val="20"/>
          <w:color w:val="auto"/>
        </w:rPr>
      </w:pPr>
    </w:p>
    <w:p>
      <w:pPr>
        <w:ind w:left="6040"/>
        <w:spacing w:after="0"/>
        <w:rPr>
          <w:sz w:val="20"/>
          <w:szCs w:val="20"/>
          <w:color w:val="auto"/>
        </w:rPr>
      </w:pPr>
      <w:r>
        <w:rPr>
          <w:rFonts w:ascii="Arial" w:cs="Arial" w:eastAsia="Arial" w:hAnsi="Arial"/>
          <w:sz w:val="22"/>
          <w:szCs w:val="22"/>
          <w:b w:val="1"/>
          <w:bCs w:val="1"/>
          <w:color w:val="auto"/>
        </w:rPr>
        <w:t>Hisham Shiblaq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705485</wp:posOffset>
            </wp:positionV>
            <wp:extent cx="33172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15875</wp:posOffset>
            </wp:positionV>
            <wp:extent cx="28289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1440" w:right="339" w:bottom="1440" w:gutter="0" w:footer="0" w:header="0"/>
        </w:sectPr>
      </w:pPr>
    </w:p>
    <w:bookmarkStart w:id="475" w:name="page476"/>
    <w:bookmarkEnd w:id="475"/>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Attachment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Nondisparagement Agreement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In consideration for Hisham Shiblaq’s execution of the Release Agreement to which this document is an attachment, PROCEPT BioRobotics Corporation agrees (through its officers and directors) not to disparage Hisham Shiblaq in any manner likely to be harmful to [his/her] business reputation or personal reputation;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Company may respond accurately and fully to any question, inquiry or request for information when required by legal process.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PROCEPT BioRobotics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15875</wp:posOffset>
            </wp:positionV>
            <wp:extent cx="22802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6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15875</wp:posOffset>
            </wp:positionV>
            <wp:extent cx="20999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6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15875</wp:posOffset>
            </wp:positionV>
            <wp:extent cx="21856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6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15875</wp:posOffset>
            </wp:positionV>
            <wp:extent cx="21856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40" w:right="339"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300" w:hanging="4"/>
        <w:spacing w:after="0" w:line="261" w:lineRule="auto"/>
        <w:rPr>
          <w:sz w:val="20"/>
          <w:szCs w:val="20"/>
          <w:color w:val="auto"/>
        </w:rPr>
      </w:pPr>
      <w:r>
        <w:rPr>
          <w:rFonts w:ascii="Arial" w:cs="Arial" w:eastAsia="Arial" w:hAnsi="Arial"/>
          <w:sz w:val="16"/>
          <w:szCs w:val="16"/>
          <w:color w:val="auto"/>
        </w:rPr>
        <w:t>We hereby consent to the use in this Amendment No.1 to the Registration Statement on Form S-1 of PROCEPT BioRobotics Corporation of our report dated June 25, 2021, except for the effects of the par value change discussed in Note 2 to the consolidated financial statements, as to which the date is August 18, 2021, and except for the effects of the reverse stock split discussed in Note 2 to the consolidated financial statements, as to which the date is September 8, 2021 relating to the consolidated financial statements of PROCEPT BioRobotics Corporation, which appears in this Registration Statement.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Jose,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8, 2021</w:t>
      </w:r>
    </w:p>
    <w:sectPr>
      <w:pgSz w:w="11900" w:h="16838" w:orient="portrait"/>
      <w:cols w:equalWidth="0" w:num="1">
        <w:col w:w="11220"/>
      </w:cols>
      <w:pgMar w:left="34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502870"/>
    <w:multiLevelType w:val="hybridMultilevel"/>
    <w:lvl w:ilvl="0">
      <w:lvlJc w:val="left"/>
      <w:lvlText w:val="(%1)"/>
      <w:numFmt w:val="decimal"/>
      <w:start w:val="1"/>
    </w:lvl>
  </w:abstractNum>
  <w:abstractNum w:abstractNumId="1">
    <w:nsid w:val="1DE8725A"/>
    <w:multiLevelType w:val="hybridMultilevel"/>
    <w:lvl w:ilvl="0">
      <w:lvlJc w:val="left"/>
      <w:lvlText w:val="•"/>
      <w:numFmt w:val="bullet"/>
      <w:start w:val="1"/>
    </w:lvl>
  </w:abstractNum>
  <w:abstractNum w:abstractNumId="2">
    <w:nsid w:val="6A37288A"/>
    <w:multiLevelType w:val="hybridMultilevel"/>
    <w:lvl w:ilvl="0">
      <w:lvlJc w:val="left"/>
      <w:lvlText w:val="•"/>
      <w:numFmt w:val="bullet"/>
      <w:start w:val="1"/>
    </w:lvl>
  </w:abstractNum>
  <w:abstractNum w:abstractNumId="3">
    <w:nsid w:val="8F8B73F"/>
    <w:multiLevelType w:val="hybridMultilevel"/>
    <w:lvl w:ilvl="0">
      <w:lvlJc w:val="left"/>
      <w:lvlText w:val="•"/>
      <w:numFmt w:val="bullet"/>
      <w:start w:val="1"/>
    </w:lvl>
  </w:abstractNum>
  <w:abstractNum w:abstractNumId="4">
    <w:nsid w:val="CA6B462"/>
    <w:multiLevelType w:val="hybridMultilevel"/>
    <w:lvl w:ilvl="0">
      <w:lvlJc w:val="left"/>
      <w:lvlText w:val="•"/>
      <w:numFmt w:val="bullet"/>
      <w:start w:val="1"/>
    </w:lvl>
  </w:abstractNum>
  <w:abstractNum w:abstractNumId="5">
    <w:nsid w:val="763CB680"/>
    <w:multiLevelType w:val="hybridMultilevel"/>
    <w:lvl w:ilvl="0">
      <w:lvlJc w:val="left"/>
      <w:lvlText w:val="•"/>
      <w:numFmt w:val="bullet"/>
      <w:start w:val="1"/>
    </w:lvl>
  </w:abstractNum>
  <w:abstractNum w:abstractNumId="6">
    <w:nsid w:val="15B71329"/>
    <w:multiLevelType w:val="hybridMultilevel"/>
    <w:lvl w:ilvl="0">
      <w:lvlJc w:val="left"/>
      <w:lvlText w:val="•"/>
      <w:numFmt w:val="bullet"/>
      <w:start w:val="1"/>
    </w:lvl>
  </w:abstractNum>
  <w:abstractNum w:abstractNumId="7">
    <w:nsid w:val="3DA97044"/>
    <w:multiLevelType w:val="hybridMultilevel"/>
    <w:lvl w:ilvl="0">
      <w:lvlJc w:val="left"/>
      <w:lvlText w:val="•"/>
      <w:numFmt w:val="bullet"/>
      <w:start w:val="1"/>
    </w:lvl>
  </w:abstractNum>
  <w:abstractNum w:abstractNumId="8">
    <w:nsid w:val="1CDCE2DE"/>
    <w:multiLevelType w:val="hybridMultilevel"/>
    <w:lvl w:ilvl="0">
      <w:lvlJc w:val="left"/>
      <w:lvlText w:val="•"/>
      <w:numFmt w:val="bullet"/>
      <w:start w:val="1"/>
    </w:lvl>
  </w:abstractNum>
  <w:abstractNum w:abstractNumId="9">
    <w:nsid w:val="69D3947C"/>
    <w:multiLevelType w:val="hybridMultilevel"/>
    <w:lvl w:ilvl="0">
      <w:lvlJc w:val="left"/>
      <w:lvlText w:val="•"/>
      <w:numFmt w:val="bullet"/>
      <w:start w:val="1"/>
    </w:lvl>
  </w:abstractNum>
  <w:abstractNum w:abstractNumId="10">
    <w:nsid w:val="2539DFA5"/>
    <w:multiLevelType w:val="hybridMultilevel"/>
    <w:lvl w:ilvl="0">
      <w:lvlJc w:val="left"/>
      <w:lvlText w:val="•"/>
      <w:numFmt w:val="bullet"/>
      <w:start w:val="1"/>
    </w:lvl>
  </w:abstractNum>
  <w:abstractNum w:abstractNumId="11">
    <w:nsid w:val="2DB88089"/>
    <w:multiLevelType w:val="hybridMultilevel"/>
    <w:lvl w:ilvl="0">
      <w:lvlJc w:val="left"/>
      <w:lvlText w:val="•"/>
      <w:numFmt w:val="bullet"/>
      <w:start w:val="1"/>
    </w:lvl>
  </w:abstractNum>
  <w:abstractNum w:abstractNumId="12">
    <w:nsid w:val="706B674E"/>
    <w:multiLevelType w:val="hybridMultilevel"/>
    <w:lvl w:ilvl="0">
      <w:lvlJc w:val="left"/>
      <w:lvlText w:val="•"/>
      <w:numFmt w:val="bullet"/>
      <w:start w:val="1"/>
    </w:lvl>
  </w:abstractNum>
  <w:abstractNum w:abstractNumId="13">
    <w:nsid w:val="2C106A57"/>
    <w:multiLevelType w:val="hybridMultilevel"/>
    <w:lvl w:ilvl="0">
      <w:lvlJc w:val="left"/>
      <w:lvlText w:val="•"/>
      <w:numFmt w:val="bullet"/>
      <w:start w:val="1"/>
    </w:lvl>
  </w:abstractNum>
  <w:abstractNum w:abstractNumId="14">
    <w:nsid w:val="684EED59"/>
    <w:multiLevelType w:val="hybridMultilevel"/>
    <w:lvl w:ilvl="0">
      <w:lvlJc w:val="left"/>
      <w:lvlText w:val="•"/>
      <w:numFmt w:val="bullet"/>
      <w:start w:val="1"/>
    </w:lvl>
  </w:abstractNum>
  <w:abstractNum w:abstractNumId="15">
    <w:nsid w:val="545EE5D3"/>
    <w:multiLevelType w:val="hybridMultilevel"/>
    <w:lvl w:ilvl="0">
      <w:lvlJc w:val="left"/>
      <w:lvlText w:val="(%1)"/>
      <w:numFmt w:val="decimal"/>
      <w:start w:val="1"/>
    </w:lvl>
  </w:abstractNum>
  <w:abstractNum w:abstractNumId="16">
    <w:nsid w:val="4A66051"/>
    <w:multiLevelType w:val="hybridMultilevel"/>
    <w:lvl w:ilvl="0">
      <w:lvlJc w:val="left"/>
      <w:lvlText w:val="(%1)"/>
      <w:numFmt w:val="decimal"/>
      <w:start w:val="1"/>
    </w:lvl>
  </w:abstractNum>
  <w:abstractNum w:abstractNumId="17">
    <w:nsid w:val="20F4BDAD"/>
    <w:multiLevelType w:val="hybridMultilevel"/>
    <w:lvl w:ilvl="0">
      <w:lvlJc w:val="left"/>
      <w:lvlText w:val="•"/>
      <w:numFmt w:val="bullet"/>
      <w:start w:val="1"/>
    </w:lvl>
  </w:abstractNum>
  <w:abstractNum w:abstractNumId="18">
    <w:nsid w:val="639DEFAC"/>
    <w:multiLevelType w:val="hybridMultilevel"/>
    <w:lvl w:ilvl="0">
      <w:lvlJc w:val="left"/>
      <w:lvlText w:val="•"/>
      <w:numFmt w:val="bullet"/>
      <w:start w:val="1"/>
    </w:lvl>
  </w:abstractNum>
  <w:abstractNum w:abstractNumId="19">
    <w:nsid w:val="501F9786"/>
    <w:multiLevelType w:val="hybridMultilevel"/>
    <w:lvl w:ilvl="0">
      <w:lvlJc w:val="left"/>
      <w:lvlText w:val="•"/>
      <w:numFmt w:val="bullet"/>
      <w:start w:val="1"/>
    </w:lvl>
  </w:abstractNum>
  <w:abstractNum w:abstractNumId="20">
    <w:nsid w:val="6B057295"/>
    <w:multiLevelType w:val="hybridMultilevel"/>
    <w:lvl w:ilvl="0">
      <w:lvlJc w:val="left"/>
      <w:lvlText w:val="•"/>
      <w:numFmt w:val="bullet"/>
      <w:start w:val="1"/>
    </w:lvl>
  </w:abstractNum>
  <w:abstractNum w:abstractNumId="21">
    <w:nsid w:val="2771AC80"/>
    <w:multiLevelType w:val="hybridMultilevel"/>
    <w:lvl w:ilvl="0">
      <w:lvlJc w:val="left"/>
      <w:lvlText w:val="•"/>
      <w:numFmt w:val="bullet"/>
      <w:start w:val="1"/>
    </w:lvl>
  </w:abstractNum>
  <w:abstractNum w:abstractNumId="22">
    <w:nsid w:val="1C4A08EC"/>
    <w:multiLevelType w:val="hybridMultilevel"/>
    <w:lvl w:ilvl="0">
      <w:lvlJc w:val="left"/>
      <w:lvlText w:val="•"/>
      <w:numFmt w:val="bullet"/>
      <w:start w:val="1"/>
    </w:lvl>
  </w:abstractNum>
  <w:abstractNum w:abstractNumId="23">
    <w:nsid w:val="1958BD17"/>
    <w:multiLevelType w:val="hybridMultilevel"/>
    <w:lvl w:ilvl="0">
      <w:lvlJc w:val="left"/>
      <w:lvlText w:val="•"/>
      <w:numFmt w:val="bullet"/>
      <w:start w:val="1"/>
    </w:lvl>
  </w:abstractNum>
  <w:abstractNum w:abstractNumId="24">
    <w:nsid w:val="4E647FE4"/>
    <w:multiLevelType w:val="hybridMultilevel"/>
    <w:lvl w:ilvl="0">
      <w:lvlJc w:val="left"/>
      <w:lvlText w:val="•"/>
      <w:numFmt w:val="bullet"/>
      <w:start w:val="1"/>
    </w:lvl>
  </w:abstractNum>
  <w:abstractNum w:abstractNumId="25">
    <w:nsid w:val="E0BB885"/>
    <w:multiLevelType w:val="hybridMultilevel"/>
    <w:lvl w:ilvl="0">
      <w:lvlJc w:val="left"/>
      <w:lvlText w:val="•"/>
      <w:numFmt w:val="bullet"/>
      <w:start w:val="1"/>
    </w:lvl>
  </w:abstractNum>
  <w:abstractNum w:abstractNumId="26">
    <w:nsid w:val="565976F1"/>
    <w:multiLevelType w:val="hybridMultilevel"/>
    <w:lvl w:ilvl="0">
      <w:lvlJc w:val="left"/>
      <w:lvlText w:val="%1."/>
      <w:numFmt w:val="decimal"/>
      <w:start w:val="19"/>
    </w:lvl>
  </w:abstractNum>
  <w:abstractNum w:abstractNumId="27">
    <w:nsid w:val="64212B8C"/>
    <w:multiLevelType w:val="hybridMultilevel"/>
    <w:lvl w:ilvl="0">
      <w:lvlJc w:val="left"/>
      <w:lvlText w:val="•"/>
      <w:numFmt w:val="bullet"/>
      <w:start w:val="1"/>
    </w:lvl>
  </w:abstractNum>
  <w:abstractNum w:abstractNumId="28">
    <w:nsid w:val="5C17530C"/>
    <w:multiLevelType w:val="hybridMultilevel"/>
    <w:lvl w:ilvl="0">
      <w:lvlJc w:val="left"/>
      <w:lvlText w:val="•"/>
      <w:numFmt w:val="bullet"/>
      <w:start w:val="1"/>
    </w:lvl>
  </w:abstractNum>
  <w:abstractNum w:abstractNumId="29">
    <w:nsid w:val="19A52566"/>
    <w:multiLevelType w:val="hybridMultilevel"/>
    <w:lvl w:ilvl="0">
      <w:lvlJc w:val="left"/>
      <w:lvlText w:val="•"/>
      <w:numFmt w:val="bullet"/>
      <w:start w:val="1"/>
    </w:lvl>
  </w:abstractNum>
  <w:abstractNum w:abstractNumId="30">
    <w:nsid w:val="335A1DF1"/>
    <w:multiLevelType w:val="hybridMultilevel"/>
    <w:lvl w:ilvl="0">
      <w:lvlJc w:val="left"/>
      <w:lvlText w:val="•"/>
      <w:numFmt w:val="bullet"/>
      <w:start w:val="1"/>
    </w:lvl>
  </w:abstractNum>
  <w:abstractNum w:abstractNumId="31">
    <w:nsid w:val="28677B7C"/>
    <w:multiLevelType w:val="hybridMultilevel"/>
    <w:lvl w:ilvl="0">
      <w:lvlJc w:val="left"/>
      <w:lvlText w:val="•"/>
      <w:numFmt w:val="bullet"/>
      <w:start w:val="1"/>
    </w:lvl>
  </w:abstractNum>
  <w:abstractNum w:abstractNumId="32">
    <w:nsid w:val="378D97C0"/>
    <w:multiLevelType w:val="hybridMultilevel"/>
    <w:lvl w:ilvl="0">
      <w:lvlJc w:val="left"/>
      <w:lvlText w:val="•"/>
      <w:numFmt w:val="bullet"/>
      <w:start w:val="1"/>
    </w:lvl>
  </w:abstractNum>
  <w:abstractNum w:abstractNumId="33">
    <w:nsid w:val="1D91467C"/>
    <w:multiLevelType w:val="hybridMultilevel"/>
    <w:lvl w:ilvl="0">
      <w:lvlJc w:val="left"/>
      <w:lvlText w:val="•"/>
      <w:numFmt w:val="bullet"/>
      <w:start w:val="1"/>
    </w:lvl>
  </w:abstractNum>
  <w:abstractNum w:abstractNumId="34">
    <w:nsid w:val="316032BB"/>
    <w:multiLevelType w:val="hybridMultilevel"/>
    <w:lvl w:ilvl="0">
      <w:lvlJc w:val="left"/>
      <w:lvlText w:val="•"/>
      <w:numFmt w:val="bullet"/>
      <w:start w:val="1"/>
    </w:lvl>
  </w:abstractNum>
  <w:abstractNum w:abstractNumId="35">
    <w:nsid w:val="44344C22"/>
    <w:multiLevelType w:val="hybridMultilevel"/>
    <w:lvl w:ilvl="0">
      <w:lvlJc w:val="left"/>
      <w:lvlText w:val="•"/>
      <w:numFmt w:val="bullet"/>
      <w:start w:val="1"/>
    </w:lvl>
  </w:abstractNum>
  <w:abstractNum w:abstractNumId="36">
    <w:nsid w:val="13CDFCFC"/>
    <w:multiLevelType w:val="hybridMultilevel"/>
    <w:lvl w:ilvl="0">
      <w:lvlJc w:val="left"/>
      <w:lvlText w:val="•"/>
      <w:numFmt w:val="bullet"/>
      <w:start w:val="1"/>
    </w:lvl>
  </w:abstractNum>
  <w:abstractNum w:abstractNumId="37">
    <w:nsid w:val="471745E4"/>
    <w:multiLevelType w:val="hybridMultilevel"/>
    <w:lvl w:ilvl="0">
      <w:lvlJc w:val="left"/>
      <w:lvlText w:val="•"/>
      <w:numFmt w:val="bullet"/>
      <w:start w:val="1"/>
    </w:lvl>
  </w:abstractNum>
  <w:abstractNum w:abstractNumId="38">
    <w:nsid w:val="1DDBC66"/>
    <w:multiLevelType w:val="hybridMultilevel"/>
    <w:lvl w:ilvl="0">
      <w:lvlJc w:val="left"/>
      <w:lvlText w:val="•"/>
      <w:numFmt w:val="bullet"/>
      <w:start w:val="1"/>
    </w:lvl>
  </w:abstractNum>
  <w:abstractNum w:abstractNumId="39">
    <w:nsid w:val="30AADFDA"/>
    <w:multiLevelType w:val="hybridMultilevel"/>
    <w:lvl w:ilvl="0">
      <w:lvlJc w:val="left"/>
      <w:lvlText w:val="•"/>
      <w:numFmt w:val="bullet"/>
      <w:start w:val="1"/>
    </w:lvl>
  </w:abstractNum>
  <w:abstractNum w:abstractNumId="40">
    <w:nsid w:val="30EADA61"/>
    <w:multiLevelType w:val="hybridMultilevel"/>
    <w:lvl w:ilvl="0">
      <w:lvlJc w:val="left"/>
      <w:lvlText w:val="•"/>
      <w:numFmt w:val="bullet"/>
      <w:start w:val="1"/>
    </w:lvl>
  </w:abstractNum>
  <w:abstractNum w:abstractNumId="41">
    <w:nsid w:val="27179C0B"/>
    <w:multiLevelType w:val="hybridMultilevel"/>
    <w:lvl w:ilvl="0">
      <w:lvlJc w:val="left"/>
      <w:lvlText w:val="•"/>
      <w:numFmt w:val="bullet"/>
      <w:start w:val="1"/>
    </w:lvl>
  </w:abstractNum>
  <w:abstractNum w:abstractNumId="42">
    <w:nsid w:val="5E636063"/>
    <w:multiLevelType w:val="hybridMultilevel"/>
    <w:lvl w:ilvl="0">
      <w:lvlJc w:val="left"/>
      <w:lvlText w:val="•"/>
      <w:numFmt w:val="bullet"/>
      <w:start w:val="1"/>
    </w:lvl>
  </w:abstractNum>
  <w:abstractNum w:abstractNumId="43">
    <w:nsid w:val="215641AF"/>
    <w:multiLevelType w:val="hybridMultilevel"/>
    <w:lvl w:ilvl="0">
      <w:lvlJc w:val="left"/>
      <w:lvlText w:val="•"/>
      <w:numFmt w:val="bullet"/>
      <w:start w:val="1"/>
    </w:lvl>
  </w:abstractNum>
  <w:abstractNum w:abstractNumId="44">
    <w:nsid w:val="53280662"/>
    <w:multiLevelType w:val="hybridMultilevel"/>
    <w:lvl w:ilvl="0">
      <w:lvlJc w:val="left"/>
      <w:lvlText w:val="•"/>
      <w:numFmt w:val="bullet"/>
      <w:start w:val="1"/>
    </w:lvl>
  </w:abstractNum>
  <w:abstractNum w:abstractNumId="45">
    <w:nsid w:val="46B24DBC"/>
    <w:multiLevelType w:val="hybridMultilevel"/>
    <w:lvl w:ilvl="0">
      <w:lvlJc w:val="left"/>
      <w:lvlText w:val="•"/>
      <w:numFmt w:val="bullet"/>
      <w:start w:val="1"/>
    </w:lvl>
  </w:abstractNum>
  <w:abstractNum w:abstractNumId="46">
    <w:nsid w:val="75B52783"/>
    <w:multiLevelType w:val="hybridMultilevel"/>
    <w:lvl w:ilvl="0">
      <w:lvlJc w:val="left"/>
      <w:lvlText w:val="•"/>
      <w:numFmt w:val="bullet"/>
      <w:start w:val="1"/>
    </w:lvl>
  </w:abstractNum>
  <w:abstractNum w:abstractNumId="47">
    <w:nsid w:val="57CE66B4"/>
    <w:multiLevelType w:val="hybridMultilevel"/>
    <w:lvl w:ilvl="0">
      <w:lvlJc w:val="left"/>
      <w:lvlText w:val="•"/>
      <w:numFmt w:val="bullet"/>
      <w:start w:val="1"/>
    </w:lvl>
  </w:abstractNum>
  <w:abstractNum w:abstractNumId="48">
    <w:nsid w:val="67A70B69"/>
    <w:multiLevelType w:val="hybridMultilevel"/>
    <w:lvl w:ilvl="0">
      <w:lvlJc w:val="left"/>
      <w:lvlText w:val="•"/>
      <w:numFmt w:val="bullet"/>
      <w:start w:val="1"/>
    </w:lvl>
  </w:abstractNum>
  <w:abstractNum w:abstractNumId="49">
    <w:nsid w:val="5953172F"/>
    <w:multiLevelType w:val="hybridMultilevel"/>
    <w:lvl w:ilvl="0">
      <w:lvlJc w:val="left"/>
      <w:lvlText w:val="•"/>
      <w:numFmt w:val="bullet"/>
      <w:start w:val="1"/>
    </w:lvl>
  </w:abstractNum>
  <w:abstractNum w:abstractNumId="50">
    <w:nsid w:val="27EDFE3A"/>
    <w:multiLevelType w:val="hybridMultilevel"/>
    <w:lvl w:ilvl="0">
      <w:lvlJc w:val="left"/>
      <w:lvlText w:val="•"/>
      <w:numFmt w:val="bullet"/>
      <w:start w:val="1"/>
    </w:lvl>
  </w:abstractNum>
  <w:abstractNum w:abstractNumId="51">
    <w:nsid w:val="52AC7DFF"/>
    <w:multiLevelType w:val="hybridMultilevel"/>
    <w:lvl w:ilvl="0">
      <w:lvlJc w:val="left"/>
      <w:lvlText w:val="•"/>
      <w:numFmt w:val="bullet"/>
      <w:start w:val="1"/>
    </w:lvl>
  </w:abstractNum>
  <w:abstractNum w:abstractNumId="52">
    <w:nsid w:val="C4C3AF"/>
    <w:multiLevelType w:val="hybridMultilevel"/>
    <w:lvl w:ilvl="0">
      <w:lvlJc w:val="left"/>
      <w:lvlText w:val="•"/>
      <w:numFmt w:val="bullet"/>
      <w:start w:val="1"/>
    </w:lvl>
  </w:abstractNum>
  <w:abstractNum w:abstractNumId="53">
    <w:nsid w:val="44380727"/>
    <w:multiLevelType w:val="hybridMultilevel"/>
    <w:lvl w:ilvl="0">
      <w:lvlJc w:val="left"/>
      <w:lvlText w:val="•"/>
      <w:numFmt w:val="bullet"/>
      <w:start w:val="1"/>
    </w:lvl>
  </w:abstractNum>
  <w:abstractNum w:abstractNumId="54">
    <w:nsid w:val="6C053B16"/>
    <w:multiLevelType w:val="hybridMultilevel"/>
    <w:lvl w:ilvl="0">
      <w:lvlJc w:val="left"/>
      <w:lvlText w:val="•"/>
      <w:numFmt w:val="bullet"/>
      <w:start w:val="1"/>
    </w:lvl>
  </w:abstractNum>
  <w:abstractNum w:abstractNumId="55">
    <w:nsid w:val="4F294393"/>
    <w:multiLevelType w:val="hybridMultilevel"/>
    <w:lvl w:ilvl="0">
      <w:lvlJc w:val="left"/>
      <w:lvlText w:val="(%1)"/>
      <w:numFmt w:val="decimal"/>
      <w:start w:val="1"/>
    </w:lvl>
  </w:abstractNum>
  <w:abstractNum w:abstractNumId="56">
    <w:nsid w:val="5243BFAC"/>
    <w:multiLevelType w:val="hybridMultilevel"/>
    <w:lvl w:ilvl="0">
      <w:lvlJc w:val="left"/>
      <w:lvlText w:val="•"/>
      <w:numFmt w:val="bullet"/>
      <w:start w:val="1"/>
    </w:lvl>
  </w:abstractNum>
  <w:abstractNum w:abstractNumId="57">
    <w:nsid w:val="425EB207"/>
    <w:multiLevelType w:val="hybridMultilevel"/>
    <w:lvl w:ilvl="0">
      <w:lvlJc w:val="left"/>
      <w:lvlText w:val="•"/>
      <w:numFmt w:val="bullet"/>
      <w:start w:val="1"/>
    </w:lvl>
  </w:abstractNum>
  <w:abstractNum w:abstractNumId="58">
    <w:nsid w:val="334A6F1F"/>
    <w:multiLevelType w:val="hybridMultilevel"/>
    <w:lvl w:ilvl="0">
      <w:lvlJc w:val="left"/>
      <w:lvlText w:val="•"/>
      <w:numFmt w:val="bullet"/>
      <w:start w:val="1"/>
    </w:lvl>
  </w:abstractNum>
  <w:abstractNum w:abstractNumId="59">
    <w:nsid w:val="2E5B12B8"/>
    <w:multiLevelType w:val="hybridMultilevel"/>
    <w:lvl w:ilvl="0">
      <w:lvlJc w:val="left"/>
      <w:lvlText w:val="•"/>
      <w:numFmt w:val="bullet"/>
      <w:start w:val="1"/>
    </w:lvl>
  </w:abstractNum>
  <w:abstractNum w:abstractNumId="60">
    <w:nsid w:val="5C03D76D"/>
    <w:multiLevelType w:val="hybridMultilevel"/>
    <w:lvl w:ilvl="0">
      <w:lvlJc w:val="left"/>
      <w:lvlText w:val="(%1)"/>
      <w:numFmt w:val="decimal"/>
      <w:start w:val="1"/>
    </w:lvl>
  </w:abstractNum>
  <w:abstractNum w:abstractNumId="61">
    <w:nsid w:val="66A48D11"/>
    <w:multiLevelType w:val="hybridMultilevel"/>
    <w:lvl w:ilvl="0">
      <w:lvlJc w:val="left"/>
      <w:lvlText w:val="•"/>
      <w:numFmt w:val="bullet"/>
      <w:start w:val="1"/>
    </w:lvl>
  </w:abstractNum>
  <w:abstractNum w:abstractNumId="62">
    <w:nsid w:val="56C28E34"/>
    <w:multiLevelType w:val="hybridMultilevel"/>
    <w:lvl w:ilvl="0">
      <w:lvlJc w:val="left"/>
      <w:lvlText w:val="•"/>
      <w:numFmt w:val="bullet"/>
      <w:start w:val="1"/>
    </w:lvl>
  </w:abstractNum>
  <w:abstractNum w:abstractNumId="63">
    <w:nsid w:val="13916F2D"/>
    <w:multiLevelType w:val="hybridMultilevel"/>
    <w:lvl w:ilvl="0">
      <w:lvlJc w:val="left"/>
      <w:lvlText w:val="•"/>
      <w:numFmt w:val="bullet"/>
      <w:start w:val="1"/>
    </w:lvl>
  </w:abstractNum>
  <w:abstractNum w:abstractNumId="64">
    <w:nsid w:val="435D38D"/>
    <w:multiLevelType w:val="hybridMultilevel"/>
    <w:lvl w:ilvl="0">
      <w:lvlJc w:val="left"/>
      <w:lvlText w:val="•"/>
      <w:numFmt w:val="bullet"/>
      <w:start w:val="1"/>
    </w:lvl>
  </w:abstractNum>
  <w:abstractNum w:abstractNumId="65">
    <w:nsid w:val="822C0EF"/>
    <w:multiLevelType w:val="hybridMultilevel"/>
    <w:lvl w:ilvl="0">
      <w:lvlJc w:val="left"/>
      <w:lvlText w:val="•"/>
      <w:numFmt w:val="bullet"/>
      <w:start w:val="1"/>
    </w:lvl>
  </w:abstractNum>
  <w:abstractNum w:abstractNumId="66">
    <w:nsid w:val="57C5BB4F"/>
    <w:multiLevelType w:val="hybridMultilevel"/>
    <w:lvl w:ilvl="0">
      <w:lvlJc w:val="left"/>
      <w:lvlText w:val="•"/>
      <w:numFmt w:val="bullet"/>
      <w:start w:val="1"/>
    </w:lvl>
  </w:abstractNum>
  <w:abstractNum w:abstractNumId="67">
    <w:nsid w:val="1803D089"/>
    <w:multiLevelType w:val="hybridMultilevel"/>
    <w:lvl w:ilvl="0">
      <w:lvlJc w:val="left"/>
      <w:lvlText w:val="•"/>
      <w:numFmt w:val="bullet"/>
      <w:start w:val="1"/>
    </w:lvl>
  </w:abstractNum>
  <w:abstractNum w:abstractNumId="68">
    <w:nsid w:val="4F3A06D4"/>
    <w:multiLevelType w:val="hybridMultilevel"/>
    <w:lvl w:ilvl="0">
      <w:lvlJc w:val="left"/>
      <w:lvlText w:val="•"/>
      <w:numFmt w:val="bullet"/>
      <w:start w:val="1"/>
    </w:lvl>
  </w:abstractNum>
  <w:abstractNum w:abstractNumId="69">
    <w:nsid w:val="59A377B6"/>
    <w:multiLevelType w:val="hybridMultilevel"/>
    <w:lvl w:ilvl="0">
      <w:lvlJc w:val="left"/>
      <w:lvlText w:val="•"/>
      <w:numFmt w:val="bullet"/>
      <w:start w:val="1"/>
    </w:lvl>
  </w:abstractNum>
  <w:abstractNum w:abstractNumId="70">
    <w:nsid w:val="48AEB063"/>
    <w:multiLevelType w:val="hybridMultilevel"/>
    <w:lvl w:ilvl="0">
      <w:lvlJc w:val="left"/>
      <w:lvlText w:val="•"/>
      <w:numFmt w:val="bullet"/>
      <w:start w:val="1"/>
    </w:lvl>
  </w:abstractNum>
  <w:abstractNum w:abstractNumId="71">
    <w:nsid w:val="24E135"/>
    <w:multiLevelType w:val="hybridMultilevel"/>
    <w:lvl w:ilvl="0">
      <w:lvlJc w:val="left"/>
      <w:lvlText w:val="•"/>
      <w:numFmt w:val="bullet"/>
      <w:start w:val="1"/>
    </w:lvl>
  </w:abstractNum>
  <w:abstractNum w:abstractNumId="72">
    <w:nsid w:val="BB13C1"/>
    <w:multiLevelType w:val="hybridMultilevel"/>
    <w:lvl w:ilvl="0">
      <w:lvlJc w:val="left"/>
      <w:lvlText w:val="•"/>
      <w:numFmt w:val="bullet"/>
      <w:start w:val="1"/>
    </w:lvl>
  </w:abstractNum>
  <w:abstractNum w:abstractNumId="73">
    <w:nsid w:val="271210C7"/>
    <w:multiLevelType w:val="hybridMultilevel"/>
    <w:lvl w:ilvl="0">
      <w:lvlJc w:val="left"/>
      <w:lvlText w:val="•"/>
      <w:numFmt w:val="bullet"/>
      <w:start w:val="1"/>
    </w:lvl>
  </w:abstractNum>
  <w:abstractNum w:abstractNumId="74">
    <w:nsid w:val="217B22E4"/>
    <w:multiLevelType w:val="hybridMultilevel"/>
    <w:lvl w:ilvl="0">
      <w:lvlJc w:val="left"/>
      <w:lvlText w:val="•"/>
      <w:numFmt w:val="bullet"/>
      <w:start w:val="1"/>
    </w:lvl>
  </w:abstractNum>
  <w:abstractNum w:abstractNumId="75">
    <w:nsid w:val="53E31A24"/>
    <w:multiLevelType w:val="hybridMultilevel"/>
    <w:lvl w:ilvl="0">
      <w:lvlJc w:val="left"/>
      <w:lvlText w:val="•"/>
      <w:numFmt w:val="bullet"/>
      <w:start w:val="1"/>
    </w:lvl>
  </w:abstractNum>
  <w:abstractNum w:abstractNumId="76">
    <w:nsid w:val="6DC45E83"/>
    <w:multiLevelType w:val="hybridMultilevel"/>
    <w:lvl w:ilvl="0">
      <w:lvlJc w:val="left"/>
      <w:lvlText w:val="•"/>
      <w:numFmt w:val="bullet"/>
      <w:start w:val="1"/>
    </w:lvl>
  </w:abstractNum>
  <w:abstractNum w:abstractNumId="77">
    <w:nsid w:val="17304A67"/>
    <w:multiLevelType w:val="hybridMultilevel"/>
    <w:lvl w:ilvl="0">
      <w:lvlJc w:val="left"/>
      <w:lvlText w:val="•"/>
      <w:numFmt w:val="bullet"/>
      <w:start w:val="1"/>
    </w:lvl>
  </w:abstractNum>
  <w:abstractNum w:abstractNumId="78">
    <w:nsid w:val="2BB180D8"/>
    <w:multiLevelType w:val="hybridMultilevel"/>
    <w:lvl w:ilvl="0">
      <w:lvlJc w:val="left"/>
      <w:lvlText w:val="•"/>
      <w:numFmt w:val="bullet"/>
      <w:start w:val="1"/>
    </w:lvl>
  </w:abstractNum>
  <w:abstractNum w:abstractNumId="79">
    <w:nsid w:val="556B69ED"/>
    <w:multiLevelType w:val="hybridMultilevel"/>
    <w:lvl w:ilvl="0">
      <w:lvlJc w:val="left"/>
      <w:lvlText w:val="•"/>
      <w:numFmt w:val="bullet"/>
      <w:start w:val="1"/>
    </w:lvl>
  </w:abstractNum>
  <w:abstractNum w:abstractNumId="80">
    <w:nsid w:val="70836196"/>
    <w:multiLevelType w:val="hybridMultilevel"/>
    <w:lvl w:ilvl="0">
      <w:lvlJc w:val="left"/>
      <w:lvlText w:val="•"/>
      <w:numFmt w:val="bullet"/>
      <w:start w:val="1"/>
    </w:lvl>
  </w:abstractNum>
  <w:abstractNum w:abstractNumId="81">
    <w:nsid w:val="539F7F12"/>
    <w:multiLevelType w:val="hybridMultilevel"/>
    <w:lvl w:ilvl="0">
      <w:lvlJc w:val="left"/>
      <w:lvlText w:val="•"/>
      <w:numFmt w:val="bullet"/>
      <w:start w:val="1"/>
    </w:lvl>
  </w:abstractNum>
  <w:abstractNum w:abstractNumId="82">
    <w:nsid w:val="2817E7EC"/>
    <w:multiLevelType w:val="hybridMultilevel"/>
    <w:lvl w:ilvl="0">
      <w:lvlJc w:val="left"/>
      <w:lvlText w:val="•"/>
      <w:numFmt w:val="bullet"/>
      <w:start w:val="1"/>
    </w:lvl>
  </w:abstractNum>
  <w:abstractNum w:abstractNumId="83">
    <w:nsid w:val="71482545"/>
    <w:multiLevelType w:val="hybridMultilevel"/>
    <w:lvl w:ilvl="0">
      <w:lvlJc w:val="left"/>
      <w:lvlText w:val="•"/>
      <w:numFmt w:val="bullet"/>
      <w:start w:val="1"/>
    </w:lvl>
  </w:abstractNum>
  <w:abstractNum w:abstractNumId="84">
    <w:nsid w:val="17D78639"/>
    <w:multiLevelType w:val="hybridMultilevel"/>
    <w:lvl w:ilvl="0">
      <w:lvlJc w:val="left"/>
      <w:lvlText w:val="•"/>
      <w:numFmt w:val="bullet"/>
      <w:start w:val="1"/>
    </w:lvl>
  </w:abstractNum>
  <w:abstractNum w:abstractNumId="85">
    <w:nsid w:val="141D2302"/>
    <w:multiLevelType w:val="hybridMultilevel"/>
    <w:lvl w:ilvl="0">
      <w:lvlJc w:val="left"/>
      <w:lvlText w:val="•"/>
      <w:numFmt w:val="bullet"/>
      <w:start w:val="1"/>
    </w:lvl>
  </w:abstractNum>
  <w:abstractNum w:abstractNumId="86">
    <w:nsid w:val="407168D8"/>
    <w:multiLevelType w:val="hybridMultilevel"/>
    <w:lvl w:ilvl="0">
      <w:lvlJc w:val="left"/>
      <w:lvlText w:val="•"/>
      <w:numFmt w:val="bullet"/>
      <w:start w:val="1"/>
    </w:lvl>
  </w:abstractNum>
  <w:abstractNum w:abstractNumId="87">
    <w:nsid w:val="6A1B45E5"/>
    <w:multiLevelType w:val="hybridMultilevel"/>
    <w:lvl w:ilvl="0">
      <w:lvlJc w:val="left"/>
      <w:lvlText w:val="•"/>
      <w:numFmt w:val="bullet"/>
      <w:start w:val="1"/>
    </w:lvl>
  </w:abstractNum>
  <w:abstractNum w:abstractNumId="88">
    <w:nsid w:val="567BD50A"/>
    <w:multiLevelType w:val="hybridMultilevel"/>
    <w:lvl w:ilvl="0">
      <w:lvlJc w:val="left"/>
      <w:lvlText w:val="(%1)"/>
      <w:numFmt w:val="decimal"/>
      <w:start w:val="1"/>
    </w:lvl>
  </w:abstractNum>
  <w:abstractNum w:abstractNumId="89">
    <w:nsid w:val="73BBD7F8"/>
    <w:multiLevelType w:val="hybridMultilevel"/>
    <w:lvl w:ilvl="0">
      <w:lvlJc w:val="left"/>
      <w:lvlText w:val="•"/>
      <w:numFmt w:val="bullet"/>
      <w:start w:val="1"/>
    </w:lvl>
  </w:abstractNum>
  <w:abstractNum w:abstractNumId="90">
    <w:nsid w:val="1876589D"/>
    <w:multiLevelType w:val="hybridMultilevel"/>
    <w:lvl w:ilvl="0">
      <w:lvlJc w:val="left"/>
      <w:lvlText w:val="•"/>
      <w:numFmt w:val="bullet"/>
      <w:start w:val="1"/>
    </w:lvl>
  </w:abstractNum>
  <w:abstractNum w:abstractNumId="91">
    <w:nsid w:val="327FAC77"/>
    <w:multiLevelType w:val="hybridMultilevel"/>
    <w:lvl w:ilvl="0">
      <w:lvlJc w:val="left"/>
      <w:lvlText w:val="(%1)"/>
      <w:numFmt w:val="decimal"/>
      <w:start w:val="1"/>
    </w:lvl>
  </w:abstractNum>
  <w:abstractNum w:abstractNumId="92">
    <w:nsid w:val="5A606509"/>
    <w:multiLevelType w:val="hybridMultilevel"/>
    <w:lvl w:ilvl="0">
      <w:lvlJc w:val="left"/>
      <w:lvlText w:val="(%1)"/>
      <w:numFmt w:val="decimal"/>
      <w:start w:val="1"/>
    </w:lvl>
  </w:abstractNum>
  <w:abstractNum w:abstractNumId="93">
    <w:nsid w:val="6F38E6D1"/>
    <w:multiLevelType w:val="hybridMultilevel"/>
    <w:lvl w:ilvl="0">
      <w:lvlJc w:val="left"/>
      <w:lvlText w:val="•"/>
      <w:numFmt w:val="bullet"/>
      <w:start w:val="1"/>
    </w:lvl>
  </w:abstractNum>
  <w:abstractNum w:abstractNumId="94">
    <w:nsid w:val="46111BA5"/>
    <w:multiLevelType w:val="hybridMultilevel"/>
    <w:lvl w:ilvl="0">
      <w:lvlJc w:val="left"/>
      <w:lvlText w:val="(%1)"/>
      <w:numFmt w:val="decimal"/>
      <w:start w:val="1"/>
    </w:lvl>
  </w:abstractNum>
  <w:abstractNum w:abstractNumId="95">
    <w:nsid w:val="5E963896"/>
    <w:multiLevelType w:val="hybridMultilevel"/>
    <w:lvl w:ilvl="0">
      <w:lvlJc w:val="left"/>
      <w:lvlText w:val="•"/>
      <w:numFmt w:val="bullet"/>
      <w:start w:val="1"/>
    </w:lvl>
  </w:abstractNum>
  <w:abstractNum w:abstractNumId="96">
    <w:nsid w:val="775BA7C1"/>
    <w:multiLevelType w:val="hybridMultilevel"/>
    <w:lvl w:ilvl="0">
      <w:lvlJc w:val="left"/>
      <w:lvlText w:val="•"/>
      <w:numFmt w:val="bullet"/>
      <w:start w:val="1"/>
    </w:lvl>
  </w:abstractNum>
  <w:abstractNum w:abstractNumId="97">
    <w:nsid w:val="1DD6D6F4"/>
    <w:multiLevelType w:val="hybridMultilevel"/>
    <w:lvl w:ilvl="0">
      <w:lvlJc w:val="left"/>
      <w:lvlText w:val="(%1)"/>
      <w:numFmt w:val="lowerRoman"/>
      <w:start w:val="2"/>
    </w:lvl>
  </w:abstractNum>
  <w:abstractNum w:abstractNumId="98">
    <w:nsid w:val="769A091F"/>
    <w:multiLevelType w:val="hybridMultilevel"/>
    <w:lvl w:ilvl="0">
      <w:lvlJc w:val="left"/>
      <w:lvlText w:val="(%1)"/>
      <w:numFmt w:val="lowerRoman"/>
      <w:start w:val="22"/>
    </w:lvl>
  </w:abstractNum>
  <w:abstractNum w:abstractNumId="99">
    <w:nsid w:val="4695AE95"/>
    <w:multiLevelType w:val="hybridMultilevel"/>
    <w:lvl w:ilvl="0">
      <w:lvlJc w:val="left"/>
      <w:lvlText w:val="(%1)"/>
      <w:numFmt w:val="lowerRoman"/>
      <w:start w:val="27"/>
    </w:lvl>
  </w:abstractNum>
  <w:abstractNum w:abstractNumId="100">
    <w:nsid w:val="777A4EAA"/>
    <w:multiLevelType w:val="hybridMultilevel"/>
    <w:lvl w:ilvl="0">
      <w:lvlJc w:val="left"/>
      <w:lvlText w:val="(%1)"/>
      <w:numFmt w:val="decimal"/>
      <w:start w:val="1"/>
    </w:lvl>
  </w:abstractNum>
  <w:abstractNum w:abstractNumId="101">
    <w:nsid w:val="3F48B982"/>
    <w:multiLevelType w:val="hybridMultilevel"/>
    <w:lvl w:ilvl="0">
      <w:lvlJc w:val="left"/>
      <w:lvlText w:val="(%1)"/>
      <w:numFmt w:val="decimal"/>
      <w:start w:val="4"/>
    </w:lvl>
  </w:abstractNum>
  <w:abstractNum w:abstractNumId="102">
    <w:nsid w:val="46BA8FCA"/>
    <w:multiLevelType w:val="hybridMultilevel"/>
    <w:lvl w:ilvl="0">
      <w:lvlJc w:val="left"/>
      <w:lvlText w:val="(%1)"/>
      <w:numFmt w:val="decimal"/>
      <w:start w:val="1"/>
    </w:lvl>
  </w:abstractNum>
  <w:abstractNum w:abstractNumId="103">
    <w:nsid w:val="7835626C"/>
    <w:multiLevelType w:val="hybridMultilevel"/>
    <w:lvl w:ilvl="0">
      <w:lvlJc w:val="left"/>
      <w:lvlText w:val="•"/>
      <w:numFmt w:val="bullet"/>
      <w:start w:val="1"/>
    </w:lvl>
  </w:abstractNum>
  <w:abstractNum w:abstractNumId="104">
    <w:nsid w:val="665ACA49"/>
    <w:multiLevelType w:val="hybridMultilevel"/>
    <w:lvl w:ilvl="0">
      <w:lvlJc w:val="left"/>
      <w:lvlText w:val="%1."/>
      <w:numFmt w:val="lowerLetter"/>
      <w:start w:val="1"/>
    </w:lvl>
  </w:abstractNum>
  <w:abstractNum w:abstractNumId="105">
    <w:nsid w:val="6835B2AE"/>
    <w:multiLevelType w:val="hybridMultilevel"/>
    <w:lvl w:ilvl="0">
      <w:lvlJc w:val="left"/>
      <w:lvlText w:val="•"/>
      <w:numFmt w:val="bullet"/>
      <w:start w:val="1"/>
    </w:lvl>
  </w:abstractNum>
  <w:abstractNum w:abstractNumId="106">
    <w:nsid w:val="4C187C90"/>
    <w:multiLevelType w:val="hybridMultilevel"/>
    <w:lvl w:ilvl="0">
      <w:lvlJc w:val="left"/>
      <w:lvlText w:val="*"/>
      <w:numFmt w:val="bullet"/>
      <w:start w:val="1"/>
    </w:lvl>
  </w:abstractNum>
  <w:abstractNum w:abstractNumId="107">
    <w:nsid w:val="541F28CD"/>
    <w:multiLevelType w:val="hybridMultilevel"/>
    <w:lvl w:ilvl="0">
      <w:lvlJc w:val="left"/>
      <w:lvlText w:val="(%1)"/>
      <w:numFmt w:val="decimal"/>
      <w:start w:val="1"/>
    </w:lvl>
  </w:abstractNum>
  <w:abstractNum w:abstractNumId="108">
    <w:nsid w:val="7F65FD16"/>
    <w:multiLevelType w:val="hybridMultilevel"/>
    <w:lvl w:ilvl="0">
      <w:lvlJc w:val="left"/>
      <w:lvlText w:val="(%1)"/>
      <w:numFmt w:val="decimal"/>
      <w:start w:val="4"/>
    </w:lvl>
  </w:abstractNum>
  <w:abstractNum w:abstractNumId="109">
    <w:nsid w:val="77C9FD68"/>
    <w:multiLevelType w:val="hybridMultilevel"/>
    <w:lvl w:ilvl="0">
      <w:lvlJc w:val="left"/>
      <w:lvlText w:val="(%1)"/>
      <w:numFmt w:val="decimal"/>
      <w:start w:val="1"/>
    </w:lvl>
  </w:abstractNum>
  <w:abstractNum w:abstractNumId="110">
    <w:nsid w:val="298A92BA"/>
    <w:multiLevelType w:val="hybridMultilevel"/>
    <w:lvl w:ilvl="0">
      <w:lvlJc w:val="left"/>
      <w:lvlText w:val="(%1)"/>
      <w:numFmt w:val="decimal"/>
      <w:start w:val="1"/>
    </w:lvl>
  </w:abstractNum>
  <w:abstractNum w:abstractNumId="111">
    <w:nsid w:val="6FE95EAC"/>
    <w:multiLevelType w:val="hybridMultilevel"/>
    <w:lvl w:ilvl="0">
      <w:lvlJc w:val="left"/>
      <w:lvlText w:val="(%1)"/>
      <w:numFmt w:val="decimal"/>
      <w:start w:val="1"/>
    </w:lvl>
  </w:abstractNum>
  <w:abstractNum w:abstractNumId="112">
    <w:nsid w:val="4B697C7A"/>
    <w:multiLevelType w:val="hybridMultilevel"/>
    <w:lvl w:ilvl="0">
      <w:lvlJc w:val="left"/>
      <w:lvlText w:val="•"/>
      <w:numFmt w:val="bullet"/>
      <w:start w:val="1"/>
    </w:lvl>
  </w:abstractNum>
  <w:abstractNum w:abstractNumId="113">
    <w:nsid w:val="51A27AA6"/>
    <w:multiLevelType w:val="hybridMultilevel"/>
    <w:lvl w:ilvl="0">
      <w:lvlJc w:val="left"/>
      <w:lvlText w:val="•"/>
      <w:numFmt w:val="bullet"/>
      <w:start w:val="1"/>
    </w:lvl>
  </w:abstractNum>
  <w:abstractNum w:abstractNumId="114">
    <w:nsid w:val="613183F2"/>
    <w:multiLevelType w:val="hybridMultilevel"/>
    <w:lvl w:ilvl="0">
      <w:lvlJc w:val="left"/>
      <w:lvlText w:val="•"/>
      <w:numFmt w:val="bullet"/>
      <w:start w:val="1"/>
    </w:lvl>
  </w:abstractNum>
  <w:abstractNum w:abstractNumId="115">
    <w:nsid w:val="634102B4"/>
    <w:multiLevelType w:val="hybridMultilevel"/>
    <w:lvl w:ilvl="0">
      <w:lvlJc w:val="left"/>
      <w:lvlText w:val="•"/>
      <w:numFmt w:val="bullet"/>
      <w:start w:val="1"/>
    </w:lvl>
  </w:abstractNum>
  <w:abstractNum w:abstractNumId="116">
    <w:nsid w:val="65BF9DA8"/>
    <w:multiLevelType w:val="hybridMultilevel"/>
    <w:lvl w:ilvl="0">
      <w:lvlJc w:val="left"/>
      <w:lvlText w:val="•"/>
      <w:numFmt w:val="bullet"/>
      <w:start w:val="1"/>
    </w:lvl>
  </w:abstractNum>
  <w:abstractNum w:abstractNumId="117">
    <w:nsid w:val="21A2ECCA"/>
    <w:multiLevelType w:val="hybridMultilevel"/>
    <w:lvl w:ilvl="0">
      <w:lvlJc w:val="left"/>
      <w:lvlText w:val="•"/>
      <w:numFmt w:val="bullet"/>
      <w:start w:val="1"/>
    </w:lvl>
  </w:abstractNum>
  <w:abstractNum w:abstractNumId="118">
    <w:nsid w:val="4D5C4899"/>
    <w:multiLevelType w:val="hybridMultilevel"/>
    <w:lvl w:ilvl="0">
      <w:lvlJc w:val="left"/>
      <w:lvlText w:val="•"/>
      <w:numFmt w:val="bullet"/>
      <w:start w:val="1"/>
    </w:lvl>
  </w:abstractNum>
  <w:abstractNum w:abstractNumId="119">
    <w:nsid w:val="3C3B72B2"/>
    <w:multiLevelType w:val="hybridMultilevel"/>
    <w:lvl w:ilvl="0">
      <w:lvlJc w:val="left"/>
      <w:lvlText w:val="•"/>
      <w:numFmt w:val="bullet"/>
      <w:start w:val="1"/>
    </w:lvl>
  </w:abstractNum>
  <w:abstractNum w:abstractNumId="120">
    <w:nsid w:val="155EC4C2"/>
    <w:multiLevelType w:val="hybridMultilevel"/>
    <w:lvl w:ilvl="0">
      <w:lvlJc w:val="left"/>
      <w:lvlText w:val="•"/>
      <w:numFmt w:val="bullet"/>
      <w:start w:val="1"/>
    </w:lvl>
  </w:abstractNum>
  <w:abstractNum w:abstractNumId="121">
    <w:nsid w:val="65D2A137"/>
    <w:multiLevelType w:val="hybridMultilevel"/>
    <w:lvl w:ilvl="0">
      <w:lvlJc w:val="left"/>
      <w:lvlText w:val="•"/>
      <w:numFmt w:val="bullet"/>
      <w:start w:val="1"/>
    </w:lvl>
  </w:abstractNum>
  <w:abstractNum w:abstractNumId="122">
    <w:nsid w:val="6EBB1F2A"/>
    <w:multiLevelType w:val="hybridMultilevel"/>
    <w:lvl w:ilvl="0">
      <w:lvlJc w:val="left"/>
      <w:lvlText w:val="•"/>
      <w:numFmt w:val="bullet"/>
      <w:start w:val="1"/>
    </w:lvl>
  </w:abstractNum>
  <w:abstractNum w:abstractNumId="123">
    <w:nsid w:val="6FBF29CB"/>
    <w:multiLevelType w:val="hybridMultilevel"/>
    <w:lvl w:ilvl="0">
      <w:lvlJc w:val="left"/>
      <w:lvlText w:val="(%1)"/>
      <w:numFmt w:val="lowerRoman"/>
      <w:start w:val="1"/>
    </w:lvl>
  </w:abstractNum>
  <w:abstractNum w:abstractNumId="124">
    <w:nsid w:val="550B8808"/>
    <w:multiLevelType w:val="hybridMultilevel"/>
    <w:lvl w:ilvl="0">
      <w:lvlJc w:val="left"/>
      <w:lvlText w:val="(%1)"/>
      <w:numFmt w:val="lowerRoman"/>
      <w:start w:val="1"/>
    </w:lvl>
  </w:abstractNum>
  <w:abstractNum w:abstractNumId="125">
    <w:nsid w:val="34CC3ACF"/>
    <w:multiLevelType w:val="hybridMultilevel"/>
    <w:lvl w:ilvl="0">
      <w:lvlJc w:val="left"/>
      <w:lvlText w:val="(%1)"/>
      <w:numFmt w:val="lowerRoman"/>
      <w:start w:val="2"/>
    </w:lvl>
  </w:abstractNum>
  <w:abstractNum w:abstractNumId="126">
    <w:nsid w:val="4E556261"/>
    <w:multiLevelType w:val="hybridMultilevel"/>
    <w:lvl w:ilvl="0">
      <w:lvlJc w:val="left"/>
      <w:lvlText w:val="•"/>
      <w:numFmt w:val="bullet"/>
      <w:start w:val="1"/>
    </w:lvl>
  </w:abstractNum>
  <w:abstractNum w:abstractNumId="127">
    <w:nsid w:val="4C672FC9"/>
    <w:multiLevelType w:val="hybridMultilevel"/>
    <w:lvl w:ilvl="0">
      <w:lvlJc w:val="left"/>
      <w:lvlText w:val="•"/>
      <w:numFmt w:val="bullet"/>
      <w:start w:val="1"/>
    </w:lvl>
  </w:abstractNum>
  <w:abstractNum w:abstractNumId="128">
    <w:nsid w:val="52A311C3"/>
    <w:multiLevelType w:val="hybridMultilevel"/>
    <w:lvl w:ilvl="0">
      <w:lvlJc w:val="left"/>
      <w:lvlText w:val="•"/>
      <w:numFmt w:val="bullet"/>
      <w:start w:val="1"/>
    </w:lvl>
  </w:abstractNum>
  <w:abstractNum w:abstractNumId="129">
    <w:nsid w:val="44EF6B80"/>
    <w:multiLevelType w:val="hybridMultilevel"/>
    <w:lvl w:ilvl="0">
      <w:lvlJc w:val="left"/>
      <w:lvlText w:val="•"/>
      <w:numFmt w:val="bullet"/>
      <w:start w:val="1"/>
    </w:lvl>
  </w:abstractNum>
  <w:abstractNum w:abstractNumId="130">
    <w:nsid w:val="12FCDE5E"/>
    <w:multiLevelType w:val="hybridMultilevel"/>
    <w:lvl w:ilvl="0">
      <w:lvlJc w:val="left"/>
      <w:lvlText w:val="•"/>
      <w:numFmt w:val="bullet"/>
      <w:start w:val="1"/>
    </w:lvl>
  </w:abstractNum>
  <w:abstractNum w:abstractNumId="131">
    <w:nsid w:val="4A1D606E"/>
    <w:multiLevelType w:val="hybridMultilevel"/>
    <w:lvl w:ilvl="0">
      <w:lvlJc w:val="left"/>
      <w:lvlText w:val="%1."/>
      <w:numFmt w:val="decimal"/>
      <w:start w:val="6"/>
    </w:lvl>
  </w:abstractNum>
  <w:abstractNum w:abstractNumId="132">
    <w:nsid w:val="4382503"/>
    <w:multiLevelType w:val="hybridMultilevel"/>
    <w:lvl w:ilvl="0">
      <w:lvlJc w:val="left"/>
      <w:lvlText w:val="%1."/>
      <w:numFmt w:val="decimal"/>
      <w:start w:val="7"/>
    </w:lvl>
  </w:abstractNum>
  <w:abstractNum w:abstractNumId="133">
    <w:nsid w:val="59B76E28"/>
    <w:multiLevelType w:val="hybridMultilevel"/>
    <w:lvl w:ilvl="0">
      <w:lvlJc w:val="left"/>
      <w:lvlText w:val="%1."/>
      <w:numFmt w:val="decimal"/>
      <w:start w:val="11"/>
    </w:lvl>
  </w:abstractNum>
  <w:abstractNum w:abstractNumId="134">
    <w:nsid w:val="4252C2DA"/>
    <w:multiLevelType w:val="hybridMultilevel"/>
    <w:lvl w:ilvl="0">
      <w:lvlJc w:val="left"/>
      <w:lvlText w:val="*"/>
      <w:numFmt w:val="bullet"/>
      <w:start w:val="1"/>
    </w:lvl>
  </w:abstractNum>
  <w:abstractNum w:abstractNumId="135">
    <w:nsid w:val="6A92EF4C"/>
    <w:multiLevelType w:val="hybridMultilevel"/>
    <w:lvl w:ilvl="0">
      <w:lvlJc w:val="left"/>
      <w:lvlText w:val="%1."/>
      <w:numFmt w:val="decimal"/>
      <w:start w:val="1"/>
    </w:lvl>
  </w:abstractNum>
  <w:abstractNum w:abstractNumId="136">
    <w:nsid w:val="41ED20D7"/>
    <w:multiLevelType w:val="hybridMultilevel"/>
    <w:lvl w:ilvl="0">
      <w:lvlJc w:val="left"/>
      <w:lvlText w:val="*"/>
      <w:numFmt w:val="bullet"/>
      <w:start w:val="1"/>
    </w:lvl>
  </w:abstractNum>
  <w:abstractNum w:abstractNumId="137">
    <w:nsid w:val="E6B3F6A"/>
    <w:multiLevelType w:val="hybridMultilevel"/>
    <w:lvl w:ilvl="0">
      <w:lvlJc w:val="left"/>
      <w:lvlText w:val="(%1)"/>
      <w:numFmt w:val="decimal"/>
      <w:start w:val="1"/>
    </w:lvl>
  </w:abstractNum>
  <w:abstractNum w:abstractNumId="138">
    <w:nsid w:val="3EB21819"/>
    <w:multiLevelType w:val="hybridMultilevel"/>
    <w:lvl w:ilvl="0">
      <w:lvlJc w:val="left"/>
      <w:lvlText w:val="(%1)"/>
      <w:numFmt w:val="lowerLetter"/>
      <w:start w:val="1"/>
    </w:lvl>
    <w:lvl w:ilvl="1">
      <w:lvlJc w:val="left"/>
      <w:lvlText w:val="(%2)"/>
      <w:numFmt w:val="lowerLetter"/>
      <w:start w:val="9"/>
    </w:lvl>
  </w:abstractNum>
  <w:abstractNum w:abstractNumId="139">
    <w:nsid w:val="41531DED"/>
    <w:multiLevelType w:val="hybridMultilevel"/>
    <w:lvl w:ilvl="0">
      <w:lvlJc w:val="left"/>
      <w:lvlText w:val="(%1)"/>
      <w:numFmt w:val="lowerRoman"/>
      <w:start w:val="2"/>
    </w:lvl>
  </w:abstractNum>
  <w:abstractNum w:abstractNumId="140">
    <w:nsid w:val="6353CD2"/>
    <w:multiLevelType w:val="hybridMultilevel"/>
    <w:lvl w:ilvl="0">
      <w:lvlJc w:val="left"/>
      <w:lvlText w:val="(%1)"/>
      <w:numFmt w:val="lowerRoman"/>
      <w:start w:val="3"/>
    </w:lvl>
  </w:abstractNum>
  <w:abstractNum w:abstractNumId="141">
    <w:nsid w:val="683CAAD3"/>
    <w:multiLevelType w:val="hybridMultilevel"/>
    <w:lvl w:ilvl="0">
      <w:lvlJc w:val="left"/>
      <w:lvlText w:val="%1"/>
      <w:numFmt w:val="upperLetter"/>
      <w:start w:val="1"/>
    </w:lvl>
    <w:lvl w:ilvl="1">
      <w:lvlJc w:val="left"/>
      <w:lvlText w:val="(%2)"/>
      <w:numFmt w:val="lowerRoman"/>
      <w:start w:val="5"/>
    </w:lvl>
  </w:abstractNum>
  <w:abstractNum w:abstractNumId="142">
    <w:nsid w:val="313C7C99"/>
    <w:multiLevelType w:val="hybridMultilevel"/>
    <w:lvl w:ilvl="0">
      <w:lvlJc w:val="left"/>
      <w:lvlText w:val="(%1)"/>
      <w:numFmt w:val="upperLetter"/>
      <w:start w:val="2"/>
    </w:lvl>
    <w:lvl w:ilvl="1">
      <w:lvlJc w:val="left"/>
      <w:lvlText w:val="%2"/>
      <w:numFmt w:val="lowerRoman"/>
      <w:start w:val="1"/>
    </w:lvl>
  </w:abstractNum>
  <w:abstractNum w:abstractNumId="143">
    <w:nsid w:val="519EB94C"/>
    <w:multiLevelType w:val="hybridMultilevel"/>
    <w:lvl w:ilvl="0">
      <w:lvlJc w:val="left"/>
      <w:lvlText w:val="(%1)"/>
      <w:numFmt w:val="lowerRoman"/>
      <w:start w:val="10"/>
    </w:lvl>
  </w:abstractNum>
  <w:abstractNum w:abstractNumId="144">
    <w:nsid w:val="39DF2579"/>
    <w:multiLevelType w:val="hybridMultilevel"/>
    <w:lvl w:ilvl="0">
      <w:lvlJc w:val="left"/>
      <w:lvlText w:val="%1"/>
      <w:numFmt w:val="upperLetter"/>
      <w:start w:val="1"/>
    </w:lvl>
    <w:lvl w:ilvl="1">
      <w:lvlJc w:val="left"/>
      <w:lvlText w:val="(%2)"/>
      <w:numFmt w:val="lowerRoman"/>
      <w:start w:val="15"/>
    </w:lvl>
  </w:abstractNum>
  <w:abstractNum w:abstractNumId="145">
    <w:nsid w:val="126E008B"/>
    <w:multiLevelType w:val="hybridMultilevel"/>
    <w:lvl w:ilvl="0">
      <w:lvlJc w:val="left"/>
      <w:lvlText w:val="(%1)"/>
      <w:numFmt w:val="upperLetter"/>
      <w:start w:val="3"/>
    </w:lvl>
    <w:lvl w:ilvl="1">
      <w:lvlJc w:val="left"/>
      <w:lvlText w:val="(%2)"/>
      <w:numFmt w:val="lowerRoman"/>
      <w:start w:val="17"/>
    </w:lvl>
  </w:abstractNum>
  <w:abstractNum w:abstractNumId="146">
    <w:nsid w:val="34DFBC00"/>
    <w:multiLevelType w:val="hybridMultilevel"/>
    <w:lvl w:ilvl="0">
      <w:lvlJc w:val="left"/>
      <w:lvlText w:val="(%1)"/>
      <w:numFmt w:val="lowerRoman"/>
      <w:start w:val="18"/>
    </w:lvl>
  </w:abstractNum>
  <w:abstractNum w:abstractNumId="147">
    <w:nsid w:val="1F9EC322"/>
    <w:multiLevelType w:val="hybridMultilevel"/>
    <w:lvl w:ilvl="0">
      <w:lvlJc w:val="left"/>
      <w:lvlText w:val="(%1)"/>
      <w:numFmt w:val="lowerRoman"/>
      <w:start w:val="23"/>
    </w:lvl>
  </w:abstractNum>
  <w:abstractNum w:abstractNumId="148">
    <w:nsid w:val="3410ED56"/>
    <w:multiLevelType w:val="hybridMultilevel"/>
    <w:lvl w:ilvl="0">
      <w:lvlJc w:val="left"/>
      <w:lvlText w:val="(%1)"/>
      <w:numFmt w:val="lowerRoman"/>
      <w:start w:val="24"/>
    </w:lvl>
  </w:abstractNum>
  <w:abstractNum w:abstractNumId="149">
    <w:nsid w:val="23C049A"/>
    <w:multiLevelType w:val="hybridMultilevel"/>
    <w:lvl w:ilvl="0">
      <w:lvlJc w:val="left"/>
      <w:lvlText w:val="§§"/>
      <w:numFmt w:val="bullet"/>
      <w:start w:val="1"/>
    </w:lvl>
    <w:lvl w:ilvl="1">
      <w:lvlJc w:val="left"/>
      <w:lvlText w:val="(%2)"/>
      <w:numFmt w:val="lowerRoman"/>
      <w:start w:val="25"/>
    </w:lvl>
  </w:abstractNum>
  <w:abstractNum w:abstractNumId="150">
    <w:nsid w:val="5BDA35D4"/>
    <w:multiLevelType w:val="hybridMultilevel"/>
    <w:lvl w:ilvl="0">
      <w:lvlJc w:val="left"/>
      <w:lvlText w:val="§§"/>
      <w:numFmt w:val="bullet"/>
      <w:start w:val="1"/>
    </w:lvl>
    <w:lvl w:ilvl="1">
      <w:lvlJc w:val="left"/>
      <w:lvlText w:val="(%2)"/>
      <w:numFmt w:val="lowerRoman"/>
      <w:start w:val="26"/>
    </w:lvl>
  </w:abstractNum>
  <w:abstractNum w:abstractNumId="151">
    <w:nsid w:val="496FB218"/>
    <w:multiLevelType w:val="hybridMultilevel"/>
    <w:lvl w:ilvl="0">
      <w:lvlJc w:val="left"/>
      <w:lvlText w:val="(%1)"/>
      <w:numFmt w:val="lowerRoman"/>
      <w:start w:val="27"/>
    </w:lvl>
  </w:abstractNum>
  <w:abstractNum w:abstractNumId="152">
    <w:nsid w:val="680EA5D1"/>
    <w:multiLevelType w:val="hybridMultilevel"/>
    <w:lvl w:ilvl="0">
      <w:lvlJc w:val="left"/>
      <w:lvlText w:val="(%1)"/>
      <w:numFmt w:val="lowerRoman"/>
      <w:start w:val="30"/>
    </w:lvl>
  </w:abstractNum>
  <w:abstractNum w:abstractNumId="153">
    <w:nsid w:val="4A9554FE"/>
    <w:multiLevelType w:val="hybridMultilevel"/>
    <w:lvl w:ilvl="0">
      <w:lvlJc w:val="left"/>
      <w:lvlText w:val="(%1)"/>
      <w:numFmt w:val="lowerRoman"/>
      <w:start w:val="34"/>
    </w:lvl>
  </w:abstractNum>
  <w:abstractNum w:abstractNumId="154">
    <w:nsid w:val="392EDBE4"/>
    <w:multiLevelType w:val="hybridMultilevel"/>
    <w:lvl w:ilvl="0">
      <w:lvlJc w:val="left"/>
      <w:lvlText w:val="(%1)"/>
      <w:numFmt w:val="lowerRoman"/>
      <w:start w:val="38"/>
    </w:lvl>
  </w:abstractNum>
  <w:abstractNum w:abstractNumId="155">
    <w:nsid w:val="3D1A2DD9"/>
    <w:multiLevelType w:val="hybridMultilevel"/>
    <w:lvl w:ilvl="0">
      <w:lvlJc w:val="left"/>
      <w:lvlText w:val="(%1)"/>
      <w:numFmt w:val="lowerLetter"/>
      <w:start w:val="2"/>
    </w:lvl>
  </w:abstractNum>
  <w:abstractNum w:abstractNumId="156">
    <w:nsid w:val="7F618FCD"/>
    <w:multiLevelType w:val="hybridMultilevel"/>
    <w:lvl w:ilvl="0">
      <w:lvlJc w:val="left"/>
      <w:lvlText w:val="(%1)"/>
      <w:numFmt w:val="lowerLetter"/>
      <w:start w:val="1"/>
    </w:lvl>
  </w:abstractNum>
  <w:abstractNum w:abstractNumId="157">
    <w:nsid w:val="7843E45"/>
    <w:multiLevelType w:val="hybridMultilevel"/>
    <w:lvl w:ilvl="0">
      <w:lvlJc w:val="left"/>
      <w:lvlText w:val="(%1)"/>
      <w:numFmt w:val="lowerLetter"/>
      <w:start w:val="2"/>
    </w:lvl>
  </w:abstractNum>
  <w:abstractNum w:abstractNumId="158">
    <w:nsid w:val="9815DA3"/>
    <w:multiLevelType w:val="hybridMultilevel"/>
    <w:lvl w:ilvl="0">
      <w:lvlJc w:val="left"/>
      <w:lvlText w:val="(%1)"/>
      <w:numFmt w:val="lowerLetter"/>
      <w:start w:val="1"/>
    </w:lvl>
  </w:abstractNum>
  <w:abstractNum w:abstractNumId="159">
    <w:nsid w:val="5204A191"/>
    <w:multiLevelType w:val="hybridMultilevel"/>
    <w:lvl w:ilvl="0">
      <w:lvlJc w:val="left"/>
      <w:lvlText w:val="(%1)"/>
      <w:numFmt w:val="lowerLetter"/>
      <w:start w:val="3"/>
    </w:lvl>
  </w:abstractNum>
  <w:abstractNum w:abstractNumId="160">
    <w:nsid w:val="4C73A9C6"/>
    <w:multiLevelType w:val="hybridMultilevel"/>
    <w:lvl w:ilvl="0">
      <w:lvlJc w:val="left"/>
      <w:lvlText w:val="(%1)"/>
      <w:numFmt w:val="lowerLetter"/>
      <w:start w:val="35"/>
    </w:lvl>
    <w:lvl w:ilvl="1">
      <w:lvlJc w:val="left"/>
      <w:lvlText w:val="(%2)"/>
      <w:numFmt w:val="lowerLetter"/>
      <w:start w:val="10"/>
    </w:lvl>
  </w:abstractNum>
  <w:abstractNum w:abstractNumId="161">
    <w:nsid w:val="1C7E3C01"/>
    <w:multiLevelType w:val="hybridMultilevel"/>
    <w:lvl w:ilvl="0">
      <w:lvlJc w:val="left"/>
      <w:lvlText w:val="(%1)"/>
      <w:numFmt w:val="lowerLetter"/>
      <w:start w:val="11"/>
    </w:lvl>
  </w:abstractNum>
  <w:abstractNum w:abstractNumId="162">
    <w:nsid w:val="1C2201FF"/>
    <w:multiLevelType w:val="hybridMultilevel"/>
    <w:lvl w:ilvl="0">
      <w:lvlJc w:val="left"/>
      <w:lvlText w:val="(%1)"/>
      <w:numFmt w:val="lowerLetter"/>
      <w:start w:val="16"/>
    </w:lvl>
  </w:abstractNum>
  <w:abstractNum w:abstractNumId="163">
    <w:nsid w:val="50ABCEC9"/>
    <w:multiLevelType w:val="hybridMultilevel"/>
    <w:lvl w:ilvl="0">
      <w:lvlJc w:val="left"/>
      <w:lvlText w:val="(%1)"/>
      <w:numFmt w:val="lowerLetter"/>
      <w:start w:val="1"/>
    </w:lvl>
  </w:abstractNum>
  <w:abstractNum w:abstractNumId="164">
    <w:nsid w:val="7635AA2A"/>
    <w:multiLevelType w:val="hybridMultilevel"/>
    <w:lvl w:ilvl="0">
      <w:lvlJc w:val="left"/>
      <w:lvlText w:val="%1"/>
      <w:numFmt w:val="lowerRoman"/>
      <w:start w:val="1"/>
    </w:lvl>
    <w:lvl w:ilvl="1">
      <w:lvlJc w:val="left"/>
      <w:lvlText w:val="(%2)"/>
      <w:numFmt w:val="lowerLetter"/>
      <w:start w:val="1"/>
    </w:lvl>
  </w:abstractNum>
  <w:abstractNum w:abstractNumId="165">
    <w:nsid w:val="5E74C4D9"/>
    <w:multiLevelType w:val="hybridMultilevel"/>
    <w:lvl w:ilvl="0">
      <w:lvlJc w:val="left"/>
      <w:lvlText w:val="(%1)"/>
      <w:numFmt w:val="lowerRoman"/>
      <w:start w:val="4"/>
    </w:lvl>
    <w:lvl w:ilvl="1">
      <w:lvlJc w:val="left"/>
      <w:lvlText w:val="%2"/>
      <w:numFmt w:val="lowerLetter"/>
      <w:start w:val="1"/>
    </w:lvl>
  </w:abstractNum>
  <w:abstractNum w:abstractNumId="166">
    <w:nsid w:val="3B3EBE15"/>
    <w:multiLevelType w:val="hybridMultilevel"/>
    <w:lvl w:ilvl="0">
      <w:lvlJc w:val="left"/>
      <w:lvlText w:val="(%1)"/>
      <w:numFmt w:val="lowerLetter"/>
      <w:start w:val="6"/>
    </w:lvl>
  </w:abstractNum>
  <w:abstractNum w:abstractNumId="167">
    <w:nsid w:val="3822CB01"/>
    <w:multiLevelType w:val="hybridMultilevel"/>
    <w:lvl w:ilvl="0">
      <w:lvlJc w:val="left"/>
      <w:lvlText w:val="%1"/>
      <w:numFmt w:val="lowerLetter"/>
      <w:start w:val="1"/>
    </w:lvl>
    <w:lvl w:ilvl="1">
      <w:lvlJc w:val="left"/>
      <w:lvlText w:val="(%2)"/>
      <w:numFmt w:val="lowerRoman"/>
      <w:start w:val="1"/>
    </w:lvl>
  </w:abstractNum>
  <w:abstractNum w:abstractNumId="168">
    <w:nsid w:val="6CE00443"/>
    <w:multiLevelType w:val="hybridMultilevel"/>
    <w:lvl w:ilvl="0">
      <w:lvlJc w:val="left"/>
      <w:lvlText w:val="(%1)"/>
      <w:numFmt w:val="lowerLetter"/>
      <w:start w:val="14"/>
    </w:lvl>
    <w:lvl w:ilvl="1">
      <w:lvlJc w:val="left"/>
      <w:lvlText w:val="%2"/>
      <w:numFmt w:val="lowerRoman"/>
      <w:start w:val="1"/>
    </w:lvl>
  </w:abstractNum>
  <w:abstractNum w:abstractNumId="169">
    <w:nsid w:val="79F0D62F"/>
    <w:multiLevelType w:val="hybridMultilevel"/>
    <w:lvl w:ilvl="0">
      <w:lvlJc w:val="left"/>
      <w:lvlText w:val="(%1)"/>
      <w:numFmt w:val="lowerLetter"/>
      <w:start w:val="15"/>
    </w:lvl>
  </w:abstractNum>
  <w:abstractNum w:abstractNumId="170">
    <w:nsid w:val="7975E8EE"/>
    <w:multiLevelType w:val="hybridMultilevel"/>
    <w:lvl w:ilvl="0">
      <w:lvlJc w:val="left"/>
      <w:lvlText w:val="(%1)"/>
      <w:numFmt w:val="lowerLetter"/>
      <w:start w:val="1"/>
    </w:lvl>
    <w:lvl w:ilvl="1">
      <w:lvlJc w:val="left"/>
      <w:lvlText w:val="(%2)"/>
      <w:numFmt w:val="lowerRoman"/>
      <w:start w:val="1"/>
    </w:lvl>
  </w:abstractNum>
  <w:abstractNum w:abstractNumId="171">
    <w:nsid w:val="73154115"/>
    <w:multiLevelType w:val="hybridMultilevel"/>
    <w:lvl w:ilvl="0">
      <w:lvlJc w:val="left"/>
      <w:lvlText w:val="(%1)"/>
      <w:numFmt w:val="lowerLetter"/>
      <w:start w:val="2"/>
    </w:lvl>
  </w:abstractNum>
  <w:abstractNum w:abstractNumId="172">
    <w:nsid w:val="622D8102"/>
    <w:multiLevelType w:val="hybridMultilevel"/>
    <w:lvl w:ilvl="0">
      <w:lvlJc w:val="left"/>
      <w:lvlText w:val="(%1)"/>
      <w:numFmt w:val="lowerLetter"/>
      <w:start w:val="5"/>
    </w:lvl>
  </w:abstractNum>
  <w:abstractNum w:abstractNumId="173">
    <w:nsid w:val="2AB26587"/>
    <w:multiLevelType w:val="hybridMultilevel"/>
    <w:lvl w:ilvl="0">
      <w:lvlJc w:val="left"/>
      <w:lvlText w:val="(%1)"/>
      <w:numFmt w:val="lowerLetter"/>
      <w:start w:val="1"/>
    </w:lvl>
  </w:abstractNum>
  <w:abstractNum w:abstractNumId="174">
    <w:nsid w:val="44B3FA61"/>
    <w:multiLevelType w:val="hybridMultilevel"/>
    <w:lvl w:ilvl="0">
      <w:lvlJc w:val="left"/>
      <w:lvlText w:val="(%1)"/>
      <w:numFmt w:val="lowerLetter"/>
      <w:start w:val="2"/>
    </w:lvl>
  </w:abstractNum>
  <w:abstractNum w:abstractNumId="175">
    <w:nsid w:val="1C0CA67C"/>
    <w:multiLevelType w:val="hybridMultilevel"/>
    <w:lvl w:ilvl="0">
      <w:lvlJc w:val="left"/>
      <w:lvlText w:val="(%1)"/>
      <w:numFmt w:val="lowerRoman"/>
      <w:start w:val="1"/>
    </w:lvl>
  </w:abstractNum>
  <w:abstractNum w:abstractNumId="176">
    <w:nsid w:val="3D206613"/>
    <w:multiLevelType w:val="hybridMultilevel"/>
    <w:lvl w:ilvl="0">
      <w:lvlJc w:val="left"/>
      <w:lvlText w:val="(%1)"/>
      <w:numFmt w:val="lowerLetter"/>
      <w:start w:val="1"/>
    </w:lvl>
  </w:abstractNum>
  <w:abstractNum w:abstractNumId="177">
    <w:nsid w:val="7993B662"/>
    <w:multiLevelType w:val="hybridMultilevel"/>
    <w:lvl w:ilvl="0">
      <w:lvlJc w:val="left"/>
      <w:lvlText w:val="%1."/>
      <w:numFmt w:val="decimal"/>
      <w:start w:val="1"/>
    </w:lvl>
  </w:abstractNum>
  <w:abstractNum w:abstractNumId="178">
    <w:nsid w:val="3BAB699E"/>
    <w:multiLevelType w:val="hybridMultilevel"/>
    <w:lvl w:ilvl="0">
      <w:lvlJc w:val="left"/>
      <w:lvlText w:val="%1)"/>
      <w:numFmt w:val="lowerLetter"/>
      <w:start w:val="1"/>
    </w:lvl>
    <w:lvl w:ilvl="1">
      <w:lvlJc w:val="left"/>
      <w:lvlText w:val="(%2)"/>
      <w:numFmt w:val="lowerRoman"/>
      <w:start w:val="1"/>
    </w:lvl>
  </w:abstractNum>
  <w:abstractNum w:abstractNumId="179">
    <w:nsid w:val="71315369"/>
    <w:multiLevelType w:val="hybridMultilevel"/>
    <w:lvl w:ilvl="0">
      <w:lvlJc w:val="left"/>
      <w:lvlText w:val="%1)"/>
      <w:numFmt w:val="lowerLetter"/>
      <w:start w:val="2"/>
    </w:lvl>
  </w:abstractNum>
  <w:abstractNum w:abstractNumId="180">
    <w:nsid w:val="7BCFBAFC"/>
    <w:multiLevelType w:val="hybridMultilevel"/>
    <w:lvl w:ilvl="0">
      <w:lvlJc w:val="left"/>
      <w:lvlText w:val="%1."/>
      <w:numFmt w:val="decimal"/>
      <w:start w:val="1"/>
    </w:lvl>
  </w:abstractNum>
  <w:abstractNum w:abstractNumId="181">
    <w:nsid w:val="17859F72"/>
    <w:multiLevelType w:val="hybridMultilevel"/>
    <w:lvl w:ilvl="0">
      <w:lvlJc w:val="left"/>
      <w:lvlText w:val="%1."/>
      <w:numFmt w:val="upperLetter"/>
      <w:start w:val="1"/>
    </w:lvl>
  </w:abstractNum>
  <w:abstractNum w:abstractNumId="182">
    <w:nsid w:val="3AA10581"/>
    <w:multiLevelType w:val="hybridMultilevel"/>
    <w:lvl w:ilvl="0">
      <w:lvlJc w:val="left"/>
      <w:lvlText w:val="%1."/>
      <w:numFmt w:val="decimal"/>
      <w:start w:val="1"/>
    </w:lvl>
  </w:abstractNum>
  <w:abstractNum w:abstractNumId="183">
    <w:nsid w:val="63DE60CD"/>
    <w:multiLevelType w:val="hybridMultilevel"/>
    <w:lvl w:ilvl="0">
      <w:lvlJc w:val="left"/>
      <w:lvlText w:val="%1."/>
      <w:numFmt w:val="decimal"/>
      <w:start w:val="3"/>
    </w:lvl>
  </w:abstractNum>
  <w:abstractNum w:abstractNumId="184">
    <w:nsid w:val="621AF471"/>
    <w:multiLevelType w:val="hybridMultilevel"/>
    <w:lvl w:ilvl="0">
      <w:lvlJc w:val="left"/>
      <w:lvlText w:val="%1."/>
      <w:numFmt w:val="upperLetter"/>
      <w:start w:val="2"/>
    </w:lvl>
  </w:abstractNum>
  <w:abstractNum w:abstractNumId="185">
    <w:nsid w:val="73CFE165"/>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186">
    <w:nsid w:val="20F88EA6"/>
    <w:multiLevelType w:val="hybridMultilevel"/>
    <w:lvl w:ilvl="0">
      <w:lvlJc w:val="left"/>
      <w:lvlText w:val="%1."/>
      <w:numFmt w:val="decimal"/>
      <w:start w:val="5"/>
    </w:lvl>
    <w:lvl w:ilvl="1">
      <w:lvlJc w:val="left"/>
      <w:lvlText w:val="%2."/>
      <w:numFmt w:val="decimal"/>
      <w:start w:val="6"/>
    </w:lvl>
    <w:lvl w:ilvl="2">
      <w:lvlJc w:val="left"/>
      <w:lvlText w:val="%3"/>
      <w:numFmt w:val="decimal"/>
      <w:start w:val="1"/>
    </w:lvl>
  </w:abstractNum>
  <w:abstractNum w:abstractNumId="187">
    <w:nsid w:val="617C843E"/>
    <w:multiLevelType w:val="hybridMultilevel"/>
    <w:lvl w:ilvl="0">
      <w:lvlJc w:val="left"/>
      <w:lvlText w:val="%1."/>
      <w:numFmt w:val="decimal"/>
      <w:start w:val="7"/>
    </w:lvl>
    <w:lvl w:ilvl="1">
      <w:lvlJc w:val="left"/>
      <w:lvlText w:val="%2."/>
      <w:numFmt w:val="decimal"/>
      <w:start w:val="8"/>
    </w:lvl>
  </w:abstractNum>
  <w:abstractNum w:abstractNumId="188">
    <w:nsid w:val="7B541FAB"/>
    <w:multiLevelType w:val="hybridMultilevel"/>
    <w:lvl w:ilvl="0">
      <w:lvlJc w:val="left"/>
      <w:lvlText w:val="%1."/>
      <w:numFmt w:val="decimal"/>
      <w:start w:val="10"/>
    </w:lvl>
  </w:abstractNum>
  <w:abstractNum w:abstractNumId="189">
    <w:nsid w:val="2A79EC49"/>
    <w:multiLevelType w:val="hybridMultilevel"/>
    <w:lvl w:ilvl="0">
      <w:lvlJc w:val="left"/>
      <w:lvlText w:val="(%1)"/>
      <w:numFmt w:val="lowerLetter"/>
      <w:start w:val="1"/>
    </w:lvl>
  </w:abstractNum>
  <w:abstractNum w:abstractNumId="190">
    <w:nsid w:val="338125CF"/>
    <w:multiLevelType w:val="hybridMultilevel"/>
    <w:lvl w:ilvl="0">
      <w:lvlJc w:val="left"/>
      <w:lvlText w:val="(%1)"/>
      <w:numFmt w:val="lowerLetter"/>
      <w:start w:val="2"/>
    </w:lvl>
    <w:lvl w:ilvl="1">
      <w:lvlJc w:val="left"/>
      <w:lvlText w:val="(%2)"/>
      <w:numFmt w:val="lowerLetter"/>
      <w:start w:val="9"/>
    </w:lvl>
  </w:abstractNum>
  <w:abstractNum w:abstractNumId="191">
    <w:nsid w:val="47C7C971"/>
    <w:multiLevelType w:val="hybridMultilevel"/>
    <w:lvl w:ilvl="0">
      <w:lvlJc w:val="left"/>
      <w:lvlText w:val="(%1)"/>
      <w:numFmt w:val="lowerRoman"/>
      <w:start w:val="2"/>
    </w:lvl>
  </w:abstractNum>
  <w:abstractNum w:abstractNumId="192">
    <w:nsid w:val="46F8284B"/>
    <w:multiLevelType w:val="hybridMultilevel"/>
    <w:lvl w:ilvl="0">
      <w:lvlJc w:val="left"/>
      <w:lvlText w:val="%1"/>
      <w:numFmt w:val="decimal"/>
      <w:start w:val="1"/>
    </w:lvl>
    <w:lvl w:ilvl="1">
      <w:lvlJc w:val="left"/>
      <w:lvlText w:val="(%2)"/>
      <w:numFmt w:val="lowerLetter"/>
      <w:start w:val="4"/>
    </w:lvl>
  </w:abstractNum>
  <w:abstractNum w:abstractNumId="193">
    <w:nsid w:val="4FA327CE"/>
    <w:multiLevelType w:val="hybridMultilevel"/>
    <w:lvl w:ilvl="0">
      <w:lvlJc w:val="left"/>
      <w:lvlText w:val="(%1)"/>
      <w:numFmt w:val="decimal"/>
      <w:start w:val="8"/>
    </w:lvl>
    <w:lvl w:ilvl="1">
      <w:lvlJc w:val="left"/>
      <w:lvlText w:val="(%2)"/>
      <w:numFmt w:val="lowerLetter"/>
      <w:start w:val="5"/>
    </w:lvl>
  </w:abstractNum>
  <w:abstractNum w:abstractNumId="194">
    <w:nsid w:val="1873983A"/>
    <w:multiLevelType w:val="hybridMultilevel"/>
    <w:lvl w:ilvl="0">
      <w:lvlJc w:val="left"/>
      <w:lvlText w:val="(%1)"/>
      <w:numFmt w:val="lowerLetter"/>
      <w:start w:val="6"/>
    </w:lvl>
  </w:abstractNum>
  <w:abstractNum w:abstractNumId="195">
    <w:nsid w:val="3D2DD275"/>
    <w:multiLevelType w:val="hybridMultilevel"/>
    <w:lvl w:ilvl="0">
      <w:lvlJc w:val="left"/>
      <w:lvlText w:val="(%1)"/>
      <w:numFmt w:val="lowerLetter"/>
      <w:start w:val="1"/>
    </w:lvl>
    <w:lvl w:ilvl="1">
      <w:lvlJc w:val="left"/>
      <w:lvlText w:val="(%2)"/>
      <w:numFmt w:val="lowerLetter"/>
      <w:start w:val="35"/>
    </w:lvl>
  </w:abstractNum>
  <w:abstractNum w:abstractNumId="196">
    <w:nsid w:val="2E17ECA7"/>
    <w:multiLevelType w:val="hybridMultilevel"/>
    <w:lvl w:ilvl="0">
      <w:lvlJc w:val="left"/>
      <w:lvlText w:val="%1"/>
      <w:numFmt w:val="lowerLetter"/>
      <w:start w:val="1"/>
    </w:lvl>
    <w:lvl w:ilvl="1">
      <w:lvlJc w:val="left"/>
      <w:lvlText w:val="(%2)"/>
      <w:numFmt w:val="lowerRoman"/>
      <w:start w:val="3"/>
    </w:lvl>
  </w:abstractNum>
  <w:abstractNum w:abstractNumId="197">
    <w:nsid w:val="53B2564F"/>
    <w:multiLevelType w:val="hybridMultilevel"/>
    <w:lvl w:ilvl="0">
      <w:lvlJc w:val="left"/>
      <w:lvlText w:val="(%1)"/>
      <w:numFmt w:val="lowerLetter"/>
      <w:start w:val="3"/>
    </w:lvl>
    <w:lvl w:ilvl="1">
      <w:lvlJc w:val="left"/>
      <w:lvlText w:val="(%2)"/>
      <w:numFmt w:val="lowerRoman"/>
      <w:start w:val="1"/>
    </w:lvl>
  </w:abstractNum>
  <w:abstractNum w:abstractNumId="198">
    <w:nsid w:val="75509D76"/>
    <w:multiLevelType w:val="hybridMultilevel"/>
    <w:lvl w:ilvl="0">
      <w:lvlJc w:val="left"/>
      <w:lvlText w:val="(%1)"/>
      <w:numFmt w:val="lowerLetter"/>
      <w:start w:val="4"/>
    </w:lvl>
  </w:abstractNum>
  <w:abstractNum w:abstractNumId="199">
    <w:nsid w:val="1AF7F0EA"/>
    <w:multiLevelType w:val="hybridMultilevel"/>
    <w:lvl w:ilvl="0">
      <w:lvlJc w:val="left"/>
      <w:lvlText w:val="(%1)"/>
      <w:numFmt w:val="lowerLetter"/>
      <w:start w:val="1"/>
    </w:lvl>
  </w:abstractNum>
  <w:abstractNum w:abstractNumId="200">
    <w:nsid w:val="4DA32C7E"/>
    <w:multiLevelType w:val="hybridMultilevel"/>
    <w:lvl w:ilvl="0">
      <w:lvlJc w:val="left"/>
      <w:lvlText w:val="(%1)"/>
      <w:numFmt w:val="lowerLetter"/>
      <w:start w:val="2"/>
    </w:lvl>
  </w:abstractNum>
  <w:abstractNum w:abstractNumId="201">
    <w:nsid w:val="6EC68664"/>
    <w:multiLevelType w:val="hybridMultilevel"/>
    <w:lvl w:ilvl="0">
      <w:lvlJc w:val="left"/>
      <w:lvlText w:val="(%1)"/>
      <w:numFmt w:val="lowerLetter"/>
      <w:start w:val="1"/>
    </w:lvl>
  </w:abstractNum>
  <w:abstractNum w:abstractNumId="202">
    <w:nsid w:val="E0D31FF"/>
    <w:multiLevelType w:val="hybridMultilevel"/>
    <w:lvl w:ilvl="0">
      <w:lvlJc w:val="left"/>
      <w:lvlText w:val="(%1)"/>
      <w:numFmt w:val="decimal"/>
      <w:start w:val="3"/>
    </w:lvl>
  </w:abstractNum>
  <w:abstractNum w:abstractNumId="203">
    <w:nsid w:val="2FD0AD81"/>
    <w:multiLevelType w:val="hybridMultilevel"/>
    <w:lvl w:ilvl="0">
      <w:lvlJc w:val="left"/>
      <w:lvlText w:val="(%1)"/>
      <w:numFmt w:val="lowerLetter"/>
      <w:start w:val="1"/>
    </w:lvl>
  </w:abstractNum>
  <w:abstractNum w:abstractNumId="204">
    <w:nsid w:val="1978EBEB"/>
    <w:multiLevelType w:val="hybridMultilevel"/>
    <w:lvl w:ilvl="0">
      <w:lvlJc w:val="left"/>
      <w:lvlText w:val="(%1)"/>
      <w:numFmt w:val="lowerLetter"/>
      <w:start w:val="1"/>
    </w:lvl>
  </w:abstractNum>
  <w:abstractNum w:abstractNumId="205">
    <w:nsid w:val="52C12C61"/>
    <w:multiLevelType w:val="hybridMultilevel"/>
    <w:lvl w:ilvl="0">
      <w:lvlJc w:val="left"/>
      <w:lvlText w:val="(%1)"/>
      <w:numFmt w:val="lowerRoman"/>
      <w:start w:val="1"/>
    </w:lvl>
  </w:abstractNum>
  <w:abstractNum w:abstractNumId="206">
    <w:nsid w:val="4BDD53FD"/>
    <w:multiLevelType w:val="hybridMultilevel"/>
    <w:lvl w:ilvl="0">
      <w:lvlJc w:val="left"/>
      <w:lvlText w:val="(%1)"/>
      <w:numFmt w:val="lowerRoman"/>
      <w:start w:val="2"/>
    </w:lvl>
  </w:abstractNum>
  <w:abstractNum w:abstractNumId="207">
    <w:nsid w:val="569951FE"/>
    <w:multiLevelType w:val="hybridMultilevel"/>
    <w:lvl w:ilvl="0">
      <w:lvlJc w:val="left"/>
      <w:lvlText w:val="(%1)"/>
      <w:numFmt w:val="lowerLetter"/>
      <w:start w:val="1"/>
    </w:lvl>
  </w:abstractNum>
  <w:abstractNum w:abstractNumId="208">
    <w:nsid w:val="4C54E2C3"/>
    <w:multiLevelType w:val="hybridMultilevel"/>
    <w:lvl w:ilvl="0">
      <w:lvlJc w:val="left"/>
      <w:lvlText w:val="(%1)"/>
      <w:numFmt w:val="lowerLetter"/>
      <w:start w:val="1"/>
    </w:lvl>
  </w:abstractNum>
  <w:abstractNum w:abstractNumId="209">
    <w:nsid w:val="788BD9B"/>
    <w:multiLevelType w:val="hybridMultilevel"/>
    <w:lvl w:ilvl="0">
      <w:lvlJc w:val="left"/>
      <w:lvlText w:val="(%1)"/>
      <w:numFmt w:val="lowerLetter"/>
      <w:start w:val="1"/>
    </w:lvl>
  </w:abstractNum>
  <w:abstractNum w:abstractNumId="210">
    <w:nsid w:val="47CAA567"/>
    <w:multiLevelType w:val="hybridMultilevel"/>
    <w:lvl w:ilvl="0">
      <w:lvlJc w:val="left"/>
      <w:lvlText w:val="(%1)"/>
      <w:numFmt w:val="decimal"/>
      <w:start w:val="60"/>
    </w:lvl>
  </w:abstractNum>
  <w:abstractNum w:abstractNumId="211">
    <w:nsid w:val="48249DBF"/>
    <w:multiLevelType w:val="hybridMultilevel"/>
    <w:lvl w:ilvl="0">
      <w:lvlJc w:val="left"/>
      <w:lvlText w:val="%1."/>
      <w:numFmt w:val="decimal"/>
      <w:start w:val="1"/>
    </w:lvl>
    <w:lvl w:ilvl="1">
      <w:lvlJc w:val="left"/>
      <w:lvlText w:val="(%2)"/>
      <w:numFmt w:val="lowerLetter"/>
      <w:start w:val="1"/>
    </w:lvl>
  </w:abstractNum>
  <w:abstractNum w:abstractNumId="212">
    <w:nsid w:val="1F0E5D0D"/>
    <w:multiLevelType w:val="hybridMultilevel"/>
    <w:lvl w:ilvl="0">
      <w:lvlJc w:val="left"/>
      <w:lvlText w:val="(%1)"/>
      <w:numFmt w:val="lowerLetter"/>
      <w:start w:val="8"/>
    </w:lvl>
  </w:abstractNum>
  <w:abstractNum w:abstractNumId="213">
    <w:nsid w:val="26BAAE9"/>
    <w:multiLevelType w:val="hybridMultilevel"/>
    <w:lvl w:ilvl="0">
      <w:lvlJc w:val="left"/>
      <w:lvlText w:val="(%1)"/>
      <w:numFmt w:val="lowerLetter"/>
      <w:start w:val="15"/>
    </w:lvl>
    <w:lvl w:ilvl="1">
      <w:lvlJc w:val="left"/>
      <w:lvlText w:val="(%2)"/>
      <w:numFmt w:val="lowerRoman"/>
      <w:start w:val="1"/>
    </w:lvl>
  </w:abstractNum>
  <w:abstractNum w:abstractNumId="214">
    <w:nsid w:val="2C02FE8C"/>
    <w:multiLevelType w:val="hybridMultilevel"/>
    <w:lvl w:ilvl="0">
      <w:lvlJc w:val="left"/>
      <w:lvlText w:val="(%1)"/>
      <w:numFmt w:val="lowerLetter"/>
      <w:start w:val="20"/>
    </w:lvl>
  </w:abstractNum>
  <w:abstractNum w:abstractNumId="215">
    <w:nsid w:val="129517E"/>
    <w:multiLevelType w:val="hybridMultilevel"/>
    <w:lvl w:ilvl="0">
      <w:lvlJc w:val="left"/>
      <w:lvlText w:val="(%1)"/>
      <w:numFmt w:val="lowerLetter"/>
      <w:start w:val="27"/>
    </w:lvl>
  </w:abstractNum>
  <w:abstractNum w:abstractNumId="216">
    <w:nsid w:val="763B8C4E"/>
    <w:multiLevelType w:val="hybridMultilevel"/>
    <w:lvl w:ilvl="0">
      <w:lvlJc w:val="left"/>
      <w:lvlText w:val="(%1)"/>
      <w:numFmt w:val="lowerLetter"/>
      <w:start w:val="34"/>
    </w:lvl>
  </w:abstractNum>
  <w:abstractNum w:abstractNumId="217">
    <w:nsid w:val="4CFB8D32"/>
    <w:multiLevelType w:val="hybridMultilevel"/>
    <w:lvl w:ilvl="0">
      <w:lvlJc w:val="left"/>
      <w:lvlText w:val="%1"/>
      <w:numFmt w:val="decimal"/>
      <w:start w:val="1"/>
    </w:lvl>
    <w:lvl w:ilvl="1">
      <w:lvlJc w:val="left"/>
      <w:lvlText w:val="(%2)"/>
      <w:numFmt w:val="lowerLetter"/>
      <w:start w:val="39"/>
    </w:lvl>
  </w:abstractNum>
  <w:abstractNum w:abstractNumId="218">
    <w:nsid w:val="62A5D5BD"/>
    <w:multiLevelType w:val="hybridMultilevel"/>
    <w:lvl w:ilvl="0">
      <w:lvlJc w:val="left"/>
      <w:lvlText w:val="%1."/>
      <w:numFmt w:val="decimal"/>
      <w:start w:val="3"/>
    </w:lvl>
    <w:lvl w:ilvl="1">
      <w:lvlJc w:val="left"/>
      <w:lvlText w:val="(%2)"/>
      <w:numFmt w:val="lowerLetter"/>
      <w:start w:val="1"/>
    </w:lvl>
  </w:abstractNum>
  <w:abstractNum w:abstractNumId="219">
    <w:nsid w:val="718FABF9"/>
    <w:multiLevelType w:val="hybridMultilevel"/>
    <w:lvl w:ilvl="0">
      <w:lvlJc w:val="left"/>
      <w:lvlText w:val="(%1)"/>
      <w:numFmt w:val="lowerLetter"/>
      <w:start w:val="3"/>
    </w:lvl>
    <w:lvl w:ilvl="1">
      <w:lvlJc w:val="left"/>
      <w:lvlText w:val="(%2)"/>
      <w:numFmt w:val="lowerRoman"/>
      <w:start w:val="1"/>
    </w:lvl>
  </w:abstractNum>
  <w:abstractNum w:abstractNumId="220">
    <w:nsid w:val="7775797C"/>
    <w:multiLevelType w:val="hybridMultilevel"/>
    <w:lvl w:ilvl="0">
      <w:lvlJc w:val="left"/>
      <w:lvlText w:val="(%1)"/>
      <w:numFmt w:val="lowerRoman"/>
      <w:start w:val="8"/>
    </w:lvl>
  </w:abstractNum>
  <w:abstractNum w:abstractNumId="221">
    <w:nsid w:val="1626FB8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22">
    <w:nsid w:val="3957756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3">
    <w:nsid w:val="3E6DA1C7"/>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24">
    <w:nsid w:val="65CA235B"/>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25">
    <w:nsid w:val="51CB0DA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26">
    <w:nsid w:val="7B9B743C"/>
    <w:multiLevelType w:val="hybridMultilevel"/>
    <w:lvl w:ilvl="0">
      <w:lvlJc w:val="left"/>
      <w:lvlText w:val="(%1)"/>
      <w:numFmt w:val="lowerRoman"/>
      <w:start w:val="5"/>
    </w:lvl>
  </w:abstractNum>
  <w:abstractNum w:abstractNumId="227">
    <w:nsid w:val="13E21002"/>
    <w:multiLevelType w:val="hybridMultilevel"/>
    <w:lvl w:ilvl="0">
      <w:lvlJc w:val="left"/>
      <w:lvlText w:val="(%1)"/>
      <w:numFmt w:val="lowerLetter"/>
      <w:start w:val="2"/>
    </w:lvl>
  </w:abstractNum>
  <w:abstractNum w:abstractNumId="228">
    <w:nsid w:val="257D63F4"/>
    <w:multiLevelType w:val="hybridMultilevel"/>
    <w:lvl w:ilvl="0">
      <w:lvlJc w:val="left"/>
      <w:lvlText w:val="(%1)"/>
      <w:numFmt w:val="lowerRoman"/>
      <w:start w:val="1"/>
    </w:lvl>
  </w:abstractNum>
  <w:abstractNum w:abstractNumId="229">
    <w:nsid w:val="70EC11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30">
    <w:nsid w:val="2EDA00E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31">
    <w:nsid w:val="7320907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32">
    <w:nsid w:val="5FB2981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33">
    <w:nsid w:val="3CE732E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34">
    <w:nsid w:val="22F13DF3"/>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235">
    <w:nsid w:val="792B8401"/>
    <w:multiLevelType w:val="hybridMultilevel"/>
    <w:lvl w:ilvl="0">
      <w:lvlJc w:val="left"/>
      <w:lvlText w:val="%1"/>
      <w:numFmt w:val="lowerLetter"/>
      <w:start w:val="1"/>
    </w:lvl>
    <w:lvl w:ilvl="1">
      <w:lvlJc w:val="left"/>
      <w:lvlText w:val="(%2)"/>
      <w:numFmt w:val="lowerRoman"/>
      <w:start w:val="2"/>
    </w:lvl>
  </w:abstractNum>
  <w:abstractNum w:abstractNumId="236">
    <w:nsid w:val="FA85F4D"/>
    <w:multiLevelType w:val="hybridMultilevel"/>
    <w:lvl w:ilvl="0">
      <w:lvlJc w:val="left"/>
      <w:lvlText w:val="(%1)"/>
      <w:numFmt w:val="lowerLetter"/>
      <w:start w:val="2"/>
    </w:lvl>
    <w:lvl w:ilvl="1">
      <w:lvlJc w:val="left"/>
      <w:lvlText w:val="%2"/>
      <w:numFmt w:val="lowerRoman"/>
      <w:start w:val="1"/>
    </w:lvl>
  </w:abstractNum>
  <w:abstractNum w:abstractNumId="237">
    <w:nsid w:val="6ECE91F0"/>
    <w:multiLevelType w:val="hybridMultilevel"/>
    <w:lvl w:ilvl="0">
      <w:lvlJc w:val="left"/>
      <w:lvlText w:val="%1"/>
      <w:numFmt w:val="decimal"/>
      <w:start w:val="1"/>
    </w:lvl>
    <w:lvl w:ilvl="1">
      <w:lvlJc w:val="left"/>
      <w:lvlText w:val="(%2)"/>
      <w:numFmt w:val="lowerLetter"/>
      <w:start w:val="3"/>
    </w:lvl>
  </w:abstractNum>
  <w:abstractNum w:abstractNumId="238">
    <w:nsid w:val="4FC4D600"/>
    <w:multiLevelType w:val="hybridMultilevel"/>
    <w:lvl w:ilvl="0">
      <w:lvlJc w:val="left"/>
      <w:lvlText w:val="%1."/>
      <w:numFmt w:val="decimal"/>
      <w:start w:val="12"/>
    </w:lvl>
    <w:lvl w:ilvl="1">
      <w:lvlJc w:val="left"/>
      <w:lvlText w:val="(%2)"/>
      <w:numFmt w:val="lowerLetter"/>
      <w:start w:val="1"/>
    </w:lvl>
  </w:abstractNum>
  <w:abstractNum w:abstractNumId="239">
    <w:nsid w:val="5BFD4210"/>
    <w:multiLevelType w:val="hybridMultilevel"/>
    <w:lvl w:ilvl="0">
      <w:lvlJc w:val="left"/>
      <w:lvlText w:val="%1."/>
      <w:numFmt w:val="decimal"/>
      <w:start w:val="13"/>
    </w:lvl>
    <w:lvl w:ilvl="1">
      <w:lvlJc w:val="left"/>
      <w:lvlText w:val="(%2)"/>
      <w:numFmt w:val="lowerLetter"/>
      <w:start w:val="1"/>
    </w:lvl>
  </w:abstractNum>
  <w:abstractNum w:abstractNumId="240">
    <w:nsid w:val="76574F8B"/>
    <w:multiLevelType w:val="hybridMultilevel"/>
    <w:lvl w:ilvl="0">
      <w:lvlJc w:val="left"/>
      <w:lvlText w:val="%1"/>
      <w:numFmt w:val="decimal"/>
      <w:start w:val="1"/>
    </w:lvl>
    <w:lvl w:ilvl="1">
      <w:lvlJc w:val="left"/>
      <w:lvlText w:val="(%2)"/>
      <w:numFmt w:val="lowerLetter"/>
      <w:start w:val="4"/>
    </w:lvl>
  </w:abstractNum>
  <w:abstractNum w:abstractNumId="241">
    <w:nsid w:val="178F7B67"/>
    <w:multiLevelType w:val="hybridMultilevel"/>
    <w:lvl w:ilvl="0">
      <w:lvlJc w:val="left"/>
      <w:lvlText w:val="%1."/>
      <w:numFmt w:val="decimal"/>
      <w:start w:val="14"/>
    </w:lvl>
    <w:lvl w:ilvl="1">
      <w:lvlJc w:val="left"/>
      <w:lvlText w:val="%2"/>
      <w:numFmt w:val="lowerLetter"/>
      <w:start w:val="1"/>
    </w:lvl>
  </w:abstractNum>
  <w:abstractNum w:abstractNumId="242">
    <w:nsid w:val="2421DFCF"/>
    <w:multiLevelType w:val="hybridMultilevel"/>
    <w:lvl w:ilvl="0">
      <w:lvlJc w:val="left"/>
      <w:lvlText w:val="%1."/>
      <w:numFmt w:val="decimal"/>
      <w:start w:val="15"/>
    </w:lvl>
    <w:lvl w:ilvl="1">
      <w:lvlJc w:val="left"/>
      <w:lvlText w:val="(%2)"/>
      <w:numFmt w:val="lowerLetter"/>
      <w:start w:val="1"/>
    </w:lvl>
  </w:abstractNum>
  <w:abstractNum w:abstractNumId="243">
    <w:nsid w:val="1565AC99"/>
    <w:multiLevelType w:val="hybridMultilevel"/>
    <w:lvl w:ilvl="0">
      <w:lvlJc w:val="left"/>
      <w:lvlText w:val="%1."/>
      <w:numFmt w:val="decimal"/>
      <w:start w:val="20"/>
    </w:lvl>
    <w:lvl w:ilvl="1">
      <w:lvlJc w:val="left"/>
      <w:lvlText w:val="(%2)"/>
      <w:numFmt w:val="lowerLetter"/>
      <w:start w:val="1"/>
    </w:lvl>
  </w:abstractNum>
  <w:abstractNum w:abstractNumId="244">
    <w:nsid w:val="19FB2650"/>
    <w:multiLevelType w:val="hybridMultilevel"/>
    <w:lvl w:ilvl="0">
      <w:lvlJc w:val="left"/>
      <w:lvlText w:val="%1."/>
      <w:numFmt w:val="decimal"/>
      <w:start w:val="23"/>
    </w:lvl>
    <w:lvl w:ilvl="1">
      <w:lvlJc w:val="left"/>
      <w:lvlText w:val="(%2)"/>
      <w:numFmt w:val="lowerLetter"/>
      <w:start w:val="1"/>
    </w:lvl>
  </w:abstractNum>
  <w:abstractNum w:abstractNumId="245">
    <w:nsid w:val="5024DE5B"/>
    <w:multiLevelType w:val="hybridMultilevel"/>
    <w:lvl w:ilvl="0">
      <w:lvlJc w:val="left"/>
      <w:lvlText w:val="(%1)"/>
      <w:numFmt w:val="lowerRoman"/>
      <w:start w:val="2"/>
    </w:lvl>
  </w:abstractNum>
  <w:abstractNum w:abstractNumId="246">
    <w:nsid w:val="168EFE17"/>
    <w:multiLevelType w:val="hybridMultilevel"/>
    <w:lvl w:ilvl="0">
      <w:lvlJc w:val="left"/>
      <w:lvlText w:val="%1."/>
      <w:numFmt w:val="decimal"/>
      <w:start w:val="1"/>
    </w:lvl>
  </w:abstractNum>
  <w:abstractNum w:abstractNumId="247">
    <w:nsid w:val="1036B29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8">
    <w:nsid w:val="1D206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49">
    <w:nsid w:val="7934D3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50">
    <w:nsid w:val="1C65E9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1">
    <w:nsid w:val="1495E50A"/>
    <w:multiLevelType w:val="hybridMultilevel"/>
    <w:lvl w:ilvl="0">
      <w:lvlJc w:val="left"/>
      <w:lvlText w:val="%1."/>
      <w:numFmt w:val="decimal"/>
      <w:start w:val="7"/>
    </w:lvl>
    <w:lvl w:ilvl="1">
      <w:lvlJc w:val="left"/>
      <w:lvlText w:val="(%2)"/>
      <w:numFmt w:val="lowerLetter"/>
      <w:start w:val="1"/>
    </w:lvl>
  </w:abstractNum>
  <w:abstractNum w:abstractNumId="252">
    <w:nsid w:val="F5BCF61"/>
    <w:multiLevelType w:val="hybridMultilevel"/>
    <w:lvl w:ilvl="0">
      <w:lvlJc w:val="left"/>
      <w:lvlText w:val="%1."/>
      <w:numFmt w:val="decimal"/>
      <w:start w:val="11"/>
    </w:lvl>
  </w:abstractNum>
  <w:abstractNum w:abstractNumId="253">
    <w:nsid w:val="3B1DD40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54">
    <w:nsid w:val="530386D1"/>
    <w:multiLevelType w:val="hybridMultilevel"/>
    <w:lvl w:ilvl="0">
      <w:lvlJc w:val="left"/>
      <w:lvlText w:val="%1"/>
      <w:numFmt w:val="lowerLetter"/>
      <w:start w:val="1"/>
    </w:lvl>
    <w:lvl w:ilvl="1">
      <w:lvlJc w:val="left"/>
      <w:lvlText w:val="(%2)"/>
      <w:numFmt w:val="lowerRoman"/>
      <w:start w:val="2"/>
    </w:lvl>
  </w:abstractNum>
  <w:abstractNum w:abstractNumId="255">
    <w:nsid w:val="7525F2BC"/>
    <w:multiLevelType w:val="hybridMultilevel"/>
    <w:lvl w:ilvl="0">
      <w:lvlJc w:val="left"/>
      <w:lvlText w:val="(%1)"/>
      <w:numFmt w:val="lowerLetter"/>
      <w:start w:val="2"/>
    </w:lvl>
    <w:lvl w:ilvl="1">
      <w:lvlJc w:val="left"/>
      <w:lvlText w:val="(%2)"/>
      <w:numFmt w:val="lowerRoman"/>
      <w:start w:val="1"/>
    </w:lvl>
  </w:abstractNum>
  <w:abstractNum w:abstractNumId="256">
    <w:nsid w:val="CE8E1A7"/>
    <w:multiLevelType w:val="hybridMultilevel"/>
    <w:lvl w:ilvl="0">
      <w:lvlJc w:val="left"/>
      <w:lvlText w:val="%1"/>
      <w:numFmt w:val="lowerLetter"/>
      <w:start w:val="1"/>
    </w:lvl>
    <w:lvl w:ilvl="1">
      <w:lvlJc w:val="left"/>
      <w:lvlText w:val="(%2)"/>
      <w:numFmt w:val="lowerRoman"/>
      <w:start w:val="2"/>
    </w:lvl>
  </w:abstractNum>
  <w:abstractNum w:abstractNumId="257">
    <w:nsid w:val="4E9EFB0D"/>
    <w:multiLevelType w:val="hybridMultilevel"/>
    <w:lvl w:ilvl="0">
      <w:lvlJc w:val="left"/>
      <w:lvlText w:val="(%1)"/>
      <w:numFmt w:val="lowerLetter"/>
      <w:start w:val="4"/>
    </w:lvl>
    <w:lvl w:ilvl="1">
      <w:lvlJc w:val="left"/>
      <w:lvlText w:val="(%2)"/>
      <w:numFmt w:val="lowerRoman"/>
      <w:start w:val="1"/>
    </w:lvl>
  </w:abstractNum>
  <w:abstractNum w:abstractNumId="258">
    <w:nsid w:val="90802BE"/>
    <w:multiLevelType w:val="hybridMultilevel"/>
    <w:lvl w:ilvl="0">
      <w:lvlJc w:val="left"/>
      <w:lvlText w:val="%1"/>
      <w:numFmt w:val="lowerLetter"/>
      <w:start w:val="1"/>
    </w:lvl>
    <w:lvl w:ilvl="1">
      <w:lvlJc w:val="left"/>
      <w:lvlText w:val="(%2)"/>
      <w:numFmt w:val="lowerLetter"/>
      <w:start w:val="35"/>
    </w:lvl>
  </w:abstractNum>
  <w:abstractNum w:abstractNumId="259">
    <w:nsid w:val="3266459B"/>
    <w:multiLevelType w:val="hybridMultilevel"/>
    <w:lvl w:ilvl="0">
      <w:lvlJc w:val="left"/>
      <w:lvlText w:val="(%1)"/>
      <w:numFmt w:val="lowerLetter"/>
      <w:start w:val="5"/>
    </w:lvl>
    <w:lvl w:ilvl="1">
      <w:lvlJc w:val="left"/>
      <w:lvlText w:val="%2"/>
      <w:numFmt w:val="lowerLetter"/>
      <w:start w:val="1"/>
    </w:lvl>
  </w:abstractNum>
  <w:abstractNum w:abstractNumId="260">
    <w:nsid w:val="3F8B0CBF"/>
    <w:multiLevelType w:val="hybridMultilevel"/>
    <w:lvl w:ilvl="0">
      <w:lvlJc w:val="left"/>
      <w:lvlText w:val="(%1)"/>
      <w:numFmt w:val="lowerLetter"/>
      <w:start w:val="7"/>
    </w:lvl>
  </w:abstractNum>
  <w:abstractNum w:abstractNumId="261">
    <w:nsid w:val="37E203AB"/>
    <w:multiLevelType w:val="hybridMultilevel"/>
    <w:lvl w:ilvl="0">
      <w:lvlJc w:val="left"/>
      <w:lvlText w:val="%1"/>
      <w:numFmt w:val="decimal"/>
      <w:start w:val="1"/>
    </w:lvl>
    <w:lvl w:ilvl="1">
      <w:lvlJc w:val="left"/>
      <w:lvlText w:val="(%2)"/>
      <w:numFmt w:val="lowerLetter"/>
      <w:start w:val="9"/>
    </w:lvl>
  </w:abstractNum>
  <w:abstractNum w:abstractNumId="262">
    <w:nsid w:val="2586D60E"/>
    <w:multiLevelType w:val="hybridMultilevel"/>
    <w:lvl w:ilvl="0">
      <w:lvlJc w:val="left"/>
      <w:lvlText w:val="%1."/>
      <w:numFmt w:val="decimal"/>
      <w:start w:val="4"/>
    </w:lvl>
    <w:lvl w:ilvl="1">
      <w:lvlJc w:val="left"/>
      <w:lvlText w:val="(%2)"/>
      <w:numFmt w:val="lowerLetter"/>
      <w:start w:val="1"/>
    </w:lvl>
  </w:abstractNum>
  <w:abstractNum w:abstractNumId="263">
    <w:nsid w:val="1F3DA4D5"/>
    <w:multiLevelType w:val="hybridMultilevel"/>
    <w:lvl w:ilvl="0">
      <w:lvlJc w:val="left"/>
      <w:lvlText w:val="(%1)"/>
      <w:numFmt w:val="lowerLetter"/>
      <w:start w:val="2"/>
    </w:lvl>
  </w:abstractNum>
  <w:abstractNum w:abstractNumId="264">
    <w:nsid w:val="74C9369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5">
    <w:nsid w:val="48781401"/>
    <w:multiLevelType w:val="hybridMultilevel"/>
    <w:lvl w:ilvl="0">
      <w:lvlJc w:val="left"/>
      <w:lvlText w:val="%1."/>
      <w:numFmt w:val="decimal"/>
      <w:start w:val="9"/>
    </w:lvl>
    <w:lvl w:ilvl="1">
      <w:lvlJc w:val="left"/>
      <w:lvlText w:val="(%2)"/>
      <w:numFmt w:val="lowerLetter"/>
      <w:start w:val="1"/>
    </w:lvl>
  </w:abstractNum>
  <w:abstractNum w:abstractNumId="266">
    <w:nsid w:val="186928D6"/>
    <w:multiLevelType w:val="hybridMultilevel"/>
    <w:lvl w:ilvl="0">
      <w:lvlJc w:val="left"/>
      <w:lvlText w:val="%1."/>
      <w:numFmt w:val="decimal"/>
      <w:start w:val="12"/>
    </w:lvl>
    <w:lvl w:ilvl="1">
      <w:lvlJc w:val="left"/>
      <w:lvlText w:val="(%2)"/>
      <w:numFmt w:val="lowerLetter"/>
      <w:start w:val="1"/>
    </w:lvl>
  </w:abstractNum>
  <w:abstractNum w:abstractNumId="267">
    <w:nsid w:val="47195E5"/>
    <w:multiLevelType w:val="hybridMultilevel"/>
    <w:lvl w:ilvl="0">
      <w:lvlJc w:val="left"/>
      <w:lvlText w:val="(%1)"/>
      <w:numFmt w:val="lowerLetter"/>
      <w:start w:val="6"/>
    </w:lvl>
  </w:abstractNum>
  <w:abstractNum w:abstractNumId="268">
    <w:nsid w:val="3746A5F2"/>
    <w:multiLevelType w:val="hybridMultilevel"/>
    <w:lvl w:ilvl="0">
      <w:lvlJc w:val="left"/>
      <w:lvlText w:val="("/>
      <w:numFmt w:val="bullet"/>
      <w:start w:val="1"/>
    </w:lvl>
  </w:abstractNum>
  <w:abstractNum w:abstractNumId="269">
    <w:nsid w:val="682DFED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70">
    <w:nsid w:val="606ED7F6"/>
    <w:multiLevelType w:val="hybridMultilevel"/>
    <w:lvl w:ilvl="0">
      <w:lvlJc w:val="left"/>
      <w:lvlText w:val="(%1)"/>
      <w:numFmt w:val="lowerLetter"/>
      <w:start w:val="1"/>
    </w:lvl>
  </w:abstractNum>
  <w:abstractNum w:abstractNumId="271">
    <w:nsid w:val="2D9DF57D"/>
    <w:multiLevelType w:val="hybridMultilevel"/>
    <w:lvl w:ilvl="0">
      <w:lvlJc w:val="left"/>
      <w:lvlText w:val="(%1)"/>
      <w:numFmt w:val="lowerLetter"/>
      <w:start w:val="3"/>
    </w:lvl>
  </w:abstractNum>
  <w:abstractNum w:abstractNumId="272">
    <w:nsid w:val="7FBD7A3E"/>
    <w:multiLevelType w:val="hybridMultilevel"/>
    <w:lvl w:ilvl="0">
      <w:lvlJc w:val="left"/>
      <w:lvlText w:val="(%1)"/>
      <w:numFmt w:val="lowerLetter"/>
      <w:start w:val="5"/>
    </w:lvl>
  </w:abstractNum>
  <w:abstractNum w:abstractNumId="273">
    <w:nsid w:val="490B7C5"/>
    <w:multiLevelType w:val="hybridMultilevel"/>
    <w:lvl w:ilvl="0">
      <w:lvlJc w:val="left"/>
      <w:lvlText w:val="1"/>
      <w:numFmt w:val="bullet"/>
      <w:start w:val="1"/>
    </w:lvl>
  </w:abstractNum>
  <w:abstractNum w:abstractNumId="274">
    <w:nsid w:val="4303A216"/>
    <w:multiLevelType w:val="hybridMultilevel"/>
    <w:lvl w:ilvl="0">
      <w:lvlJc w:val="left"/>
      <w:lvlText w:val="2"/>
      <w:numFmt w:val="bullet"/>
      <w:start w:val="1"/>
    </w:lvl>
  </w:abstractNum>
  <w:abstractNum w:abstractNumId="275">
    <w:nsid w:val="19B8A08E"/>
    <w:multiLevelType w:val="hybridMultilevel"/>
    <w:lvl w:ilvl="0">
      <w:lvlJc w:val="left"/>
      <w:lvlText w:val="%1."/>
      <w:numFmt w:val="decimal"/>
      <w:start w:val="1"/>
    </w:lvl>
  </w:abstractNum>
  <w:abstractNum w:abstractNumId="276">
    <w:nsid w:val="54B59621"/>
    <w:multiLevelType w:val="hybridMultilevel"/>
    <w:lvl w:ilvl="0">
      <w:lvlJc w:val="left"/>
      <w:lvlText w:val="3"/>
      <w:numFmt w:val="bullet"/>
      <w:start w:val="1"/>
    </w:lvl>
  </w:abstractNum>
  <w:abstractNum w:abstractNumId="277">
    <w:nsid w:val="5992A02E"/>
    <w:multiLevelType w:val="hybridMultilevel"/>
    <w:lvl w:ilvl="0">
      <w:lvlJc w:val="left"/>
      <w:lvlText w:val="4"/>
      <w:numFmt w:val="bullet"/>
      <w:start w:val="1"/>
    </w:lvl>
  </w:abstractNum>
  <w:abstractNum w:abstractNumId="278">
    <w:nsid w:val="29EF532D"/>
    <w:multiLevelType w:val="hybridMultilevel"/>
    <w:lvl w:ilvl="0">
      <w:lvlJc w:val="left"/>
      <w:lvlText w:val="5"/>
      <w:numFmt w:val="bullet"/>
      <w:start w:val="1"/>
    </w:lvl>
  </w:abstractNum>
  <w:abstractNum w:abstractNumId="279">
    <w:nsid w:val="71D601AF"/>
    <w:multiLevelType w:val="hybridMultilevel"/>
    <w:lvl w:ilvl="0">
      <w:lvlJc w:val="left"/>
      <w:lvlText w:val="%1."/>
      <w:numFmt w:val="decimal"/>
      <w:start w:val="2"/>
    </w:lvl>
  </w:abstractNum>
  <w:abstractNum w:abstractNumId="280">
    <w:nsid w:val="52C77402"/>
    <w:multiLevelType w:val="hybridMultilevel"/>
    <w:lvl w:ilvl="0">
      <w:lvlJc w:val="left"/>
      <w:lvlText w:val="7"/>
      <w:numFmt w:val="bullet"/>
      <w:start w:val="1"/>
    </w:lvl>
  </w:abstractNum>
  <w:abstractNum w:abstractNumId="281">
    <w:nsid w:val="2BB5B1C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82">
    <w:nsid w:val="66BE6B9"/>
    <w:multiLevelType w:val="hybridMultilevel"/>
    <w:lvl w:ilvl="0">
      <w:lvlJc w:val="left"/>
      <w:lvlText w:val="%1"/>
      <w:numFmt w:val="lowerLetter"/>
      <w:start w:val="1"/>
    </w:lvl>
    <w:lvl w:ilvl="1">
      <w:lvlJc w:val="left"/>
      <w:lvlText w:val="(%2)"/>
      <w:numFmt w:val="lowerRoman"/>
      <w:start w:val="2"/>
    </w:lvl>
  </w:abstractNum>
  <w:abstractNum w:abstractNumId="283">
    <w:nsid w:val="62234363"/>
    <w:multiLevelType w:val="hybridMultilevel"/>
    <w:lvl w:ilvl="0">
      <w:lvlJc w:val="left"/>
      <w:lvlText w:val="(%1)"/>
      <w:numFmt w:val="lowerLetter"/>
      <w:start w:val="3"/>
    </w:lvl>
    <w:lvl w:ilvl="1">
      <w:lvlJc w:val="left"/>
      <w:lvlText w:val="(%2)"/>
      <w:numFmt w:val="lowerRoman"/>
      <w:start w:val="1"/>
    </w:lvl>
  </w:abstractNum>
  <w:abstractNum w:abstractNumId="284">
    <w:nsid w:val="66D385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85">
    <w:nsid w:val="596F6D8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86">
    <w:nsid w:val="5749361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87">
    <w:nsid w:val="73BC6770"/>
    <w:multiLevelType w:val="hybridMultilevel"/>
    <w:lvl w:ilvl="0">
      <w:lvlJc w:val="left"/>
      <w:lvlText w:val="(%1)"/>
      <w:numFmt w:val="lowerLetter"/>
      <w:start w:val="2"/>
    </w:lvl>
  </w:abstractNum>
  <w:abstractNum w:abstractNumId="288">
    <w:nsid w:val="280E689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9">
    <w:nsid w:val="605138DE"/>
    <w:multiLevelType w:val="hybridMultilevel"/>
    <w:lvl w:ilvl="0">
      <w:lvlJc w:val="left"/>
      <w:lvlText w:val="%1."/>
      <w:numFmt w:val="decimal"/>
      <w:start w:val="8"/>
    </w:lvl>
    <w:lvl w:ilvl="1">
      <w:lvlJc w:val="left"/>
      <w:lvlText w:val="(%2)"/>
      <w:numFmt w:val="lowerLetter"/>
      <w:start w:val="1"/>
    </w:lvl>
  </w:abstractNum>
  <w:abstractNum w:abstractNumId="290">
    <w:nsid w:val="2622AD0C"/>
    <w:multiLevelType w:val="hybridMultilevel"/>
    <w:lvl w:ilvl="0">
      <w:lvlJc w:val="left"/>
      <w:lvlText w:val="(%1)"/>
      <w:numFmt w:val="lowerLetter"/>
      <w:start w:val="3"/>
    </w:lvl>
  </w:abstractNum>
  <w:abstractNum w:abstractNumId="291">
    <w:nsid w:val="67997556"/>
    <w:multiLevelType w:val="hybridMultilevel"/>
    <w:lvl w:ilvl="0">
      <w:lvlJc w:val="left"/>
      <w:lvlText w:val="(%1)"/>
      <w:numFmt w:val="lowerLetter"/>
      <w:start w:val="1"/>
    </w:lvl>
    <w:lvl w:ilvl="1">
      <w:lvlJc w:val="left"/>
      <w:lvlText w:val="(%2)"/>
      <w:numFmt w:val="lowerRoman"/>
      <w:start w:val="1"/>
    </w:lvl>
  </w:abstractNum>
  <w:abstractNum w:abstractNumId="292">
    <w:nsid w:val="18333C8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293">
    <w:nsid w:val="4BA9831A"/>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294">
    <w:nsid w:val="6D71A2B"/>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295">
    <w:nsid w:val="CFC7321"/>
    <w:multiLevelType w:val="hybridMultilevel"/>
    <w:lvl w:ilvl="0">
      <w:lvlJc w:val="left"/>
      <w:lvlText w:val="(%1)"/>
      <w:numFmt w:val="lowerLetter"/>
      <w:start w:val="10"/>
    </w:lvl>
  </w:abstractNum>
  <w:abstractNum w:abstractNumId="296">
    <w:nsid w:val="1421971B"/>
    <w:multiLevelType w:val="hybridMultilevel"/>
    <w:lvl w:ilvl="0">
      <w:lvlJc w:val="left"/>
      <w:lvlText w:val="(%1)"/>
      <w:numFmt w:val="lowerLetter"/>
      <w:start w:val="1"/>
    </w:lvl>
  </w:abstractNum>
  <w:abstractNum w:abstractNumId="297">
    <w:nsid w:val="1F404301"/>
    <w:multiLevelType w:val="hybridMultilevel"/>
    <w:lvl w:ilvl="0">
      <w:lvlJc w:val="left"/>
      <w:lvlText w:val="(%1)"/>
      <w:numFmt w:val="lowerLetter"/>
      <w:start w:val="3"/>
    </w:lvl>
  </w:abstractNum>
  <w:abstractNum w:abstractNumId="298">
    <w:nsid w:val="116E0907"/>
    <w:multiLevelType w:val="hybridMultilevel"/>
    <w:lvl w:ilvl="0">
      <w:lvlJc w:val="left"/>
      <w:lvlText w:val="(%1)"/>
      <w:numFmt w:val="lowerLetter"/>
      <w:start w:val="1"/>
    </w:lvl>
  </w:abstractNum>
  <w:abstractNum w:abstractNumId="299">
    <w:nsid w:val="4B683D0D"/>
    <w:multiLevelType w:val="hybridMultilevel"/>
    <w:lvl w:ilvl="0">
      <w:lvlJc w:val="left"/>
      <w:lvlText w:val="(%1)"/>
      <w:numFmt w:val="lowerLetter"/>
      <w:start w:val="1"/>
    </w:lvl>
  </w:abstractNum>
  <w:abstractNum w:abstractNumId="300">
    <w:nsid w:val="76E41D8"/>
    <w:multiLevelType w:val="hybridMultilevel"/>
    <w:lvl w:ilvl="0">
      <w:lvlJc w:val="left"/>
      <w:lvlText w:val="(%1)"/>
      <w:numFmt w:val="lowerLetter"/>
      <w:start w:val="1"/>
    </w:lvl>
  </w:abstractNum>
  <w:abstractNum w:abstractNumId="301">
    <w:nsid w:val="71DCE0FD"/>
    <w:multiLevelType w:val="hybridMultilevel"/>
    <w:lvl w:ilvl="0">
      <w:lvlJc w:val="left"/>
      <w:lvlText w:val="(%1)"/>
      <w:numFmt w:val="lowerRoman"/>
      <w:start w:val="1"/>
    </w:lvl>
  </w:abstractNum>
  <w:abstractNum w:abstractNumId="302">
    <w:nsid w:val="7906328B"/>
    <w:multiLevelType w:val="hybridMultilevel"/>
    <w:lvl w:ilvl="0">
      <w:lvlJc w:val="left"/>
      <w:lvlText w:val="%1"/>
      <w:numFmt w:val="lowerLetter"/>
      <w:start w:val="1"/>
    </w:lvl>
    <w:lvl w:ilvl="1">
      <w:lvlJc w:val="left"/>
      <w:lvlText w:val="(%2)"/>
      <w:numFmt w:val="lowerRoman"/>
      <w:start w:val="2"/>
    </w:lvl>
  </w:abstractNum>
  <w:abstractNum w:abstractNumId="303">
    <w:nsid w:val="72BBC16"/>
    <w:multiLevelType w:val="hybridMultilevel"/>
    <w:lvl w:ilvl="0">
      <w:lvlJc w:val="left"/>
      <w:lvlText w:val="(%1)"/>
      <w:numFmt w:val="lowerLetter"/>
      <w:start w:val="2"/>
    </w:lvl>
    <w:lvl w:ilvl="1">
      <w:lvlJc w:val="left"/>
      <w:lvlText w:val="%2"/>
      <w:numFmt w:val="lowerRoman"/>
      <w:start w:val="1"/>
    </w:lvl>
  </w:abstractNum>
  <w:abstractNum w:abstractNumId="304">
    <w:nsid w:val="766D98C2"/>
    <w:multiLevelType w:val="hybridMultilevel"/>
    <w:lvl w:ilvl="0">
      <w:lvlJc w:val="left"/>
      <w:lvlText w:val="(%1)"/>
      <w:numFmt w:val="lowerLetter"/>
      <w:start w:val="1"/>
    </w:lvl>
  </w:abstractNum>
  <w:abstractNum w:abstractNumId="305">
    <w:nsid w:val="3C09D4A1"/>
    <w:multiLevelType w:val="hybridMultilevel"/>
    <w:lvl w:ilvl="0">
      <w:lvlJc w:val="left"/>
      <w:lvlText w:val="(%1)"/>
      <w:numFmt w:val="lowerLetter"/>
      <w:start w:val="2"/>
    </w:lvl>
  </w:abstractNum>
  <w:abstractNum w:abstractNumId="306">
    <w:nsid w:val="20E45CA4"/>
    <w:multiLevelType w:val="hybridMultilevel"/>
    <w:lvl w:ilvl="0">
      <w:lvlJc w:val="left"/>
      <w:lvlText w:val="%1"/>
      <w:numFmt w:val="decimal"/>
      <w:start w:val="1"/>
    </w:lvl>
    <w:lvl w:ilvl="1">
      <w:lvlJc w:val="left"/>
      <w:lvlText w:val="(%2)"/>
      <w:numFmt w:val="lowerLetter"/>
      <w:start w:val="1"/>
    </w:lvl>
  </w:abstractNum>
  <w:abstractNum w:abstractNumId="307">
    <w:nsid w:val="4B232EE3"/>
    <w:multiLevelType w:val="hybridMultilevel"/>
    <w:lvl w:ilvl="0">
      <w:lvlJc w:val="left"/>
      <w:lvlText w:val="(%1)"/>
      <w:numFmt w:val="decimal"/>
      <w:start w:val="180"/>
    </w:lvl>
    <w:lvl w:ilvl="1">
      <w:lvlJc w:val="left"/>
      <w:lvlText w:val="(%2)"/>
      <w:numFmt w:val="lowerLetter"/>
      <w:start w:val="2"/>
    </w:lvl>
  </w:abstractNum>
  <w:abstractNum w:abstractNumId="308">
    <w:nsid w:val="159C74C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09">
    <w:nsid w:val="4AD3AFD2"/>
    <w:multiLevelType w:val="hybridMultilevel"/>
    <w:lvl w:ilvl="0">
      <w:lvlJc w:val="left"/>
      <w:lvlText w:val="%1"/>
      <w:numFmt w:val="lowerLetter"/>
      <w:start w:val="1"/>
    </w:lvl>
    <w:lvl w:ilvl="1">
      <w:lvlJc w:val="left"/>
      <w:lvlText w:val="(%2)"/>
      <w:numFmt w:val="lowerRoman"/>
      <w:start w:val="3"/>
    </w:lvl>
  </w:abstractNum>
  <w:abstractNum w:abstractNumId="310">
    <w:nsid w:val="3CF93092"/>
    <w:multiLevelType w:val="hybridMultilevel"/>
    <w:lvl w:ilvl="0">
      <w:lvlJc w:val="left"/>
      <w:lvlText w:val="(%1)"/>
      <w:numFmt w:val="lowerLetter"/>
      <w:start w:val="3"/>
    </w:lvl>
    <w:lvl w:ilvl="1">
      <w:lvlJc w:val="left"/>
      <w:lvlText w:val="%2"/>
      <w:numFmt w:val="lowerRoman"/>
      <w:start w:val="1"/>
    </w:lvl>
  </w:abstractNum>
  <w:abstractNum w:abstractNumId="311">
    <w:nsid w:val="6863E8D2"/>
    <w:multiLevelType w:val="hybridMultilevel"/>
    <w:lvl w:ilvl="0">
      <w:lvlJc w:val="left"/>
      <w:lvlText w:val="(%1)"/>
      <w:numFmt w:val="lowerLetter"/>
      <w:start w:val="5"/>
    </w:lvl>
  </w:abstractNum>
  <w:abstractNum w:abstractNumId="312">
    <w:nsid w:val="76896198"/>
    <w:multiLevelType w:val="hybridMultilevel"/>
    <w:lvl w:ilvl="0">
      <w:lvlJc w:val="left"/>
      <w:lvlText w:val="(%1)"/>
      <w:numFmt w:val="lowerLetter"/>
      <w:start w:val="1"/>
    </w:lvl>
  </w:abstractNum>
  <w:abstractNum w:abstractNumId="313">
    <w:nsid w:val="4365174B"/>
    <w:multiLevelType w:val="hybridMultilevel"/>
    <w:lvl w:ilvl="0">
      <w:lvlJc w:val="left"/>
      <w:lvlText w:val="(%1)"/>
      <w:numFmt w:val="lowerLetter"/>
      <w:start w:val="1"/>
    </w:lvl>
  </w:abstractNum>
  <w:abstractNum w:abstractNumId="314">
    <w:nsid w:val="4A872C3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5">
    <w:nsid w:val="5D5CE76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6">
    <w:nsid w:val="1CD484D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7">
    <w:nsid w:val="21D06255"/>
    <w:multiLevelType w:val="hybridMultilevel"/>
    <w:lvl w:ilvl="0">
      <w:lvlJc w:val="left"/>
      <w:lvlText w:val="%1"/>
      <w:numFmt w:val="decimal"/>
      <w:start w:val="1"/>
    </w:lvl>
    <w:lvl w:ilvl="1">
      <w:lvlJc w:val="left"/>
      <w:lvlText w:val="%2."/>
      <w:numFmt w:val="lowerRoman"/>
      <w:start w:val="3"/>
    </w:lvl>
  </w:abstractNum>
  <w:abstractNum w:abstractNumId="318">
    <w:nsid w:val="51194ED1"/>
    <w:multiLevelType w:val="hybridMultilevel"/>
    <w:lvl w:ilvl="0">
      <w:lvlJc w:val="left"/>
      <w:lvlText w:val="%1."/>
      <w:numFmt w:val="decimal"/>
      <w:start w:val="3"/>
    </w:lvl>
    <w:lvl w:ilvl="1">
      <w:lvlJc w:val="left"/>
      <w:lvlText w:val="%2"/>
      <w:numFmt w:val="lowerRoman"/>
      <w:start w:val="1"/>
    </w:lvl>
  </w:abstractNum>
  <w:abstractNum w:abstractNumId="319">
    <w:nsid w:val="44E2ED6C"/>
    <w:multiLevelType w:val="hybridMultilevel"/>
    <w:lvl w:ilvl="0">
      <w:lvlJc w:val="left"/>
      <w:lvlText w:val="(%1)"/>
      <w:numFmt w:val="lowerLetter"/>
      <w:start w:val="1"/>
    </w:lvl>
  </w:abstractNum>
  <w:abstractNum w:abstractNumId="320">
    <w:nsid w:val="2219B33"/>
    <w:multiLevelType w:val="hybridMultilevel"/>
    <w:lvl w:ilvl="0">
      <w:lvlJc w:val="left"/>
      <w:lvlText w:val="(%1)"/>
      <w:numFmt w:val="lowerLetter"/>
      <w:start w:val="1"/>
    </w:lvl>
  </w:abstractNum>
  <w:abstractNum w:abstractNumId="321">
    <w:nsid w:val="773BFBDD"/>
    <w:multiLevelType w:val="hybridMultilevel"/>
    <w:lvl w:ilvl="0">
      <w:lvlJc w:val="left"/>
      <w:lvlText w:val="(%1)"/>
      <w:numFmt w:val="lowerLetter"/>
      <w:start w:val="1"/>
    </w:lvl>
  </w:abstractNum>
  <w:abstractNum w:abstractNumId="322">
    <w:nsid w:val="2C7C62C2"/>
    <w:multiLevelType w:val="hybridMultilevel"/>
    <w:lvl w:ilvl="0">
      <w:lvlJc w:val="left"/>
      <w:lvlText w:val="(%1)"/>
      <w:numFmt w:val="lowerLetter"/>
      <w:start w:val="1"/>
    </w:lvl>
  </w:abstractNum>
  <w:abstractNum w:abstractNumId="323">
    <w:nsid w:val="1A54D7BC"/>
    <w:multiLevelType w:val="hybridMultilevel"/>
    <w:lvl w:ilvl="0">
      <w:lvlJc w:val="left"/>
      <w:lvlText w:val="(%1)"/>
      <w:numFmt w:val="lowerLetter"/>
      <w:start w:val="5"/>
    </w:lvl>
  </w:abstractNum>
  <w:abstractNum w:abstractNumId="324">
    <w:nsid w:val="42E57EF7"/>
    <w:multiLevelType w:val="hybridMultilevel"/>
    <w:lvl w:ilvl="0">
      <w:lvlJc w:val="left"/>
      <w:lvlText w:val="%1"/>
      <w:numFmt w:val="upperLetter"/>
      <w:start w:val="1"/>
    </w:lvl>
    <w:lvl w:ilvl="1">
      <w:lvlJc w:val="left"/>
      <w:lvlText w:val="(%2)"/>
      <w:numFmt w:val="lowerLetter"/>
      <w:start w:val="1"/>
    </w:lvl>
  </w:abstractNum>
  <w:abstractNum w:abstractNumId="325">
    <w:nsid w:val="33537CED"/>
    <w:multiLevelType w:val="hybridMultilevel"/>
    <w:lvl w:ilvl="0">
      <w:lvlJc w:val="left"/>
      <w:lvlText w:val="(%1)"/>
      <w:numFmt w:val="upperLetter"/>
      <w:start w:val="2"/>
    </w:lvl>
    <w:lvl w:ilvl="1">
      <w:lvlJc w:val="left"/>
      <w:lvlText w:val="%2"/>
      <w:numFmt w:val="lowerLetter"/>
      <w:start w:val="1"/>
    </w:lvl>
  </w:abstractNum>
  <w:abstractNum w:abstractNumId="326">
    <w:nsid w:val="27514ADE"/>
    <w:multiLevelType w:val="hybridMultilevel"/>
    <w:lvl w:ilvl="0">
      <w:lvlJc w:val="left"/>
      <w:lvlText w:val="(%1)"/>
      <w:numFmt w:val="lowerLetter"/>
      <w:start w:val="2"/>
    </w:lvl>
  </w:abstractNum>
  <w:abstractNum w:abstractNumId="327">
    <w:nsid w:val="57071613"/>
    <w:multiLevelType w:val="hybridMultilevel"/>
    <w:lvl w:ilvl="0">
      <w:lvlJc w:val="left"/>
      <w:lvlText w:val="(%1)"/>
      <w:numFmt w:val="lowerLetter"/>
      <w:start w:val="1"/>
    </w:lvl>
  </w:abstractNum>
  <w:abstractNum w:abstractNumId="328">
    <w:nsid w:val="5293BFEF"/>
    <w:multiLevelType w:val="hybridMultilevel"/>
    <w:lvl w:ilvl="0">
      <w:lvlJc w:val="left"/>
      <w:lvlText w:val="(%1)"/>
      <w:numFmt w:val="lowerLetter"/>
      <w:start w:val="1"/>
    </w:lvl>
  </w:abstractNum>
  <w:abstractNum w:abstractNumId="329">
    <w:nsid w:val="38BF53E5"/>
    <w:multiLevelType w:val="hybridMultilevel"/>
    <w:lvl w:ilvl="0">
      <w:lvlJc w:val="left"/>
      <w:lvlText w:val="(%1)"/>
      <w:numFmt w:val="lowerLetter"/>
      <w:start w:val="3"/>
    </w:lvl>
    <w:lvl w:ilvl="1">
      <w:lvlJc w:val="left"/>
      <w:lvlText w:val="(%2)"/>
      <w:numFmt w:val="lowerRoman"/>
      <w:start w:val="1"/>
    </w:lvl>
  </w:abstractNum>
  <w:abstractNum w:abstractNumId="330">
    <w:nsid w:val="226F5320"/>
    <w:multiLevelType w:val="hybridMultilevel"/>
    <w:lvl w:ilvl="0">
      <w:lvlJc w:val="left"/>
      <w:lvlText w:val="(%1)"/>
      <w:numFmt w:val="lowerLetter"/>
      <w:start w:val="1"/>
    </w:lvl>
  </w:abstractNum>
  <w:abstractNum w:abstractNumId="331">
    <w:nsid w:val="5A0201C7"/>
    <w:multiLevelType w:val="hybridMultilevel"/>
    <w:lvl w:ilvl="0">
      <w:lvlJc w:val="left"/>
      <w:lvlText w:val="(%1)"/>
      <w:numFmt w:val="lowerLetter"/>
      <w:start w:val="1"/>
    </w:lvl>
    <w:lvl w:ilvl="1">
      <w:lvlJc w:val="left"/>
      <w:lvlText w:val="(%2)"/>
      <w:numFmt w:val="lowerRoman"/>
      <w:start w:val="1"/>
    </w:lvl>
  </w:abstractNum>
  <w:abstractNum w:abstractNumId="332">
    <w:nsid w:val="2A9C34E2"/>
    <w:multiLevelType w:val="hybridMultilevel"/>
    <w:lvl w:ilvl="0">
      <w:lvlJc w:val="left"/>
      <w:lvlText w:val="1"/>
      <w:numFmt w:val="bullet"/>
      <w:start w:val="1"/>
    </w:lvl>
  </w:abstractNum>
  <w:abstractNum w:abstractNumId="333">
    <w:nsid w:val="1B7585AB"/>
    <w:multiLevelType w:val="hybridMultilevel"/>
    <w:lvl w:ilvl="0">
      <w:lvlJc w:val="left"/>
      <w:lvlText w:val="(%1)"/>
      <w:numFmt w:val="lowerLetter"/>
      <w:start w:val="4"/>
    </w:lvl>
  </w:abstractNum>
  <w:abstractNum w:abstractNumId="334">
    <w:nsid w:val="612DBDDD"/>
    <w:multiLevelType w:val="hybridMultilevel"/>
    <w:lvl w:ilvl="0">
      <w:lvlJc w:val="left"/>
      <w:lvlText w:val="(%1)"/>
      <w:numFmt w:val="lowerLetter"/>
      <w:start w:val="1"/>
    </w:lvl>
  </w:abstractNum>
  <w:abstractNum w:abstractNumId="335">
    <w:nsid w:val="2109CDA4"/>
    <w:multiLevelType w:val="hybridMultilevel"/>
    <w:lvl w:ilvl="0">
      <w:lvlJc w:val="left"/>
      <w:lvlText w:val="(%1)"/>
      <w:numFmt w:val="lowerLetter"/>
      <w:start w:val="2"/>
    </w:lvl>
    <w:lvl w:ilvl="1">
      <w:lvlJc w:val="left"/>
      <w:lvlText w:val="*"/>
      <w:numFmt w:val="bullet"/>
      <w:start w:val="1"/>
    </w:lvl>
  </w:abstractNum>
  <w:abstractNum w:abstractNumId="336">
    <w:nsid w:val="577F5A4D"/>
    <w:multiLevelType w:val="hybridMultilevel"/>
    <w:lvl w:ilvl="0">
      <w:lvlJc w:val="left"/>
      <w:lvlText w:val="(%1)"/>
      <w:numFmt w:val="lowerLetter"/>
      <w:start w:val="1"/>
    </w:lvl>
  </w:abstractNum>
  <w:abstractNum w:abstractNumId="337">
    <w:nsid w:val="2121A81"/>
    <w:multiLevelType w:val="hybridMultilevel"/>
    <w:lvl w:ilvl="0">
      <w:lvlJc w:val="left"/>
      <w:lvlText w:val="(%1)"/>
      <w:numFmt w:val="lowerLetter"/>
      <w:start w:val="1"/>
    </w:lvl>
    <w:lvl w:ilvl="1">
      <w:lvlJc w:val="left"/>
      <w:lvlText w:val="(%2)"/>
      <w:numFmt w:val="lowerRoman"/>
      <w:start w:val="1"/>
    </w:lvl>
  </w:abstractNum>
  <w:abstractNum w:abstractNumId="338">
    <w:nsid w:val="6C2CFC88"/>
    <w:multiLevelType w:val="hybridMultilevel"/>
    <w:lvl w:ilvl="0">
      <w:lvlJc w:val="left"/>
      <w:lvlText w:val="1"/>
      <w:numFmt w:val="bullet"/>
      <w:start w:val="1"/>
    </w:lvl>
  </w:abstractNum>
  <w:abstractNum w:abstractNumId="339">
    <w:nsid w:val="6D1BCF1C"/>
    <w:multiLevelType w:val="hybridMultilevel"/>
    <w:lvl w:ilvl="0">
      <w:lvlJc w:val="left"/>
      <w:lvlText w:val="(%1)"/>
      <w:numFmt w:val="lowerLetter"/>
      <w:start w:val="4"/>
    </w:lvl>
  </w:abstractNum>
  <w:abstractNum w:abstractNumId="340">
    <w:nsid w:val="4CE5CA53"/>
    <w:multiLevelType w:val="hybridMultilevel"/>
    <w:lvl w:ilvl="0">
      <w:lvlJc w:val="left"/>
      <w:lvlText w:val="%1"/>
      <w:numFmt w:val="lowerLetter"/>
      <w:start w:val="1"/>
    </w:lvl>
    <w:lvl w:ilvl="1">
      <w:lvlJc w:val="left"/>
      <w:lvlText w:val="(%2)"/>
      <w:numFmt w:val="lowerLetter"/>
      <w:start w:val="1"/>
    </w:lvl>
  </w:abstractNum>
  <w:abstractNum w:abstractNumId="341">
    <w:nsid w:val="29262D1A"/>
    <w:multiLevelType w:val="hybridMultilevel"/>
    <w:lvl w:ilvl="0">
      <w:lvlJc w:val="left"/>
      <w:lvlText w:val="(%1)"/>
      <w:numFmt w:val="lowerLetter"/>
      <w:start w:val="9"/>
    </w:lvl>
    <w:lvl w:ilvl="1">
      <w:lvlJc w:val="left"/>
      <w:lvlText w:val="(%2)"/>
      <w:numFmt w:val="lowerLetter"/>
      <w:start w:val="2"/>
    </w:lvl>
  </w:abstractNum>
  <w:abstractNum w:abstractNumId="342">
    <w:nsid w:val="557FB7EE"/>
    <w:multiLevelType w:val="hybridMultilevel"/>
    <w:lvl w:ilvl="0">
      <w:lvlJc w:val="left"/>
      <w:lvlText w:val="(%1)"/>
      <w:numFmt w:val="lowerLetter"/>
      <w:start w:val="3"/>
    </w:lvl>
    <w:lvl w:ilvl="1">
      <w:lvlJc w:val="left"/>
      <w:lvlText w:val="(%2)"/>
      <w:numFmt w:val="lowerRoman"/>
      <w:start w:val="1"/>
    </w:lvl>
  </w:abstractNum>
  <w:abstractNum w:abstractNumId="343">
    <w:nsid w:val="436F2BEB"/>
    <w:multiLevelType w:val="hybridMultilevel"/>
    <w:lvl w:ilvl="0">
      <w:lvlJc w:val="left"/>
      <w:lvlText w:val="(%1)"/>
      <w:numFmt w:val="lowerLetter"/>
      <w:start w:val="1"/>
    </w:lvl>
  </w:abstractNum>
  <w:abstractNum w:abstractNumId="344">
    <w:nsid w:val="6C8B4466"/>
    <w:multiLevelType w:val="hybridMultilevel"/>
    <w:lvl w:ilvl="0">
      <w:lvlJc w:val="left"/>
      <w:lvlText w:val="(%1)"/>
      <w:numFmt w:val="lowerLetter"/>
      <w:start w:val="1"/>
    </w:lvl>
  </w:abstractNum>
  <w:abstractNum w:abstractNumId="345">
    <w:nsid w:val="2006E424"/>
    <w:multiLevelType w:val="hybridMultilevel"/>
    <w:lvl w:ilvl="0">
      <w:lvlJc w:val="left"/>
      <w:lvlText w:val="(%1)"/>
      <w:numFmt w:val="lowerLetter"/>
      <w:start w:val="4"/>
    </w:lvl>
  </w:abstractNum>
  <w:abstractNum w:abstractNumId="346">
    <w:nsid w:val="20CC134C"/>
    <w:multiLevelType w:val="hybridMultilevel"/>
    <w:lvl w:ilvl="0">
      <w:lvlJc w:val="left"/>
      <w:lvlText w:val="(%1)"/>
      <w:numFmt w:val="lowerLetter"/>
      <w:start w:val="1"/>
    </w:lvl>
  </w:abstractNum>
  <w:abstractNum w:abstractNumId="347">
    <w:nsid w:val="95FC93B"/>
    <w:multiLevelType w:val="hybridMultilevel"/>
    <w:lvl w:ilvl="0">
      <w:lvlJc w:val="left"/>
      <w:lvlText w:val="(%1)"/>
      <w:numFmt w:val="lowerLetter"/>
      <w:start w:val="1"/>
    </w:lvl>
  </w:abstractNum>
  <w:abstractNum w:abstractNumId="348">
    <w:nsid w:val="41D74679"/>
    <w:multiLevelType w:val="hybridMultilevel"/>
    <w:lvl w:ilvl="0">
      <w:lvlJc w:val="left"/>
      <w:lvlText w:val="(%1)"/>
      <w:numFmt w:val="lowerLetter"/>
      <w:start w:val="1"/>
    </w:lvl>
  </w:abstractNum>
  <w:abstractNum w:abstractNumId="349">
    <w:nsid w:val="71E5621E"/>
    <w:multiLevelType w:val="hybridMultilevel"/>
    <w:lvl w:ilvl="0">
      <w:lvlJc w:val="left"/>
      <w:lvlText w:val="(%1)"/>
      <w:numFmt w:val="lowerLetter"/>
      <w:start w:val="2"/>
    </w:lvl>
  </w:abstractNum>
  <w:abstractNum w:abstractNumId="350">
    <w:nsid w:val="4E42B6A8"/>
    <w:multiLevelType w:val="hybridMultilevel"/>
    <w:lvl w:ilvl="0">
      <w:lvlJc w:val="left"/>
      <w:lvlText w:val="(%1)"/>
      <w:numFmt w:val="lowerLetter"/>
      <w:start w:val="1"/>
    </w:lvl>
  </w:abstractNum>
  <w:abstractNum w:abstractNumId="351">
    <w:nsid w:val="43F8E1AC"/>
    <w:multiLevelType w:val="hybridMultilevel"/>
    <w:lvl w:ilvl="0">
      <w:lvlJc w:val="left"/>
      <w:lvlText w:val="(%1)"/>
      <w:numFmt w:val="lowerLetter"/>
      <w:start w:val="4"/>
    </w:lvl>
  </w:abstractNum>
  <w:abstractNum w:abstractNumId="352">
    <w:nsid w:val="69215DFB"/>
    <w:multiLevelType w:val="hybridMultilevel"/>
    <w:lvl w:ilvl="0">
      <w:lvlJc w:val="left"/>
      <w:lvlText w:val="(%1)"/>
      <w:numFmt w:val="lowerLetter"/>
      <w:start w:val="1"/>
    </w:lvl>
  </w:abstractNum>
  <w:abstractNum w:abstractNumId="353">
    <w:nsid w:val="7ABF196A"/>
    <w:multiLevelType w:val="hybridMultilevel"/>
    <w:lvl w:ilvl="0">
      <w:lvlJc w:val="left"/>
      <w:lvlText w:val="%1"/>
      <w:numFmt w:val="lowerLetter"/>
      <w:start w:val="1"/>
    </w:lvl>
    <w:lvl w:ilvl="1">
      <w:lvlJc w:val="left"/>
      <w:lvlText w:val="(%2)"/>
      <w:numFmt w:val="lowerRoman"/>
      <w:start w:val="2"/>
    </w:lvl>
  </w:abstractNum>
  <w:abstractNum w:abstractNumId="354">
    <w:nsid w:val="5E4DB968"/>
    <w:multiLevelType w:val="hybridMultilevel"/>
    <w:lvl w:ilvl="0">
      <w:lvlJc w:val="left"/>
      <w:lvlText w:val="(%1)"/>
      <w:numFmt w:val="lowerLetter"/>
      <w:start w:val="2"/>
    </w:lvl>
    <w:lvl w:ilvl="1">
      <w:lvlJc w:val="left"/>
      <w:lvlText w:val="%2"/>
      <w:numFmt w:val="lowerRoman"/>
      <w:start w:val="1"/>
    </w:lvl>
  </w:abstractNum>
  <w:abstractNum w:abstractNumId="355">
    <w:nsid w:val="2C06DCF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6">
    <w:nsid w:val="2E12965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57">
    <w:nsid w:val="59F044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58">
    <w:nsid w:val="30DF306"/>
    <w:multiLevelType w:val="hybridMultilevel"/>
    <w:lvl w:ilvl="0">
      <w:lvlJc w:val="left"/>
      <w:lvlText w:val="%1"/>
      <w:numFmt w:val="decimal"/>
      <w:start w:val="1"/>
    </w:lvl>
    <w:lvl w:ilvl="1">
      <w:lvlJc w:val="left"/>
      <w:lvlText w:val="(%2)"/>
      <w:numFmt w:val="lowerLetter"/>
      <w:start w:val="3"/>
    </w:lvl>
  </w:abstractNum>
  <w:abstractNum w:abstractNumId="359">
    <w:nsid w:val="A65647"/>
    <w:multiLevelType w:val="hybridMultilevel"/>
    <w:lvl w:ilvl="0">
      <w:lvlJc w:val="left"/>
      <w:lvlText w:val="%1."/>
      <w:numFmt w:val="decimal"/>
      <w:start w:val="4"/>
    </w:lvl>
    <w:lvl w:ilvl="1">
      <w:lvlJc w:val="left"/>
      <w:lvlText w:val="(%2)"/>
      <w:numFmt w:val="lowerLetter"/>
      <w:start w:val="1"/>
    </w:lvl>
  </w:abstractNum>
  <w:abstractNum w:abstractNumId="360">
    <w:nsid w:val="3E5E582B"/>
    <w:multiLevelType w:val="hybridMultilevel"/>
    <w:lvl w:ilvl="0">
      <w:lvlJc w:val="left"/>
      <w:lvlText w:val="%1"/>
      <w:numFmt w:val="decimal"/>
      <w:start w:val="1"/>
    </w:lvl>
    <w:lvl w:ilvl="1">
      <w:lvlJc w:val="left"/>
      <w:lvlText w:val="(%2)"/>
      <w:numFmt w:val="lowerLetter"/>
      <w:start w:val="2"/>
    </w:lvl>
  </w:abstractNum>
  <w:abstractNum w:abstractNumId="361">
    <w:nsid w:val="257D4626"/>
    <w:multiLevelType w:val="hybridMultilevel"/>
    <w:lvl w:ilvl="0">
      <w:lvlJc w:val="left"/>
      <w:lvlText w:val="%1."/>
      <w:numFmt w:val="decimal"/>
      <w:start w:val="5"/>
    </w:lvl>
    <w:lvl w:ilvl="1">
      <w:lvlJc w:val="left"/>
      <w:lvlText w:val="(%2)"/>
      <w:numFmt w:val="lowerLetter"/>
      <w:start w:val="1"/>
    </w:lvl>
  </w:abstractNum>
  <w:abstractNum w:abstractNumId="362">
    <w:nsid w:val="5AA8580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63">
    <w:nsid w:val="68FA8D0D"/>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64">
    <w:nsid w:val="40F2CBD2"/>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365">
    <w:nsid w:val="3BD615EB"/>
    <w:multiLevelType w:val="hybridMultilevel"/>
    <w:lvl w:ilvl="0">
      <w:lvlJc w:val="left"/>
      <w:lvlText w:val="%1"/>
      <w:numFmt w:val="decimal"/>
      <w:start w:val="1"/>
    </w:lvl>
    <w:lvl w:ilvl="1">
      <w:lvlJc w:val="left"/>
      <w:lvlText w:val="(%2)"/>
      <w:numFmt w:val="lowerLetter"/>
      <w:start w:val="3"/>
    </w:lvl>
  </w:abstractNum>
  <w:abstractNum w:abstractNumId="366">
    <w:nsid w:val="A045AB2"/>
    <w:multiLevelType w:val="hybridMultilevel"/>
    <w:lvl w:ilvl="0">
      <w:lvlJc w:val="left"/>
      <w:lvlText w:val="%1."/>
      <w:numFmt w:val="decimal"/>
      <w:start w:val="9"/>
    </w:lvl>
    <w:lvl w:ilvl="1">
      <w:lvlJc w:val="left"/>
      <w:lvlText w:val="(%2)"/>
      <w:numFmt w:val="lowerLetter"/>
      <w:start w:val="1"/>
    </w:lvl>
  </w:abstractNum>
  <w:abstractNum w:abstractNumId="367">
    <w:nsid w:val="1872261F"/>
    <w:multiLevelType w:val="hybridMultilevel"/>
    <w:lvl w:ilvl="0">
      <w:lvlJc w:val="left"/>
      <w:lvlText w:val="(%1)"/>
      <w:numFmt w:val="lowerLetter"/>
      <w:start w:val="3"/>
    </w:lvl>
  </w:abstractNum>
  <w:abstractNum w:abstractNumId="368">
    <w:nsid w:val="3DE8306C"/>
    <w:multiLevelType w:val="hybridMultilevel"/>
    <w:lvl w:ilvl="0">
      <w:lvlJc w:val="left"/>
      <w:lvlText w:val="(%1)"/>
      <w:numFmt w:val="lowerLetter"/>
      <w:start w:val="10"/>
    </w:lvl>
  </w:abstractNum>
  <w:abstractNum w:abstractNumId="369">
    <w:nsid w:val="7631573A"/>
    <w:multiLevelType w:val="hybridMultilevel"/>
    <w:lvl w:ilvl="0">
      <w:lvlJc w:val="left"/>
      <w:lvlText w:val="(%1)"/>
      <w:numFmt w:val="decimal"/>
      <w:start w:val="2"/>
    </w:lvl>
  </w:abstractNum>
  <w:abstractNum w:abstractNumId="370">
    <w:nsid w:val="58DF53B"/>
    <w:multiLevelType w:val="hybridMultilevel"/>
    <w:lvl w:ilvl="0">
      <w:lvlJc w:val="left"/>
      <w:lvlText w:val="2"/>
      <w:numFmt w:val="bullet"/>
      <w:start w:val="1"/>
    </w:lvl>
  </w:abstractNum>
  <w:abstractNum w:abstractNumId="371">
    <w:nsid w:val="ACDFAC0"/>
    <w:multiLevelType w:val="hybridMultilevel"/>
    <w:lvl w:ilvl="0">
      <w:lvlJc w:val="left"/>
      <w:lvlText w:val="3"/>
      <w:numFmt w:val="bullet"/>
      <w:start w:val="1"/>
    </w:lvl>
  </w:abstractNum>
  <w:abstractNum w:abstractNumId="372">
    <w:nsid w:val="1F578454"/>
    <w:multiLevelType w:val="hybridMultilevel"/>
    <w:lvl w:ilvl="0">
      <w:lvlJc w:val="left"/>
      <w:lvlText w:val="4"/>
      <w:numFmt w:val="bullet"/>
      <w:start w:val="1"/>
    </w:lvl>
  </w:abstractNum>
  <w:abstractNum w:abstractNumId="373">
    <w:nsid w:val="5B0DAD2A"/>
    <w:multiLevelType w:val="hybridMultilevel"/>
    <w:lvl w:ilvl="0">
      <w:lvlJc w:val="left"/>
      <w:lvlText w:val="5"/>
      <w:numFmt w:val="bullet"/>
      <w:start w:val="1"/>
    </w:lvl>
  </w:abstractNum>
  <w:abstractNum w:abstractNumId="374">
    <w:nsid w:val="4E3D26AB"/>
    <w:multiLevelType w:val="hybridMultilevel"/>
    <w:lvl w:ilvl="0">
      <w:lvlJc w:val="left"/>
      <w:lvlText w:val="%1"/>
      <w:numFmt w:val="lowerLetter"/>
      <w:start w:val="1"/>
    </w:lvl>
    <w:lvl w:ilvl="1">
      <w:lvlJc w:val="left"/>
      <w:lvlText w:val="(%2)"/>
      <w:numFmt w:val="lowerRoman"/>
      <w:start w:val="1"/>
    </w:lvl>
  </w:abstractNum>
  <w:abstractNum w:abstractNumId="375">
    <w:nsid w:val="BE2C8BA"/>
    <w:multiLevelType w:val="hybridMultilevel"/>
    <w:lvl w:ilvl="0">
      <w:lvlJc w:val="left"/>
      <w:lvlText w:val="(%1)"/>
      <w:numFmt w:val="lowerLetter"/>
      <w:start w:val="2"/>
    </w:lvl>
    <w:lvl w:ilvl="1">
      <w:lvlJc w:val="left"/>
      <w:lvlText w:val="%2"/>
      <w:numFmt w:val="lowerRoman"/>
      <w:start w:val="1"/>
    </w:lvl>
  </w:abstractNum>
  <w:abstractNum w:abstractNumId="376">
    <w:nsid w:val="7B1491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7">
    <w:nsid w:val="6F0939F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8">
    <w:nsid w:val="154291F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79">
    <w:nsid w:val="3CEBD7C7"/>
    <w:multiLevelType w:val="hybridMultilevel"/>
    <w:lvl w:ilvl="0">
      <w:lvlJc w:val="left"/>
      <w:lvlText w:val="%1"/>
      <w:numFmt w:val="decimal"/>
      <w:start w:val="1"/>
    </w:lvl>
    <w:lvl w:ilvl="1">
      <w:lvlJc w:val="left"/>
      <w:lvlText w:val="(%2)"/>
      <w:numFmt w:val="lowerLetter"/>
      <w:start w:val="3"/>
    </w:lvl>
  </w:abstractNum>
  <w:abstractNum w:abstractNumId="380">
    <w:nsid w:val="60EE9C16"/>
    <w:multiLevelType w:val="hybridMultilevel"/>
    <w:lvl w:ilvl="0">
      <w:lvlJc w:val="left"/>
      <w:lvlText w:val="%1."/>
      <w:numFmt w:val="decimal"/>
      <w:start w:val="4"/>
    </w:lvl>
    <w:lvl w:ilvl="1">
      <w:lvlJc w:val="left"/>
      <w:lvlText w:val="%2"/>
      <w:numFmt w:val="lowerLetter"/>
      <w:start w:val="1"/>
    </w:lvl>
  </w:abstractNum>
  <w:abstractNum w:abstractNumId="381">
    <w:nsid w:val="6385489E"/>
    <w:multiLevelType w:val="hybridMultilevel"/>
    <w:lvl w:ilvl="0">
      <w:lvlJc w:val="left"/>
      <w:lvlText w:val="%1"/>
      <w:numFmt w:val="decimal"/>
      <w:start w:val="1"/>
    </w:lvl>
    <w:lvl w:ilvl="1">
      <w:lvlJc w:val="left"/>
      <w:lvlText w:val="(%2)"/>
      <w:numFmt w:val="lowerLetter"/>
      <w:start w:val="1"/>
    </w:lvl>
  </w:abstractNum>
  <w:abstractNum w:abstractNumId="382">
    <w:nsid w:val="E4B973"/>
    <w:multiLevelType w:val="hybridMultilevel"/>
    <w:lvl w:ilvl="0">
      <w:lvlJc w:val="left"/>
      <w:lvlText w:val="%1."/>
      <w:numFmt w:val="decimal"/>
      <w:start w:val="5"/>
    </w:lvl>
    <w:lvl w:ilvl="1">
      <w:lvlJc w:val="left"/>
      <w:lvlText w:val="(%2)"/>
      <w:numFmt w:val="lowerLetter"/>
      <w:start w:val="1"/>
    </w:lvl>
  </w:abstractNum>
  <w:abstractNum w:abstractNumId="383">
    <w:nsid w:val="4A0FFA11"/>
    <w:multiLevelType w:val="hybridMultilevel"/>
    <w:lvl w:ilvl="0">
      <w:lvlJc w:val="left"/>
      <w:lvlText w:val="%1."/>
      <w:numFmt w:val="decimal"/>
      <w:start w:val="6"/>
    </w:lvl>
    <w:lvl w:ilvl="1">
      <w:lvlJc w:val="left"/>
      <w:lvlText w:val="(%2)"/>
      <w:numFmt w:val="lowerLetter"/>
      <w:start w:val="1"/>
    </w:lvl>
  </w:abstractNum>
  <w:abstractNum w:abstractNumId="384">
    <w:nsid w:val="5E446208"/>
    <w:multiLevelType w:val="hybridMultilevel"/>
    <w:lvl w:ilvl="0">
      <w:lvlJc w:val="left"/>
      <w:lvlText w:val="%1."/>
      <w:numFmt w:val="decimal"/>
      <w:start w:val="8"/>
    </w:lvl>
    <w:lvl w:ilvl="1">
      <w:lvlJc w:val="left"/>
      <w:lvlText w:val="(%2)"/>
      <w:numFmt w:val="lowerLetter"/>
      <w:start w:val="1"/>
    </w:lvl>
  </w:abstractNum>
  <w:abstractNum w:abstractNumId="385">
    <w:nsid w:val="5F3272DB"/>
    <w:multiLevelType w:val="hybridMultilevel"/>
    <w:lvl w:ilvl="0">
      <w:lvlJc w:val="left"/>
      <w:lvlText w:val="%1."/>
      <w:numFmt w:val="decimal"/>
      <w:start w:val="9"/>
    </w:lvl>
    <w:lvl w:ilvl="1">
      <w:lvlJc w:val="left"/>
      <w:lvlText w:val="(%2)"/>
      <w:numFmt w:val="lowerLetter"/>
      <w:start w:val="1"/>
    </w:lvl>
  </w:abstractNum>
  <w:abstractNum w:abstractNumId="386">
    <w:nsid w:val="7616D704"/>
    <w:multiLevelType w:val="hybridMultilevel"/>
    <w:lvl w:ilvl="0">
      <w:lvlJc w:val="left"/>
      <w:lvlText w:val="(%1)"/>
      <w:numFmt w:val="lowerLetter"/>
      <w:start w:val="4"/>
    </w:lvl>
  </w:abstractNum>
  <w:abstractNum w:abstractNumId="387">
    <w:nsid w:val="C56F860"/>
    <w:multiLevelType w:val="hybridMultilevel"/>
    <w:lvl w:ilvl="0">
      <w:lvlJc w:val="left"/>
      <w:lvlText w:val="(%1)"/>
      <w:numFmt w:val="lowerLetter"/>
      <w:start w:val="10"/>
    </w:lvl>
  </w:abstractNum>
  <w:abstractNum w:abstractNumId="388">
    <w:nsid w:val="64D17722"/>
    <w:multiLevelType w:val="hybridMultilevel"/>
    <w:lvl w:ilvl="0">
      <w:lvlJc w:val="left"/>
      <w:lvlText w:val="(%1)"/>
      <w:numFmt w:val="decimal"/>
      <w:start w:val="2"/>
    </w:lvl>
  </w:abstractNum>
  <w:abstractNum w:abstractNumId="389">
    <w:nsid w:val="7924CA0A"/>
    <w:multiLevelType w:val="hybridMultilevel"/>
    <w:lvl w:ilvl="0">
      <w:lvlJc w:val="left"/>
      <w:lvlText w:val="2"/>
      <w:numFmt w:val="bullet"/>
      <w:start w:val="1"/>
    </w:lvl>
  </w:abstractNum>
  <w:abstractNum w:abstractNumId="390">
    <w:nsid w:val="CFD4EA7"/>
    <w:multiLevelType w:val="hybridMultilevel"/>
    <w:lvl w:ilvl="0">
      <w:lvlJc w:val="left"/>
      <w:lvlText w:val="3"/>
      <w:numFmt w:val="bullet"/>
      <w:start w:val="1"/>
    </w:lvl>
  </w:abstractNum>
  <w:abstractNum w:abstractNumId="391">
    <w:nsid w:val="232FCF4D"/>
    <w:multiLevelType w:val="hybridMultilevel"/>
    <w:lvl w:ilvl="0">
      <w:lvlJc w:val="left"/>
      <w:lvlText w:val="4"/>
      <w:numFmt w:val="bullet"/>
      <w:start w:val="1"/>
    </w:lvl>
  </w:abstractNum>
  <w:abstractNum w:abstractNumId="392">
    <w:nsid w:val="1EA21031"/>
    <w:multiLevelType w:val="hybridMultilevel"/>
    <w:lvl w:ilvl="0">
      <w:lvlJc w:val="left"/>
      <w:lvlText w:val="5"/>
      <w:numFmt w:val="bullet"/>
      <w:start w:val="1"/>
    </w:lvl>
  </w:abstractNum>
  <w:abstractNum w:abstractNumId="393">
    <w:nsid w:val="67A5A6B5"/>
    <w:multiLevelType w:val="hybridMultilevel"/>
    <w:lvl w:ilvl="0">
      <w:lvlJc w:val="left"/>
      <w:lvlText w:val="%1"/>
      <w:numFmt w:val="decimal"/>
      <w:start w:val="1"/>
    </w:lvl>
    <w:lvl w:ilvl="1">
      <w:lvlJc w:val="left"/>
      <w:lvlText w:val="(%2)"/>
      <w:numFmt w:val="lowerRoman"/>
      <w:start w:val="1"/>
    </w:lvl>
  </w:abstractNum>
  <w:abstractNum w:abstractNumId="394">
    <w:nsid w:val="C2A5C5B"/>
    <w:multiLevelType w:val="hybridMultilevel"/>
    <w:lvl w:ilvl="0">
      <w:lvlJc w:val="left"/>
      <w:lvlText w:val="(%1)"/>
      <w:numFmt w:val="decimal"/>
      <w:start w:val="3"/>
    </w:lvl>
    <w:lvl w:ilvl="1">
      <w:lvlJc w:val="left"/>
      <w:lvlText w:val="%2"/>
      <w:numFmt w:val="lowerRoman"/>
      <w:start w:val="1"/>
    </w:lvl>
  </w:abstractNum>
  <w:abstractNum w:abstractNumId="395">
    <w:nsid w:val="5F94DC0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96">
    <w:nsid w:val="237BBCA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97">
    <w:nsid w:val="162EB70D"/>
    <w:multiLevelType w:val="hybridMultilevel"/>
    <w:lvl w:ilvl="0">
      <w:lvlJc w:val="left"/>
      <w:lvlText w:val="%1"/>
      <w:numFmt w:val="decimal"/>
      <w:start w:val="1"/>
    </w:lvl>
    <w:lvl w:ilvl="1">
      <w:lvlJc w:val="left"/>
      <w:lvlText w:val="(%2)"/>
      <w:numFmt w:val="lowerLetter"/>
      <w:start w:val="2"/>
    </w:lvl>
  </w:abstractNum>
  <w:abstractNum w:abstractNumId="398">
    <w:nsid w:val="78070222"/>
    <w:multiLevelType w:val="hybridMultilevel"/>
    <w:lvl w:ilvl="0">
      <w:lvlJc w:val="left"/>
      <w:lvlText w:val="%1."/>
      <w:numFmt w:val="decimal"/>
      <w:start w:val="4"/>
    </w:lvl>
    <w:lvl w:ilvl="1">
      <w:lvlJc w:val="left"/>
      <w:lvlText w:val="%2"/>
      <w:numFmt w:val="lowerLetter"/>
      <w:start w:val="1"/>
    </w:lvl>
  </w:abstractNum>
  <w:abstractNum w:abstractNumId="399">
    <w:nsid w:val="6163ED0D"/>
    <w:multiLevelType w:val="hybridMultilevel"/>
    <w:lvl w:ilvl="0">
      <w:lvlJc w:val="left"/>
      <w:lvlText w:val="%1"/>
      <w:numFmt w:val="decimal"/>
      <w:start w:val="1"/>
    </w:lvl>
    <w:lvl w:ilvl="1">
      <w:lvlJc w:val="left"/>
      <w:lvlText w:val="(%2)"/>
      <w:numFmt w:val="lowerLetter"/>
      <w:start w:val="1"/>
    </w:lvl>
  </w:abstractNum>
  <w:abstractNum w:abstractNumId="400">
    <w:nsid w:val="C600E47"/>
    <w:multiLevelType w:val="hybridMultilevel"/>
    <w:lvl w:ilvl="0">
      <w:lvlJc w:val="left"/>
      <w:lvlText w:val="%1."/>
      <w:numFmt w:val="decimal"/>
      <w:start w:val="5"/>
    </w:lvl>
    <w:lvl w:ilvl="1">
      <w:lvlJc w:val="left"/>
      <w:lvlText w:val="(%2)"/>
      <w:numFmt w:val="lowerLetter"/>
      <w:start w:val="1"/>
    </w:lvl>
  </w:abstractNum>
  <w:abstractNum w:abstractNumId="401">
    <w:nsid w:val="7D94F75D"/>
    <w:multiLevelType w:val="hybridMultilevel"/>
    <w:lvl w:ilvl="0">
      <w:lvlJc w:val="left"/>
      <w:lvlText w:val="%1"/>
      <w:numFmt w:val="decimal"/>
      <w:start w:val="1"/>
    </w:lvl>
    <w:lvl w:ilvl="1">
      <w:lvlJc w:val="left"/>
      <w:lvlText w:val="(%2)"/>
      <w:numFmt w:val="lowerLetter"/>
      <w:start w:val="2"/>
    </w:lvl>
  </w:abstractNum>
  <w:abstractNum w:abstractNumId="402">
    <w:nsid w:val="6C31E7CD"/>
    <w:multiLevelType w:val="hybridMultilevel"/>
    <w:lvl w:ilvl="0">
      <w:lvlJc w:val="left"/>
      <w:lvlText w:val="%1."/>
      <w:numFmt w:val="decimal"/>
      <w:start w:val="6"/>
    </w:lvl>
    <w:lvl w:ilvl="1">
      <w:lvlJc w:val="left"/>
      <w:lvlText w:val="(%2)"/>
      <w:numFmt w:val="lowerLetter"/>
      <w:start w:val="1"/>
    </w:lvl>
  </w:abstractNum>
  <w:abstractNum w:abstractNumId="403">
    <w:nsid w:val="2BB7929B"/>
    <w:multiLevelType w:val="hybridMultilevel"/>
    <w:lvl w:ilvl="0">
      <w:lvlJc w:val="left"/>
      <w:lvlText w:val="%1."/>
      <w:numFmt w:val="decimal"/>
      <w:start w:val="8"/>
    </w:lvl>
    <w:lvl w:ilvl="1">
      <w:lvlJc w:val="left"/>
      <w:lvlText w:val="(%2)"/>
      <w:numFmt w:val="lowerLetter"/>
      <w:start w:val="1"/>
    </w:lvl>
  </w:abstractNum>
  <w:abstractNum w:abstractNumId="404">
    <w:nsid w:val="58A2A487"/>
    <w:multiLevelType w:val="hybridMultilevel"/>
    <w:lvl w:ilvl="0">
      <w:lvlJc w:val="left"/>
      <w:lvlText w:val="%1"/>
      <w:numFmt w:val="decimal"/>
      <w:start w:val="1"/>
    </w:lvl>
    <w:lvl w:ilvl="1">
      <w:lvlJc w:val="left"/>
      <w:lvlText w:val="(%2)"/>
      <w:numFmt w:val="lowerLetter"/>
      <w:start w:val="3"/>
    </w:lvl>
  </w:abstractNum>
  <w:abstractNum w:abstractNumId="405">
    <w:nsid w:val="3A6F0E78"/>
    <w:multiLevelType w:val="hybridMultilevel"/>
    <w:lvl w:ilvl="0">
      <w:lvlJc w:val="left"/>
      <w:lvlText w:val="%1."/>
      <w:numFmt w:val="decimal"/>
      <w:start w:val="9"/>
    </w:lvl>
    <w:lvl w:ilvl="1">
      <w:lvlJc w:val="left"/>
      <w:lvlText w:val="(%2)"/>
      <w:numFmt w:val="lowerLetter"/>
      <w:start w:val="1"/>
    </w:lvl>
  </w:abstractNum>
  <w:abstractNum w:abstractNumId="406">
    <w:nsid w:val="379A5B56"/>
    <w:multiLevelType w:val="hybridMultilevel"/>
    <w:lvl w:ilvl="0">
      <w:lvlJc w:val="left"/>
      <w:lvlText w:val="(%1)"/>
      <w:numFmt w:val="lowerLetter"/>
      <w:start w:val="3"/>
    </w:lvl>
  </w:abstractNum>
  <w:abstractNum w:abstractNumId="407">
    <w:nsid w:val="53B735D5"/>
    <w:multiLevelType w:val="hybridMultilevel"/>
    <w:lvl w:ilvl="0">
      <w:lvlJc w:val="left"/>
      <w:lvlText w:val="(%1)"/>
      <w:numFmt w:val="lowerLetter"/>
      <w:start w:val="9"/>
    </w:lvl>
    <w:lvl w:ilvl="1">
      <w:lvlJc w:val="left"/>
      <w:lvlText w:val="(%2)"/>
      <w:numFmt w:val="lowerLetter"/>
      <w:start w:val="10"/>
    </w:lvl>
  </w:abstractNum>
  <w:abstractNum w:abstractNumId="408">
    <w:nsid w:val="29784870"/>
    <w:multiLevelType w:val="hybridMultilevel"/>
    <w:lvl w:ilvl="0">
      <w:lvlJc w:val="left"/>
      <w:lvlText w:val="(%1)"/>
      <w:numFmt w:val="decimal"/>
      <w:start w:val="2"/>
    </w:lvl>
  </w:abstractNum>
  <w:abstractNum w:abstractNumId="409">
    <w:nsid w:val="4CDCED4C"/>
    <w:multiLevelType w:val="hybridMultilevel"/>
    <w:lvl w:ilvl="0">
      <w:lvlJc w:val="left"/>
      <w:lvlText w:val="2"/>
      <w:numFmt w:val="bullet"/>
      <w:start w:val="1"/>
    </w:lvl>
  </w:abstractNum>
  <w:abstractNum w:abstractNumId="410">
    <w:nsid w:val="10A30D9C"/>
    <w:multiLevelType w:val="hybridMultilevel"/>
    <w:lvl w:ilvl="0">
      <w:lvlJc w:val="left"/>
      <w:lvlText w:val="3"/>
      <w:numFmt w:val="bullet"/>
      <w:start w:val="1"/>
    </w:lvl>
  </w:abstractNum>
  <w:abstractNum w:abstractNumId="411">
    <w:nsid w:val="A66E486"/>
    <w:multiLevelType w:val="hybridMultilevel"/>
    <w:lvl w:ilvl="0">
      <w:lvlJc w:val="left"/>
      <w:lvlText w:val="4"/>
      <w:numFmt w:val="bullet"/>
      <w:start w:val="1"/>
    </w:lvl>
  </w:abstractNum>
  <w:abstractNum w:abstractNumId="412">
    <w:nsid w:val="306235EA"/>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jpeg"/><Relationship Id="rId82" Type="http://schemas.openxmlformats.org/officeDocument/2006/relationships/image" Target="media/image62.jpe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51" Type="http://schemas.openxmlformats.org/officeDocument/2006/relationships/hyperlink" Target="https://www.sec.gov/Archives/edgar/data/1588978/000162828021017245/exhibit101-sx1.htm" TargetMode="External"/><Relationship Id="rId52" Type="http://schemas.openxmlformats.org/officeDocument/2006/relationships/hyperlink" Target="https://www.sec.gov/Archives/edgar/data/1588978/000162828021017245/exhibit102-sx1.htm" TargetMode="External"/><Relationship Id="rId53" Type="http://schemas.openxmlformats.org/officeDocument/2006/relationships/hyperlink" Target="https://www.sec.gov/Archives/edgar/data/1588978/000162828021017245/exhibit103-sx1.htm" TargetMode="External"/><Relationship Id="rId54" Type="http://schemas.openxmlformats.org/officeDocument/2006/relationships/hyperlink" Target="https://www.sec.gov/Archives/edgar/data/1588978/000162828021017245/exhibit106-sx1.htm" TargetMode="External"/><Relationship Id="rId55" Type="http://schemas.openxmlformats.org/officeDocument/2006/relationships/hyperlink" Target="https://www.sec.gov/Archives/edgar/data/1588978/000162828021017245/exhibit107-sx1.htm" TargetMode="External"/><Relationship Id="rId56" Type="http://schemas.openxmlformats.org/officeDocument/2006/relationships/hyperlink" Target="https://www.sec.gov/Archives/edgar/data/1588978/000162828021017245/exhibit107a-sx1.htm" TargetMode="External"/><Relationship Id="rId57" Type="http://schemas.openxmlformats.org/officeDocument/2006/relationships/hyperlink" Target="https://www.sec.gov/Archives/edgar/data/1588978/000162828021017245/exhibit107b-sx1.htm" TargetMode="External"/><Relationship Id="rId58" Type="http://schemas.openxmlformats.org/officeDocument/2006/relationships/hyperlink" Target="https://www.sec.gov/Archives/edgar/data/1588978/000162828021017245/exhibit108-sx1.htm" TargetMode="External"/><Relationship Id="rId59" Type="http://schemas.openxmlformats.org/officeDocument/2006/relationships/hyperlink" Target="https://www.sec.gov/Archives/edgar/data/1588978/000162828021017245/exhibit108a-sx1.htm" TargetMode="External"/><Relationship Id="rId60" Type="http://schemas.openxmlformats.org/officeDocument/2006/relationships/hyperlink" Target="https://www.sec.gov/Archives/edgar/data/1588978/000162828021017245/exhibit108b-sx1.htm" TargetMode="External"/><Relationship Id="rId61" Type="http://schemas.openxmlformats.org/officeDocument/2006/relationships/hyperlink" Target="https://www.sec.gov/Archives/edgar/data/1588978/000162828021017245/exhibit108c-sx1.htm" TargetMode="External"/><Relationship Id="rId62" Type="http://schemas.openxmlformats.org/officeDocument/2006/relationships/hyperlink" Target="https://www.sec.gov/Archives/edgar/data/1588978/000162828021017245/exhibit109-sx1.htm" TargetMode="External"/><Relationship Id="rId63" Type="http://schemas.openxmlformats.org/officeDocument/2006/relationships/hyperlink" Target="https://www.sec.gov/Archives/edgar/data/1588978/000162828021017245/exhibit211-drs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2021-09-08T05:13:47Z</dcterms:created>
  <dcterms:modified xsi:type="dcterms:W3CDTF">2021-09-08T05:13:47Z</dcterms:modified>
</cp:coreProperties>
</file>