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Desai Antal Rohit</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PROCEPT BioRobotics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PRCT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2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03/05/2026</w:t>
            </w:r>
          </w:p>
        </w:tc>
        <w:tc>
          <w:tcPr>
            <w:tcW w:w="1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PROCEPT BIOROBOTICS CORPORATION</w:t>
            </w:r>
          </w:p>
        </w:tc>
        <w:tc>
          <w:tcPr>
            <w:tcW w:w="2680" w:type="dxa"/>
            <w:vAlign w:val="bottom"/>
            <w:gridSpan w:val="3"/>
            <w:vMerge w:val="continue"/>
          </w:tcPr>
          <w:p>
            <w:pPr>
              <w:spacing w:after="0"/>
              <w:rPr>
                <w:sz w:val="11"/>
                <w:szCs w:val="11"/>
                <w:color w:val="auto"/>
              </w:rPr>
            </w:pPr>
          </w:p>
        </w:tc>
        <w:tc>
          <w:tcPr>
            <w:tcW w:w="1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150 BAYTECH DRIVE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9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24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60" w:type="dxa"/>
            <w:vAlign w:val="bottom"/>
            <w:gridSpan w:val="2"/>
          </w:tcPr>
          <w:p>
            <w:pPr>
              <w:jc w:val="center"/>
              <w:ind w:left="1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Kestrel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360" w:type="dxa"/>
            <w:vAlign w:val="bottom"/>
            <w:gridSpan w:val="2"/>
          </w:tcPr>
          <w:p>
            <w:pPr>
              <w:jc w:val="center"/>
              <w:ind w:left="166"/>
              <w:spacing w:after="0"/>
              <w:rPr>
                <w:sz w:val="20"/>
                <w:szCs w:val="20"/>
                <w:color w:val="auto"/>
              </w:rPr>
            </w:pPr>
            <w:r>
              <w:rPr>
                <w:rFonts w:ascii="Times New Roman" w:cs="Times New Roman" w:eastAsia="Times New Roman" w:hAnsi="Times New Roman"/>
                <w:sz w:val="17"/>
                <w:szCs w:val="17"/>
                <w:color w:val="0000FF"/>
              </w:rPr>
              <w:t>03/05/2026</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142,498</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3"/>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25.4391</w:t>
            </w:r>
            <w:r>
              <w:rPr>
                <w:rFonts w:ascii="Times New Roman" w:cs="Times New Roman" w:eastAsia="Times New Roman" w:hAnsi="Times New Roman"/>
                <w:sz w:val="22"/>
                <w:szCs w:val="22"/>
                <w:color w:val="008000"/>
                <w:vertAlign w:val="superscript"/>
              </w:rPr>
              <w:t>(1)</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142,498</w:t>
            </w: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Kestrel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360" w:type="dxa"/>
            <w:vAlign w:val="bottom"/>
            <w:gridSpan w:val="2"/>
          </w:tcPr>
          <w:p>
            <w:pPr>
              <w:jc w:val="center"/>
              <w:ind w:left="166"/>
              <w:spacing w:after="0"/>
              <w:rPr>
                <w:sz w:val="20"/>
                <w:szCs w:val="20"/>
                <w:color w:val="auto"/>
              </w:rPr>
            </w:pPr>
            <w:r>
              <w:rPr>
                <w:rFonts w:ascii="Times New Roman" w:cs="Times New Roman" w:eastAsia="Times New Roman" w:hAnsi="Times New Roman"/>
                <w:sz w:val="17"/>
                <w:szCs w:val="17"/>
                <w:color w:val="0000FF"/>
              </w:rPr>
              <w:t>03/05/2026</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24,748</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3"/>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26.4073</w:t>
            </w:r>
            <w:r>
              <w:rPr>
                <w:rFonts w:ascii="Times New Roman" w:cs="Times New Roman" w:eastAsia="Times New Roman" w:hAnsi="Times New Roman"/>
                <w:sz w:val="22"/>
                <w:szCs w:val="22"/>
                <w:color w:val="008000"/>
                <w:vertAlign w:val="superscript"/>
              </w:rPr>
              <w:t>(3)</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167,246</w:t>
            </w: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Kestrel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360" w:type="dxa"/>
            <w:vAlign w:val="bottom"/>
            <w:gridSpan w:val="2"/>
          </w:tcPr>
          <w:p>
            <w:pPr>
              <w:jc w:val="center"/>
              <w:ind w:left="166"/>
              <w:spacing w:after="0"/>
              <w:rPr>
                <w:sz w:val="20"/>
                <w:szCs w:val="20"/>
                <w:color w:val="auto"/>
              </w:rPr>
            </w:pPr>
            <w:r>
              <w:rPr>
                <w:rFonts w:ascii="Times New Roman" w:cs="Times New Roman" w:eastAsia="Times New Roman" w:hAnsi="Times New Roman"/>
                <w:sz w:val="17"/>
                <w:szCs w:val="17"/>
                <w:color w:val="0000FF"/>
              </w:rPr>
              <w:t>03/06/2026</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106,554</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3"/>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23.3282</w:t>
            </w:r>
            <w:r>
              <w:rPr>
                <w:rFonts w:ascii="Times New Roman" w:cs="Times New Roman" w:eastAsia="Times New Roman" w:hAnsi="Times New Roman"/>
                <w:sz w:val="22"/>
                <w:szCs w:val="22"/>
                <w:color w:val="008000"/>
                <w:vertAlign w:val="superscript"/>
              </w:rPr>
              <w:t>(4)</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273,800</w:t>
            </w: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Kestrel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360" w:type="dxa"/>
            <w:vAlign w:val="bottom"/>
            <w:gridSpan w:val="2"/>
          </w:tcPr>
          <w:p>
            <w:pPr>
              <w:jc w:val="center"/>
              <w:ind w:left="166"/>
              <w:spacing w:after="0"/>
              <w:rPr>
                <w:sz w:val="20"/>
                <w:szCs w:val="20"/>
                <w:color w:val="auto"/>
              </w:rPr>
            </w:pPr>
            <w:r>
              <w:rPr>
                <w:rFonts w:ascii="Times New Roman" w:cs="Times New Roman" w:eastAsia="Times New Roman" w:hAnsi="Times New Roman"/>
                <w:sz w:val="17"/>
                <w:szCs w:val="17"/>
                <w:color w:val="0000FF"/>
              </w:rPr>
              <w:t>03/06/2026</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53,763</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3"/>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24.1019</w:t>
            </w:r>
            <w:r>
              <w:rPr>
                <w:rFonts w:ascii="Times New Roman" w:cs="Times New Roman" w:eastAsia="Times New Roman" w:hAnsi="Times New Roman"/>
                <w:sz w:val="22"/>
                <w:szCs w:val="22"/>
                <w:color w:val="008000"/>
                <w:vertAlign w:val="superscript"/>
              </w:rPr>
              <w:t>(5)</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327,563</w:t>
            </w: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Kestrel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360" w:type="dxa"/>
            <w:vAlign w:val="bottom"/>
            <w:gridSpan w:val="2"/>
          </w:tcPr>
          <w:p>
            <w:pPr>
              <w:jc w:val="center"/>
              <w:ind w:left="166"/>
              <w:spacing w:after="0"/>
              <w:rPr>
                <w:sz w:val="20"/>
                <w:szCs w:val="20"/>
                <w:color w:val="auto"/>
              </w:rPr>
            </w:pPr>
            <w:r>
              <w:rPr>
                <w:rFonts w:ascii="Times New Roman" w:cs="Times New Roman" w:eastAsia="Times New Roman" w:hAnsi="Times New Roman"/>
                <w:sz w:val="17"/>
                <w:szCs w:val="17"/>
                <w:color w:val="0000FF"/>
              </w:rPr>
              <w:t>03/09/2026</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43,581</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3"/>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24.0816</w:t>
            </w:r>
            <w:r>
              <w:rPr>
                <w:rFonts w:ascii="Times New Roman" w:cs="Times New Roman" w:eastAsia="Times New Roman" w:hAnsi="Times New Roman"/>
                <w:sz w:val="22"/>
                <w:szCs w:val="22"/>
                <w:color w:val="008000"/>
                <w:vertAlign w:val="superscript"/>
              </w:rPr>
              <w:t>(6)</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371,144</w:t>
            </w: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Kestrel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360" w:type="dxa"/>
            <w:vAlign w:val="bottom"/>
            <w:gridSpan w:val="2"/>
          </w:tcPr>
          <w:p>
            <w:pPr>
              <w:jc w:val="center"/>
              <w:ind w:left="166"/>
              <w:spacing w:after="0"/>
              <w:rPr>
                <w:sz w:val="20"/>
                <w:szCs w:val="20"/>
                <w:color w:val="auto"/>
              </w:rPr>
            </w:pPr>
            <w:r>
              <w:rPr>
                <w:rFonts w:ascii="Times New Roman" w:cs="Times New Roman" w:eastAsia="Times New Roman" w:hAnsi="Times New Roman"/>
                <w:sz w:val="17"/>
                <w:szCs w:val="17"/>
                <w:color w:val="0000FF"/>
              </w:rPr>
              <w:t>03/09/2026</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53,818</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3"/>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24.9052</w:t>
            </w:r>
            <w:r>
              <w:rPr>
                <w:rFonts w:ascii="Times New Roman" w:cs="Times New Roman" w:eastAsia="Times New Roman" w:hAnsi="Times New Roman"/>
                <w:sz w:val="22"/>
                <w:szCs w:val="22"/>
                <w:color w:val="008000"/>
                <w:vertAlign w:val="superscript"/>
              </w:rPr>
              <w:t>(7)</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424,962</w:t>
            </w: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Kestrel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360" w:type="dxa"/>
            <w:vAlign w:val="bottom"/>
            <w:gridSpan w:val="2"/>
          </w:tcPr>
          <w:p>
            <w:pPr>
              <w:jc w:val="center"/>
              <w:ind w:left="166"/>
              <w:spacing w:after="0"/>
              <w:rPr>
                <w:sz w:val="20"/>
                <w:szCs w:val="20"/>
                <w:color w:val="auto"/>
              </w:rPr>
            </w:pPr>
            <w:r>
              <w:rPr>
                <w:rFonts w:ascii="Times New Roman" w:cs="Times New Roman" w:eastAsia="Times New Roman" w:hAnsi="Times New Roman"/>
                <w:sz w:val="17"/>
                <w:szCs w:val="17"/>
                <w:color w:val="0000FF"/>
              </w:rPr>
              <w:t>03/09/2026</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1,300</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3"/>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25.4173</w:t>
            </w:r>
            <w:r>
              <w:rPr>
                <w:rFonts w:ascii="Times New Roman" w:cs="Times New Roman" w:eastAsia="Times New Roman" w:hAnsi="Times New Roman"/>
                <w:sz w:val="22"/>
                <w:szCs w:val="22"/>
                <w:color w:val="008000"/>
                <w:vertAlign w:val="superscript"/>
              </w:rPr>
              <w:t>(8)</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426,262</w:t>
            </w: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35,152</w:t>
            </w:r>
          </w:p>
        </w:tc>
        <w:tc>
          <w:tcPr>
            <w:tcW w:w="920" w:type="dxa"/>
            <w:vAlign w:val="bottom"/>
            <w:tcBorders>
              <w:top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14,363</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DNA</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628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628775"/>
                    </a:xfrm>
                    <a:prstGeom prst="rect">
                      <a:avLst/>
                    </a:prstGeom>
                    <a:noFill/>
                  </pic:spPr>
                </pic:pic>
              </a:graphicData>
            </a:graphic>
          </wp:anchor>
        </w:drawing>
      </w:r>
    </w:p>
    <w:p>
      <w:pPr>
        <w:sectPr>
          <w:pgSz w:w="11900" w:h="16838" w:orient="portrait"/>
          <w:cols w:equalWidth="0" w:num="1">
            <w:col w:w="11080"/>
          </w:cols>
          <w:pgMar w:left="460" w:top="219" w:right="359" w:bottom="9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08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2208530"/>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2"/>
          </w:tcPr>
          <w:p>
            <w:pPr>
              <w:ind w:left="40"/>
              <w:spacing w:after="0" w:line="67" w:lineRule="exact"/>
              <w:rPr>
                <w:sz w:val="20"/>
                <w:szCs w:val="20"/>
                <w:color w:val="auto"/>
              </w:rPr>
            </w:pPr>
            <w:r>
              <w:rPr>
                <w:rFonts w:ascii="Times New Roman" w:cs="Times New Roman" w:eastAsia="Times New Roman" w:hAnsi="Times New Roman"/>
                <w:sz w:val="7"/>
                <w:szCs w:val="7"/>
                <w:color w:val="008000"/>
              </w:rPr>
              <w:t>1. The price reported in Column 4 is a weighted average price. These shares were purchased in multiple transactions at prices ranging from $25.0645 to $26.0213, inclusive. The Reporting Person</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2"/>
          </w:tcPr>
          <w:p>
            <w:pPr>
              <w:ind w:left="40"/>
              <w:spacing w:after="0" w:line="80" w:lineRule="exact"/>
              <w:rPr>
                <w:sz w:val="20"/>
                <w:szCs w:val="20"/>
                <w:color w:val="auto"/>
              </w:rPr>
            </w:pPr>
            <w:r>
              <w:rPr>
                <w:rFonts w:ascii="Times New Roman" w:cs="Times New Roman" w:eastAsia="Times New Roman" w:hAnsi="Times New Roman"/>
                <w:sz w:val="9"/>
                <w:szCs w:val="9"/>
                <w:color w:val="008000"/>
              </w:rPr>
              <w:t>undertakes to provide to the Issuer, any security holder of the Issuer, or the staff of the Securities and Exchange Commission, upon request, full information regarding the number of shares purchased at</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00" w:type="dxa"/>
            <w:vAlign w:val="bottom"/>
          </w:tcPr>
          <w:p>
            <w:pPr>
              <w:spacing w:after="0"/>
              <w:rPr>
                <w:sz w:val="4"/>
                <w:szCs w:val="4"/>
                <w:color w:val="auto"/>
              </w:rPr>
            </w:pPr>
          </w:p>
        </w:tc>
        <w:tc>
          <w:tcPr>
            <w:tcW w:w="10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w:t>
            </w:r>
          </w:p>
        </w:tc>
        <w:tc>
          <w:tcPr>
            <w:tcW w:w="7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6"/>
        </w:trPr>
        <w:tc>
          <w:tcPr>
            <w:tcW w:w="3780" w:type="dxa"/>
            <w:vAlign w:val="bottom"/>
            <w:gridSpan w:val="4"/>
          </w:tcPr>
          <w:p>
            <w:pPr>
              <w:ind w:left="40"/>
              <w:spacing w:after="0" w:line="146" w:lineRule="exact"/>
              <w:rPr>
                <w:sz w:val="20"/>
                <w:szCs w:val="20"/>
                <w:color w:val="auto"/>
              </w:rPr>
            </w:pPr>
            <w:r>
              <w:rPr>
                <w:rFonts w:ascii="Times New Roman" w:cs="Times New Roman" w:eastAsia="Times New Roman" w:hAnsi="Times New Roman"/>
                <w:sz w:val="13"/>
                <w:szCs w:val="13"/>
                <w:color w:val="008000"/>
              </w:rPr>
              <w:t>each separate price within the ranges set forth in this footnote.</w:t>
            </w: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2"/>
          </w:tcPr>
          <w:p>
            <w:pPr>
              <w:ind w:left="40"/>
              <w:spacing w:after="0" w:line="27" w:lineRule="exact"/>
              <w:rPr>
                <w:sz w:val="20"/>
                <w:szCs w:val="20"/>
                <w:color w:val="auto"/>
              </w:rPr>
            </w:pPr>
            <w:r>
              <w:rPr>
                <w:rFonts w:ascii="Times New Roman" w:cs="Times New Roman" w:eastAsia="Times New Roman" w:hAnsi="Times New Roman"/>
                <w:sz w:val="3"/>
                <w:szCs w:val="3"/>
                <w:color w:val="008000"/>
              </w:rPr>
              <w:t>2. CPMG, Inc. is the general partner and investment manager of Kestrel Fund, L.P. Antal Desai, a member of the Issuer's board of directors and a shareholder and managing partner of CPMG, Inc., may be</w:t>
            </w:r>
          </w:p>
        </w:tc>
      </w:tr>
      <w:tr>
        <w:trPr>
          <w:trHeight w:val="107"/>
        </w:trPr>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40"/>
        </w:trPr>
        <w:tc>
          <w:tcPr>
            <w:tcW w:w="11080" w:type="dxa"/>
            <w:vAlign w:val="bottom"/>
            <w:gridSpan w:val="12"/>
          </w:tcPr>
          <w:p>
            <w:pPr>
              <w:ind w:left="40"/>
              <w:spacing w:after="0" w:line="40" w:lineRule="exact"/>
              <w:rPr>
                <w:sz w:val="20"/>
                <w:szCs w:val="20"/>
                <w:color w:val="auto"/>
              </w:rPr>
            </w:pPr>
            <w:r>
              <w:rPr>
                <w:rFonts w:ascii="Times New Roman" w:cs="Times New Roman" w:eastAsia="Times New Roman" w:hAnsi="Times New Roman"/>
                <w:sz w:val="4"/>
                <w:szCs w:val="4"/>
                <w:color w:val="008000"/>
              </w:rPr>
              <w:t>deemed to share voting and investment power with respect to the shares beneficially owned by Kestrel Fund, L.P. Mr. Desai disclaims beneficial ownership of the shares beneficially owned by Kestrel</w:t>
            </w:r>
          </w:p>
        </w:tc>
      </w:tr>
      <w:tr>
        <w:trPr>
          <w:trHeight w:val="187"/>
        </w:trPr>
        <w:tc>
          <w:tcPr>
            <w:tcW w:w="378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008000"/>
              </w:rPr>
              <w:t>Fund, L.P. except to the extent of any pecuniary interest therein.</w:t>
            </w:r>
          </w:p>
        </w:tc>
        <w:tc>
          <w:tcPr>
            <w:tcW w:w="820" w:type="dxa"/>
            <w:vAlign w:val="bottom"/>
          </w:tcPr>
          <w:p>
            <w:pPr>
              <w:spacing w:after="0"/>
              <w:rPr>
                <w:sz w:val="16"/>
                <w:szCs w:val="16"/>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27" w:lineRule="exact"/>
        <w:rPr>
          <w:sz w:val="20"/>
          <w:szCs w:val="20"/>
          <w:color w:val="auto"/>
        </w:rPr>
      </w:pPr>
    </w:p>
    <w:p>
      <w:pPr>
        <w:ind w:left="40" w:right="140"/>
        <w:spacing w:after="0" w:line="253" w:lineRule="auto"/>
        <w:rPr>
          <w:sz w:val="20"/>
          <w:szCs w:val="20"/>
          <w:color w:val="auto"/>
        </w:rPr>
      </w:pPr>
      <w:r>
        <w:rPr>
          <w:rFonts w:ascii="Times New Roman" w:cs="Times New Roman" w:eastAsia="Times New Roman" w:hAnsi="Times New Roman"/>
          <w:sz w:val="13"/>
          <w:szCs w:val="13"/>
          <w:color w:val="008000"/>
        </w:rPr>
        <w:t>3. The price reported in Column 4 is a weighted average price. These shares were purchased in multiple transactions at prices ranging from $26.10 to $26.98,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008000"/>
              </w:rPr>
              <w:t>4.</w:t>
            </w:r>
          </w:p>
        </w:tc>
        <w:tc>
          <w:tcPr>
            <w:tcW w:w="107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$22.785 to $23.75, inclusive. The Reporting Person undertakes</w:t>
            </w:r>
          </w:p>
        </w:tc>
        <w:tc>
          <w:tcPr>
            <w:tcW w:w="0" w:type="dxa"/>
            <w:vAlign w:val="bottom"/>
          </w:tcPr>
          <w:p>
            <w:pPr>
              <w:spacing w:after="0"/>
              <w:rPr>
                <w:sz w:val="1"/>
                <w:szCs w:val="1"/>
                <w:color w:val="auto"/>
              </w:rPr>
            </w:pPr>
          </w:p>
        </w:tc>
      </w:tr>
      <w:tr>
        <w:trPr>
          <w:trHeight w:val="53"/>
        </w:trPr>
        <w:tc>
          <w:tcPr>
            <w:tcW w:w="1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60" w:type="dxa"/>
            <w:vAlign w:val="bottom"/>
          </w:tcPr>
          <w:p>
            <w:pPr>
              <w:ind w:left="460"/>
              <w:spacing w:after="0" w:line="54" w:lineRule="exact"/>
              <w:rPr>
                <w:sz w:val="20"/>
                <w:szCs w:val="20"/>
                <w:color w:val="auto"/>
              </w:rPr>
            </w:pPr>
            <w:r>
              <w:rPr>
                <w:rFonts w:ascii="Arial" w:cs="Arial" w:eastAsia="Arial" w:hAnsi="Arial"/>
                <w:sz w:val="6"/>
                <w:szCs w:val="6"/>
                <w:b w:val="1"/>
                <w:bCs w:val="1"/>
                <w:color w:val="auto"/>
              </w:rPr>
              <w:t>Amount</w:t>
            </w:r>
          </w:p>
        </w:tc>
        <w:tc>
          <w:tcPr>
            <w:tcW w:w="0" w:type="dxa"/>
            <w:vAlign w:val="bottom"/>
          </w:tcPr>
          <w:p>
            <w:pPr>
              <w:spacing w:after="0"/>
              <w:rPr>
                <w:sz w:val="1"/>
                <w:szCs w:val="1"/>
                <w:color w:val="auto"/>
              </w:rPr>
            </w:pPr>
          </w:p>
        </w:tc>
      </w:tr>
      <w:tr>
        <w:trPr>
          <w:trHeight w:val="93"/>
        </w:trPr>
        <w:tc>
          <w:tcPr>
            <w:tcW w:w="10900" w:type="dxa"/>
            <w:vAlign w:val="bottom"/>
            <w:gridSpan w:val="5"/>
          </w:tcPr>
          <w:p>
            <w:pPr>
              <w:spacing w:after="0" w:line="93" w:lineRule="exact"/>
              <w:rPr>
                <w:sz w:val="20"/>
                <w:szCs w:val="20"/>
                <w:color w:val="auto"/>
              </w:rPr>
            </w:pPr>
            <w:r>
              <w:rPr>
                <w:rFonts w:ascii="Times New Roman" w:cs="Times New Roman" w:eastAsia="Times New Roman" w:hAnsi="Times New Roman"/>
                <w:sz w:val="10"/>
                <w:szCs w:val="10"/>
                <w:color w:val="008000"/>
              </w:rPr>
              <w:t>to provide to the Issuer, any security holder of the Issuer, or the staff of the Securities and Exchange Commission, upon request, full information regarding the number of shares purchased at each separate</w:t>
            </w:r>
          </w:p>
        </w:tc>
        <w:tc>
          <w:tcPr>
            <w:tcW w:w="0" w:type="dxa"/>
            <w:vAlign w:val="bottom"/>
          </w:tcPr>
          <w:p>
            <w:pPr>
              <w:spacing w:after="0"/>
              <w:rPr>
                <w:sz w:val="1"/>
                <w:szCs w:val="1"/>
                <w:color w:val="auto"/>
              </w:rPr>
            </w:pPr>
          </w:p>
        </w:tc>
      </w:tr>
      <w:tr>
        <w:trPr>
          <w:trHeight w:val="53"/>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8000"/>
              </w:rPr>
              <w:t>price within the ranges set forth in this footnote.</w:t>
            </w:r>
          </w:p>
        </w:tc>
        <w:tc>
          <w:tcPr>
            <w:tcW w:w="1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60" w:type="dxa"/>
            <w:vAlign w:val="bottom"/>
          </w:tcPr>
          <w:p>
            <w:pPr>
              <w:ind w:left="460"/>
              <w:spacing w:after="0" w:line="53" w:lineRule="exact"/>
              <w:rPr>
                <w:sz w:val="20"/>
                <w:szCs w:val="20"/>
                <w:color w:val="auto"/>
              </w:rPr>
            </w:pPr>
            <w:r>
              <w:rPr>
                <w:rFonts w:ascii="Arial" w:cs="Arial" w:eastAsia="Arial" w:hAnsi="Arial"/>
                <w:sz w:val="6"/>
                <w:szCs w:val="6"/>
                <w:b w:val="1"/>
                <w:bCs w:val="1"/>
                <w:color w:val="auto"/>
              </w:rPr>
              <w:t>or</w:t>
            </w:r>
          </w:p>
        </w:tc>
        <w:tc>
          <w:tcPr>
            <w:tcW w:w="0" w:type="dxa"/>
            <w:vAlign w:val="bottom"/>
          </w:tcPr>
          <w:p>
            <w:pPr>
              <w:spacing w:after="0"/>
              <w:rPr>
                <w:sz w:val="1"/>
                <w:szCs w:val="1"/>
                <w:color w:val="auto"/>
              </w:rPr>
            </w:pPr>
          </w:p>
        </w:tc>
      </w:tr>
      <w:tr>
        <w:trPr>
          <w:trHeight w:val="133"/>
        </w:trPr>
        <w:tc>
          <w:tcPr>
            <w:tcW w:w="4480" w:type="dxa"/>
            <w:vAlign w:val="bottom"/>
            <w:gridSpan w:val="2"/>
            <w:vMerge w:val="continue"/>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121"/>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5.</w:t>
            </w:r>
          </w:p>
        </w:tc>
        <w:tc>
          <w:tcPr>
            <w:tcW w:w="4360" w:type="dxa"/>
            <w:vAlign w:val="bottom"/>
          </w:tcPr>
          <w:p>
            <w:pPr>
              <w:spacing w:after="0"/>
              <w:rPr>
                <w:sz w:val="10"/>
                <w:szCs w:val="10"/>
                <w:color w:val="auto"/>
              </w:rPr>
            </w:pPr>
          </w:p>
        </w:tc>
        <w:tc>
          <w:tcPr>
            <w:tcW w:w="1620" w:type="dxa"/>
            <w:vAlign w:val="bottom"/>
          </w:tcPr>
          <w:p>
            <w:pPr>
              <w:ind w:left="880"/>
              <w:spacing w:after="0" w:line="12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Expiration</w:t>
            </w:r>
          </w:p>
        </w:tc>
        <w:tc>
          <w:tcPr>
            <w:tcW w:w="4060" w:type="dxa"/>
            <w:vAlign w:val="bottom"/>
          </w:tcPr>
          <w:p>
            <w:pPr>
              <w:ind w:left="460"/>
              <w:spacing w:after="0" w:line="121"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40"/>
        </w:trPr>
        <w:tc>
          <w:tcPr>
            <w:tcW w:w="120" w:type="dxa"/>
            <w:vAlign w:val="bottom"/>
            <w:vMerge w:val="continue"/>
          </w:tcPr>
          <w:p>
            <w:pPr>
              <w:spacing w:after="0"/>
              <w:rPr>
                <w:sz w:val="3"/>
                <w:szCs w:val="3"/>
                <w:color w:val="auto"/>
              </w:rPr>
            </w:pPr>
          </w:p>
        </w:tc>
        <w:tc>
          <w:tcPr>
            <w:tcW w:w="10780" w:type="dxa"/>
            <w:vAlign w:val="bottom"/>
            <w:gridSpan w:val="4"/>
          </w:tcPr>
          <w:p>
            <w:pPr>
              <w:ind w:left="20"/>
              <w:spacing w:after="0" w:line="40" w:lineRule="exact"/>
              <w:rPr>
                <w:sz w:val="20"/>
                <w:szCs w:val="20"/>
                <w:color w:val="auto"/>
              </w:rPr>
            </w:pPr>
            <w:r>
              <w:rPr>
                <w:rFonts w:ascii="Times New Roman" w:cs="Times New Roman" w:eastAsia="Times New Roman" w:hAnsi="Times New Roman"/>
                <w:sz w:val="4"/>
                <w:szCs w:val="4"/>
                <w:color w:val="008000"/>
              </w:rPr>
              <w:t>The price reported in Column 4 is a weighted average price. These shares were purchased in multiple transactions at prices ranging from $23.79 to $24.50, inclusive. The Reporting Person undertakes to</w:t>
            </w:r>
          </w:p>
        </w:tc>
        <w:tc>
          <w:tcPr>
            <w:tcW w:w="0" w:type="dxa"/>
            <w:vAlign w:val="bottom"/>
          </w:tcPr>
          <w:p>
            <w:pPr>
              <w:spacing w:after="0" w:line="20" w:lineRule="exact"/>
              <w:rPr>
                <w:sz w:val="1"/>
                <w:szCs w:val="1"/>
                <w:color w:val="auto"/>
              </w:rPr>
            </w:pPr>
          </w:p>
        </w:tc>
      </w:tr>
      <w:tr>
        <w:trPr>
          <w:trHeight w:val="28"/>
        </w:trPr>
        <w:tc>
          <w:tcPr>
            <w:tcW w:w="120" w:type="dxa"/>
            <w:vAlign w:val="bottom"/>
          </w:tcPr>
          <w:p>
            <w:pPr>
              <w:spacing w:after="0"/>
              <w:rPr>
                <w:sz w:val="2"/>
                <w:szCs w:val="2"/>
                <w:color w:val="auto"/>
              </w:rPr>
            </w:pPr>
          </w:p>
        </w:tc>
        <w:tc>
          <w:tcPr>
            <w:tcW w:w="4360" w:type="dxa"/>
            <w:vAlign w:val="bottom"/>
          </w:tcPr>
          <w:p>
            <w:pPr>
              <w:ind w:left="3680"/>
              <w:spacing w:after="0"/>
              <w:rPr>
                <w:sz w:val="20"/>
                <w:szCs w:val="20"/>
                <w:color w:val="auto"/>
              </w:rPr>
            </w:pPr>
            <w:r>
              <w:rPr>
                <w:rFonts w:ascii="Arial" w:cs="Arial" w:eastAsia="Arial" w:hAnsi="Arial"/>
                <w:sz w:val="2"/>
                <w:szCs w:val="2"/>
                <w:b w:val="1"/>
                <w:bCs w:val="1"/>
                <w:color w:val="auto"/>
              </w:rPr>
              <w:t>Code  V</w:t>
            </w:r>
          </w:p>
        </w:tc>
        <w:tc>
          <w:tcPr>
            <w:tcW w:w="1620" w:type="dxa"/>
            <w:vAlign w:val="bottom"/>
          </w:tcPr>
          <w:p>
            <w:pPr>
              <w:ind w:left="160"/>
              <w:spacing w:after="0"/>
              <w:rPr>
                <w:sz w:val="20"/>
                <w:szCs w:val="20"/>
                <w:color w:val="auto"/>
              </w:rPr>
            </w:pPr>
            <w:r>
              <w:rPr>
                <w:rFonts w:ascii="Arial" w:cs="Arial" w:eastAsia="Arial" w:hAnsi="Arial"/>
                <w:sz w:val="2"/>
                <w:szCs w:val="2"/>
                <w:b w:val="1"/>
                <w:bCs w:val="1"/>
                <w:color w:val="auto"/>
              </w:rPr>
              <w:t>(A)   (D)   Exercisable</w:t>
            </w: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Date</w:t>
            </w:r>
          </w:p>
        </w:tc>
        <w:tc>
          <w:tcPr>
            <w:tcW w:w="4060" w:type="dxa"/>
            <w:vAlign w:val="bottom"/>
          </w:tcPr>
          <w:p>
            <w:pPr>
              <w:ind w:left="60"/>
              <w:spacing w:after="0"/>
              <w:rPr>
                <w:sz w:val="20"/>
                <w:szCs w:val="20"/>
                <w:color w:val="auto"/>
              </w:rPr>
            </w:pPr>
            <w:r>
              <w:rPr>
                <w:rFonts w:ascii="Arial" w:cs="Arial" w:eastAsia="Arial" w:hAnsi="Arial"/>
                <w:sz w:val="2"/>
                <w:szCs w:val="2"/>
                <w:b w:val="1"/>
                <w:bCs w:val="1"/>
                <w:color w:val="auto"/>
              </w:rPr>
              <w:t>Title  Shares</w:t>
            </w:r>
          </w:p>
        </w:tc>
        <w:tc>
          <w:tcPr>
            <w:tcW w:w="0" w:type="dxa"/>
            <w:vAlign w:val="bottom"/>
          </w:tcPr>
          <w:p>
            <w:pPr>
              <w:spacing w:after="0" w:line="20" w:lineRule="exact"/>
              <w:rPr>
                <w:sz w:val="1"/>
                <w:szCs w:val="1"/>
                <w:color w:val="auto"/>
              </w:rPr>
            </w:pPr>
          </w:p>
        </w:tc>
      </w:tr>
    </w:tbl>
    <w:p>
      <w:pPr>
        <w:ind w:left="40" w:right="340"/>
        <w:spacing w:after="0" w:line="250" w:lineRule="auto"/>
        <w:rPr>
          <w:sz w:val="20"/>
          <w:szCs w:val="20"/>
          <w:color w:val="auto"/>
        </w:rPr>
      </w:pPr>
      <w:r>
        <w:rPr>
          <w:rFonts w:ascii="Times New Roman" w:cs="Times New Roman" w:eastAsia="Times New Roman" w:hAnsi="Times New Roman"/>
          <w:sz w:val="13"/>
          <w:szCs w:val="13"/>
          <w:color w:val="008000"/>
        </w:rPr>
        <w:t>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1"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$23.40 to $24.39,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$24.40 to $25.39,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$25.40 to $25.44,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Antal Rohit Desai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03/09/2026</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81616" TargetMode="External"/><Relationship Id="rId14" Type="http://schemas.openxmlformats.org/officeDocument/2006/relationships/hyperlink" Target="http://www.sec.gov/cgi-bin/browse-edgar?action=getcompany&amp;CIK=0001588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2026-03-09T18:22:02Z</dcterms:created>
  <dcterms:modified xsi:type="dcterms:W3CDTF">2026-03-09T18:22:02Z</dcterms:modified>
</cp:coreProperties>
</file>