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ind w:left="0" w:firstLine="0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2240" w:h="15840"/>
          <w:pgMar w:top="800" w:bottom="280" w:left="620" w:right="620"/>
        </w:sectPr>
      </w:pPr>
    </w:p>
    <w:p>
      <w:pPr>
        <w:pStyle w:val="BodyText"/>
        <w:spacing w:before="0"/>
        <w:ind w:left="0" w:firstLine="0"/>
        <w:rPr>
          <w:sz w:val="22"/>
        </w:rPr>
      </w:pPr>
    </w:p>
    <w:p>
      <w:pPr>
        <w:pStyle w:val="BodyText"/>
        <w:spacing w:before="0"/>
        <w:ind w:left="0" w:firstLine="0"/>
        <w:rPr>
          <w:sz w:val="22"/>
        </w:rPr>
      </w:pPr>
    </w:p>
    <w:p>
      <w:pPr>
        <w:pStyle w:val="BodyText"/>
        <w:spacing w:before="0"/>
        <w:ind w:left="0" w:firstLine="0"/>
        <w:rPr>
          <w:sz w:val="22"/>
        </w:rPr>
      </w:pPr>
    </w:p>
    <w:p>
      <w:pPr>
        <w:pStyle w:val="BodyText"/>
        <w:spacing w:before="0"/>
        <w:ind w:left="0" w:firstLine="0"/>
        <w:rPr>
          <w:sz w:val="22"/>
        </w:rPr>
      </w:pPr>
    </w:p>
    <w:p>
      <w:pPr>
        <w:pStyle w:val="BodyText"/>
        <w:spacing w:before="0"/>
        <w:ind w:left="0" w:firstLine="0"/>
        <w:rPr>
          <w:sz w:val="22"/>
        </w:rPr>
      </w:pPr>
    </w:p>
    <w:p>
      <w:pPr>
        <w:pStyle w:val="BodyText"/>
        <w:spacing w:before="0"/>
        <w:ind w:left="0" w:firstLine="0"/>
        <w:rPr>
          <w:sz w:val="22"/>
        </w:rPr>
      </w:pPr>
    </w:p>
    <w:p>
      <w:pPr>
        <w:pStyle w:val="Heading2"/>
        <w:spacing w:before="144"/>
      </w:pPr>
      <w:bookmarkStart w:name="Cover Page" w:id="1"/>
      <w:bookmarkEnd w:id="1"/>
      <w:r>
        <w:rPr>
          <w:b w:val="0"/>
        </w:rPr>
      </w:r>
      <w:r>
        <w:rPr/>
        <w:t>(Mark</w:t>
      </w:r>
      <w:r>
        <w:rPr>
          <w:spacing w:val="-6"/>
        </w:rPr>
        <w:t> </w:t>
      </w:r>
      <w:r>
        <w:rPr/>
        <w:t>One)</w:t>
      </w:r>
    </w:p>
    <w:p>
      <w:pPr>
        <w:spacing w:before="85"/>
        <w:ind w:left="85" w:right="1608" w:firstLine="0"/>
        <w:jc w:val="center"/>
        <w:rPr>
          <w:b/>
          <w:sz w:val="36"/>
        </w:rPr>
      </w:pPr>
      <w:r>
        <w:rPr/>
        <w:br w:type="column"/>
      </w:r>
      <w:r>
        <w:rPr>
          <w:b/>
          <w:sz w:val="36"/>
        </w:rPr>
        <w:t>UNITED</w:t>
      </w:r>
      <w:r>
        <w:rPr>
          <w:b/>
          <w:spacing w:val="-6"/>
          <w:sz w:val="36"/>
        </w:rPr>
        <w:t> </w:t>
      </w:r>
      <w:r>
        <w:rPr>
          <w:b/>
          <w:sz w:val="36"/>
        </w:rPr>
        <w:t>STATES</w:t>
      </w:r>
    </w:p>
    <w:p>
      <w:pPr>
        <w:spacing w:before="18"/>
        <w:ind w:left="87" w:right="1608" w:firstLine="0"/>
        <w:jc w:val="center"/>
        <w:rPr>
          <w:b/>
          <w:sz w:val="36"/>
        </w:rPr>
      </w:pPr>
      <w:r>
        <w:rPr>
          <w:b/>
          <w:sz w:val="36"/>
        </w:rPr>
        <w:t>SECURITIES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AND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EXCHANGE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COMMISSION</w:t>
      </w:r>
    </w:p>
    <w:p>
      <w:pPr>
        <w:pStyle w:val="Heading2"/>
        <w:spacing w:line="215" w:lineRule="exact" w:before="59"/>
        <w:ind w:left="84" w:right="1608"/>
        <w:jc w:val="center"/>
      </w:pPr>
      <w:r>
        <w:rPr/>
        <w:t>Washington,</w:t>
      </w:r>
      <w:r>
        <w:rPr>
          <w:spacing w:val="-3"/>
        </w:rPr>
        <w:t> </w:t>
      </w:r>
      <w:r>
        <w:rPr/>
        <w:t>D.C.</w:t>
      </w:r>
      <w:r>
        <w:rPr>
          <w:spacing w:val="-2"/>
        </w:rPr>
        <w:t> </w:t>
      </w:r>
      <w:r>
        <w:rPr/>
        <w:t>20549</w:t>
      </w:r>
    </w:p>
    <w:p>
      <w:pPr>
        <w:spacing w:line="398" w:lineRule="exact" w:before="0"/>
        <w:ind w:left="84" w:right="1608" w:firstLine="0"/>
        <w:jc w:val="center"/>
        <w:rPr>
          <w:b/>
          <w:sz w:val="36"/>
        </w:rPr>
      </w:pPr>
      <w:r>
        <w:rPr>
          <w:b/>
          <w:sz w:val="36"/>
        </w:rPr>
        <w:t>FORM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10-Q</w:t>
      </w:r>
    </w:p>
    <w:p>
      <w:pPr>
        <w:spacing w:after="0" w:line="398" w:lineRule="exact"/>
        <w:jc w:val="center"/>
        <w:rPr>
          <w:sz w:val="36"/>
        </w:rPr>
        <w:sectPr>
          <w:type w:val="continuous"/>
          <w:pgSz w:w="12240" w:h="15840"/>
          <w:pgMar w:top="800" w:bottom="280" w:left="620" w:right="620"/>
          <w:cols w:num="2" w:equalWidth="0">
            <w:col w:w="1167" w:space="359"/>
            <w:col w:w="9474"/>
          </w:cols>
        </w:sectPr>
      </w:pPr>
    </w:p>
    <w:p>
      <w:pPr>
        <w:spacing w:before="53"/>
        <w:ind w:left="152" w:right="0" w:firstLine="0"/>
        <w:jc w:val="left"/>
        <w:rPr>
          <w:b/>
          <w:sz w:val="20"/>
        </w:rPr>
      </w:pPr>
      <w:r>
        <w:rPr>
          <w:rFonts w:ascii="MS UI Gothic" w:hAnsi="MS UI Gothic"/>
          <w:position w:val="2"/>
          <w:sz w:val="20"/>
        </w:rPr>
        <w:t>☒</w:t>
      </w:r>
      <w:r>
        <w:rPr>
          <w:rFonts w:ascii="MS UI Gothic" w:hAnsi="MS UI Gothic"/>
          <w:spacing w:val="48"/>
          <w:position w:val="2"/>
          <w:sz w:val="20"/>
        </w:rPr>
        <w:t> </w:t>
      </w:r>
      <w:r>
        <w:rPr>
          <w:b/>
          <w:sz w:val="20"/>
        </w:rPr>
        <w:t>QUARTERLY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REPORT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PURSUANT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SECTION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13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15(d)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SECURITIES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EXCHANGE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ACT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1934</w:t>
      </w:r>
    </w:p>
    <w:p>
      <w:pPr>
        <w:spacing w:before="79"/>
        <w:ind w:left="460" w:right="0" w:firstLine="0"/>
        <w:jc w:val="left"/>
        <w:rPr>
          <w:b/>
          <w:sz w:val="20"/>
        </w:rPr>
      </w:pPr>
      <w:r>
        <w:rPr>
          <w:b/>
          <w:sz w:val="20"/>
        </w:rPr>
        <w:t>For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quarterly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period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ended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September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30,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2021</w:t>
      </w:r>
    </w:p>
    <w:p>
      <w:pPr>
        <w:pStyle w:val="Heading1"/>
        <w:ind w:left="5350"/>
        <w:jc w:val="left"/>
      </w:pPr>
      <w:r>
        <w:rPr/>
        <w:t>OR</w:t>
      </w:r>
    </w:p>
    <w:p>
      <w:pPr>
        <w:pStyle w:val="Heading2"/>
        <w:numPr>
          <w:ilvl w:val="0"/>
          <w:numId w:val="1"/>
        </w:numPr>
        <w:tabs>
          <w:tab w:pos="498" w:val="left" w:leader="none"/>
          <w:tab w:pos="4346" w:val="left" w:leader="none"/>
        </w:tabs>
        <w:spacing w:line="314" w:lineRule="auto" w:before="53" w:after="0"/>
        <w:ind w:left="460" w:right="316" w:hanging="308"/>
        <w:jc w:val="left"/>
      </w:pPr>
      <w:r>
        <w:rPr/>
        <w:t>TRANSITION</w:t>
      </w:r>
      <w:r>
        <w:rPr>
          <w:spacing w:val="-5"/>
        </w:rPr>
        <w:t> </w:t>
      </w:r>
      <w:r>
        <w:rPr/>
        <w:t>REPORT</w:t>
      </w:r>
      <w:r>
        <w:rPr>
          <w:spacing w:val="-4"/>
        </w:rPr>
        <w:t> </w:t>
      </w:r>
      <w:r>
        <w:rPr/>
        <w:t>PURSUANT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SECTION</w:t>
      </w:r>
      <w:r>
        <w:rPr>
          <w:spacing w:val="-5"/>
        </w:rPr>
        <w:t> </w:t>
      </w:r>
      <w:r>
        <w:rPr/>
        <w:t>13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15(d)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SECURITIES</w:t>
      </w:r>
      <w:r>
        <w:rPr>
          <w:spacing w:val="-4"/>
        </w:rPr>
        <w:t> </w:t>
      </w:r>
      <w:r>
        <w:rPr/>
        <w:t>EXCHANGE</w:t>
      </w:r>
      <w:r>
        <w:rPr>
          <w:spacing w:val="-4"/>
        </w:rPr>
        <w:t> </w:t>
      </w:r>
      <w:r>
        <w:rPr/>
        <w:t>ACT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1934</w:t>
      </w:r>
      <w:r>
        <w:rPr>
          <w:spacing w:val="1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transition</w:t>
      </w:r>
      <w:r>
        <w:rPr>
          <w:spacing w:val="-3"/>
        </w:rPr>
        <w:t> </w:t>
      </w:r>
      <w:r>
        <w:rPr/>
        <w:t>period</w:t>
      </w:r>
      <w:r>
        <w:rPr>
          <w:spacing w:val="-3"/>
        </w:rPr>
        <w:t> </w:t>
      </w:r>
      <w:r>
        <w:rPr/>
        <w:t>from</w:t>
        <w:tab/>
        <w:t>to</w:t>
      </w:r>
    </w:p>
    <w:p>
      <w:pPr>
        <w:spacing w:line="215" w:lineRule="exact" w:before="58"/>
        <w:ind w:left="3992" w:right="0" w:firstLine="0"/>
        <w:jc w:val="left"/>
        <w:rPr>
          <w:b/>
          <w:sz w:val="20"/>
        </w:rPr>
      </w:pPr>
      <w:r>
        <w:rPr>
          <w:b/>
          <w:sz w:val="20"/>
        </w:rPr>
        <w:t>Commission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file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number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001-40797</w:t>
      </w:r>
    </w:p>
    <w:p>
      <w:pPr>
        <w:spacing w:line="398" w:lineRule="exact" w:before="0"/>
        <w:ind w:left="1" w:right="0" w:firstLine="0"/>
        <w:jc w:val="center"/>
        <w:rPr>
          <w:b/>
          <w:sz w:val="36"/>
        </w:rPr>
      </w:pPr>
      <w:r>
        <w:rPr>
          <w:b/>
          <w:sz w:val="36"/>
        </w:rPr>
        <w:t>PROCEPT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BioRobotics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Corporation</w:t>
      </w:r>
    </w:p>
    <w:p>
      <w:pPr>
        <w:pStyle w:val="Heading2"/>
        <w:spacing w:before="59"/>
        <w:ind w:left="0"/>
        <w:jc w:val="center"/>
      </w:pPr>
      <w:r>
        <w:rPr/>
        <w:t>(Exact</w:t>
      </w:r>
      <w:r>
        <w:rPr>
          <w:spacing w:val="-3"/>
        </w:rPr>
        <w:t> </w:t>
      </w:r>
      <w:r>
        <w:rPr/>
        <w:t>name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registrant</w:t>
      </w:r>
      <w:r>
        <w:rPr>
          <w:spacing w:val="-2"/>
        </w:rPr>
        <w:t> </w:t>
      </w:r>
      <w:r>
        <w:rPr/>
        <w:t>as</w:t>
      </w:r>
      <w:r>
        <w:rPr>
          <w:spacing w:val="-4"/>
        </w:rPr>
        <w:t> </w:t>
      </w:r>
      <w:r>
        <w:rPr/>
        <w:t>specified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its</w:t>
      </w:r>
      <w:r>
        <w:rPr>
          <w:spacing w:val="-3"/>
        </w:rPr>
        <w:t> </w:t>
      </w:r>
      <w:r>
        <w:rPr/>
        <w:t>charter)</w:t>
      </w:r>
    </w:p>
    <w:p>
      <w:pPr>
        <w:tabs>
          <w:tab w:pos="9515" w:val="right" w:leader="none"/>
        </w:tabs>
        <w:spacing w:before="161"/>
        <w:ind w:left="1997" w:right="0" w:firstLine="0"/>
        <w:jc w:val="left"/>
        <w:rPr>
          <w:b/>
          <w:sz w:val="20"/>
        </w:rPr>
      </w:pPr>
      <w:r>
        <w:rPr>
          <w:b/>
          <w:sz w:val="20"/>
        </w:rPr>
        <w:t>Delaware</w:t>
      </w:r>
      <w:r>
        <w:rPr>
          <w:b/>
          <w:sz w:val="20"/>
        </w:rPr>
        <w:tab/>
      </w:r>
      <w:r>
        <w:rPr>
          <w:b/>
          <w:sz w:val="20"/>
        </w:rPr>
        <w:t>26-0199180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00" w:bottom="280" w:left="620" w:right="620"/>
        </w:sectPr>
      </w:pPr>
    </w:p>
    <w:p>
      <w:pPr>
        <w:pStyle w:val="BodyText"/>
        <w:spacing w:line="249" w:lineRule="auto" w:before="0"/>
        <w:ind w:left="1869" w:right="36" w:hanging="1299"/>
      </w:pPr>
      <w:r>
        <w:rPr/>
        <w:t>(State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jurisdiction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incorporation</w:t>
      </w:r>
      <w:r>
        <w:rPr>
          <w:spacing w:val="-2"/>
        </w:rPr>
        <w:t> </w:t>
      </w:r>
      <w:r>
        <w:rPr/>
        <w:t>or</w:t>
      </w:r>
      <w:r>
        <w:rPr>
          <w:spacing w:val="-47"/>
        </w:rPr>
        <w:t> </w:t>
      </w:r>
      <w:r>
        <w:rPr/>
        <w:t>organization)</w:t>
      </w:r>
    </w:p>
    <w:p>
      <w:pPr>
        <w:pStyle w:val="BodyText"/>
        <w:spacing w:before="35"/>
        <w:ind w:left="571" w:firstLine="0"/>
      </w:pPr>
      <w:r>
        <w:rPr/>
        <w:br w:type="column"/>
      </w:r>
      <w:r>
        <w:rPr/>
        <w:t>(I.R.S.</w:t>
      </w:r>
      <w:r>
        <w:rPr>
          <w:spacing w:val="-5"/>
        </w:rPr>
        <w:t> </w:t>
      </w:r>
      <w:r>
        <w:rPr/>
        <w:t>Employer</w:t>
      </w:r>
      <w:r>
        <w:rPr>
          <w:spacing w:val="-5"/>
        </w:rPr>
        <w:t> </w:t>
      </w:r>
      <w:r>
        <w:rPr/>
        <w:t>Identification</w:t>
      </w:r>
      <w:r>
        <w:rPr>
          <w:spacing w:val="-5"/>
        </w:rPr>
        <w:t> </w:t>
      </w:r>
      <w:r>
        <w:rPr/>
        <w:t>No.)</w:t>
      </w:r>
    </w:p>
    <w:p>
      <w:pPr>
        <w:spacing w:after="0"/>
        <w:sectPr>
          <w:type w:val="continuous"/>
          <w:pgSz w:w="12240" w:h="15840"/>
          <w:pgMar w:top="800" w:bottom="280" w:left="620" w:right="620"/>
          <w:cols w:num="2" w:equalWidth="0">
            <w:col w:w="4274" w:space="2736"/>
            <w:col w:w="3990"/>
          </w:cols>
        </w:sectPr>
      </w:pPr>
    </w:p>
    <w:p>
      <w:pPr>
        <w:pStyle w:val="Heading2"/>
        <w:tabs>
          <w:tab w:pos="4936" w:val="left" w:leader="none"/>
          <w:tab w:pos="6630" w:val="left" w:leader="none"/>
          <w:tab w:pos="9282" w:val="right" w:leader="none"/>
        </w:tabs>
        <w:spacing w:before="72"/>
        <w:ind w:left="1697"/>
      </w:pPr>
      <w:r>
        <w:rPr/>
        <w:pict>
          <v:group style="position:absolute;margin-left:54pt;margin-top:40.25pt;width:540pt;height:2pt;mso-position-horizontal-relative:page;mso-position-vertical-relative:page;z-index:15729152" id="docshapegroup1" coordorigin="1080,805" coordsize="10800,40">
            <v:shape style="position:absolute;left:1080;top:825;width:10800;height:2" id="docshape2" coordorigin="1080,825" coordsize="10800,0" path="m11880,825l1080,825e" filled="true" fillcolor="#000000" stroked="false">
              <v:path arrowok="t"/>
              <v:fill opacity="0f" type="solid"/>
            </v:shape>
            <v:line style="position:absolute" from="1080,825" to="11880,825" stroked="true" strokeweight="2pt" strokecolor="#000000">
              <v:stroke dashstyle="solid"/>
            </v:line>
            <w10:wrap type="none"/>
          </v:group>
        </w:pict>
      </w:r>
      <w:r>
        <w:rPr/>
        <w:t>900</w:t>
      </w:r>
      <w:r>
        <w:rPr>
          <w:spacing w:val="-2"/>
        </w:rPr>
        <w:t> </w:t>
      </w:r>
      <w:r>
        <w:rPr/>
        <w:t>Island</w:t>
      </w:r>
      <w:r>
        <w:rPr>
          <w:spacing w:val="-3"/>
        </w:rPr>
        <w:t> </w:t>
      </w:r>
      <w:r>
        <w:rPr/>
        <w:t>Drive</w:t>
        <w:tab/>
        <w:t>Redwood</w:t>
      </w:r>
      <w:r>
        <w:rPr>
          <w:spacing w:val="-2"/>
        </w:rPr>
        <w:t> </w:t>
      </w:r>
      <w:r>
        <w:rPr/>
        <w:t>City</w:t>
        <w:tab/>
        <w:t>CA</w:t>
      </w:r>
      <w:r>
        <w:rPr/>
        <w:tab/>
      </w:r>
      <w:r>
        <w:rPr/>
        <w:t>94065</w:t>
      </w:r>
    </w:p>
    <w:p>
      <w:pPr>
        <w:pStyle w:val="BodyText"/>
        <w:tabs>
          <w:tab w:pos="8591" w:val="left" w:leader="none"/>
        </w:tabs>
        <w:spacing w:before="25"/>
        <w:ind w:left="771" w:firstLine="0"/>
      </w:pPr>
      <w:r>
        <w:rPr/>
        <w:t>(Address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Principal</w:t>
      </w:r>
      <w:r>
        <w:rPr>
          <w:spacing w:val="-4"/>
        </w:rPr>
        <w:t> </w:t>
      </w:r>
      <w:r>
        <w:rPr/>
        <w:t>Executive</w:t>
      </w:r>
      <w:r>
        <w:rPr>
          <w:spacing w:val="-4"/>
        </w:rPr>
        <w:t> </w:t>
      </w:r>
      <w:r>
        <w:rPr/>
        <w:t>Offices)</w:t>
        <w:tab/>
        <w:t>(Zip</w:t>
      </w:r>
      <w:r>
        <w:rPr>
          <w:spacing w:val="-2"/>
        </w:rPr>
        <w:t> </w:t>
      </w:r>
      <w:r>
        <w:rPr/>
        <w:t>Code)</w:t>
      </w:r>
    </w:p>
    <w:p>
      <w:pPr>
        <w:pStyle w:val="Heading2"/>
        <w:spacing w:before="79"/>
        <w:ind w:left="4875"/>
      </w:pPr>
      <w:r>
        <w:rPr/>
        <w:t>(650) 232-7200</w:t>
      </w:r>
    </w:p>
    <w:p>
      <w:pPr>
        <w:pStyle w:val="BodyText"/>
        <w:spacing w:line="376" w:lineRule="auto" w:before="13"/>
        <w:ind w:right="2708" w:firstLine="3356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pt;margin-top:34.744820pt;width:540pt;height:24.75pt;mso-position-horizontal-relative:page;mso-position-vertical-relative:paragraph;z-index:15729664" type="#_x0000_t202" id="docshape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55"/>
                    <w:gridCol w:w="2209"/>
                    <w:gridCol w:w="4436"/>
                  </w:tblGrid>
                  <w:tr>
                    <w:trPr>
                      <w:trHeight w:val="241" w:hRule="atLeast"/>
                    </w:trPr>
                    <w:tc>
                      <w:tcPr>
                        <w:tcW w:w="4155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21" w:lineRule="exact"/>
                          <w:ind w:left="224" w:right="2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Title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each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class</w:t>
                        </w:r>
                      </w:p>
                    </w:tc>
                    <w:tc>
                      <w:tcPr>
                        <w:tcW w:w="2209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21" w:lineRule="exact"/>
                          <w:ind w:left="266" w:right="38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Trading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Symbol(s)</w:t>
                        </w:r>
                      </w:p>
                    </w:tc>
                    <w:tc>
                      <w:tcPr>
                        <w:tcW w:w="4436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21" w:lineRule="exact"/>
                          <w:ind w:left="396" w:right="47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Name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each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exchange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which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registered</w:t>
                        </w:r>
                      </w:p>
                    </w:tc>
                  </w:tr>
                  <w:tr>
                    <w:trPr>
                      <w:trHeight w:val="234" w:hRule="atLeast"/>
                    </w:trPr>
                    <w:tc>
                      <w:tcPr>
                        <w:tcW w:w="4155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0" w:lineRule="exact" w:before="5"/>
                          <w:ind w:left="225" w:right="2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Common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stock,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$0.00001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par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value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share</w:t>
                        </w:r>
                      </w:p>
                    </w:tc>
                    <w:tc>
                      <w:tcPr>
                        <w:tcW w:w="2209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0" w:lineRule="exact" w:before="5"/>
                          <w:ind w:left="266" w:right="38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PRCT</w:t>
                        </w:r>
                      </w:p>
                    </w:tc>
                    <w:tc>
                      <w:tcPr>
                        <w:tcW w:w="4436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0" w:lineRule="exact" w:before="5"/>
                          <w:ind w:left="396" w:right="47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Nasdaq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Global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Market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 w:firstLine="0"/>
                  </w:pPr>
                </w:p>
              </w:txbxContent>
            </v:textbox>
            <w10:wrap type="none"/>
          </v:shape>
        </w:pict>
      </w:r>
      <w:r>
        <w:rPr/>
        <w:t>Registrant's</w:t>
      </w:r>
      <w:r>
        <w:rPr>
          <w:spacing w:val="-5"/>
        </w:rPr>
        <w:t> </w:t>
      </w:r>
      <w:r>
        <w:rPr/>
        <w:t>telephone</w:t>
      </w:r>
      <w:r>
        <w:rPr>
          <w:spacing w:val="-5"/>
        </w:rPr>
        <w:t> </w:t>
      </w:r>
      <w:r>
        <w:rPr/>
        <w:t>number,</w:t>
      </w:r>
      <w:r>
        <w:rPr>
          <w:spacing w:val="-4"/>
        </w:rPr>
        <w:t> </w:t>
      </w:r>
      <w:r>
        <w:rPr/>
        <w:t>including</w:t>
      </w:r>
      <w:r>
        <w:rPr>
          <w:spacing w:val="-4"/>
        </w:rPr>
        <w:t> </w:t>
      </w:r>
      <w:r>
        <w:rPr/>
        <w:t>area</w:t>
      </w:r>
      <w:r>
        <w:rPr>
          <w:spacing w:val="-5"/>
        </w:rPr>
        <w:t> </w:t>
      </w:r>
      <w:r>
        <w:rPr/>
        <w:t>code</w:t>
      </w:r>
      <w:r>
        <w:rPr>
          <w:spacing w:val="-47"/>
        </w:rPr>
        <w:t> </w:t>
      </w:r>
      <w:r>
        <w:rPr/>
        <w:t>Securities</w:t>
      </w:r>
      <w:r>
        <w:rPr>
          <w:spacing w:val="-2"/>
        </w:rPr>
        <w:t> </w:t>
      </w:r>
      <w:r>
        <w:rPr/>
        <w:t>registered pursuant</w:t>
      </w:r>
      <w:r>
        <w:rPr>
          <w:spacing w:val="-2"/>
        </w:rPr>
        <w:t> </w:t>
      </w:r>
      <w:r>
        <w:rPr/>
        <w:t>to Section 12(b)</w:t>
      </w:r>
      <w:r>
        <w:rPr>
          <w:spacing w:val="-1"/>
        </w:rPr>
        <w:t> </w:t>
      </w:r>
      <w:r>
        <w:rPr/>
        <w:t>of the</w:t>
      </w:r>
      <w:r>
        <w:rPr>
          <w:spacing w:val="-2"/>
        </w:rPr>
        <w:t> </w:t>
      </w:r>
      <w:r>
        <w:rPr/>
        <w:t>Act:</w:t>
      </w:r>
    </w:p>
    <w:p>
      <w:pPr>
        <w:pStyle w:val="BodyText"/>
        <w:spacing w:before="0"/>
        <w:ind w:left="0" w:firstLine="0"/>
        <w:rPr>
          <w:sz w:val="22"/>
        </w:rPr>
      </w:pPr>
    </w:p>
    <w:p>
      <w:pPr>
        <w:pStyle w:val="BodyText"/>
        <w:spacing w:before="0"/>
        <w:ind w:left="0" w:firstLine="0"/>
        <w:rPr>
          <w:sz w:val="22"/>
        </w:rPr>
      </w:pPr>
    </w:p>
    <w:p>
      <w:pPr>
        <w:pStyle w:val="BodyText"/>
        <w:spacing w:before="0"/>
        <w:ind w:left="0" w:firstLine="0"/>
        <w:rPr>
          <w:sz w:val="22"/>
        </w:rPr>
      </w:pPr>
    </w:p>
    <w:p>
      <w:pPr>
        <w:pStyle w:val="BodyText"/>
        <w:spacing w:before="0"/>
        <w:ind w:left="0" w:firstLine="0"/>
        <w:rPr>
          <w:sz w:val="22"/>
        </w:rPr>
      </w:pPr>
    </w:p>
    <w:p>
      <w:pPr>
        <w:pStyle w:val="BodyText"/>
        <w:spacing w:line="242" w:lineRule="auto" w:before="166"/>
        <w:ind w:firstLine="0"/>
        <w:rPr>
          <w:rFonts w:ascii="MS UI Gothic" w:hAnsi="MS UI Gothic"/>
        </w:rPr>
      </w:pPr>
      <w:r>
        <w:rPr/>
        <w:t>Indicate by check mark whether the registrant: (1) has filed all reports required to be filed by Section 13 or 15(d) of the Securities</w:t>
      </w:r>
      <w:r>
        <w:rPr>
          <w:spacing w:val="1"/>
        </w:rPr>
        <w:t> </w:t>
      </w:r>
      <w:r>
        <w:rPr/>
        <w:t>Exchange</w:t>
      </w:r>
      <w:r>
        <w:rPr>
          <w:spacing w:val="-3"/>
        </w:rPr>
        <w:t> </w:t>
      </w:r>
      <w:r>
        <w:rPr/>
        <w:t>Act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1934</w:t>
      </w:r>
      <w:r>
        <w:rPr>
          <w:spacing w:val="-2"/>
        </w:rPr>
        <w:t> </w:t>
      </w:r>
      <w:r>
        <w:rPr/>
        <w:t>during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preceding</w:t>
      </w:r>
      <w:r>
        <w:rPr>
          <w:spacing w:val="-2"/>
        </w:rPr>
        <w:t> </w:t>
      </w:r>
      <w:r>
        <w:rPr/>
        <w:t>12</w:t>
      </w:r>
      <w:r>
        <w:rPr>
          <w:spacing w:val="-2"/>
        </w:rPr>
        <w:t> </w:t>
      </w:r>
      <w:r>
        <w:rPr/>
        <w:t>months</w:t>
      </w:r>
      <w:r>
        <w:rPr>
          <w:spacing w:val="-3"/>
        </w:rPr>
        <w:t> </w:t>
      </w:r>
      <w:r>
        <w:rPr/>
        <w:t>(or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such</w:t>
      </w:r>
      <w:r>
        <w:rPr>
          <w:spacing w:val="-2"/>
        </w:rPr>
        <w:t> </w:t>
      </w:r>
      <w:r>
        <w:rPr/>
        <w:t>shorter</w:t>
      </w:r>
      <w:r>
        <w:rPr>
          <w:spacing w:val="-2"/>
        </w:rPr>
        <w:t> </w:t>
      </w:r>
      <w:r>
        <w:rPr/>
        <w:t>period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registrant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required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file</w:t>
      </w:r>
      <w:r>
        <w:rPr>
          <w:spacing w:val="-3"/>
        </w:rPr>
        <w:t> </w:t>
      </w:r>
      <w:r>
        <w:rPr/>
        <w:t>such</w:t>
      </w:r>
      <w:r>
        <w:rPr>
          <w:spacing w:val="-2"/>
        </w:rPr>
        <w:t> </w:t>
      </w:r>
      <w:r>
        <w:rPr/>
        <w:t>reports);</w:t>
      </w:r>
      <w:r>
        <w:rPr>
          <w:spacing w:val="-47"/>
        </w:rPr>
        <w:t> </w:t>
      </w:r>
      <w:r>
        <w:rPr/>
        <w:t>and</w:t>
      </w:r>
      <w:r>
        <w:rPr>
          <w:spacing w:val="-2"/>
        </w:rPr>
        <w:t> </w:t>
      </w:r>
      <w:r>
        <w:rPr/>
        <w:t>(2)</w:t>
      </w:r>
      <w:r>
        <w:rPr>
          <w:spacing w:val="-1"/>
        </w:rPr>
        <w:t> </w:t>
      </w:r>
      <w:r>
        <w:rPr/>
        <w:t>has</w:t>
      </w:r>
      <w:r>
        <w:rPr>
          <w:spacing w:val="-2"/>
        </w:rPr>
        <w:t> </w:t>
      </w:r>
      <w:r>
        <w:rPr/>
        <w:t>been</w:t>
      </w:r>
      <w:r>
        <w:rPr>
          <w:spacing w:val="-1"/>
        </w:rPr>
        <w:t> </w:t>
      </w:r>
      <w:r>
        <w:rPr/>
        <w:t>subject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such</w:t>
      </w:r>
      <w:r>
        <w:rPr>
          <w:spacing w:val="-1"/>
        </w:rPr>
        <w:t> </w:t>
      </w:r>
      <w:r>
        <w:rPr/>
        <w:t>filing</w:t>
      </w:r>
      <w:r>
        <w:rPr>
          <w:spacing w:val="-1"/>
        </w:rPr>
        <w:t> </w:t>
      </w:r>
      <w:r>
        <w:rPr/>
        <w:t>requirements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past</w:t>
      </w:r>
      <w:r>
        <w:rPr>
          <w:spacing w:val="-2"/>
        </w:rPr>
        <w:t> </w:t>
      </w:r>
      <w:r>
        <w:rPr/>
        <w:t>90</w:t>
      </w:r>
      <w:r>
        <w:rPr>
          <w:spacing w:val="-1"/>
        </w:rPr>
        <w:t> </w:t>
      </w:r>
      <w:r>
        <w:rPr/>
        <w:t>days.</w:t>
      </w:r>
      <w:r>
        <w:rPr>
          <w:spacing w:val="46"/>
        </w:rPr>
        <w:t> </w:t>
      </w:r>
      <w:r>
        <w:rPr/>
        <w:t>Yes</w:t>
      </w:r>
      <w:r>
        <w:rPr>
          <w:spacing w:val="46"/>
        </w:rPr>
        <w:t> </w:t>
      </w:r>
      <w:r>
        <w:rPr>
          <w:rFonts w:ascii="MS UI Gothic" w:hAnsi="MS UI Gothic"/>
        </w:rPr>
        <w:t>☐</w:t>
      </w:r>
      <w:r>
        <w:rPr>
          <w:rFonts w:ascii="MS UI Gothic" w:hAnsi="MS UI Gothic"/>
          <w:spacing w:val="25"/>
        </w:rPr>
        <w:t> </w:t>
      </w:r>
      <w:r>
        <w:rPr/>
        <w:t>No</w:t>
      </w:r>
      <w:r>
        <w:rPr>
          <w:spacing w:val="48"/>
        </w:rPr>
        <w:t> </w:t>
      </w:r>
      <w:r>
        <w:rPr>
          <w:rFonts w:ascii="MS UI Gothic" w:hAnsi="MS UI Gothic"/>
        </w:rPr>
        <w:t>☒</w:t>
      </w:r>
    </w:p>
    <w:p>
      <w:pPr>
        <w:pStyle w:val="BodyText"/>
        <w:tabs>
          <w:tab w:pos="9147" w:val="left" w:leader="none"/>
        </w:tabs>
        <w:spacing w:line="242" w:lineRule="auto" w:before="56"/>
        <w:ind w:right="142" w:firstLine="0"/>
        <w:rPr>
          <w:rFonts w:ascii="MS UI Gothic" w:hAnsi="MS UI Gothic"/>
        </w:rPr>
      </w:pPr>
      <w:r>
        <w:rPr/>
        <w:t>Indicate by check mark whether the registrant has submitted electronically and posted on its corporate web site, if any, every</w:t>
      </w:r>
      <w:r>
        <w:rPr>
          <w:spacing w:val="1"/>
        </w:rPr>
        <w:t> </w:t>
      </w:r>
      <w:r>
        <w:rPr/>
        <w:t>Interactive</w:t>
      </w:r>
      <w:r>
        <w:rPr>
          <w:spacing w:val="-4"/>
        </w:rPr>
        <w:t> </w:t>
      </w:r>
      <w:r>
        <w:rPr/>
        <w:t>Data</w:t>
      </w:r>
      <w:r>
        <w:rPr>
          <w:spacing w:val="-3"/>
        </w:rPr>
        <w:t> </w:t>
      </w:r>
      <w:r>
        <w:rPr/>
        <w:t>File</w:t>
      </w:r>
      <w:r>
        <w:rPr>
          <w:spacing w:val="-3"/>
        </w:rPr>
        <w:t> </w:t>
      </w:r>
      <w:r>
        <w:rPr/>
        <w:t>required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submitted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posted</w:t>
      </w:r>
      <w:r>
        <w:rPr>
          <w:spacing w:val="-2"/>
        </w:rPr>
        <w:t> </w:t>
      </w:r>
      <w:r>
        <w:rPr/>
        <w:t>pursuant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Rule</w:t>
      </w:r>
      <w:r>
        <w:rPr>
          <w:spacing w:val="-4"/>
        </w:rPr>
        <w:t> </w:t>
      </w:r>
      <w:r>
        <w:rPr/>
        <w:t>405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Regulation</w:t>
      </w:r>
      <w:r>
        <w:rPr>
          <w:spacing w:val="-2"/>
        </w:rPr>
        <w:t> </w:t>
      </w:r>
      <w:r>
        <w:rPr/>
        <w:t>S-T</w:t>
      </w:r>
      <w:r>
        <w:rPr>
          <w:spacing w:val="-3"/>
        </w:rPr>
        <w:t> </w:t>
      </w:r>
      <w:r>
        <w:rPr/>
        <w:t>(§232.405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/>
        <w:t>chapter)</w:t>
      </w:r>
      <w:r>
        <w:rPr>
          <w:spacing w:val="-2"/>
        </w:rPr>
        <w:t> </w:t>
      </w:r>
      <w:r>
        <w:rPr/>
        <w:t>during</w:t>
      </w:r>
      <w:r>
        <w:rPr>
          <w:spacing w:val="-2"/>
        </w:rPr>
        <w:t> </w:t>
      </w:r>
      <w:r>
        <w:rPr/>
        <w:t>the</w:t>
      </w:r>
      <w:r>
        <w:rPr>
          <w:spacing w:val="-47"/>
        </w:rPr>
        <w:t> </w:t>
      </w:r>
      <w:r>
        <w:rPr/>
        <w:t>preceding</w:t>
      </w:r>
      <w:r>
        <w:rPr>
          <w:spacing w:val="-2"/>
        </w:rPr>
        <w:t> </w:t>
      </w:r>
      <w:r>
        <w:rPr/>
        <w:t>12</w:t>
      </w:r>
      <w:r>
        <w:rPr>
          <w:spacing w:val="-2"/>
        </w:rPr>
        <w:t> </w:t>
      </w:r>
      <w:r>
        <w:rPr/>
        <w:t>months</w:t>
      </w:r>
      <w:r>
        <w:rPr>
          <w:spacing w:val="-3"/>
        </w:rPr>
        <w:t> </w:t>
      </w:r>
      <w:r>
        <w:rPr/>
        <w:t>(or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such</w:t>
      </w:r>
      <w:r>
        <w:rPr>
          <w:spacing w:val="-2"/>
        </w:rPr>
        <w:t> </w:t>
      </w:r>
      <w:r>
        <w:rPr/>
        <w:t>shorter</w:t>
      </w:r>
      <w:r>
        <w:rPr>
          <w:spacing w:val="-1"/>
        </w:rPr>
        <w:t> </w:t>
      </w:r>
      <w:r>
        <w:rPr/>
        <w:t>period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registrant</w:t>
      </w:r>
      <w:r>
        <w:rPr>
          <w:spacing w:val="-3"/>
        </w:rPr>
        <w:t> </w:t>
      </w:r>
      <w:r>
        <w:rPr/>
        <w:t>was</w:t>
      </w:r>
      <w:r>
        <w:rPr>
          <w:spacing w:val="-2"/>
        </w:rPr>
        <w:t> </w:t>
      </w:r>
      <w:r>
        <w:rPr/>
        <w:t>required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submit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post</w:t>
      </w:r>
      <w:r>
        <w:rPr>
          <w:spacing w:val="-3"/>
        </w:rPr>
        <w:t> </w:t>
      </w:r>
      <w:r>
        <w:rPr/>
        <w:t>such</w:t>
      </w:r>
      <w:r>
        <w:rPr>
          <w:spacing w:val="-1"/>
        </w:rPr>
        <w:t> </w:t>
      </w:r>
      <w:r>
        <w:rPr/>
        <w:t>files).</w:t>
        <w:tab/>
        <w:t>Yes</w:t>
      </w:r>
      <w:r>
        <w:rPr>
          <w:spacing w:val="38"/>
        </w:rPr>
        <w:t> </w:t>
      </w:r>
      <w:r>
        <w:rPr>
          <w:rFonts w:ascii="MS UI Gothic" w:hAnsi="MS UI Gothic"/>
        </w:rPr>
        <w:t>☒</w:t>
      </w:r>
      <w:r>
        <w:rPr>
          <w:rFonts w:ascii="MS UI Gothic" w:hAnsi="MS UI Gothic"/>
          <w:spacing w:val="13"/>
        </w:rPr>
        <w:t> </w:t>
      </w:r>
      <w:r>
        <w:rPr/>
        <w:t>No</w:t>
      </w:r>
      <w:r>
        <w:rPr>
          <w:spacing w:val="39"/>
        </w:rPr>
        <w:t> </w:t>
      </w:r>
      <w:r>
        <w:rPr>
          <w:rFonts w:ascii="MS UI Gothic" w:hAnsi="MS UI Gothic"/>
        </w:rPr>
        <w:t>☐</w:t>
      </w:r>
    </w:p>
    <w:p>
      <w:pPr>
        <w:pStyle w:val="BodyText"/>
        <w:spacing w:line="249" w:lineRule="auto" w:before="57"/>
        <w:ind w:right="142" w:firstLine="0"/>
      </w:pPr>
      <w:r>
        <w:rPr/>
        <w:t>Indicate by check mark whether the registrant is a large accelerated filer, an accelerated filer, a non-accelerated filer, or a smaller</w:t>
      </w:r>
      <w:r>
        <w:rPr>
          <w:spacing w:val="1"/>
        </w:rPr>
        <w:t> </w:t>
      </w:r>
      <w:r>
        <w:rPr/>
        <w:t>reporting</w:t>
      </w:r>
      <w:r>
        <w:rPr>
          <w:spacing w:val="-4"/>
        </w:rPr>
        <w:t> </w:t>
      </w:r>
      <w:r>
        <w:rPr/>
        <w:t>company.</w:t>
      </w:r>
      <w:r>
        <w:rPr>
          <w:spacing w:val="-3"/>
        </w:rPr>
        <w:t> </w:t>
      </w:r>
      <w:r>
        <w:rPr/>
        <w:t>See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definitions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“large</w:t>
      </w:r>
      <w:r>
        <w:rPr>
          <w:spacing w:val="-4"/>
        </w:rPr>
        <w:t> </w:t>
      </w:r>
      <w:r>
        <w:rPr/>
        <w:t>accelerated</w:t>
      </w:r>
      <w:r>
        <w:rPr>
          <w:spacing w:val="-3"/>
        </w:rPr>
        <w:t> </w:t>
      </w:r>
      <w:r>
        <w:rPr/>
        <w:t>filer,”</w:t>
      </w:r>
      <w:r>
        <w:rPr>
          <w:spacing w:val="-5"/>
        </w:rPr>
        <w:t> </w:t>
      </w:r>
      <w:r>
        <w:rPr/>
        <w:t>“accelerated</w:t>
      </w:r>
      <w:r>
        <w:rPr>
          <w:spacing w:val="-3"/>
        </w:rPr>
        <w:t> </w:t>
      </w:r>
      <w:r>
        <w:rPr/>
        <w:t>filer”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“smaller</w:t>
      </w:r>
      <w:r>
        <w:rPr>
          <w:spacing w:val="-4"/>
        </w:rPr>
        <w:t> </w:t>
      </w:r>
      <w:r>
        <w:rPr/>
        <w:t>reporting</w:t>
      </w:r>
      <w:r>
        <w:rPr>
          <w:spacing w:val="-3"/>
        </w:rPr>
        <w:t> </w:t>
      </w:r>
      <w:r>
        <w:rPr/>
        <w:t>company”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Rule</w:t>
      </w:r>
      <w:r>
        <w:rPr>
          <w:spacing w:val="-5"/>
        </w:rPr>
        <w:t> </w:t>
      </w:r>
      <w:r>
        <w:rPr/>
        <w:t>12b-2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Exchange</w:t>
      </w:r>
      <w:r>
        <w:rPr>
          <w:spacing w:val="-1"/>
        </w:rPr>
        <w:t> </w:t>
      </w:r>
      <w:r>
        <w:rPr/>
        <w:t>Act. (Check one):</w:t>
      </w:r>
    </w:p>
    <w:p>
      <w:pPr>
        <w:pStyle w:val="BodyText"/>
        <w:spacing w:before="1"/>
        <w:ind w:left="0" w:firstLine="0"/>
        <w:rPr>
          <w:sz w:val="11"/>
        </w:rPr>
      </w:pPr>
    </w:p>
    <w:tbl>
      <w:tblPr>
        <w:tblW w:w="0" w:type="auto"/>
        <w:jc w:val="left"/>
        <w:tblInd w:w="1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6"/>
        <w:gridCol w:w="1145"/>
        <w:gridCol w:w="3168"/>
        <w:gridCol w:w="889"/>
      </w:tblGrid>
      <w:tr>
        <w:trPr>
          <w:trHeight w:val="279" w:hRule="atLeast"/>
        </w:trPr>
        <w:tc>
          <w:tcPr>
            <w:tcW w:w="2536" w:type="dxa"/>
          </w:tcPr>
          <w:p>
            <w:pPr>
              <w:pStyle w:val="TableParagraph"/>
              <w:spacing w:before="8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Large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accelerated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filer</w:t>
            </w:r>
          </w:p>
        </w:tc>
        <w:tc>
          <w:tcPr>
            <w:tcW w:w="1145" w:type="dxa"/>
          </w:tcPr>
          <w:p>
            <w:pPr>
              <w:pStyle w:val="TableParagraph"/>
              <w:spacing w:line="252" w:lineRule="exact"/>
              <w:ind w:right="295"/>
              <w:rPr>
                <w:rFonts w:ascii="MS UI Gothic" w:hAnsi="MS UI Gothic"/>
                <w:sz w:val="20"/>
              </w:rPr>
            </w:pPr>
            <w:r>
              <w:rPr>
                <w:rFonts w:ascii="MS UI Gothic" w:hAnsi="MS UI Gothic"/>
                <w:w w:val="78"/>
                <w:sz w:val="20"/>
              </w:rPr>
              <w:t>☐</w:t>
            </w:r>
          </w:p>
        </w:tc>
        <w:tc>
          <w:tcPr>
            <w:tcW w:w="3168" w:type="dxa"/>
          </w:tcPr>
          <w:p>
            <w:pPr>
              <w:pStyle w:val="TableParagraph"/>
              <w:spacing w:before="8"/>
              <w:ind w:left="298"/>
              <w:jc w:val="left"/>
              <w:rPr>
                <w:sz w:val="20"/>
              </w:rPr>
            </w:pPr>
            <w:r>
              <w:rPr>
                <w:sz w:val="20"/>
              </w:rPr>
              <w:t>Accelerated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filer</w:t>
            </w:r>
          </w:p>
        </w:tc>
        <w:tc>
          <w:tcPr>
            <w:tcW w:w="889" w:type="dxa"/>
          </w:tcPr>
          <w:p>
            <w:pPr>
              <w:pStyle w:val="TableParagraph"/>
              <w:spacing w:line="252" w:lineRule="exact"/>
              <w:ind w:right="47"/>
              <w:rPr>
                <w:rFonts w:ascii="MS UI Gothic" w:hAnsi="MS UI Gothic"/>
                <w:sz w:val="20"/>
              </w:rPr>
            </w:pPr>
            <w:r>
              <w:rPr>
                <w:rFonts w:ascii="MS UI Gothic" w:hAnsi="MS UI Gothic"/>
                <w:w w:val="78"/>
                <w:sz w:val="20"/>
              </w:rPr>
              <w:t>☐</w:t>
            </w:r>
          </w:p>
        </w:tc>
      </w:tr>
      <w:tr>
        <w:trPr>
          <w:trHeight w:val="285" w:hRule="atLeast"/>
        </w:trPr>
        <w:tc>
          <w:tcPr>
            <w:tcW w:w="2536" w:type="dxa"/>
          </w:tcPr>
          <w:p>
            <w:pPr>
              <w:pStyle w:val="TableParagraph"/>
              <w:spacing w:before="14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Non-accelerated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filer</w:t>
            </w:r>
          </w:p>
        </w:tc>
        <w:tc>
          <w:tcPr>
            <w:tcW w:w="1145" w:type="dxa"/>
          </w:tcPr>
          <w:p>
            <w:pPr>
              <w:pStyle w:val="TableParagraph"/>
              <w:spacing w:before="1"/>
              <w:ind w:right="295"/>
              <w:rPr>
                <w:rFonts w:ascii="MS UI Gothic" w:hAnsi="MS UI Gothic"/>
                <w:sz w:val="20"/>
              </w:rPr>
            </w:pPr>
            <w:r>
              <w:rPr>
                <w:rFonts w:ascii="MS UI Gothic" w:hAnsi="MS UI Gothic"/>
                <w:w w:val="78"/>
                <w:sz w:val="20"/>
              </w:rPr>
              <w:t>☒</w:t>
            </w:r>
          </w:p>
        </w:tc>
        <w:tc>
          <w:tcPr>
            <w:tcW w:w="3168" w:type="dxa"/>
          </w:tcPr>
          <w:p>
            <w:pPr>
              <w:pStyle w:val="TableParagraph"/>
              <w:spacing w:before="14"/>
              <w:ind w:left="298"/>
              <w:jc w:val="left"/>
              <w:rPr>
                <w:sz w:val="20"/>
              </w:rPr>
            </w:pPr>
            <w:r>
              <w:rPr>
                <w:sz w:val="20"/>
              </w:rPr>
              <w:t>Smaller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reporting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company</w:t>
            </w:r>
          </w:p>
        </w:tc>
        <w:tc>
          <w:tcPr>
            <w:tcW w:w="889" w:type="dxa"/>
          </w:tcPr>
          <w:p>
            <w:pPr>
              <w:pStyle w:val="TableParagraph"/>
              <w:spacing w:before="1"/>
              <w:ind w:right="47"/>
              <w:rPr>
                <w:rFonts w:ascii="MS UI Gothic" w:hAnsi="MS UI Gothic"/>
                <w:sz w:val="20"/>
              </w:rPr>
            </w:pPr>
            <w:r>
              <w:rPr>
                <w:rFonts w:ascii="MS UI Gothic" w:hAnsi="MS UI Gothic"/>
                <w:w w:val="78"/>
                <w:sz w:val="20"/>
              </w:rPr>
              <w:t>☒</w:t>
            </w:r>
          </w:p>
        </w:tc>
      </w:tr>
      <w:tr>
        <w:trPr>
          <w:trHeight w:val="279" w:hRule="atLeast"/>
        </w:trPr>
        <w:tc>
          <w:tcPr>
            <w:tcW w:w="253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168" w:type="dxa"/>
          </w:tcPr>
          <w:p>
            <w:pPr>
              <w:pStyle w:val="TableParagraph"/>
              <w:spacing w:before="14"/>
              <w:ind w:left="298"/>
              <w:jc w:val="left"/>
              <w:rPr>
                <w:sz w:val="20"/>
              </w:rPr>
            </w:pPr>
            <w:r>
              <w:rPr>
                <w:sz w:val="20"/>
              </w:rPr>
              <w:t>Emerging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growth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company</w:t>
            </w:r>
          </w:p>
        </w:tc>
        <w:tc>
          <w:tcPr>
            <w:tcW w:w="889" w:type="dxa"/>
          </w:tcPr>
          <w:p>
            <w:pPr>
              <w:pStyle w:val="TableParagraph"/>
              <w:spacing w:before="1"/>
              <w:ind w:right="47"/>
              <w:rPr>
                <w:rFonts w:ascii="MS UI Gothic" w:hAnsi="MS UI Gothic"/>
                <w:sz w:val="20"/>
              </w:rPr>
            </w:pPr>
            <w:r>
              <w:rPr>
                <w:rFonts w:ascii="MS UI Gothic" w:hAnsi="MS UI Gothic"/>
                <w:w w:val="78"/>
                <w:sz w:val="20"/>
              </w:rPr>
              <w:t>☒</w:t>
            </w:r>
          </w:p>
        </w:tc>
      </w:tr>
    </w:tbl>
    <w:p>
      <w:pPr>
        <w:pStyle w:val="BodyText"/>
        <w:tabs>
          <w:tab w:pos="8590" w:val="left" w:leader="none"/>
          <w:tab w:pos="9457" w:val="left" w:leader="none"/>
        </w:tabs>
        <w:spacing w:line="259" w:lineRule="auto" w:before="107"/>
        <w:ind w:right="621" w:firstLine="0"/>
        <w:rPr>
          <w:rFonts w:ascii="MS UI Gothic" w:hAnsi="MS UI Gothic"/>
        </w:rPr>
      </w:pPr>
      <w:r>
        <w:rPr/>
        <w:t>If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emerging</w:t>
      </w:r>
      <w:r>
        <w:rPr>
          <w:spacing w:val="-2"/>
        </w:rPr>
        <w:t> </w:t>
      </w:r>
      <w:r>
        <w:rPr/>
        <w:t>growth</w:t>
      </w:r>
      <w:r>
        <w:rPr>
          <w:spacing w:val="-2"/>
        </w:rPr>
        <w:t> </w:t>
      </w:r>
      <w:r>
        <w:rPr/>
        <w:t>company,</w:t>
      </w:r>
      <w:r>
        <w:rPr>
          <w:spacing w:val="-3"/>
        </w:rPr>
        <w:t> </w:t>
      </w:r>
      <w:r>
        <w:rPr/>
        <w:t>indicate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check</w:t>
      </w:r>
      <w:r>
        <w:rPr>
          <w:spacing w:val="-2"/>
        </w:rPr>
        <w:t> </w:t>
      </w:r>
      <w:r>
        <w:rPr/>
        <w:t>mark</w:t>
      </w:r>
      <w:r>
        <w:rPr>
          <w:spacing w:val="-3"/>
        </w:rPr>
        <w:t> </w:t>
      </w: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registrant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elected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use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extended</w:t>
      </w:r>
      <w:r>
        <w:rPr>
          <w:spacing w:val="-2"/>
        </w:rPr>
        <w:t> </w:t>
      </w:r>
      <w:r>
        <w:rPr/>
        <w:t>transition</w:t>
      </w:r>
      <w:r>
        <w:rPr>
          <w:spacing w:val="-2"/>
        </w:rPr>
        <w:t> </w:t>
      </w:r>
      <w:r>
        <w:rPr/>
        <w:t>period</w:t>
      </w:r>
      <w:r>
        <w:rPr>
          <w:spacing w:val="-2"/>
        </w:rPr>
        <w:t> </w:t>
      </w:r>
      <w:r>
        <w:rPr/>
        <w:t>for</w:t>
      </w:r>
      <w:r>
        <w:rPr>
          <w:spacing w:val="-47"/>
        </w:rPr>
        <w:t> </w:t>
      </w:r>
      <w:r>
        <w:rPr/>
        <w:t>complying with any new or revised financial accounting standards provided pursuant to Section 13(a) of the Exchange Act. </w:t>
      </w:r>
      <w:r>
        <w:rPr>
          <w:rFonts w:ascii="MS UI Gothic" w:hAnsi="MS UI Gothic"/>
        </w:rPr>
        <w:t>☐</w:t>
      </w:r>
      <w:r>
        <w:rPr>
          <w:rFonts w:ascii="MS UI Gothic" w:hAnsi="MS UI Gothic"/>
          <w:spacing w:val="1"/>
        </w:rPr>
        <w:t> </w:t>
      </w:r>
      <w:r>
        <w:rPr/>
        <w:t>Indicate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check</w:t>
      </w:r>
      <w:r>
        <w:rPr>
          <w:spacing w:val="-2"/>
        </w:rPr>
        <w:t> </w:t>
      </w:r>
      <w:r>
        <w:rPr/>
        <w:t>mark</w:t>
      </w:r>
      <w:r>
        <w:rPr>
          <w:spacing w:val="-2"/>
        </w:rPr>
        <w:t> </w:t>
      </w:r>
      <w:r>
        <w:rPr/>
        <w:t>whether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registrant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shell</w:t>
      </w:r>
      <w:r>
        <w:rPr>
          <w:spacing w:val="-2"/>
        </w:rPr>
        <w:t> </w:t>
      </w:r>
      <w:r>
        <w:rPr/>
        <w:t>company</w:t>
      </w:r>
      <w:r>
        <w:rPr>
          <w:spacing w:val="-2"/>
        </w:rPr>
        <w:t> </w:t>
      </w:r>
      <w:r>
        <w:rPr/>
        <w:t>(as</w:t>
      </w:r>
      <w:r>
        <w:rPr>
          <w:spacing w:val="-3"/>
        </w:rPr>
        <w:t> </w:t>
      </w:r>
      <w:r>
        <w:rPr/>
        <w:t>defined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Rule</w:t>
      </w:r>
      <w:r>
        <w:rPr>
          <w:spacing w:val="-3"/>
        </w:rPr>
        <w:t> </w:t>
      </w:r>
      <w:r>
        <w:rPr/>
        <w:t>12b-2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Act).</w:t>
        <w:tab/>
        <w:t>Yes</w:t>
      </w:r>
      <w:r>
        <w:rPr>
          <w:spacing w:val="76"/>
        </w:rPr>
        <w:t> </w:t>
      </w:r>
      <w:r>
        <w:rPr>
          <w:rFonts w:ascii="MS UI Gothic" w:hAnsi="MS UI Gothic"/>
        </w:rPr>
        <w:t>☐</w:t>
        <w:tab/>
      </w:r>
      <w:r>
        <w:rPr/>
        <w:t>No</w:t>
      </w:r>
      <w:r>
        <w:rPr>
          <w:spacing w:val="41"/>
        </w:rPr>
        <w:t> </w:t>
      </w:r>
      <w:r>
        <w:rPr>
          <w:rFonts w:ascii="MS UI Gothic" w:hAnsi="MS UI Gothic"/>
        </w:rPr>
        <w:t>☒</w:t>
      </w:r>
    </w:p>
    <w:p>
      <w:pPr>
        <w:pStyle w:val="BodyText"/>
        <w:spacing w:before="5"/>
        <w:ind w:left="0" w:firstLine="0"/>
        <w:rPr>
          <w:rFonts w:ascii="MS UI Gothic"/>
          <w:sz w:val="26"/>
        </w:rPr>
      </w:pPr>
    </w:p>
    <w:p>
      <w:pPr>
        <w:pStyle w:val="BodyText"/>
        <w:spacing w:before="0"/>
        <w:ind w:firstLine="0"/>
      </w:pPr>
      <w:r>
        <w:rPr/>
        <w:t>The</w:t>
      </w:r>
      <w:r>
        <w:rPr>
          <w:spacing w:val="-3"/>
        </w:rPr>
        <w:t> </w:t>
      </w:r>
      <w:r>
        <w:rPr/>
        <w:t>registrant</w:t>
      </w:r>
      <w:r>
        <w:rPr>
          <w:spacing w:val="-3"/>
        </w:rPr>
        <w:t> </w:t>
      </w:r>
      <w:r>
        <w:rPr/>
        <w:t>had</w:t>
      </w:r>
      <w:r>
        <w:rPr>
          <w:spacing w:val="-2"/>
        </w:rPr>
        <w:t> </w:t>
      </w:r>
      <w:r>
        <w:rPr/>
        <w:t>outstanding</w:t>
      </w:r>
      <w:r>
        <w:rPr>
          <w:spacing w:val="-2"/>
        </w:rPr>
        <w:t> </w:t>
      </w:r>
      <w:r>
        <w:rPr/>
        <w:t>43,496,831</w:t>
      </w:r>
      <w:r>
        <w:rPr>
          <w:spacing w:val="-2"/>
        </w:rPr>
        <w:t> </w:t>
      </w:r>
      <w:r>
        <w:rPr/>
        <w:t>shares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common</w:t>
      </w:r>
      <w:r>
        <w:rPr>
          <w:spacing w:val="-2"/>
        </w:rPr>
        <w:t> </w:t>
      </w:r>
      <w:r>
        <w:rPr/>
        <w:t>stock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October</w:t>
      </w:r>
      <w:r>
        <w:rPr>
          <w:spacing w:val="-2"/>
        </w:rPr>
        <w:t> </w:t>
      </w:r>
      <w:r>
        <w:rPr/>
        <w:t>31,</w:t>
      </w:r>
      <w:r>
        <w:rPr>
          <w:spacing w:val="-2"/>
        </w:rPr>
        <w:t> </w:t>
      </w:r>
      <w:r>
        <w:rPr/>
        <w:t>2021.</w:t>
      </w:r>
    </w:p>
    <w:p>
      <w:pPr>
        <w:pStyle w:val="BodyText"/>
        <w:spacing w:before="6"/>
        <w:ind w:left="0" w:firstLine="0"/>
        <w:rPr>
          <w:sz w:val="15"/>
        </w:rPr>
      </w:pPr>
      <w:r>
        <w:rPr/>
        <w:pict>
          <v:group style="position:absolute;margin-left:36pt;margin-top:10.124268pt;width:540pt;height:2pt;mso-position-horizontal-relative:page;mso-position-vertical-relative:paragraph;z-index:-15728640;mso-wrap-distance-left:0;mso-wrap-distance-right:0" id="docshapegroup4" coordorigin="720,202" coordsize="10800,40">
            <v:shape style="position:absolute;left:720;top:222;width:10800;height:2" id="docshape5" coordorigin="720,222" coordsize="10800,0" path="m11520,222l720,222e" filled="true" fillcolor="#000000" stroked="false">
              <v:path arrowok="t"/>
              <v:fill opacity="0f" type="solid"/>
            </v:shape>
            <v:line style="position:absolute" from="720,222" to="11520,222" stroked="true" strokeweight="2pt" strokecolor="#000000">
              <v:stroke dashstyle="solid"/>
            </v:line>
            <w10:wrap type="topAndBottom"/>
          </v:group>
        </w:pict>
      </w:r>
    </w:p>
    <w:p>
      <w:pPr>
        <w:spacing w:after="0"/>
        <w:rPr>
          <w:sz w:val="15"/>
        </w:rPr>
        <w:sectPr>
          <w:type w:val="continuous"/>
          <w:pgSz w:w="12240" w:h="15840"/>
          <w:pgMar w:top="800" w:bottom="280" w:left="620" w:right="620"/>
        </w:sectPr>
      </w:pPr>
    </w:p>
    <w:tbl>
      <w:tblPr>
        <w:tblW w:w="0" w:type="auto"/>
        <w:jc w:val="left"/>
        <w:tblInd w:w="8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0"/>
        <w:gridCol w:w="7960"/>
        <w:gridCol w:w="578"/>
      </w:tblGrid>
      <w:tr>
        <w:trPr>
          <w:trHeight w:val="740" w:hRule="atLeast"/>
        </w:trPr>
        <w:tc>
          <w:tcPr>
            <w:tcW w:w="820" w:type="dxa"/>
            <w:vMerge w:val="restart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60" w:type="dxa"/>
          </w:tcPr>
          <w:p>
            <w:pPr>
              <w:pStyle w:val="TableParagraph"/>
              <w:spacing w:line="219" w:lineRule="exact"/>
              <w:ind w:left="1997" w:right="2234"/>
              <w:jc w:val="center"/>
              <w:rPr>
                <w:b/>
                <w:sz w:val="20"/>
              </w:rPr>
            </w:pPr>
            <w:bookmarkStart w:name="Table of Contents" w:id="2"/>
            <w:bookmarkEnd w:id="2"/>
            <w:r>
              <w:rPr/>
            </w:r>
            <w:r>
              <w:rPr>
                <w:b/>
                <w:sz w:val="20"/>
              </w:rPr>
              <w:t>PROCEPT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BioRobotics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Corporation</w:t>
            </w:r>
          </w:p>
          <w:p>
            <w:pPr>
              <w:pStyle w:val="TableParagraph"/>
              <w:spacing w:before="190"/>
              <w:ind w:left="1997" w:right="22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10-Q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QUARTERLY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REPORT</w:t>
            </w:r>
          </w:p>
        </w:tc>
        <w:tc>
          <w:tcPr>
            <w:tcW w:w="578" w:type="dxa"/>
            <w:vMerge w:val="restart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420" w:hRule="atLeast"/>
        </w:trPr>
        <w:tc>
          <w:tcPr>
            <w:tcW w:w="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>
            <w:pPr>
              <w:pStyle w:val="TableParagraph"/>
              <w:spacing w:before="88"/>
              <w:ind w:left="1997" w:right="22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Quarter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Ended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September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30,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2021</w:t>
            </w:r>
          </w:p>
        </w:tc>
        <w:tc>
          <w:tcPr>
            <w:tcW w:w="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>
            <w:pPr>
              <w:pStyle w:val="TableParagraph"/>
              <w:spacing w:before="88"/>
              <w:ind w:left="1997" w:right="22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TABLE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CONTENTS</w:t>
            </w:r>
          </w:p>
        </w:tc>
        <w:tc>
          <w:tcPr>
            <w:tcW w:w="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1" w:hRule="atLeast"/>
        </w:trPr>
        <w:tc>
          <w:tcPr>
            <w:tcW w:w="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18"/>
              <w:ind w:right="9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Page</w:t>
            </w:r>
          </w:p>
        </w:tc>
      </w:tr>
      <w:tr>
        <w:trPr>
          <w:trHeight w:val="275" w:hRule="atLeast"/>
        </w:trPr>
        <w:tc>
          <w:tcPr>
            <w:tcW w:w="820" w:type="dxa"/>
            <w:shd w:val="clear" w:color="auto" w:fill="CCEDFF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60" w:type="dxa"/>
            <w:shd w:val="clear" w:color="auto" w:fill="CCEDFF"/>
          </w:tcPr>
          <w:p>
            <w:pPr>
              <w:pStyle w:val="TableParagraph"/>
              <w:spacing w:before="12"/>
              <w:ind w:left="1997" w:right="2235"/>
              <w:jc w:val="center"/>
              <w:rPr>
                <w:sz w:val="20"/>
              </w:rPr>
            </w:pPr>
            <w:hyperlink w:history="true" w:anchor="_bookmark0">
              <w:r>
                <w:rPr>
                  <w:color w:val="0000FF"/>
                  <w:sz w:val="20"/>
                  <w:u w:val="single" w:color="0000FF"/>
                </w:rPr>
                <w:t>Part</w:t>
              </w:r>
              <w:r>
                <w:rPr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I.</w:t>
              </w:r>
              <w:r>
                <w:rPr>
                  <w:color w:val="0000FF"/>
                  <w:spacing w:val="-3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Financial</w:t>
              </w:r>
              <w:r>
                <w:rPr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Information</w:t>
              </w:r>
            </w:hyperlink>
          </w:p>
        </w:tc>
        <w:tc>
          <w:tcPr>
            <w:tcW w:w="578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820" w:type="dxa"/>
          </w:tcPr>
          <w:p>
            <w:pPr>
              <w:pStyle w:val="TableParagraph"/>
              <w:spacing w:before="22"/>
              <w:ind w:left="52"/>
              <w:jc w:val="left"/>
              <w:rPr>
                <w:sz w:val="20"/>
              </w:rPr>
            </w:pPr>
            <w:hyperlink w:history="true" w:anchor="_bookmark1">
              <w:r>
                <w:rPr>
                  <w:color w:val="0000FF"/>
                  <w:sz w:val="20"/>
                  <w:u w:val="single" w:color="0000FF"/>
                </w:rPr>
                <w:t>Item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1.</w:t>
              </w:r>
            </w:hyperlink>
          </w:p>
        </w:tc>
        <w:tc>
          <w:tcPr>
            <w:tcW w:w="7960" w:type="dxa"/>
          </w:tcPr>
          <w:p>
            <w:pPr>
              <w:pStyle w:val="TableParagraph"/>
              <w:spacing w:before="22"/>
              <w:ind w:left="57"/>
              <w:jc w:val="left"/>
              <w:rPr>
                <w:sz w:val="20"/>
              </w:rPr>
            </w:pPr>
            <w:hyperlink w:history="true" w:anchor="_bookmark1">
              <w:r>
                <w:rPr>
                  <w:color w:val="0000FF"/>
                  <w:sz w:val="20"/>
                  <w:u w:val="single" w:color="0000FF"/>
                </w:rPr>
                <w:t>Condensed</w:t>
              </w:r>
              <w:r>
                <w:rPr>
                  <w:color w:val="0000FF"/>
                  <w:spacing w:val="-1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Consolidated</w:t>
              </w:r>
              <w:r>
                <w:rPr>
                  <w:color w:val="0000FF"/>
                  <w:spacing w:val="-1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Financial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Statements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(unaudited)</w:t>
              </w:r>
            </w:hyperlink>
            <w:r>
              <w:rPr>
                <w:color w:val="0000FF"/>
                <w:spacing w:val="4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</w:p>
        </w:tc>
        <w:tc>
          <w:tcPr>
            <w:tcW w:w="578" w:type="dxa"/>
          </w:tcPr>
          <w:p>
            <w:pPr>
              <w:pStyle w:val="TableParagraph"/>
              <w:spacing w:before="22"/>
              <w:ind w:right="48"/>
              <w:rPr>
                <w:sz w:val="20"/>
              </w:rPr>
            </w:pPr>
            <w:hyperlink w:history="true" w:anchor="_bookmark2">
              <w:r>
                <w:rPr>
                  <w:color w:val="0000FF"/>
                  <w:sz w:val="20"/>
                  <w:u w:val="single" w:color="0000FF"/>
                </w:rPr>
                <w:t>5</w:t>
              </w:r>
            </w:hyperlink>
          </w:p>
        </w:tc>
      </w:tr>
      <w:tr>
        <w:trPr>
          <w:trHeight w:val="285" w:hRule="atLeast"/>
        </w:trPr>
        <w:tc>
          <w:tcPr>
            <w:tcW w:w="820" w:type="dxa"/>
            <w:shd w:val="clear" w:color="auto" w:fill="CCEDFF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60" w:type="dxa"/>
            <w:shd w:val="clear" w:color="auto" w:fill="CCEDFF"/>
          </w:tcPr>
          <w:p>
            <w:pPr>
              <w:pStyle w:val="TableParagraph"/>
              <w:spacing w:before="22"/>
              <w:ind w:left="57"/>
              <w:jc w:val="left"/>
              <w:rPr>
                <w:sz w:val="20"/>
              </w:rPr>
            </w:pPr>
            <w:hyperlink w:history="true" w:anchor="_bookmark2">
              <w:r>
                <w:rPr>
                  <w:color w:val="0000FF"/>
                  <w:sz w:val="20"/>
                  <w:u w:val="single" w:color="0000FF"/>
                </w:rPr>
                <w:t>Condensed</w:t>
              </w:r>
              <w:r>
                <w:rPr>
                  <w:color w:val="0000FF"/>
                  <w:spacing w:val="-1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Consolidated Balance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Sheet</w:t>
              </w:r>
            </w:hyperlink>
            <w:r>
              <w:rPr>
                <w:color w:val="0000FF"/>
                <w:spacing w:val="45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</w:p>
        </w:tc>
        <w:tc>
          <w:tcPr>
            <w:tcW w:w="578" w:type="dxa"/>
            <w:shd w:val="clear" w:color="auto" w:fill="CCEDFF"/>
          </w:tcPr>
          <w:p>
            <w:pPr>
              <w:pStyle w:val="TableParagraph"/>
              <w:spacing w:before="22"/>
              <w:ind w:right="48"/>
              <w:rPr>
                <w:sz w:val="20"/>
              </w:rPr>
            </w:pPr>
            <w:hyperlink w:history="true" w:anchor="_bookmark2">
              <w:r>
                <w:rPr>
                  <w:color w:val="0000FF"/>
                  <w:sz w:val="20"/>
                  <w:u w:val="single" w:color="0000FF"/>
                </w:rPr>
                <w:t>5</w:t>
              </w:r>
            </w:hyperlink>
          </w:p>
        </w:tc>
      </w:tr>
      <w:tr>
        <w:trPr>
          <w:trHeight w:val="285" w:hRule="atLeast"/>
        </w:trPr>
        <w:tc>
          <w:tcPr>
            <w:tcW w:w="82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60" w:type="dxa"/>
          </w:tcPr>
          <w:p>
            <w:pPr>
              <w:pStyle w:val="TableParagraph"/>
              <w:spacing w:before="22"/>
              <w:ind w:left="57"/>
              <w:jc w:val="left"/>
              <w:rPr>
                <w:sz w:val="20"/>
              </w:rPr>
            </w:pPr>
            <w:hyperlink w:history="true" w:anchor="_bookmark3">
              <w:r>
                <w:rPr>
                  <w:color w:val="0000FF"/>
                  <w:sz w:val="20"/>
                  <w:u w:val="single" w:color="0000FF"/>
                </w:rPr>
                <w:t>Condensed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Consolidated</w:t>
              </w:r>
              <w:r>
                <w:rPr>
                  <w:color w:val="0000FF"/>
                  <w:spacing w:val="-1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Statements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of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Operations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Comprehensive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Loss</w:t>
              </w:r>
            </w:hyperlink>
            <w:r>
              <w:rPr>
                <w:color w:val="0000FF"/>
                <w:spacing w:val="34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2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2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2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2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</w:p>
        </w:tc>
        <w:tc>
          <w:tcPr>
            <w:tcW w:w="578" w:type="dxa"/>
          </w:tcPr>
          <w:p>
            <w:pPr>
              <w:pStyle w:val="TableParagraph"/>
              <w:spacing w:before="22"/>
              <w:ind w:right="48"/>
              <w:rPr>
                <w:sz w:val="20"/>
              </w:rPr>
            </w:pPr>
            <w:hyperlink w:history="true" w:anchor="_bookmark3">
              <w:r>
                <w:rPr>
                  <w:color w:val="0000FF"/>
                  <w:sz w:val="20"/>
                  <w:u w:val="single" w:color="0000FF"/>
                </w:rPr>
                <w:t>6</w:t>
              </w:r>
            </w:hyperlink>
          </w:p>
        </w:tc>
      </w:tr>
      <w:tr>
        <w:trPr>
          <w:trHeight w:val="525" w:hRule="atLeast"/>
        </w:trPr>
        <w:tc>
          <w:tcPr>
            <w:tcW w:w="820" w:type="dxa"/>
            <w:shd w:val="clear" w:color="auto" w:fill="CCEDFF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60" w:type="dxa"/>
            <w:shd w:val="clear" w:color="auto" w:fill="CCEDFF"/>
          </w:tcPr>
          <w:p>
            <w:pPr>
              <w:pStyle w:val="TableParagraph"/>
              <w:spacing w:line="208" w:lineRule="auto" w:before="86"/>
              <w:ind w:left="57" w:right="2"/>
              <w:jc w:val="left"/>
              <w:rPr>
                <w:sz w:val="20"/>
              </w:rPr>
            </w:pPr>
            <w:hyperlink w:history="true" w:anchor="_bookmark4">
              <w:r>
                <w:rPr>
                  <w:color w:val="0000FF"/>
                  <w:sz w:val="20"/>
                  <w:u w:val="single" w:color="0000FF"/>
                </w:rPr>
                <w:t>Condensed Consolidated Statements of Redeemable Convertible Preferred Stock and</w:t>
              </w:r>
            </w:hyperlink>
            <w:r>
              <w:rPr>
                <w:color w:val="0000FF"/>
                <w:spacing w:val="1"/>
                <w:sz w:val="20"/>
              </w:rPr>
              <w:t> </w:t>
            </w:r>
            <w:hyperlink w:history="true" w:anchor="_bookmark4">
              <w:r>
                <w:rPr>
                  <w:color w:val="0000FF"/>
                  <w:sz w:val="20"/>
                  <w:u w:val="single" w:color="0000FF"/>
                </w:rPr>
                <w:t>Stockholders’</w:t>
              </w:r>
              <w:r>
                <w:rPr>
                  <w:color w:val="0000FF"/>
                  <w:spacing w:val="-1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Equity (Deficit</w:t>
              </w:r>
            </w:hyperlink>
            <w:r>
              <w:rPr>
                <w:sz w:val="20"/>
              </w:rPr>
              <w:t>)</w:t>
            </w:r>
            <w:r>
              <w:rPr>
                <w:spacing w:val="40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</w:p>
        </w:tc>
        <w:tc>
          <w:tcPr>
            <w:tcW w:w="578" w:type="dxa"/>
            <w:shd w:val="clear" w:color="auto" w:fill="CCEDFF"/>
          </w:tcPr>
          <w:p>
            <w:pPr>
              <w:pStyle w:val="TableParagraph"/>
              <w:spacing w:before="9"/>
              <w:jc w:val="left"/>
              <w:rPr>
                <w:sz w:val="22"/>
              </w:rPr>
            </w:pPr>
          </w:p>
          <w:p>
            <w:pPr>
              <w:pStyle w:val="TableParagraph"/>
              <w:ind w:right="48"/>
              <w:rPr>
                <w:sz w:val="20"/>
              </w:rPr>
            </w:pPr>
            <w:hyperlink w:history="true" w:anchor="_bookmark4">
              <w:r>
                <w:rPr>
                  <w:color w:val="0000FF"/>
                  <w:sz w:val="20"/>
                  <w:u w:val="single" w:color="0000FF"/>
                </w:rPr>
                <w:t>7</w:t>
              </w:r>
            </w:hyperlink>
          </w:p>
        </w:tc>
      </w:tr>
      <w:tr>
        <w:trPr>
          <w:trHeight w:val="285" w:hRule="atLeast"/>
        </w:trPr>
        <w:tc>
          <w:tcPr>
            <w:tcW w:w="82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60" w:type="dxa"/>
          </w:tcPr>
          <w:p>
            <w:pPr>
              <w:pStyle w:val="TableParagraph"/>
              <w:spacing w:before="22"/>
              <w:ind w:left="57"/>
              <w:jc w:val="left"/>
              <w:rPr>
                <w:sz w:val="20"/>
              </w:rPr>
            </w:pPr>
            <w:hyperlink w:history="true" w:anchor="_bookmark4">
              <w:r>
                <w:rPr>
                  <w:color w:val="0000FF"/>
                  <w:sz w:val="20"/>
                  <w:u w:val="single" w:color="0000FF"/>
                </w:rPr>
                <w:t>Condensed</w:t>
              </w:r>
              <w:r>
                <w:rPr>
                  <w:color w:val="0000FF"/>
                  <w:spacing w:val="-1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Consolidated</w:t>
              </w:r>
              <w:r>
                <w:rPr>
                  <w:color w:val="0000FF"/>
                  <w:spacing w:val="-1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Statements</w:t>
              </w:r>
              <w:r>
                <w:rPr>
                  <w:color w:val="0000FF"/>
                  <w:spacing w:val="-1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of</w:t>
              </w:r>
              <w:r>
                <w:rPr>
                  <w:color w:val="0000FF"/>
                  <w:spacing w:val="-1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Cash Flows</w:t>
              </w:r>
              <w:r>
                <w:rPr>
                  <w:color w:val="0000FF"/>
                  <w:spacing w:val="4"/>
                  <w:sz w:val="20"/>
                </w:rPr>
                <w:t> </w:t>
              </w:r>
            </w:hyperlink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</w:p>
        </w:tc>
        <w:tc>
          <w:tcPr>
            <w:tcW w:w="578" w:type="dxa"/>
          </w:tcPr>
          <w:p>
            <w:pPr>
              <w:pStyle w:val="TableParagraph"/>
              <w:spacing w:before="22"/>
              <w:ind w:right="48"/>
              <w:rPr>
                <w:sz w:val="20"/>
              </w:rPr>
            </w:pPr>
            <w:hyperlink w:history="true" w:anchor="_bookmark5">
              <w:r>
                <w:rPr>
                  <w:color w:val="0000FF"/>
                  <w:sz w:val="20"/>
                  <w:u w:val="single" w:color="0000FF"/>
                </w:rPr>
                <w:t>9</w:t>
              </w:r>
            </w:hyperlink>
          </w:p>
        </w:tc>
      </w:tr>
      <w:tr>
        <w:trPr>
          <w:trHeight w:val="285" w:hRule="atLeast"/>
        </w:trPr>
        <w:tc>
          <w:tcPr>
            <w:tcW w:w="820" w:type="dxa"/>
            <w:shd w:val="clear" w:color="auto" w:fill="CCEDFF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60" w:type="dxa"/>
            <w:shd w:val="clear" w:color="auto" w:fill="CCEDFF"/>
          </w:tcPr>
          <w:p>
            <w:pPr>
              <w:pStyle w:val="TableParagraph"/>
              <w:spacing w:before="22"/>
              <w:ind w:left="57"/>
              <w:jc w:val="left"/>
              <w:rPr>
                <w:sz w:val="20"/>
              </w:rPr>
            </w:pPr>
            <w:hyperlink w:history="true" w:anchor="_bookmark6">
              <w:r>
                <w:rPr>
                  <w:color w:val="0000FF"/>
                  <w:sz w:val="20"/>
                  <w:u w:val="single" w:color="0000FF"/>
                </w:rPr>
                <w:t>Notes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to</w:t>
              </w:r>
              <w:r>
                <w:rPr>
                  <w:color w:val="0000FF"/>
                  <w:spacing w:val="-1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Condensed</w:t>
              </w:r>
              <w:r>
                <w:rPr>
                  <w:color w:val="0000FF"/>
                  <w:spacing w:val="-1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Consolidated Financial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Statements</w:t>
              </w:r>
            </w:hyperlink>
            <w:r>
              <w:rPr>
                <w:color w:val="0000FF"/>
                <w:spacing w:val="35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</w:p>
        </w:tc>
        <w:tc>
          <w:tcPr>
            <w:tcW w:w="578" w:type="dxa"/>
            <w:shd w:val="clear" w:color="auto" w:fill="CCEDFF"/>
          </w:tcPr>
          <w:p>
            <w:pPr>
              <w:pStyle w:val="TableParagraph"/>
              <w:spacing w:before="22"/>
              <w:ind w:right="48"/>
              <w:rPr>
                <w:sz w:val="20"/>
              </w:rPr>
            </w:pPr>
            <w:hyperlink w:history="true" w:anchor="_bookmark6">
              <w:r>
                <w:rPr>
                  <w:color w:val="0000FF"/>
                  <w:sz w:val="20"/>
                  <w:u w:val="single" w:color="0000FF"/>
                </w:rPr>
                <w:t>10</w:t>
              </w:r>
            </w:hyperlink>
          </w:p>
        </w:tc>
      </w:tr>
      <w:tr>
        <w:trPr>
          <w:trHeight w:val="285" w:hRule="atLeast"/>
        </w:trPr>
        <w:tc>
          <w:tcPr>
            <w:tcW w:w="820" w:type="dxa"/>
          </w:tcPr>
          <w:p>
            <w:pPr>
              <w:pStyle w:val="TableParagraph"/>
              <w:spacing w:before="22"/>
              <w:ind w:left="52"/>
              <w:jc w:val="left"/>
              <w:rPr>
                <w:sz w:val="20"/>
              </w:rPr>
            </w:pPr>
            <w:hyperlink w:history="true" w:anchor="_bookmark7">
              <w:r>
                <w:rPr>
                  <w:color w:val="0000FF"/>
                  <w:sz w:val="20"/>
                  <w:u w:val="single" w:color="0000FF"/>
                </w:rPr>
                <w:t>Item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2.</w:t>
              </w:r>
            </w:hyperlink>
          </w:p>
        </w:tc>
        <w:tc>
          <w:tcPr>
            <w:tcW w:w="7960" w:type="dxa"/>
          </w:tcPr>
          <w:p>
            <w:pPr>
              <w:pStyle w:val="TableParagraph"/>
              <w:spacing w:before="22"/>
              <w:ind w:left="57"/>
              <w:jc w:val="left"/>
              <w:rPr>
                <w:sz w:val="20"/>
              </w:rPr>
            </w:pPr>
            <w:hyperlink w:history="true" w:anchor="_bookmark7">
              <w:r>
                <w:rPr>
                  <w:color w:val="0000FF"/>
                  <w:sz w:val="20"/>
                  <w:u w:val="single" w:color="0000FF"/>
                </w:rPr>
                <w:t>Management’s</w:t>
              </w:r>
              <w:r>
                <w:rPr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Discussion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and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Analysis</w:t>
              </w:r>
              <w:r>
                <w:rPr>
                  <w:color w:val="0000FF"/>
                  <w:spacing w:val="-3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of</w:t>
              </w:r>
              <w:r>
                <w:rPr>
                  <w:color w:val="0000FF"/>
                  <w:spacing w:val="-3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Financial</w:t>
              </w:r>
              <w:r>
                <w:rPr>
                  <w:color w:val="0000FF"/>
                  <w:spacing w:val="-3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Condition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and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Results</w:t>
              </w:r>
              <w:r>
                <w:rPr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of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Operations</w:t>
              </w:r>
            </w:hyperlink>
            <w:r>
              <w:rPr>
                <w:color w:val="0000FF"/>
                <w:spacing w:val="39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2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3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2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2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2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</w:p>
        </w:tc>
        <w:tc>
          <w:tcPr>
            <w:tcW w:w="578" w:type="dxa"/>
          </w:tcPr>
          <w:p>
            <w:pPr>
              <w:pStyle w:val="TableParagraph"/>
              <w:spacing w:before="22"/>
              <w:ind w:right="48"/>
              <w:rPr>
                <w:sz w:val="20"/>
              </w:rPr>
            </w:pPr>
            <w:hyperlink w:history="true" w:anchor="_bookmark7">
              <w:r>
                <w:rPr>
                  <w:color w:val="0000FF"/>
                  <w:sz w:val="20"/>
                  <w:u w:val="single" w:color="0000FF"/>
                </w:rPr>
                <w:t>33</w:t>
              </w:r>
            </w:hyperlink>
          </w:p>
        </w:tc>
      </w:tr>
      <w:tr>
        <w:trPr>
          <w:trHeight w:val="285" w:hRule="atLeast"/>
        </w:trPr>
        <w:tc>
          <w:tcPr>
            <w:tcW w:w="820" w:type="dxa"/>
            <w:shd w:val="clear" w:color="auto" w:fill="CCEDFF"/>
          </w:tcPr>
          <w:p>
            <w:pPr>
              <w:pStyle w:val="TableParagraph"/>
              <w:spacing w:before="22"/>
              <w:ind w:left="52"/>
              <w:jc w:val="left"/>
              <w:rPr>
                <w:sz w:val="20"/>
              </w:rPr>
            </w:pPr>
            <w:hyperlink w:history="true" w:anchor="_bookmark8">
              <w:r>
                <w:rPr>
                  <w:color w:val="0000FF"/>
                  <w:sz w:val="20"/>
                  <w:u w:val="single" w:color="0000FF"/>
                </w:rPr>
                <w:t>Item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3.</w:t>
              </w:r>
            </w:hyperlink>
          </w:p>
        </w:tc>
        <w:tc>
          <w:tcPr>
            <w:tcW w:w="7960" w:type="dxa"/>
            <w:shd w:val="clear" w:color="auto" w:fill="CCEDFF"/>
          </w:tcPr>
          <w:p>
            <w:pPr>
              <w:pStyle w:val="TableParagraph"/>
              <w:spacing w:before="22"/>
              <w:ind w:left="57"/>
              <w:jc w:val="left"/>
              <w:rPr>
                <w:sz w:val="20"/>
              </w:rPr>
            </w:pPr>
            <w:hyperlink w:history="true" w:anchor="_bookmark8">
              <w:r>
                <w:rPr>
                  <w:color w:val="0000FF"/>
                  <w:sz w:val="20"/>
                  <w:u w:val="single" w:color="0000FF"/>
                </w:rPr>
                <w:t>Quantitative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Qualitative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Disclosure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About</w:t>
              </w:r>
              <w:r>
                <w:rPr>
                  <w:color w:val="0000FF"/>
                  <w:spacing w:val="-1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Market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Risk</w:t>
              </w:r>
            </w:hyperlink>
            <w:r>
              <w:rPr>
                <w:color w:val="0000FF"/>
                <w:spacing w:val="12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</w:p>
        </w:tc>
        <w:tc>
          <w:tcPr>
            <w:tcW w:w="578" w:type="dxa"/>
            <w:shd w:val="clear" w:color="auto" w:fill="CCEDFF"/>
          </w:tcPr>
          <w:p>
            <w:pPr>
              <w:pStyle w:val="TableParagraph"/>
              <w:spacing w:before="22"/>
              <w:ind w:right="48"/>
              <w:rPr>
                <w:sz w:val="20"/>
              </w:rPr>
            </w:pPr>
            <w:hyperlink w:history="true" w:anchor="_bookmark8">
              <w:r>
                <w:rPr>
                  <w:color w:val="0000FF"/>
                  <w:sz w:val="20"/>
                  <w:u w:val="single" w:color="0000FF"/>
                </w:rPr>
                <w:t>43</w:t>
              </w:r>
            </w:hyperlink>
          </w:p>
        </w:tc>
      </w:tr>
      <w:tr>
        <w:trPr>
          <w:trHeight w:val="285" w:hRule="atLeast"/>
        </w:trPr>
        <w:tc>
          <w:tcPr>
            <w:tcW w:w="820" w:type="dxa"/>
          </w:tcPr>
          <w:p>
            <w:pPr>
              <w:pStyle w:val="TableParagraph"/>
              <w:spacing w:before="22"/>
              <w:ind w:left="52"/>
              <w:jc w:val="left"/>
              <w:rPr>
                <w:sz w:val="20"/>
              </w:rPr>
            </w:pPr>
            <w:hyperlink w:history="true" w:anchor="_bookmark9">
              <w:r>
                <w:rPr>
                  <w:color w:val="0000FF"/>
                  <w:sz w:val="20"/>
                  <w:u w:val="single" w:color="0000FF"/>
                </w:rPr>
                <w:t>Item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4.</w:t>
              </w:r>
            </w:hyperlink>
          </w:p>
        </w:tc>
        <w:tc>
          <w:tcPr>
            <w:tcW w:w="7960" w:type="dxa"/>
          </w:tcPr>
          <w:p>
            <w:pPr>
              <w:pStyle w:val="TableParagraph"/>
              <w:spacing w:before="22"/>
              <w:ind w:left="57"/>
              <w:jc w:val="left"/>
              <w:rPr>
                <w:sz w:val="20"/>
              </w:rPr>
            </w:pPr>
            <w:hyperlink w:history="true" w:anchor="_bookmark9">
              <w:r>
                <w:rPr>
                  <w:color w:val="0000FF"/>
                  <w:sz w:val="20"/>
                  <w:u w:val="single" w:color="0000FF"/>
                </w:rPr>
                <w:t>Controls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and Procedures</w:t>
              </w:r>
            </w:hyperlink>
            <w:r>
              <w:rPr>
                <w:color w:val="0000FF"/>
                <w:spacing w:val="9"/>
                <w:sz w:val="20"/>
              </w:rPr>
              <w:t> </w:t>
            </w:r>
            <w:r>
              <w:rPr>
                <w:color w:val="B3B3B3"/>
                <w:sz w:val="20"/>
              </w:rPr>
              <w:t>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</w:p>
        </w:tc>
        <w:tc>
          <w:tcPr>
            <w:tcW w:w="578" w:type="dxa"/>
          </w:tcPr>
          <w:p>
            <w:pPr>
              <w:pStyle w:val="TableParagraph"/>
              <w:spacing w:before="22"/>
              <w:ind w:right="48"/>
              <w:rPr>
                <w:sz w:val="20"/>
              </w:rPr>
            </w:pPr>
            <w:hyperlink w:history="true" w:anchor="_bookmark9">
              <w:r>
                <w:rPr>
                  <w:color w:val="0000FF"/>
                  <w:sz w:val="20"/>
                  <w:u w:val="single" w:color="0000FF"/>
                </w:rPr>
                <w:t>44</w:t>
              </w:r>
            </w:hyperlink>
          </w:p>
        </w:tc>
      </w:tr>
      <w:tr>
        <w:trPr>
          <w:trHeight w:val="285" w:hRule="atLeast"/>
        </w:trPr>
        <w:tc>
          <w:tcPr>
            <w:tcW w:w="820" w:type="dxa"/>
            <w:shd w:val="clear" w:color="auto" w:fill="CCEDFF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60" w:type="dxa"/>
            <w:shd w:val="clear" w:color="auto" w:fill="CCEDFF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78" w:type="dxa"/>
            <w:shd w:val="clear" w:color="auto" w:fill="CCEDFF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82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960" w:type="dxa"/>
          </w:tcPr>
          <w:p>
            <w:pPr>
              <w:pStyle w:val="TableParagraph"/>
              <w:spacing w:before="22"/>
              <w:ind w:left="1997" w:right="2235"/>
              <w:jc w:val="center"/>
              <w:rPr>
                <w:sz w:val="20"/>
              </w:rPr>
            </w:pPr>
            <w:hyperlink w:history="true" w:anchor="_bookmark10">
              <w:r>
                <w:rPr>
                  <w:color w:val="0000FF"/>
                  <w:sz w:val="20"/>
                  <w:u w:val="single" w:color="0000FF"/>
                </w:rPr>
                <w:t>Part</w:t>
              </w:r>
              <w:r>
                <w:rPr>
                  <w:color w:val="0000FF"/>
                  <w:spacing w:val="-4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II.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Other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Information</w:t>
              </w:r>
            </w:hyperlink>
          </w:p>
        </w:tc>
        <w:tc>
          <w:tcPr>
            <w:tcW w:w="57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820" w:type="dxa"/>
            <w:shd w:val="clear" w:color="auto" w:fill="CCEDFF"/>
          </w:tcPr>
          <w:p>
            <w:pPr>
              <w:pStyle w:val="TableParagraph"/>
              <w:spacing w:before="22"/>
              <w:ind w:left="52"/>
              <w:jc w:val="left"/>
              <w:rPr>
                <w:sz w:val="20"/>
              </w:rPr>
            </w:pPr>
            <w:hyperlink w:history="true" w:anchor="_bookmark11">
              <w:r>
                <w:rPr>
                  <w:color w:val="0000FF"/>
                  <w:sz w:val="20"/>
                  <w:u w:val="single" w:color="0000FF"/>
                </w:rPr>
                <w:t>Item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1.</w:t>
              </w:r>
            </w:hyperlink>
          </w:p>
        </w:tc>
        <w:tc>
          <w:tcPr>
            <w:tcW w:w="7960" w:type="dxa"/>
            <w:shd w:val="clear" w:color="auto" w:fill="CCEDFF"/>
          </w:tcPr>
          <w:p>
            <w:pPr>
              <w:pStyle w:val="TableParagraph"/>
              <w:spacing w:before="22"/>
              <w:ind w:left="57"/>
              <w:jc w:val="left"/>
              <w:rPr>
                <w:sz w:val="20"/>
              </w:rPr>
            </w:pPr>
            <w:hyperlink w:history="true" w:anchor="_bookmark11">
              <w:r>
                <w:rPr>
                  <w:color w:val="0000FF"/>
                  <w:sz w:val="20"/>
                  <w:u w:val="single" w:color="0000FF"/>
                </w:rPr>
                <w:t>Legal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Proceedings</w:t>
              </w:r>
            </w:hyperlink>
            <w:r>
              <w:rPr>
                <w:color w:val="0000FF"/>
                <w:spacing w:val="43"/>
                <w:sz w:val="20"/>
              </w:rPr>
              <w:t> </w:t>
            </w:r>
            <w:r>
              <w:rPr>
                <w:color w:val="B3B3B3"/>
                <w:sz w:val="20"/>
              </w:rPr>
              <w:t>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</w:t>
            </w:r>
          </w:p>
        </w:tc>
        <w:tc>
          <w:tcPr>
            <w:tcW w:w="578" w:type="dxa"/>
            <w:shd w:val="clear" w:color="auto" w:fill="CCEDFF"/>
          </w:tcPr>
          <w:p>
            <w:pPr>
              <w:pStyle w:val="TableParagraph"/>
              <w:spacing w:before="22"/>
              <w:ind w:right="48"/>
              <w:rPr>
                <w:sz w:val="20"/>
              </w:rPr>
            </w:pPr>
            <w:hyperlink w:history="true" w:anchor="_bookmark11">
              <w:r>
                <w:rPr>
                  <w:color w:val="0000FF"/>
                  <w:sz w:val="20"/>
                  <w:u w:val="single" w:color="0000FF"/>
                </w:rPr>
                <w:t>46</w:t>
              </w:r>
            </w:hyperlink>
          </w:p>
        </w:tc>
      </w:tr>
      <w:tr>
        <w:trPr>
          <w:trHeight w:val="285" w:hRule="atLeast"/>
        </w:trPr>
        <w:tc>
          <w:tcPr>
            <w:tcW w:w="820" w:type="dxa"/>
          </w:tcPr>
          <w:p>
            <w:pPr>
              <w:pStyle w:val="TableParagraph"/>
              <w:spacing w:before="22"/>
              <w:ind w:left="52"/>
              <w:jc w:val="left"/>
              <w:rPr>
                <w:sz w:val="20"/>
              </w:rPr>
            </w:pPr>
            <w:hyperlink w:history="true" w:anchor="_bookmark12">
              <w:r>
                <w:rPr>
                  <w:color w:val="0000FF"/>
                  <w:sz w:val="20"/>
                  <w:u w:val="single" w:color="0000FF"/>
                </w:rPr>
                <w:t>Item</w:t>
              </w:r>
              <w:r>
                <w:rPr>
                  <w:color w:val="0000FF"/>
                  <w:spacing w:val="-3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1A.</w:t>
              </w:r>
            </w:hyperlink>
          </w:p>
        </w:tc>
        <w:tc>
          <w:tcPr>
            <w:tcW w:w="7960" w:type="dxa"/>
          </w:tcPr>
          <w:p>
            <w:pPr>
              <w:pStyle w:val="TableParagraph"/>
              <w:spacing w:before="22"/>
              <w:ind w:left="57"/>
              <w:jc w:val="left"/>
              <w:rPr>
                <w:sz w:val="20"/>
              </w:rPr>
            </w:pPr>
            <w:hyperlink w:history="true" w:anchor="_bookmark12">
              <w:r>
                <w:rPr>
                  <w:color w:val="0000FF"/>
                  <w:sz w:val="20"/>
                  <w:u w:val="single" w:color="0000FF"/>
                </w:rPr>
                <w:t>Risk</w:t>
              </w:r>
              <w:r>
                <w:rPr>
                  <w:color w:val="0000FF"/>
                  <w:spacing w:val="-1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Factors</w:t>
              </w:r>
              <w:r>
                <w:rPr>
                  <w:color w:val="0000FF"/>
                  <w:spacing w:val="23"/>
                  <w:sz w:val="20"/>
                </w:rPr>
                <w:t> </w:t>
              </w:r>
            </w:hyperlink>
            <w:r>
              <w:rPr>
                <w:color w:val="B3B3B3"/>
                <w:sz w:val="20"/>
              </w:rPr>
              <w:t>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</w:t>
            </w:r>
          </w:p>
        </w:tc>
        <w:tc>
          <w:tcPr>
            <w:tcW w:w="578" w:type="dxa"/>
          </w:tcPr>
          <w:p>
            <w:pPr>
              <w:pStyle w:val="TableParagraph"/>
              <w:spacing w:before="22"/>
              <w:ind w:right="48"/>
              <w:rPr>
                <w:sz w:val="20"/>
              </w:rPr>
            </w:pPr>
            <w:hyperlink w:history="true" w:anchor="_bookmark12">
              <w:r>
                <w:rPr>
                  <w:color w:val="0000FF"/>
                  <w:sz w:val="20"/>
                  <w:u w:val="single" w:color="0000FF"/>
                </w:rPr>
                <w:t>46</w:t>
              </w:r>
            </w:hyperlink>
          </w:p>
        </w:tc>
      </w:tr>
      <w:tr>
        <w:trPr>
          <w:trHeight w:val="285" w:hRule="atLeast"/>
        </w:trPr>
        <w:tc>
          <w:tcPr>
            <w:tcW w:w="820" w:type="dxa"/>
            <w:shd w:val="clear" w:color="auto" w:fill="CCEDFF"/>
          </w:tcPr>
          <w:p>
            <w:pPr>
              <w:pStyle w:val="TableParagraph"/>
              <w:spacing w:before="22"/>
              <w:ind w:left="52"/>
              <w:jc w:val="left"/>
              <w:rPr>
                <w:sz w:val="20"/>
              </w:rPr>
            </w:pPr>
            <w:hyperlink w:history="true" w:anchor="_bookmark13">
              <w:r>
                <w:rPr>
                  <w:color w:val="0000FF"/>
                  <w:sz w:val="20"/>
                  <w:u w:val="single" w:color="0000FF"/>
                </w:rPr>
                <w:t>Item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2.</w:t>
              </w:r>
            </w:hyperlink>
          </w:p>
        </w:tc>
        <w:tc>
          <w:tcPr>
            <w:tcW w:w="7960" w:type="dxa"/>
            <w:shd w:val="clear" w:color="auto" w:fill="CCEDFF"/>
          </w:tcPr>
          <w:p>
            <w:pPr>
              <w:pStyle w:val="TableParagraph"/>
              <w:spacing w:before="22"/>
              <w:ind w:left="57"/>
              <w:jc w:val="left"/>
              <w:rPr>
                <w:sz w:val="20"/>
              </w:rPr>
            </w:pPr>
            <w:hyperlink w:history="true" w:anchor="_bookmark13">
              <w:r>
                <w:rPr>
                  <w:color w:val="0000FF"/>
                  <w:sz w:val="20"/>
                  <w:u w:val="single" w:color="0000FF"/>
                </w:rPr>
                <w:t>Unregistered</w:t>
              </w:r>
              <w:r>
                <w:rPr>
                  <w:color w:val="0000FF"/>
                  <w:spacing w:val="-1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Sales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of</w:t>
              </w:r>
              <w:r>
                <w:rPr>
                  <w:color w:val="0000FF"/>
                  <w:spacing w:val="-1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Equity Securities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and</w:t>
              </w:r>
              <w:r>
                <w:rPr>
                  <w:color w:val="0000FF"/>
                  <w:spacing w:val="-1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Use</w:t>
              </w:r>
              <w:r>
                <w:rPr>
                  <w:color w:val="0000FF"/>
                  <w:spacing w:val="-1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of</w:t>
              </w:r>
              <w:r>
                <w:rPr>
                  <w:color w:val="0000FF"/>
                  <w:spacing w:val="-1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Proceeds</w:t>
              </w:r>
              <w:r>
                <w:rPr>
                  <w:color w:val="0000FF"/>
                  <w:sz w:val="20"/>
                </w:rPr>
                <w:t> </w:t>
              </w:r>
            </w:hyperlink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</w:p>
        </w:tc>
        <w:tc>
          <w:tcPr>
            <w:tcW w:w="578" w:type="dxa"/>
            <w:shd w:val="clear" w:color="auto" w:fill="CCEDFF"/>
          </w:tcPr>
          <w:p>
            <w:pPr>
              <w:pStyle w:val="TableParagraph"/>
              <w:spacing w:before="22"/>
              <w:ind w:right="48"/>
              <w:rPr>
                <w:sz w:val="20"/>
              </w:rPr>
            </w:pPr>
            <w:hyperlink w:history="true" w:anchor="_bookmark13">
              <w:r>
                <w:rPr>
                  <w:color w:val="0000FF"/>
                  <w:sz w:val="20"/>
                  <w:u w:val="single" w:color="0000FF"/>
                </w:rPr>
                <w:t>103</w:t>
              </w:r>
            </w:hyperlink>
          </w:p>
        </w:tc>
      </w:tr>
      <w:tr>
        <w:trPr>
          <w:trHeight w:val="285" w:hRule="atLeast"/>
        </w:trPr>
        <w:tc>
          <w:tcPr>
            <w:tcW w:w="820" w:type="dxa"/>
          </w:tcPr>
          <w:p>
            <w:pPr>
              <w:pStyle w:val="TableParagraph"/>
              <w:spacing w:before="22"/>
              <w:ind w:left="52"/>
              <w:jc w:val="left"/>
              <w:rPr>
                <w:sz w:val="20"/>
              </w:rPr>
            </w:pPr>
            <w:hyperlink w:history="true" w:anchor="_bookmark13">
              <w:r>
                <w:rPr>
                  <w:color w:val="0000FF"/>
                  <w:sz w:val="20"/>
                  <w:u w:val="single" w:color="0000FF"/>
                </w:rPr>
                <w:t>Item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3.</w:t>
              </w:r>
            </w:hyperlink>
          </w:p>
        </w:tc>
        <w:tc>
          <w:tcPr>
            <w:tcW w:w="7960" w:type="dxa"/>
          </w:tcPr>
          <w:p>
            <w:pPr>
              <w:pStyle w:val="TableParagraph"/>
              <w:spacing w:before="22"/>
              <w:ind w:left="57"/>
              <w:jc w:val="left"/>
              <w:rPr>
                <w:sz w:val="20"/>
              </w:rPr>
            </w:pPr>
            <w:hyperlink w:history="true" w:anchor="_bookmark13">
              <w:r>
                <w:rPr>
                  <w:color w:val="0000FF"/>
                  <w:sz w:val="20"/>
                  <w:u w:val="single" w:color="0000FF"/>
                </w:rPr>
                <w:t>Defaults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Upon Senior Securities</w:t>
              </w:r>
            </w:hyperlink>
            <w:r>
              <w:rPr>
                <w:color w:val="0000FF"/>
                <w:spacing w:val="43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</w:p>
        </w:tc>
        <w:tc>
          <w:tcPr>
            <w:tcW w:w="578" w:type="dxa"/>
          </w:tcPr>
          <w:p>
            <w:pPr>
              <w:pStyle w:val="TableParagraph"/>
              <w:spacing w:before="22"/>
              <w:ind w:right="48"/>
              <w:rPr>
                <w:sz w:val="20"/>
              </w:rPr>
            </w:pPr>
            <w:hyperlink w:history="true" w:anchor="_bookmark13">
              <w:r>
                <w:rPr>
                  <w:color w:val="0000FF"/>
                  <w:sz w:val="20"/>
                  <w:u w:val="single" w:color="0000FF"/>
                </w:rPr>
                <w:t>103</w:t>
              </w:r>
            </w:hyperlink>
          </w:p>
        </w:tc>
      </w:tr>
      <w:tr>
        <w:trPr>
          <w:trHeight w:val="285" w:hRule="atLeast"/>
        </w:trPr>
        <w:tc>
          <w:tcPr>
            <w:tcW w:w="820" w:type="dxa"/>
            <w:shd w:val="clear" w:color="auto" w:fill="CCEDFF"/>
          </w:tcPr>
          <w:p>
            <w:pPr>
              <w:pStyle w:val="TableParagraph"/>
              <w:spacing w:before="22"/>
              <w:ind w:left="52"/>
              <w:jc w:val="left"/>
              <w:rPr>
                <w:sz w:val="20"/>
              </w:rPr>
            </w:pPr>
            <w:hyperlink w:history="true" w:anchor="_bookmark13">
              <w:r>
                <w:rPr>
                  <w:color w:val="0000FF"/>
                  <w:sz w:val="20"/>
                  <w:u w:val="single" w:color="0000FF"/>
                </w:rPr>
                <w:t>Item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4.</w:t>
              </w:r>
            </w:hyperlink>
          </w:p>
        </w:tc>
        <w:tc>
          <w:tcPr>
            <w:tcW w:w="7960" w:type="dxa"/>
            <w:shd w:val="clear" w:color="auto" w:fill="CCEDFF"/>
          </w:tcPr>
          <w:p>
            <w:pPr>
              <w:pStyle w:val="TableParagraph"/>
              <w:spacing w:before="22"/>
              <w:ind w:left="57"/>
              <w:jc w:val="left"/>
              <w:rPr>
                <w:sz w:val="20"/>
              </w:rPr>
            </w:pPr>
            <w:hyperlink w:history="true" w:anchor="_bookmark13">
              <w:r>
                <w:rPr>
                  <w:color w:val="0000FF"/>
                  <w:sz w:val="20"/>
                  <w:u w:val="single" w:color="0000FF"/>
                </w:rPr>
                <w:t>Mine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Safety Disclosures</w:t>
              </w:r>
            </w:hyperlink>
            <w:r>
              <w:rPr>
                <w:color w:val="0000FF"/>
                <w:spacing w:val="9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</w:p>
        </w:tc>
        <w:tc>
          <w:tcPr>
            <w:tcW w:w="578" w:type="dxa"/>
            <w:shd w:val="clear" w:color="auto" w:fill="CCEDFF"/>
          </w:tcPr>
          <w:p>
            <w:pPr>
              <w:pStyle w:val="TableParagraph"/>
              <w:spacing w:before="22"/>
              <w:ind w:right="48"/>
              <w:rPr>
                <w:sz w:val="20"/>
              </w:rPr>
            </w:pPr>
            <w:hyperlink w:history="true" w:anchor="_bookmark13">
              <w:r>
                <w:rPr>
                  <w:color w:val="0000FF"/>
                  <w:sz w:val="20"/>
                  <w:u w:val="single" w:color="0000FF"/>
                </w:rPr>
                <w:t>103</w:t>
              </w:r>
            </w:hyperlink>
          </w:p>
        </w:tc>
      </w:tr>
      <w:tr>
        <w:trPr>
          <w:trHeight w:val="285" w:hRule="atLeast"/>
        </w:trPr>
        <w:tc>
          <w:tcPr>
            <w:tcW w:w="820" w:type="dxa"/>
          </w:tcPr>
          <w:p>
            <w:pPr>
              <w:pStyle w:val="TableParagraph"/>
              <w:spacing w:before="22"/>
              <w:ind w:left="52"/>
              <w:jc w:val="left"/>
              <w:rPr>
                <w:sz w:val="20"/>
              </w:rPr>
            </w:pPr>
            <w:hyperlink w:history="true" w:anchor="_bookmark13">
              <w:r>
                <w:rPr>
                  <w:color w:val="0000FF"/>
                  <w:sz w:val="20"/>
                  <w:u w:val="single" w:color="0000FF"/>
                </w:rPr>
                <w:t>Item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5.</w:t>
              </w:r>
            </w:hyperlink>
          </w:p>
        </w:tc>
        <w:tc>
          <w:tcPr>
            <w:tcW w:w="7960" w:type="dxa"/>
          </w:tcPr>
          <w:p>
            <w:pPr>
              <w:pStyle w:val="TableParagraph"/>
              <w:spacing w:before="22"/>
              <w:ind w:left="57"/>
              <w:jc w:val="left"/>
              <w:rPr>
                <w:sz w:val="20"/>
              </w:rPr>
            </w:pPr>
            <w:hyperlink w:history="true" w:anchor="_bookmark13">
              <w:r>
                <w:rPr>
                  <w:color w:val="0000FF"/>
                  <w:sz w:val="20"/>
                  <w:u w:val="single" w:color="0000FF"/>
                </w:rPr>
                <w:t>Other</w:t>
              </w:r>
              <w:r>
                <w:rPr>
                  <w:color w:val="0000FF"/>
                  <w:spacing w:val="-1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Information</w:t>
              </w:r>
            </w:hyperlink>
            <w:r>
              <w:rPr>
                <w:color w:val="0000FF"/>
                <w:spacing w:val="14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</w:t>
            </w:r>
          </w:p>
        </w:tc>
        <w:tc>
          <w:tcPr>
            <w:tcW w:w="578" w:type="dxa"/>
          </w:tcPr>
          <w:p>
            <w:pPr>
              <w:pStyle w:val="TableParagraph"/>
              <w:spacing w:before="22"/>
              <w:ind w:right="48"/>
              <w:rPr>
                <w:sz w:val="20"/>
              </w:rPr>
            </w:pPr>
            <w:hyperlink w:history="true" w:anchor="_bookmark13">
              <w:r>
                <w:rPr>
                  <w:color w:val="0000FF"/>
                  <w:sz w:val="20"/>
                  <w:u w:val="single" w:color="0000FF"/>
                </w:rPr>
                <w:t>103</w:t>
              </w:r>
            </w:hyperlink>
          </w:p>
        </w:tc>
      </w:tr>
      <w:tr>
        <w:trPr>
          <w:trHeight w:val="285" w:hRule="atLeast"/>
        </w:trPr>
        <w:tc>
          <w:tcPr>
            <w:tcW w:w="820" w:type="dxa"/>
            <w:shd w:val="clear" w:color="auto" w:fill="CCEDFF"/>
          </w:tcPr>
          <w:p>
            <w:pPr>
              <w:pStyle w:val="TableParagraph"/>
              <w:spacing w:before="22"/>
              <w:ind w:left="52"/>
              <w:jc w:val="left"/>
              <w:rPr>
                <w:sz w:val="20"/>
              </w:rPr>
            </w:pPr>
            <w:hyperlink w:history="true" w:anchor="_bookmark14">
              <w:r>
                <w:rPr>
                  <w:color w:val="0000FF"/>
                  <w:sz w:val="20"/>
                  <w:u w:val="single" w:color="0000FF"/>
                </w:rPr>
                <w:t>Item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6.</w:t>
              </w:r>
            </w:hyperlink>
          </w:p>
        </w:tc>
        <w:tc>
          <w:tcPr>
            <w:tcW w:w="7960" w:type="dxa"/>
            <w:shd w:val="clear" w:color="auto" w:fill="CCEDFF"/>
          </w:tcPr>
          <w:p>
            <w:pPr>
              <w:pStyle w:val="TableParagraph"/>
              <w:spacing w:before="22"/>
              <w:ind w:left="57"/>
              <w:jc w:val="left"/>
              <w:rPr>
                <w:sz w:val="20"/>
              </w:rPr>
            </w:pPr>
            <w:hyperlink w:history="true" w:anchor="_bookmark14">
              <w:r>
                <w:rPr>
                  <w:color w:val="0000FF"/>
                  <w:sz w:val="20"/>
                  <w:u w:val="single" w:color="0000FF"/>
                </w:rPr>
                <w:t>Exhibits</w:t>
              </w:r>
            </w:hyperlink>
            <w:r>
              <w:rPr>
                <w:color w:val="0000FF"/>
                <w:spacing w:val="8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 . . . .</w:t>
            </w:r>
          </w:p>
        </w:tc>
        <w:tc>
          <w:tcPr>
            <w:tcW w:w="578" w:type="dxa"/>
            <w:shd w:val="clear" w:color="auto" w:fill="CCEDFF"/>
          </w:tcPr>
          <w:p>
            <w:pPr>
              <w:pStyle w:val="TableParagraph"/>
              <w:spacing w:before="22"/>
              <w:ind w:right="48"/>
              <w:rPr>
                <w:sz w:val="20"/>
              </w:rPr>
            </w:pPr>
            <w:hyperlink w:history="true" w:anchor="_bookmark14">
              <w:r>
                <w:rPr>
                  <w:color w:val="0000FF"/>
                  <w:sz w:val="20"/>
                  <w:u w:val="single" w:color="0000FF"/>
                </w:rPr>
                <w:t>104</w:t>
              </w:r>
            </w:hyperlink>
          </w:p>
        </w:tc>
      </w:tr>
      <w:tr>
        <w:trPr>
          <w:trHeight w:val="255" w:hRule="atLeast"/>
        </w:trPr>
        <w:tc>
          <w:tcPr>
            <w:tcW w:w="820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960" w:type="dxa"/>
          </w:tcPr>
          <w:p>
            <w:pPr>
              <w:pStyle w:val="TableParagraph"/>
              <w:spacing w:line="213" w:lineRule="exact" w:before="22"/>
              <w:ind w:left="57"/>
              <w:jc w:val="left"/>
              <w:rPr>
                <w:sz w:val="20"/>
              </w:rPr>
            </w:pPr>
            <w:hyperlink w:history="true" w:anchor="_bookmark15">
              <w:r>
                <w:rPr>
                  <w:color w:val="0000FF"/>
                  <w:sz w:val="20"/>
                  <w:u w:val="single" w:color="0000FF"/>
                </w:rPr>
                <w:t>Signatures</w:t>
              </w:r>
            </w:hyperlink>
            <w:r>
              <w:rPr>
                <w:color w:val="0000FF"/>
                <w:spacing w:val="29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</w:t>
            </w:r>
          </w:p>
        </w:tc>
        <w:tc>
          <w:tcPr>
            <w:tcW w:w="578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</w:tbl>
    <w:p>
      <w:pPr>
        <w:pStyle w:val="BodyText"/>
        <w:spacing w:before="0"/>
        <w:ind w:left="0" w:firstLine="0"/>
      </w:pPr>
    </w:p>
    <w:p>
      <w:pPr>
        <w:pStyle w:val="BodyText"/>
        <w:spacing w:before="2"/>
        <w:ind w:left="0" w:firstLine="0"/>
      </w:pPr>
      <w:r>
        <w:rPr/>
        <w:pict>
          <v:shape style="position:absolute;margin-left:261pt;margin-top:12.799024pt;width:90pt;height:.1pt;mso-position-horizontal-relative:page;mso-position-vertical-relative:paragraph;z-index:-15727104;mso-wrap-distance-left:0;mso-wrap-distance-right:0" id="docshape7" coordorigin="5220,256" coordsize="1800,0" path="m5220,256l7020,256e" filled="false" stroked="true" strokeweight=".4pt" strokecolor="#000000">
            <v:path arrowok="t"/>
            <v:stroke dashstyle="solid"/>
            <w10:wrap type="topAndBottom"/>
          </v:shape>
        </w:pict>
      </w:r>
    </w:p>
    <w:p>
      <w:pPr>
        <w:spacing w:after="0"/>
        <w:sectPr>
          <w:footerReference w:type="default" r:id="rId5"/>
          <w:pgSz w:w="12240" w:h="15840"/>
          <w:pgMar w:footer="831" w:header="0" w:top="1400" w:bottom="1020" w:left="620" w:right="620"/>
          <w:pgNumType w:start="2"/>
        </w:sectPr>
      </w:pPr>
    </w:p>
    <w:p>
      <w:pPr>
        <w:pStyle w:val="Heading1"/>
        <w:spacing w:before="68"/>
      </w:pPr>
      <w:bookmarkStart w:name="Forward-Looking Statements" w:id="3"/>
      <w:bookmarkEnd w:id="3"/>
      <w:r>
        <w:rPr>
          <w:b w:val="0"/>
        </w:rPr>
      </w:r>
      <w:r>
        <w:rPr/>
        <w:t>CAUTIONARY</w:t>
      </w:r>
      <w:r>
        <w:rPr>
          <w:spacing w:val="-12"/>
        </w:rPr>
        <w:t> </w:t>
      </w:r>
      <w:r>
        <w:rPr/>
        <w:t>NOTE</w:t>
      </w:r>
      <w:r>
        <w:rPr>
          <w:spacing w:val="-11"/>
        </w:rPr>
        <w:t> </w:t>
      </w:r>
      <w:r>
        <w:rPr/>
        <w:t>REGARDING</w:t>
      </w:r>
      <w:r>
        <w:rPr>
          <w:spacing w:val="-11"/>
        </w:rPr>
        <w:t> </w:t>
      </w:r>
      <w:r>
        <w:rPr/>
        <w:t>FORWARD-LOOKING</w:t>
      </w:r>
      <w:r>
        <w:rPr>
          <w:spacing w:val="-11"/>
        </w:rPr>
        <w:t> </w:t>
      </w:r>
      <w:r>
        <w:rPr/>
        <w:t>STATEMENTS</w:t>
      </w:r>
    </w:p>
    <w:p>
      <w:pPr>
        <w:pStyle w:val="BodyText"/>
        <w:spacing w:line="249" w:lineRule="auto" w:before="194"/>
        <w:ind w:right="106" w:firstLine="1160"/>
      </w:pPr>
      <w:r>
        <w:rPr/>
        <w:t>This Quarterly Report on Form 10-Q contains forward-looking statements. All statements other than statements of</w:t>
      </w:r>
      <w:r>
        <w:rPr>
          <w:spacing w:val="1"/>
        </w:rPr>
        <w:t> </w:t>
      </w:r>
      <w:r>
        <w:rPr/>
        <w:t>historical facts contained in this Quarterly Report are forward-looking statements. In some cases, you can identify forward-looking</w:t>
      </w:r>
      <w:r>
        <w:rPr>
          <w:spacing w:val="1"/>
        </w:rPr>
        <w:t> </w:t>
      </w:r>
      <w:r>
        <w:rPr/>
        <w:t>statements by terms such as “may,” "can," “will,” “would,” “should,” “expect,” “plan,” “anticipate,” “could,” “intend,” “target,”</w:t>
      </w:r>
      <w:r>
        <w:rPr>
          <w:spacing w:val="1"/>
        </w:rPr>
        <w:t> </w:t>
      </w:r>
      <w:r>
        <w:rPr/>
        <w:t>“project,” “contemplate,” “believe,” “estimate,” “predict,” “potential,” or “continue” or the negative of these terms or other similar</w:t>
      </w:r>
      <w:r>
        <w:rPr>
          <w:spacing w:val="1"/>
        </w:rPr>
        <w:t> </w:t>
      </w:r>
      <w:r>
        <w:rPr/>
        <w:t>expressions, although not all forward-looking statements contain these words. All statements other than statements of historical facts</w:t>
      </w:r>
      <w:r>
        <w:rPr>
          <w:spacing w:val="1"/>
        </w:rPr>
        <w:t> </w:t>
      </w:r>
      <w:r>
        <w:rPr/>
        <w:t>contained in this Quarterly Report, including without limitation statements regarding our business model and strategic plans for our</w:t>
      </w:r>
      <w:r>
        <w:rPr>
          <w:spacing w:val="1"/>
        </w:rPr>
        <w:t> </w:t>
      </w:r>
      <w:r>
        <w:rPr/>
        <w:t>products, technologies and business, including our implementation thereof, the impact on our business, financial condition and results</w:t>
      </w:r>
      <w:r>
        <w:rPr>
          <w:spacing w:val="1"/>
        </w:rPr>
        <w:t> </w:t>
      </w:r>
      <w:r>
        <w:rPr/>
        <w:t>of</w:t>
      </w:r>
      <w:r>
        <w:rPr>
          <w:spacing w:val="-3"/>
        </w:rPr>
        <w:t> </w:t>
      </w:r>
      <w:r>
        <w:rPr/>
        <w:t>operations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ongoing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global</w:t>
      </w:r>
      <w:r>
        <w:rPr>
          <w:spacing w:val="-3"/>
        </w:rPr>
        <w:t> </w:t>
      </w:r>
      <w:r>
        <w:rPr/>
        <w:t>COVID-19</w:t>
      </w:r>
      <w:r>
        <w:rPr>
          <w:spacing w:val="-2"/>
        </w:rPr>
        <w:t> </w:t>
      </w:r>
      <w:r>
        <w:rPr/>
        <w:t>pandemic,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other</w:t>
      </w:r>
      <w:r>
        <w:rPr>
          <w:spacing w:val="-3"/>
        </w:rPr>
        <w:t> </w:t>
      </w:r>
      <w:r>
        <w:rPr/>
        <w:t>pandemic,</w:t>
      </w:r>
      <w:r>
        <w:rPr>
          <w:spacing w:val="-2"/>
        </w:rPr>
        <w:t> </w:t>
      </w:r>
      <w:r>
        <w:rPr/>
        <w:t>epidemic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outbreak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infectious</w:t>
      </w:r>
      <w:r>
        <w:rPr>
          <w:spacing w:val="-3"/>
        </w:rPr>
        <w:t> </w:t>
      </w:r>
      <w:r>
        <w:rPr/>
        <w:t>disease</w:t>
      </w:r>
      <w:r>
        <w:rPr>
          <w:spacing w:val="-47"/>
        </w:rPr>
        <w:t> </w:t>
      </w:r>
      <w:r>
        <w:rPr/>
        <w:t>in the United States or worldwide, the timing of and our ability to obtain and maintain regulatory approvals, our commercialization,</w:t>
      </w:r>
      <w:r>
        <w:rPr>
          <w:spacing w:val="1"/>
        </w:rPr>
        <w:t> </w:t>
      </w:r>
      <w:r>
        <w:rPr/>
        <w:t>marketing and manufacturing capabilities and strategy, our expectations about the commercial success and market acceptance of our</w:t>
      </w:r>
      <w:r>
        <w:rPr>
          <w:spacing w:val="1"/>
        </w:rPr>
        <w:t> </w:t>
      </w:r>
      <w:r>
        <w:rPr/>
        <w:t>products, the sufficiency of our cash, cash equivalents and short-term investments, and the plans and objectives of management for</w:t>
      </w:r>
      <w:r>
        <w:rPr>
          <w:spacing w:val="1"/>
        </w:rPr>
        <w:t> </w:t>
      </w:r>
      <w:r>
        <w:rPr/>
        <w:t>future</w:t>
      </w:r>
      <w:r>
        <w:rPr>
          <w:spacing w:val="-2"/>
        </w:rPr>
        <w:t> </w:t>
      </w:r>
      <w:r>
        <w:rPr/>
        <w:t>operations</w:t>
      </w:r>
      <w:r>
        <w:rPr>
          <w:spacing w:val="-1"/>
        </w:rPr>
        <w:t> </w:t>
      </w:r>
      <w:r>
        <w:rPr/>
        <w:t>and capital</w:t>
      </w:r>
      <w:r>
        <w:rPr>
          <w:spacing w:val="-2"/>
        </w:rPr>
        <w:t> </w:t>
      </w:r>
      <w:r>
        <w:rPr/>
        <w:t>expenditures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forward-looking statements.</w:t>
      </w:r>
    </w:p>
    <w:p>
      <w:pPr>
        <w:pStyle w:val="BodyText"/>
        <w:spacing w:line="249" w:lineRule="auto" w:before="189"/>
        <w:ind w:firstLine="1160"/>
      </w:pPr>
      <w:r>
        <w:rPr/>
        <w:t>The forward-looking statements in this Quarterly Report are only predictions and are based largely on our current</w:t>
      </w:r>
      <w:r>
        <w:rPr>
          <w:spacing w:val="1"/>
        </w:rPr>
        <w:t> </w:t>
      </w:r>
      <w:r>
        <w:rPr/>
        <w:t>expectations and projections about future events and trends that we believe may affect our financial condition, results of operations,</w:t>
      </w:r>
      <w:r>
        <w:rPr>
          <w:spacing w:val="1"/>
        </w:rPr>
        <w:t> </w:t>
      </w:r>
      <w:r>
        <w:rPr/>
        <w:t>business</w:t>
      </w:r>
      <w:r>
        <w:rPr>
          <w:spacing w:val="-5"/>
        </w:rPr>
        <w:t> </w:t>
      </w:r>
      <w:r>
        <w:rPr/>
        <w:t>strategy,</w:t>
      </w:r>
      <w:r>
        <w:rPr>
          <w:spacing w:val="-4"/>
        </w:rPr>
        <w:t> </w:t>
      </w:r>
      <w:r>
        <w:rPr/>
        <w:t>short-term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long-term</w:t>
      </w:r>
      <w:r>
        <w:rPr>
          <w:spacing w:val="-4"/>
        </w:rPr>
        <w:t> </w:t>
      </w:r>
      <w:r>
        <w:rPr/>
        <w:t>business</w:t>
      </w:r>
      <w:r>
        <w:rPr>
          <w:spacing w:val="-5"/>
        </w:rPr>
        <w:t> </w:t>
      </w:r>
      <w:r>
        <w:rPr/>
        <w:t>operations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objectives,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financial</w:t>
      </w:r>
      <w:r>
        <w:rPr>
          <w:spacing w:val="-5"/>
        </w:rPr>
        <w:t> </w:t>
      </w:r>
      <w:r>
        <w:rPr/>
        <w:t>needs.</w:t>
      </w:r>
      <w:r>
        <w:rPr>
          <w:spacing w:val="-4"/>
        </w:rPr>
        <w:t> </w:t>
      </w:r>
      <w:r>
        <w:rPr/>
        <w:t>These</w:t>
      </w:r>
      <w:r>
        <w:rPr>
          <w:spacing w:val="-4"/>
        </w:rPr>
        <w:t> </w:t>
      </w:r>
      <w:r>
        <w:rPr/>
        <w:t>forward-looking</w:t>
      </w:r>
      <w:r>
        <w:rPr>
          <w:spacing w:val="-4"/>
        </w:rPr>
        <w:t> </w:t>
      </w:r>
      <w:r>
        <w:rPr/>
        <w:t>statements</w:t>
      </w:r>
      <w:r>
        <w:rPr>
          <w:spacing w:val="1"/>
        </w:rPr>
        <w:t> </w:t>
      </w:r>
      <w:r>
        <w:rPr/>
        <w:t>speak only as of the date of this Quarterly Report and are subject to a number of known and unknown risks, uncertainties, and</w:t>
      </w:r>
      <w:r>
        <w:rPr>
          <w:spacing w:val="1"/>
        </w:rPr>
        <w:t> </w:t>
      </w:r>
      <w:r>
        <w:rPr/>
        <w:t>assumptions, including those described under the sections in this Quarterly Report entitled “Risk Factors” and “Management’s</w:t>
      </w:r>
      <w:r>
        <w:rPr>
          <w:spacing w:val="1"/>
        </w:rPr>
        <w:t> </w:t>
      </w:r>
      <w:r>
        <w:rPr/>
        <w:t>Discussion and Analysis of Financial Condition and Results of Operations” and elsewhere in this Quarterly Report. Moreover, we</w:t>
      </w:r>
      <w:r>
        <w:rPr>
          <w:spacing w:val="1"/>
        </w:rPr>
        <w:t> </w:t>
      </w:r>
      <w:r>
        <w:rPr/>
        <w:t>operate in a very competitive and rapidly changing environment. New risks emerge from time to time. It is not possible for our</w:t>
      </w:r>
      <w:r>
        <w:rPr>
          <w:spacing w:val="1"/>
        </w:rPr>
        <w:t> </w:t>
      </w:r>
      <w:r>
        <w:rPr/>
        <w:t>management to predict all risks, nor can we assess the impact of all factors on our business or the extent to which any factor, or</w:t>
      </w:r>
      <w:r>
        <w:rPr>
          <w:spacing w:val="1"/>
        </w:rPr>
        <w:t> </w:t>
      </w:r>
      <w:r>
        <w:rPr/>
        <w:t>combination of factors, may cause actual results to differ materially from those contained in any forward-looking statements we may</w:t>
      </w:r>
      <w:r>
        <w:rPr>
          <w:spacing w:val="1"/>
        </w:rPr>
        <w:t> </w:t>
      </w:r>
      <w:r>
        <w:rPr/>
        <w:t>make. In light of these risks, uncertainties, and assumptions, the future events and trends discussed in this Quarterly Report may not</w:t>
      </w:r>
      <w:r>
        <w:rPr>
          <w:spacing w:val="1"/>
        </w:rPr>
        <w:t> </w:t>
      </w:r>
      <w:r>
        <w:rPr/>
        <w:t>occur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actual</w:t>
      </w:r>
      <w:r>
        <w:rPr>
          <w:spacing w:val="-4"/>
        </w:rPr>
        <w:t> </w:t>
      </w:r>
      <w:r>
        <w:rPr/>
        <w:t>results</w:t>
      </w:r>
      <w:r>
        <w:rPr>
          <w:spacing w:val="-3"/>
        </w:rPr>
        <w:t> </w:t>
      </w:r>
      <w:r>
        <w:rPr/>
        <w:t>could</w:t>
      </w:r>
      <w:r>
        <w:rPr>
          <w:spacing w:val="-2"/>
        </w:rPr>
        <w:t> </w:t>
      </w:r>
      <w:r>
        <w:rPr/>
        <w:t>differ</w:t>
      </w:r>
      <w:r>
        <w:rPr>
          <w:spacing w:val="-3"/>
        </w:rPr>
        <w:t> </w:t>
      </w:r>
      <w:r>
        <w:rPr/>
        <w:t>materially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adversely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those</w:t>
      </w:r>
      <w:r>
        <w:rPr>
          <w:spacing w:val="-3"/>
        </w:rPr>
        <w:t> </w:t>
      </w:r>
      <w:r>
        <w:rPr/>
        <w:t>anticipated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implied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forward-looking</w:t>
      </w:r>
      <w:r>
        <w:rPr>
          <w:spacing w:val="-2"/>
        </w:rPr>
        <w:t> </w:t>
      </w:r>
      <w:r>
        <w:rPr/>
        <w:t>statements.</w:t>
      </w:r>
    </w:p>
    <w:p>
      <w:pPr>
        <w:pStyle w:val="BodyText"/>
        <w:spacing w:line="249" w:lineRule="auto" w:before="189"/>
        <w:ind w:right="106" w:firstLine="1160"/>
      </w:pPr>
      <w:r>
        <w:rPr/>
        <w:t>Because forward-looking statements are inherently subject to risks and uncertainties, some of which cannot be predicted</w:t>
      </w:r>
      <w:r>
        <w:rPr>
          <w:spacing w:val="-47"/>
        </w:rPr>
        <w:t> </w:t>
      </w:r>
      <w:r>
        <w:rPr/>
        <w:t>or</w:t>
      </w:r>
      <w:r>
        <w:rPr>
          <w:spacing w:val="-3"/>
        </w:rPr>
        <w:t> </w:t>
      </w:r>
      <w:r>
        <w:rPr/>
        <w:t>quantified,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should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rely</w:t>
      </w:r>
      <w:r>
        <w:rPr>
          <w:spacing w:val="-3"/>
        </w:rPr>
        <w:t> </w:t>
      </w:r>
      <w:r>
        <w:rPr/>
        <w:t>upon</w:t>
      </w:r>
      <w:r>
        <w:rPr>
          <w:spacing w:val="-3"/>
        </w:rPr>
        <w:t> </w:t>
      </w:r>
      <w:r>
        <w:rPr/>
        <w:t>these</w:t>
      </w:r>
      <w:r>
        <w:rPr>
          <w:spacing w:val="-3"/>
        </w:rPr>
        <w:t> </w:t>
      </w:r>
      <w:r>
        <w:rPr/>
        <w:t>forward-looking</w:t>
      </w:r>
      <w:r>
        <w:rPr>
          <w:spacing w:val="-3"/>
        </w:rPr>
        <w:t> </w:t>
      </w:r>
      <w:r>
        <w:rPr/>
        <w:t>statements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predictions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future</w:t>
      </w:r>
      <w:r>
        <w:rPr>
          <w:spacing w:val="-3"/>
        </w:rPr>
        <w:t> </w:t>
      </w:r>
      <w:r>
        <w:rPr/>
        <w:t>events.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events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circumstances</w:t>
      </w:r>
      <w:r>
        <w:rPr>
          <w:spacing w:val="1"/>
        </w:rPr>
        <w:t> </w:t>
      </w:r>
      <w:r>
        <w:rPr/>
        <w:t>reflected in the forward-looking statements may not be achieved or occur. Although we believe that the expectations reflected in the</w:t>
      </w:r>
      <w:r>
        <w:rPr>
          <w:spacing w:val="1"/>
        </w:rPr>
        <w:t> </w:t>
      </w:r>
      <w:r>
        <w:rPr/>
        <w:t>forward-looking statements are reasonable, we cannot guarantee future results, performance, or achievements. Except as required by</w:t>
      </w:r>
      <w:r>
        <w:rPr>
          <w:spacing w:val="1"/>
        </w:rPr>
        <w:t> </w:t>
      </w:r>
      <w:r>
        <w:rPr/>
        <w:t>applicable</w:t>
      </w:r>
      <w:r>
        <w:rPr>
          <w:spacing w:val="-4"/>
        </w:rPr>
        <w:t> </w:t>
      </w:r>
      <w:r>
        <w:rPr/>
        <w:t>law,</w:t>
      </w:r>
      <w:r>
        <w:rPr>
          <w:spacing w:val="-2"/>
        </w:rPr>
        <w:t> </w:t>
      </w:r>
      <w:r>
        <w:rPr/>
        <w:t>we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plan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publicly</w:t>
      </w:r>
      <w:r>
        <w:rPr>
          <w:spacing w:val="-2"/>
        </w:rPr>
        <w:t> </w:t>
      </w:r>
      <w:r>
        <w:rPr/>
        <w:t>update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revise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forward-looking</w:t>
      </w:r>
      <w:r>
        <w:rPr>
          <w:spacing w:val="-2"/>
        </w:rPr>
        <w:t> </w:t>
      </w:r>
      <w:r>
        <w:rPr/>
        <w:t>statements</w:t>
      </w:r>
      <w:r>
        <w:rPr>
          <w:spacing w:val="-3"/>
        </w:rPr>
        <w:t> </w:t>
      </w:r>
      <w:r>
        <w:rPr/>
        <w:t>contained</w:t>
      </w:r>
      <w:r>
        <w:rPr>
          <w:spacing w:val="-3"/>
        </w:rPr>
        <w:t> </w:t>
      </w:r>
      <w:r>
        <w:rPr/>
        <w:t>herein,</w:t>
      </w:r>
      <w:r>
        <w:rPr>
          <w:spacing w:val="-2"/>
        </w:rPr>
        <w:t> </w:t>
      </w:r>
      <w:r>
        <w:rPr/>
        <w:t>whether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result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any</w:t>
      </w:r>
      <w:r>
        <w:rPr>
          <w:spacing w:val="1"/>
        </w:rPr>
        <w:t> </w:t>
      </w:r>
      <w:r>
        <w:rPr/>
        <w:t>new information, future events, changed circumstances or otherwise. We intend the forward-looking statements contained in this</w:t>
      </w:r>
      <w:r>
        <w:rPr>
          <w:spacing w:val="1"/>
        </w:rPr>
        <w:t> </w:t>
      </w:r>
      <w:r>
        <w:rPr/>
        <w:t>Quarterly</w:t>
      </w:r>
      <w:r>
        <w:rPr>
          <w:spacing w:val="1"/>
        </w:rPr>
        <w:t> </w:t>
      </w:r>
      <w:r>
        <w:rPr/>
        <w:t>Report to</w:t>
      </w:r>
      <w:r>
        <w:rPr>
          <w:spacing w:val="2"/>
        </w:rPr>
        <w:t> </w:t>
      </w:r>
      <w:r>
        <w:rPr/>
        <w:t>be covered</w:t>
      </w:r>
      <w:r>
        <w:rPr>
          <w:spacing w:val="2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safe harbor</w:t>
      </w:r>
      <w:r>
        <w:rPr>
          <w:spacing w:val="2"/>
        </w:rPr>
        <w:t> </w:t>
      </w:r>
      <w:r>
        <w:rPr/>
        <w:t>provisions for</w:t>
      </w:r>
      <w:r>
        <w:rPr>
          <w:spacing w:val="2"/>
        </w:rPr>
        <w:t> </w:t>
      </w:r>
      <w:r>
        <w:rPr/>
        <w:t>forward-looking</w:t>
      </w:r>
      <w:r>
        <w:rPr>
          <w:spacing w:val="1"/>
        </w:rPr>
        <w:t> </w:t>
      </w:r>
      <w:r>
        <w:rPr/>
        <w:t>statements</w:t>
      </w:r>
      <w:r>
        <w:rPr>
          <w:spacing w:val="1"/>
        </w:rPr>
        <w:t> </w:t>
      </w:r>
      <w:r>
        <w:rPr/>
        <w:t>contained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Section</w:t>
      </w:r>
      <w:r>
        <w:rPr>
          <w:spacing w:val="2"/>
        </w:rPr>
        <w:t> </w:t>
      </w:r>
      <w:r>
        <w:rPr/>
        <w:t>27A of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Securities Act of 1933, as amended (the “Securities Act”), and Section 21E of the Securities Exchange Act of 1934, as amended (the</w:t>
      </w:r>
      <w:r>
        <w:rPr>
          <w:spacing w:val="1"/>
        </w:rPr>
        <w:t> </w:t>
      </w:r>
      <w:r>
        <w:rPr/>
        <w:t>“Exchange</w:t>
      </w:r>
      <w:r>
        <w:rPr>
          <w:spacing w:val="-2"/>
        </w:rPr>
        <w:t> </w:t>
      </w:r>
      <w:r>
        <w:rPr/>
        <w:t>Act”).</w:t>
      </w:r>
    </w:p>
    <w:p>
      <w:pPr>
        <w:pStyle w:val="Heading1"/>
        <w:spacing w:before="185"/>
      </w:pPr>
      <w:r>
        <w:rPr/>
        <w:t>SUMMARY</w:t>
      </w:r>
      <w:r>
        <w:rPr>
          <w:spacing w:val="-6"/>
        </w:rPr>
        <w:t> </w:t>
      </w:r>
      <w:r>
        <w:rPr/>
        <w:t>RISK</w:t>
      </w:r>
      <w:r>
        <w:rPr>
          <w:spacing w:val="-5"/>
        </w:rPr>
        <w:t> </w:t>
      </w:r>
      <w:r>
        <w:rPr/>
        <w:t>FACTORS</w:t>
      </w:r>
    </w:p>
    <w:p>
      <w:pPr>
        <w:pStyle w:val="BodyText"/>
        <w:spacing w:line="249" w:lineRule="auto" w:before="193"/>
      </w:pPr>
      <w:r>
        <w:rPr/>
        <w:t>Our business is subject to numerous risks and uncertainties, including those described in Part II. Item 1A. “Risk Factors” in this</w:t>
      </w:r>
      <w:r>
        <w:rPr>
          <w:spacing w:val="1"/>
        </w:rPr>
        <w:t> </w:t>
      </w:r>
      <w:r>
        <w:rPr/>
        <w:t>Quarterly</w:t>
      </w:r>
      <w:r>
        <w:rPr>
          <w:spacing w:val="-3"/>
        </w:rPr>
        <w:t> </w:t>
      </w:r>
      <w:r>
        <w:rPr/>
        <w:t>Report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Form</w:t>
      </w:r>
      <w:r>
        <w:rPr>
          <w:spacing w:val="-3"/>
        </w:rPr>
        <w:t> </w:t>
      </w:r>
      <w:r>
        <w:rPr/>
        <w:t>10-Q.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should</w:t>
      </w:r>
      <w:r>
        <w:rPr>
          <w:spacing w:val="-3"/>
        </w:rPr>
        <w:t> </w:t>
      </w:r>
      <w:r>
        <w:rPr/>
        <w:t>carefully</w:t>
      </w:r>
      <w:r>
        <w:rPr>
          <w:spacing w:val="-2"/>
        </w:rPr>
        <w:t> </w:t>
      </w:r>
      <w:r>
        <w:rPr/>
        <w:t>consider</w:t>
      </w:r>
      <w:r>
        <w:rPr>
          <w:spacing w:val="-3"/>
        </w:rPr>
        <w:t> </w:t>
      </w:r>
      <w:r>
        <w:rPr/>
        <w:t>these</w:t>
      </w:r>
      <w:r>
        <w:rPr>
          <w:spacing w:val="-3"/>
        </w:rPr>
        <w:t> </w:t>
      </w:r>
      <w:r>
        <w:rPr/>
        <w:t>risks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uncertainties</w:t>
      </w:r>
      <w:r>
        <w:rPr>
          <w:spacing w:val="-4"/>
        </w:rPr>
        <w:t> </w:t>
      </w:r>
      <w:r>
        <w:rPr/>
        <w:t>when</w:t>
      </w:r>
      <w:r>
        <w:rPr>
          <w:spacing w:val="-2"/>
        </w:rPr>
        <w:t> </w:t>
      </w:r>
      <w:r>
        <w:rPr/>
        <w:t>investing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our</w:t>
      </w:r>
      <w:r>
        <w:rPr>
          <w:spacing w:val="-3"/>
        </w:rPr>
        <w:t> </w:t>
      </w:r>
      <w:r>
        <w:rPr/>
        <w:t>common</w:t>
      </w:r>
      <w:r>
        <w:rPr>
          <w:spacing w:val="-2"/>
        </w:rPr>
        <w:t> </w:t>
      </w:r>
      <w:r>
        <w:rPr/>
        <w:t>stock.</w:t>
      </w:r>
      <w:r>
        <w:rPr>
          <w:spacing w:val="-3"/>
        </w:rPr>
        <w:t> </w:t>
      </w:r>
      <w:r>
        <w:rPr/>
        <w:t>The</w:t>
      </w:r>
      <w:r>
        <w:rPr>
          <w:spacing w:val="-47"/>
        </w:rPr>
        <w:t> </w:t>
      </w:r>
      <w:r>
        <w:rPr/>
        <w:t>principal</w:t>
      </w:r>
      <w:r>
        <w:rPr>
          <w:spacing w:val="-2"/>
        </w:rPr>
        <w:t> </w:t>
      </w:r>
      <w:r>
        <w:rPr/>
        <w:t>risks</w:t>
      </w:r>
      <w:r>
        <w:rPr>
          <w:spacing w:val="-1"/>
        </w:rPr>
        <w:t> </w:t>
      </w:r>
      <w:r>
        <w:rPr/>
        <w:t>and uncertainties</w:t>
      </w:r>
      <w:r>
        <w:rPr>
          <w:spacing w:val="-2"/>
        </w:rPr>
        <w:t> </w:t>
      </w:r>
      <w:r>
        <w:rPr/>
        <w:t>affecting our business</w:t>
      </w:r>
      <w:r>
        <w:rPr>
          <w:spacing w:val="-2"/>
        </w:rPr>
        <w:t> </w:t>
      </w:r>
      <w:r>
        <w:rPr/>
        <w:t>include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following: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  <w:tab w:pos="820" w:val="left" w:leader="none"/>
        </w:tabs>
        <w:spacing w:line="249" w:lineRule="auto" w:before="182" w:after="0"/>
        <w:ind w:left="100" w:right="156" w:firstLine="360"/>
        <w:jc w:val="left"/>
        <w:rPr>
          <w:sz w:val="20"/>
        </w:rPr>
      </w:pPr>
      <w:r>
        <w:rPr>
          <w:sz w:val="20"/>
        </w:rPr>
        <w:t>We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early-stage</w:t>
      </w:r>
      <w:r>
        <w:rPr>
          <w:spacing w:val="-3"/>
          <w:sz w:val="20"/>
        </w:rPr>
        <w:t> </w:t>
      </w:r>
      <w:r>
        <w:rPr>
          <w:sz w:val="20"/>
        </w:rPr>
        <w:t>company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history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significant</w:t>
      </w:r>
      <w:r>
        <w:rPr>
          <w:spacing w:val="-3"/>
          <w:sz w:val="20"/>
        </w:rPr>
        <w:t> </w:t>
      </w:r>
      <w:r>
        <w:rPr>
          <w:sz w:val="20"/>
        </w:rPr>
        <w:t>net</w:t>
      </w:r>
      <w:r>
        <w:rPr>
          <w:spacing w:val="-3"/>
          <w:sz w:val="20"/>
        </w:rPr>
        <w:t> </w:t>
      </w:r>
      <w:r>
        <w:rPr>
          <w:sz w:val="20"/>
        </w:rPr>
        <w:t>losses,</w:t>
      </w:r>
      <w:r>
        <w:rPr>
          <w:spacing w:val="-3"/>
          <w:sz w:val="20"/>
        </w:rPr>
        <w:t> </w:t>
      </w:r>
      <w:r>
        <w:rPr>
          <w:sz w:val="20"/>
        </w:rPr>
        <w:t>we</w:t>
      </w:r>
      <w:r>
        <w:rPr>
          <w:spacing w:val="-3"/>
          <w:sz w:val="20"/>
        </w:rPr>
        <w:t> </w:t>
      </w:r>
      <w:r>
        <w:rPr>
          <w:sz w:val="20"/>
        </w:rPr>
        <w:t>expect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continue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incur</w:t>
      </w:r>
      <w:r>
        <w:rPr>
          <w:spacing w:val="-2"/>
          <w:sz w:val="20"/>
        </w:rPr>
        <w:t> </w:t>
      </w:r>
      <w:r>
        <w:rPr>
          <w:sz w:val="20"/>
        </w:rPr>
        <w:t>operating</w:t>
      </w:r>
      <w:r>
        <w:rPr>
          <w:spacing w:val="-3"/>
          <w:sz w:val="20"/>
        </w:rPr>
        <w:t> </w:t>
      </w:r>
      <w:r>
        <w:rPr>
          <w:sz w:val="20"/>
        </w:rPr>
        <w:t>losses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foreseeable</w:t>
      </w:r>
      <w:r>
        <w:rPr>
          <w:spacing w:val="-2"/>
          <w:sz w:val="20"/>
        </w:rPr>
        <w:t> </w:t>
      </w:r>
      <w:r>
        <w:rPr>
          <w:sz w:val="20"/>
        </w:rPr>
        <w:t>future</w:t>
      </w:r>
      <w:r>
        <w:rPr>
          <w:spacing w:val="-1"/>
          <w:sz w:val="20"/>
        </w:rPr>
        <w:t> </w:t>
      </w:r>
      <w:r>
        <w:rPr>
          <w:sz w:val="20"/>
        </w:rPr>
        <w:t>and we</w:t>
      </w:r>
      <w:r>
        <w:rPr>
          <w:spacing w:val="-2"/>
          <w:sz w:val="20"/>
        </w:rPr>
        <w:t> </w:t>
      </w:r>
      <w:r>
        <w:rPr>
          <w:sz w:val="20"/>
        </w:rPr>
        <w:t>may not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able</w:t>
      </w:r>
      <w:r>
        <w:rPr>
          <w:spacing w:val="-2"/>
          <w:sz w:val="20"/>
        </w:rPr>
        <w:t> </w:t>
      </w:r>
      <w:r>
        <w:rPr>
          <w:sz w:val="20"/>
        </w:rPr>
        <w:t>to achieve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sustain profitability.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  <w:tab w:pos="820" w:val="left" w:leader="none"/>
        </w:tabs>
        <w:spacing w:line="249" w:lineRule="auto" w:before="182" w:after="0"/>
        <w:ind w:left="100" w:right="100" w:firstLine="360"/>
        <w:jc w:val="left"/>
        <w:rPr>
          <w:sz w:val="20"/>
        </w:rPr>
      </w:pP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revenue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primarily</w:t>
      </w:r>
      <w:r>
        <w:rPr>
          <w:spacing w:val="-3"/>
          <w:sz w:val="20"/>
        </w:rPr>
        <w:t> </w:t>
      </w:r>
      <w:r>
        <w:rPr>
          <w:sz w:val="20"/>
        </w:rPr>
        <w:t>generated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sales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AquaBeam</w:t>
      </w:r>
      <w:r>
        <w:rPr>
          <w:spacing w:val="-4"/>
          <w:sz w:val="20"/>
        </w:rPr>
        <w:t> </w:t>
      </w:r>
      <w:r>
        <w:rPr>
          <w:sz w:val="20"/>
        </w:rPr>
        <w:t>Robotic</w:t>
      </w:r>
      <w:r>
        <w:rPr>
          <w:spacing w:val="-4"/>
          <w:sz w:val="20"/>
        </w:rPr>
        <w:t> </w:t>
      </w:r>
      <w:r>
        <w:rPr>
          <w:sz w:val="20"/>
        </w:rPr>
        <w:t>System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accompanying</w:t>
      </w:r>
      <w:r>
        <w:rPr>
          <w:spacing w:val="-3"/>
          <w:sz w:val="20"/>
        </w:rPr>
        <w:t> </w:t>
      </w:r>
      <w:r>
        <w:rPr>
          <w:sz w:val="20"/>
        </w:rPr>
        <w:t>single-use</w:t>
      </w:r>
      <w:r>
        <w:rPr>
          <w:spacing w:val="-4"/>
          <w:sz w:val="20"/>
        </w:rPr>
        <w:t> </w:t>
      </w:r>
      <w:r>
        <w:rPr>
          <w:sz w:val="20"/>
        </w:rPr>
        <w:t>disposable</w:t>
      </w:r>
      <w:r>
        <w:rPr>
          <w:spacing w:val="-47"/>
          <w:sz w:val="20"/>
        </w:rPr>
        <w:t> </w:t>
      </w:r>
      <w:r>
        <w:rPr>
          <w:sz w:val="20"/>
        </w:rPr>
        <w:t>handpieces,</w:t>
      </w:r>
      <w:r>
        <w:rPr>
          <w:spacing w:val="-1"/>
          <w:sz w:val="20"/>
        </w:rPr>
        <w:t> </w:t>
      </w:r>
      <w:r>
        <w:rPr>
          <w:sz w:val="20"/>
        </w:rPr>
        <w:t>and we</w:t>
      </w:r>
      <w:r>
        <w:rPr>
          <w:spacing w:val="-1"/>
          <w:sz w:val="20"/>
        </w:rPr>
        <w:t> </w:t>
      </w:r>
      <w:r>
        <w:rPr>
          <w:sz w:val="20"/>
        </w:rPr>
        <w:t>are</w:t>
      </w:r>
      <w:r>
        <w:rPr>
          <w:spacing w:val="-2"/>
          <w:sz w:val="20"/>
        </w:rPr>
        <w:t> </w:t>
      </w:r>
      <w:r>
        <w:rPr>
          <w:sz w:val="20"/>
        </w:rPr>
        <w:t>therefore</w:t>
      </w:r>
      <w:r>
        <w:rPr>
          <w:spacing w:val="-1"/>
          <w:sz w:val="20"/>
        </w:rPr>
        <w:t> </w:t>
      </w:r>
      <w:r>
        <w:rPr>
          <w:sz w:val="20"/>
        </w:rPr>
        <w:t>highly dependent</w:t>
      </w:r>
      <w:r>
        <w:rPr>
          <w:spacing w:val="-2"/>
          <w:sz w:val="20"/>
        </w:rPr>
        <w:t> </w:t>
      </w:r>
      <w:r>
        <w:rPr>
          <w:sz w:val="20"/>
        </w:rPr>
        <w:t>on the</w:t>
      </w:r>
      <w:r>
        <w:rPr>
          <w:spacing w:val="-1"/>
          <w:sz w:val="20"/>
        </w:rPr>
        <w:t> </w:t>
      </w:r>
      <w:r>
        <w:rPr>
          <w:sz w:val="20"/>
        </w:rPr>
        <w:t>success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those</w:t>
      </w:r>
      <w:r>
        <w:rPr>
          <w:spacing w:val="-1"/>
          <w:sz w:val="20"/>
        </w:rPr>
        <w:t> </w:t>
      </w:r>
      <w:r>
        <w:rPr>
          <w:sz w:val="20"/>
        </w:rPr>
        <w:t>products.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  <w:tab w:pos="820" w:val="left" w:leader="none"/>
        </w:tabs>
        <w:spacing w:line="249" w:lineRule="auto" w:before="182" w:after="0"/>
        <w:ind w:left="100" w:right="312" w:firstLine="360"/>
        <w:jc w:val="left"/>
        <w:rPr>
          <w:sz w:val="20"/>
        </w:rPr>
      </w:pP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quarterly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annual</w:t>
      </w:r>
      <w:r>
        <w:rPr>
          <w:spacing w:val="-4"/>
          <w:sz w:val="20"/>
        </w:rPr>
        <w:t> </w:t>
      </w:r>
      <w:r>
        <w:rPr>
          <w:sz w:val="20"/>
        </w:rPr>
        <w:t>operating</w:t>
      </w:r>
      <w:r>
        <w:rPr>
          <w:spacing w:val="-3"/>
          <w:sz w:val="20"/>
        </w:rPr>
        <w:t> </w:t>
      </w:r>
      <w:r>
        <w:rPr>
          <w:sz w:val="20"/>
        </w:rPr>
        <w:t>results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fluctuate</w:t>
      </w:r>
      <w:r>
        <w:rPr>
          <w:spacing w:val="-4"/>
          <w:sz w:val="20"/>
        </w:rPr>
        <w:t> </w:t>
      </w:r>
      <w:r>
        <w:rPr>
          <w:sz w:val="20"/>
        </w:rPr>
        <w:t>significantly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fully</w:t>
      </w:r>
      <w:r>
        <w:rPr>
          <w:spacing w:val="-3"/>
          <w:sz w:val="20"/>
        </w:rPr>
        <w:t> </w:t>
      </w:r>
      <w:r>
        <w:rPr>
          <w:sz w:val="20"/>
        </w:rPr>
        <w:t>reflect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underlying</w:t>
      </w:r>
      <w:r>
        <w:rPr>
          <w:spacing w:val="-3"/>
          <w:sz w:val="20"/>
        </w:rPr>
        <w:t> </w:t>
      </w:r>
      <w:r>
        <w:rPr>
          <w:sz w:val="20"/>
        </w:rPr>
        <w:t>performance</w:t>
      </w:r>
      <w:r>
        <w:rPr>
          <w:spacing w:val="-47"/>
          <w:sz w:val="20"/>
        </w:rPr>
        <w:t> </w:t>
      </w:r>
      <w:r>
        <w:rPr>
          <w:sz w:val="20"/>
        </w:rPr>
        <w:t>of our business. This makes our future operating results difficult to predict and could cause our operating results to fall below</w:t>
      </w:r>
      <w:r>
        <w:rPr>
          <w:spacing w:val="1"/>
          <w:sz w:val="20"/>
        </w:rPr>
        <w:t> </w:t>
      </w:r>
      <w:r>
        <w:rPr>
          <w:sz w:val="20"/>
        </w:rPr>
        <w:t>expectations</w:t>
      </w:r>
      <w:r>
        <w:rPr>
          <w:spacing w:val="-2"/>
          <w:sz w:val="20"/>
        </w:rPr>
        <w:t> </w:t>
      </w:r>
      <w:r>
        <w:rPr>
          <w:sz w:val="20"/>
        </w:rPr>
        <w:t>or any guidance</w:t>
      </w:r>
      <w:r>
        <w:rPr>
          <w:spacing w:val="-1"/>
          <w:sz w:val="20"/>
        </w:rPr>
        <w:t> </w:t>
      </w:r>
      <w:r>
        <w:rPr>
          <w:sz w:val="20"/>
        </w:rPr>
        <w:t>we</w:t>
      </w:r>
      <w:r>
        <w:rPr>
          <w:spacing w:val="-1"/>
          <w:sz w:val="20"/>
        </w:rPr>
        <w:t> </w:t>
      </w:r>
      <w:r>
        <w:rPr>
          <w:sz w:val="20"/>
        </w:rPr>
        <w:t>may provide.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  <w:tab w:pos="820" w:val="left" w:leader="none"/>
        </w:tabs>
        <w:spacing w:line="249" w:lineRule="auto" w:before="182" w:after="0"/>
        <w:ind w:left="100" w:right="299" w:firstLine="360"/>
        <w:jc w:val="left"/>
        <w:rPr>
          <w:sz w:val="20"/>
        </w:rPr>
      </w:pPr>
      <w:r>
        <w:rPr>
          <w:sz w:val="20"/>
        </w:rPr>
        <w:t>The terms of our loan and security agreement require us to meet certain operating and financial covenants and place</w:t>
      </w:r>
      <w:r>
        <w:rPr>
          <w:spacing w:val="1"/>
          <w:sz w:val="20"/>
        </w:rPr>
        <w:t> </w:t>
      </w:r>
      <w:r>
        <w:rPr>
          <w:sz w:val="20"/>
        </w:rPr>
        <w:t>restrictions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operating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financial</w:t>
      </w:r>
      <w:r>
        <w:rPr>
          <w:spacing w:val="-3"/>
          <w:sz w:val="20"/>
        </w:rPr>
        <w:t> </w:t>
      </w:r>
      <w:r>
        <w:rPr>
          <w:sz w:val="20"/>
        </w:rPr>
        <w:t>flexibility.</w:t>
      </w:r>
      <w:r>
        <w:rPr>
          <w:spacing w:val="-2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we</w:t>
      </w:r>
      <w:r>
        <w:rPr>
          <w:spacing w:val="-3"/>
          <w:sz w:val="20"/>
        </w:rPr>
        <w:t> </w:t>
      </w:r>
      <w:r>
        <w:rPr>
          <w:sz w:val="20"/>
        </w:rPr>
        <w:t>raise</w:t>
      </w:r>
      <w:r>
        <w:rPr>
          <w:spacing w:val="-4"/>
          <w:sz w:val="20"/>
        </w:rPr>
        <w:t> </w:t>
      </w:r>
      <w:r>
        <w:rPr>
          <w:sz w:val="20"/>
        </w:rPr>
        <w:t>additional</w:t>
      </w:r>
      <w:r>
        <w:rPr>
          <w:spacing w:val="-3"/>
          <w:sz w:val="20"/>
        </w:rPr>
        <w:t> </w:t>
      </w:r>
      <w:r>
        <w:rPr>
          <w:sz w:val="20"/>
        </w:rPr>
        <w:t>capital</w:t>
      </w:r>
      <w:r>
        <w:rPr>
          <w:spacing w:val="-4"/>
          <w:sz w:val="20"/>
        </w:rPr>
        <w:t> </w:t>
      </w:r>
      <w:r>
        <w:rPr>
          <w:sz w:val="20"/>
        </w:rPr>
        <w:t>through</w:t>
      </w:r>
      <w:r>
        <w:rPr>
          <w:spacing w:val="-2"/>
          <w:sz w:val="20"/>
        </w:rPr>
        <w:t> </w:t>
      </w:r>
      <w:r>
        <w:rPr>
          <w:sz w:val="20"/>
        </w:rPr>
        <w:t>debt</w:t>
      </w:r>
      <w:r>
        <w:rPr>
          <w:spacing w:val="-3"/>
          <w:sz w:val="20"/>
        </w:rPr>
        <w:t> </w:t>
      </w:r>
      <w:r>
        <w:rPr>
          <w:sz w:val="20"/>
        </w:rPr>
        <w:t>financing,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terms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2"/>
          <w:sz w:val="20"/>
        </w:rPr>
        <w:t> </w:t>
      </w:r>
      <w:r>
        <w:rPr>
          <w:sz w:val="20"/>
        </w:rPr>
        <w:t>new</w:t>
      </w:r>
      <w:r>
        <w:rPr>
          <w:spacing w:val="-4"/>
          <w:sz w:val="20"/>
        </w:rPr>
        <w:t> </w:t>
      </w:r>
      <w:r>
        <w:rPr>
          <w:sz w:val="20"/>
        </w:rPr>
        <w:t>debt</w:t>
      </w:r>
      <w:r>
        <w:rPr>
          <w:spacing w:val="1"/>
          <w:sz w:val="20"/>
        </w:rPr>
        <w:t> </w:t>
      </w:r>
      <w:r>
        <w:rPr>
          <w:sz w:val="20"/>
        </w:rPr>
        <w:t>could</w:t>
      </w:r>
      <w:r>
        <w:rPr>
          <w:spacing w:val="-1"/>
          <w:sz w:val="20"/>
        </w:rPr>
        <w:t> </w:t>
      </w:r>
      <w:r>
        <w:rPr>
          <w:sz w:val="20"/>
        </w:rPr>
        <w:t>further restrict</w:t>
      </w:r>
      <w:r>
        <w:rPr>
          <w:spacing w:val="-1"/>
          <w:sz w:val="20"/>
        </w:rPr>
        <w:t> </w:t>
      </w:r>
      <w:r>
        <w:rPr>
          <w:sz w:val="20"/>
        </w:rPr>
        <w:t>our ability to</w:t>
      </w:r>
      <w:r>
        <w:rPr>
          <w:spacing w:val="-1"/>
          <w:sz w:val="20"/>
        </w:rPr>
        <w:t> </w:t>
      </w:r>
      <w:r>
        <w:rPr>
          <w:sz w:val="20"/>
        </w:rPr>
        <w:t>operate</w:t>
      </w:r>
      <w:r>
        <w:rPr>
          <w:spacing w:val="-1"/>
          <w:sz w:val="20"/>
        </w:rPr>
        <w:t> </w:t>
      </w:r>
      <w:r>
        <w:rPr>
          <w:sz w:val="20"/>
        </w:rPr>
        <w:t>our business.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  <w:tab w:pos="820" w:val="left" w:leader="none"/>
        </w:tabs>
        <w:spacing w:line="249" w:lineRule="auto" w:before="183" w:after="0"/>
        <w:ind w:left="100" w:right="99" w:firstLine="360"/>
        <w:jc w:val="left"/>
        <w:rPr>
          <w:sz w:val="20"/>
        </w:rPr>
      </w:pPr>
      <w:r>
        <w:rPr>
          <w:sz w:val="20"/>
        </w:rPr>
        <w:t>We may need additional funding beyond the proceeds of this offering to finance our planned operations, and may not be able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raise</w:t>
      </w:r>
      <w:r>
        <w:rPr>
          <w:spacing w:val="-3"/>
          <w:sz w:val="20"/>
        </w:rPr>
        <w:t> </w:t>
      </w:r>
      <w:r>
        <w:rPr>
          <w:sz w:val="20"/>
        </w:rPr>
        <w:t>capital</w:t>
      </w:r>
      <w:r>
        <w:rPr>
          <w:spacing w:val="-3"/>
          <w:sz w:val="20"/>
        </w:rPr>
        <w:t> </w:t>
      </w:r>
      <w:r>
        <w:rPr>
          <w:sz w:val="20"/>
        </w:rPr>
        <w:t>when</w:t>
      </w:r>
      <w:r>
        <w:rPr>
          <w:spacing w:val="-2"/>
          <w:sz w:val="20"/>
        </w:rPr>
        <w:t> </w:t>
      </w:r>
      <w:r>
        <w:rPr>
          <w:sz w:val="20"/>
        </w:rPr>
        <w:t>needed,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could</w:t>
      </w:r>
      <w:r>
        <w:rPr>
          <w:spacing w:val="-2"/>
          <w:sz w:val="20"/>
        </w:rPr>
        <w:t> </w:t>
      </w:r>
      <w:r>
        <w:rPr>
          <w:sz w:val="20"/>
        </w:rPr>
        <w:t>force</w:t>
      </w:r>
      <w:r>
        <w:rPr>
          <w:spacing w:val="-3"/>
          <w:sz w:val="20"/>
        </w:rPr>
        <w:t> </w:t>
      </w:r>
      <w:r>
        <w:rPr>
          <w:sz w:val="20"/>
        </w:rPr>
        <w:t>us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delay,</w:t>
      </w:r>
      <w:r>
        <w:rPr>
          <w:spacing w:val="-2"/>
          <w:sz w:val="20"/>
        </w:rPr>
        <w:t> </w:t>
      </w:r>
      <w:r>
        <w:rPr>
          <w:sz w:val="20"/>
        </w:rPr>
        <w:t>reduce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eliminate</w:t>
      </w:r>
      <w:r>
        <w:rPr>
          <w:spacing w:val="-3"/>
          <w:sz w:val="20"/>
        </w:rPr>
        <w:t> </w:t>
      </w:r>
      <w:r>
        <w:rPr>
          <w:sz w:val="20"/>
        </w:rPr>
        <w:t>one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more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our</w:t>
      </w:r>
      <w:r>
        <w:rPr>
          <w:spacing w:val="-2"/>
          <w:sz w:val="20"/>
        </w:rPr>
        <w:t> </w:t>
      </w:r>
      <w:r>
        <w:rPr>
          <w:sz w:val="20"/>
        </w:rPr>
        <w:t>product</w:t>
      </w:r>
      <w:r>
        <w:rPr>
          <w:spacing w:val="-3"/>
          <w:sz w:val="20"/>
        </w:rPr>
        <w:t> </w:t>
      </w:r>
      <w:r>
        <w:rPr>
          <w:sz w:val="20"/>
        </w:rPr>
        <w:t>development</w:t>
      </w:r>
      <w:r>
        <w:rPr>
          <w:spacing w:val="-3"/>
          <w:sz w:val="20"/>
        </w:rPr>
        <w:t> </w:t>
      </w:r>
      <w:r>
        <w:rPr>
          <w:sz w:val="20"/>
        </w:rPr>
        <w:t>programs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future</w:t>
      </w:r>
      <w:r>
        <w:rPr>
          <w:spacing w:val="-2"/>
          <w:sz w:val="20"/>
        </w:rPr>
        <w:t> </w:t>
      </w:r>
      <w:r>
        <w:rPr>
          <w:sz w:val="20"/>
        </w:rPr>
        <w:t>commercialization efforts.</w:t>
      </w:r>
    </w:p>
    <w:p>
      <w:pPr>
        <w:spacing w:after="0" w:line="249" w:lineRule="auto"/>
        <w:jc w:val="left"/>
        <w:rPr>
          <w:sz w:val="20"/>
        </w:rPr>
        <w:sectPr>
          <w:pgSz w:w="12240" w:h="15840"/>
          <w:pgMar w:header="0" w:footer="831" w:top="600" w:bottom="1020" w:left="620" w:right="620"/>
        </w:sectPr>
      </w:pPr>
    </w:p>
    <w:p>
      <w:pPr>
        <w:pStyle w:val="ListParagraph"/>
        <w:numPr>
          <w:ilvl w:val="1"/>
          <w:numId w:val="1"/>
        </w:numPr>
        <w:tabs>
          <w:tab w:pos="819" w:val="left" w:leader="none"/>
          <w:tab w:pos="820" w:val="left" w:leader="none"/>
        </w:tabs>
        <w:spacing w:line="249" w:lineRule="auto" w:before="72" w:after="0"/>
        <w:ind w:left="100" w:right="261" w:firstLine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commercial</w:t>
      </w:r>
      <w:r>
        <w:rPr>
          <w:spacing w:val="-4"/>
          <w:sz w:val="20"/>
        </w:rPr>
        <w:t> </w:t>
      </w:r>
      <w:r>
        <w:rPr>
          <w:sz w:val="20"/>
        </w:rPr>
        <w:t>success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2"/>
          <w:sz w:val="20"/>
        </w:rPr>
        <w:t> </w:t>
      </w:r>
      <w:r>
        <w:rPr>
          <w:sz w:val="20"/>
        </w:rPr>
        <w:t>AquaBeam</w:t>
      </w:r>
      <w:r>
        <w:rPr>
          <w:spacing w:val="-4"/>
          <w:sz w:val="20"/>
        </w:rPr>
        <w:t> </w:t>
      </w:r>
      <w:r>
        <w:rPr>
          <w:sz w:val="20"/>
        </w:rPr>
        <w:t>Robotic</w:t>
      </w:r>
      <w:r>
        <w:rPr>
          <w:spacing w:val="-3"/>
          <w:sz w:val="20"/>
        </w:rPr>
        <w:t> </w:t>
      </w:r>
      <w:r>
        <w:rPr>
          <w:sz w:val="20"/>
        </w:rPr>
        <w:t>System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Aquablation</w:t>
      </w:r>
      <w:r>
        <w:rPr>
          <w:spacing w:val="-3"/>
          <w:sz w:val="20"/>
        </w:rPr>
        <w:t> </w:t>
      </w:r>
      <w:r>
        <w:rPr>
          <w:sz w:val="20"/>
        </w:rPr>
        <w:t>therapy</w:t>
      </w:r>
      <w:r>
        <w:rPr>
          <w:spacing w:val="-3"/>
          <w:sz w:val="20"/>
        </w:rPr>
        <w:t> </w:t>
      </w:r>
      <w:r>
        <w:rPr>
          <w:sz w:val="20"/>
        </w:rPr>
        <w:t>will</w:t>
      </w:r>
      <w:r>
        <w:rPr>
          <w:spacing w:val="-3"/>
          <w:sz w:val="20"/>
        </w:rPr>
        <w:t> </w:t>
      </w:r>
      <w:r>
        <w:rPr>
          <w:sz w:val="20"/>
        </w:rPr>
        <w:t>depend</w:t>
      </w:r>
      <w:r>
        <w:rPr>
          <w:spacing w:val="-3"/>
          <w:sz w:val="20"/>
        </w:rPr>
        <w:t> </w:t>
      </w:r>
      <w:r>
        <w:rPr>
          <w:sz w:val="20"/>
        </w:rPr>
        <w:t>upon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degree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market</w:t>
      </w:r>
      <w:r>
        <w:rPr>
          <w:spacing w:val="-47"/>
          <w:sz w:val="20"/>
        </w:rPr>
        <w:t> </w:t>
      </w:r>
      <w:r>
        <w:rPr>
          <w:sz w:val="20"/>
        </w:rPr>
        <w:t>acceptance</w:t>
      </w:r>
      <w:r>
        <w:rPr>
          <w:spacing w:val="-2"/>
          <w:sz w:val="20"/>
        </w:rPr>
        <w:t> </w:t>
      </w:r>
      <w:r>
        <w:rPr>
          <w:sz w:val="20"/>
        </w:rPr>
        <w:t>of our products</w:t>
      </w:r>
      <w:r>
        <w:rPr>
          <w:spacing w:val="-1"/>
          <w:sz w:val="20"/>
        </w:rPr>
        <w:t> </w:t>
      </w:r>
      <w:r>
        <w:rPr>
          <w:sz w:val="20"/>
        </w:rPr>
        <w:t>among</w:t>
      </w:r>
      <w:r>
        <w:rPr>
          <w:spacing w:val="-1"/>
          <w:sz w:val="20"/>
        </w:rPr>
        <w:t> </w:t>
      </w:r>
      <w:r>
        <w:rPr>
          <w:sz w:val="20"/>
        </w:rPr>
        <w:t>hospitals, surgeons</w:t>
      </w:r>
      <w:r>
        <w:rPr>
          <w:spacing w:val="-1"/>
          <w:sz w:val="20"/>
        </w:rPr>
        <w:t> </w:t>
      </w:r>
      <w:r>
        <w:rPr>
          <w:sz w:val="20"/>
        </w:rPr>
        <w:t>and patients.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  <w:tab w:pos="820" w:val="left" w:leader="none"/>
        </w:tabs>
        <w:spacing w:line="249" w:lineRule="auto" w:before="181" w:after="0"/>
        <w:ind w:left="100" w:right="262" w:firstLine="360"/>
        <w:jc w:val="left"/>
        <w:rPr>
          <w:sz w:val="20"/>
        </w:rPr>
      </w:pPr>
      <w:r>
        <w:rPr>
          <w:sz w:val="20"/>
        </w:rPr>
        <w:t>We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limited</w:t>
      </w:r>
      <w:r>
        <w:rPr>
          <w:spacing w:val="-3"/>
          <w:sz w:val="20"/>
        </w:rPr>
        <w:t> </w:t>
      </w:r>
      <w:r>
        <w:rPr>
          <w:sz w:val="20"/>
        </w:rPr>
        <w:t>experience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training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marketing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selling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2"/>
          <w:sz w:val="20"/>
        </w:rPr>
        <w:t> </w:t>
      </w:r>
      <w:r>
        <w:rPr>
          <w:sz w:val="20"/>
        </w:rPr>
        <w:t>products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we</w:t>
      </w:r>
      <w:r>
        <w:rPr>
          <w:spacing w:val="-4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provide</w:t>
      </w:r>
      <w:r>
        <w:rPr>
          <w:spacing w:val="-4"/>
          <w:sz w:val="20"/>
        </w:rPr>
        <w:t> </w:t>
      </w:r>
      <w:r>
        <w:rPr>
          <w:sz w:val="20"/>
        </w:rPr>
        <w:t>inadequate</w:t>
      </w:r>
      <w:r>
        <w:rPr>
          <w:spacing w:val="-3"/>
          <w:sz w:val="20"/>
        </w:rPr>
        <w:t> </w:t>
      </w:r>
      <w:r>
        <w:rPr>
          <w:sz w:val="20"/>
        </w:rPr>
        <w:t>training,</w:t>
      </w:r>
      <w:r>
        <w:rPr>
          <w:spacing w:val="-3"/>
          <w:sz w:val="20"/>
        </w:rPr>
        <w:t> </w:t>
      </w:r>
      <w:r>
        <w:rPr>
          <w:sz w:val="20"/>
        </w:rPr>
        <w:t>fail</w:t>
      </w:r>
      <w:r>
        <w:rPr>
          <w:spacing w:val="-47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increase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2"/>
          <w:sz w:val="20"/>
        </w:rPr>
        <w:t> </w:t>
      </w:r>
      <w:r>
        <w:rPr>
          <w:sz w:val="20"/>
        </w:rPr>
        <w:t>sales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marketing</w:t>
      </w:r>
      <w:r>
        <w:rPr>
          <w:spacing w:val="-2"/>
          <w:sz w:val="20"/>
        </w:rPr>
        <w:t> </w:t>
      </w:r>
      <w:r>
        <w:rPr>
          <w:sz w:val="20"/>
        </w:rPr>
        <w:t>capabilities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fail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develop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maintain</w:t>
      </w:r>
      <w:r>
        <w:rPr>
          <w:spacing w:val="-2"/>
          <w:sz w:val="20"/>
        </w:rPr>
        <w:t> </w:t>
      </w:r>
      <w:r>
        <w:rPr>
          <w:sz w:val="20"/>
        </w:rPr>
        <w:t>broad</w:t>
      </w:r>
      <w:r>
        <w:rPr>
          <w:spacing w:val="-3"/>
          <w:sz w:val="20"/>
        </w:rPr>
        <w:t> </w:t>
      </w:r>
      <w:r>
        <w:rPr>
          <w:sz w:val="20"/>
        </w:rPr>
        <w:t>brand</w:t>
      </w:r>
      <w:r>
        <w:rPr>
          <w:spacing w:val="-2"/>
          <w:sz w:val="20"/>
        </w:rPr>
        <w:t> </w:t>
      </w:r>
      <w:r>
        <w:rPr>
          <w:sz w:val="20"/>
        </w:rPr>
        <w:t>awareness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cost-effective</w:t>
      </w:r>
      <w:r>
        <w:rPr>
          <w:spacing w:val="-3"/>
          <w:sz w:val="20"/>
        </w:rPr>
        <w:t> </w:t>
      </w:r>
      <w:r>
        <w:rPr>
          <w:sz w:val="20"/>
        </w:rPr>
        <w:t>manner.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  <w:tab w:pos="820" w:val="left" w:leader="none"/>
        </w:tabs>
        <w:spacing w:line="249" w:lineRule="auto" w:before="182" w:after="0"/>
        <w:ind w:left="100" w:right="312" w:firstLine="360"/>
        <w:jc w:val="left"/>
        <w:rPr>
          <w:sz w:val="20"/>
        </w:rPr>
      </w:pPr>
      <w:r>
        <w:rPr>
          <w:sz w:val="20"/>
        </w:rPr>
        <w:t>We</w:t>
      </w:r>
      <w:r>
        <w:rPr>
          <w:spacing w:val="-4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able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obtain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maintain</w:t>
      </w:r>
      <w:r>
        <w:rPr>
          <w:spacing w:val="-2"/>
          <w:sz w:val="20"/>
        </w:rPr>
        <w:t> </w:t>
      </w:r>
      <w:r>
        <w:rPr>
          <w:sz w:val="20"/>
        </w:rPr>
        <w:t>adequate</w:t>
      </w:r>
      <w:r>
        <w:rPr>
          <w:spacing w:val="-3"/>
          <w:sz w:val="20"/>
        </w:rPr>
        <w:t> </w:t>
      </w:r>
      <w:r>
        <w:rPr>
          <w:sz w:val="20"/>
        </w:rPr>
        <w:t>levels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third-party</w:t>
      </w:r>
      <w:r>
        <w:rPr>
          <w:spacing w:val="-3"/>
          <w:sz w:val="20"/>
        </w:rPr>
        <w:t> </w:t>
      </w:r>
      <w:r>
        <w:rPr>
          <w:sz w:val="20"/>
        </w:rPr>
        <w:t>coverage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reimbursement,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third</w:t>
      </w:r>
      <w:r>
        <w:rPr>
          <w:spacing w:val="-3"/>
          <w:sz w:val="20"/>
        </w:rPr>
        <w:t> </w:t>
      </w:r>
      <w:r>
        <w:rPr>
          <w:sz w:val="20"/>
        </w:rPr>
        <w:t>parties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47"/>
          <w:sz w:val="20"/>
        </w:rPr>
        <w:t> </w:t>
      </w:r>
      <w:r>
        <w:rPr>
          <w:sz w:val="20"/>
        </w:rPr>
        <w:t>rescind</w:t>
      </w:r>
      <w:r>
        <w:rPr>
          <w:spacing w:val="-1"/>
          <w:sz w:val="20"/>
        </w:rPr>
        <w:t> </w:t>
      </w:r>
      <w:r>
        <w:rPr>
          <w:sz w:val="20"/>
        </w:rPr>
        <w:t>or modify their</w:t>
      </w:r>
      <w:r>
        <w:rPr>
          <w:spacing w:val="-1"/>
          <w:sz w:val="20"/>
        </w:rPr>
        <w:t> </w:t>
      </w:r>
      <w:r>
        <w:rPr>
          <w:sz w:val="20"/>
        </w:rPr>
        <w:t>coverage</w:t>
      </w:r>
      <w:r>
        <w:rPr>
          <w:spacing w:val="-1"/>
          <w:sz w:val="20"/>
        </w:rPr>
        <w:t> </w:t>
      </w:r>
      <w:r>
        <w:rPr>
          <w:sz w:val="20"/>
        </w:rPr>
        <w:t>or delay payments</w:t>
      </w:r>
      <w:r>
        <w:rPr>
          <w:spacing w:val="-2"/>
          <w:sz w:val="20"/>
        </w:rPr>
        <w:t> </w:t>
      </w:r>
      <w:r>
        <w:rPr>
          <w:sz w:val="20"/>
        </w:rPr>
        <w:t>related to our products.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  <w:tab w:pos="820" w:val="left" w:leader="none"/>
        </w:tabs>
        <w:spacing w:line="240" w:lineRule="auto" w:before="182" w:after="0"/>
        <w:ind w:left="820" w:right="0" w:hanging="360"/>
        <w:jc w:val="left"/>
        <w:rPr>
          <w:sz w:val="20"/>
        </w:rPr>
      </w:pPr>
      <w:r>
        <w:rPr>
          <w:sz w:val="20"/>
        </w:rPr>
        <w:t>We</w:t>
      </w:r>
      <w:r>
        <w:rPr>
          <w:spacing w:val="-4"/>
          <w:sz w:val="20"/>
        </w:rPr>
        <w:t> </w:t>
      </w:r>
      <w:r>
        <w:rPr>
          <w:sz w:val="20"/>
        </w:rPr>
        <w:t>face</w:t>
      </w:r>
      <w:r>
        <w:rPr>
          <w:spacing w:val="-4"/>
          <w:sz w:val="20"/>
        </w:rPr>
        <w:t> </w:t>
      </w:r>
      <w:r>
        <w:rPr>
          <w:sz w:val="20"/>
        </w:rPr>
        <w:t>competition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many</w:t>
      </w:r>
      <w:r>
        <w:rPr>
          <w:spacing w:val="-3"/>
          <w:sz w:val="20"/>
        </w:rPr>
        <w:t> </w:t>
      </w:r>
      <w:r>
        <w:rPr>
          <w:sz w:val="20"/>
        </w:rPr>
        <w:t>sources,</w:t>
      </w:r>
      <w:r>
        <w:rPr>
          <w:spacing w:val="-3"/>
          <w:sz w:val="20"/>
        </w:rPr>
        <w:t> </w:t>
      </w:r>
      <w:r>
        <w:rPr>
          <w:sz w:val="20"/>
        </w:rPr>
        <w:t>including</w:t>
      </w:r>
      <w:r>
        <w:rPr>
          <w:spacing w:val="-3"/>
          <w:sz w:val="20"/>
        </w:rPr>
        <w:t> </w:t>
      </w:r>
      <w:r>
        <w:rPr>
          <w:sz w:val="20"/>
        </w:rPr>
        <w:t>larger</w:t>
      </w:r>
      <w:r>
        <w:rPr>
          <w:spacing w:val="-3"/>
          <w:sz w:val="20"/>
        </w:rPr>
        <w:t> </w:t>
      </w:r>
      <w:r>
        <w:rPr>
          <w:sz w:val="20"/>
        </w:rPr>
        <w:t>companies,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we</w:t>
      </w:r>
      <w:r>
        <w:rPr>
          <w:spacing w:val="-4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unable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compete</w:t>
      </w:r>
      <w:r>
        <w:rPr>
          <w:spacing w:val="-4"/>
          <w:sz w:val="20"/>
        </w:rPr>
        <w:t> </w:t>
      </w:r>
      <w:r>
        <w:rPr>
          <w:sz w:val="20"/>
        </w:rPr>
        <w:t>successfully.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  <w:tab w:pos="820" w:val="left" w:leader="none"/>
        </w:tabs>
        <w:spacing w:line="249" w:lineRule="auto" w:before="190" w:after="0"/>
        <w:ind w:left="100" w:right="663" w:firstLine="360"/>
        <w:jc w:val="left"/>
        <w:rPr>
          <w:sz w:val="20"/>
        </w:rPr>
      </w:pPr>
      <w:r>
        <w:rPr>
          <w:sz w:val="20"/>
        </w:rPr>
        <w:t>We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limited</w:t>
      </w:r>
      <w:r>
        <w:rPr>
          <w:spacing w:val="-3"/>
          <w:sz w:val="20"/>
        </w:rPr>
        <w:t> </w:t>
      </w:r>
      <w:r>
        <w:rPr>
          <w:sz w:val="20"/>
        </w:rPr>
        <w:t>experience</w:t>
      </w:r>
      <w:r>
        <w:rPr>
          <w:spacing w:val="-4"/>
          <w:sz w:val="20"/>
        </w:rPr>
        <w:t> </w:t>
      </w:r>
      <w:r>
        <w:rPr>
          <w:sz w:val="20"/>
        </w:rPr>
        <w:t>manufacturing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products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large-scale</w:t>
      </w:r>
      <w:r>
        <w:rPr>
          <w:spacing w:val="-3"/>
          <w:sz w:val="20"/>
        </w:rPr>
        <w:t> </w:t>
      </w:r>
      <w:r>
        <w:rPr>
          <w:sz w:val="20"/>
        </w:rPr>
        <w:t>commercial</w:t>
      </w:r>
      <w:r>
        <w:rPr>
          <w:spacing w:val="-4"/>
          <w:sz w:val="20"/>
        </w:rPr>
        <w:t> </w:t>
      </w:r>
      <w:r>
        <w:rPr>
          <w:sz w:val="20"/>
        </w:rPr>
        <w:t>quantities,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we</w:t>
      </w:r>
      <w:r>
        <w:rPr>
          <w:spacing w:val="-4"/>
          <w:sz w:val="20"/>
        </w:rPr>
        <w:t> </w:t>
      </w:r>
      <w:r>
        <w:rPr>
          <w:sz w:val="20"/>
        </w:rPr>
        <w:t>face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number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manufacturing</w:t>
      </w:r>
      <w:r>
        <w:rPr>
          <w:spacing w:val="-2"/>
          <w:sz w:val="20"/>
        </w:rPr>
        <w:t> </w:t>
      </w:r>
      <w:r>
        <w:rPr>
          <w:sz w:val="20"/>
        </w:rPr>
        <w:t>risks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adversely</w:t>
      </w:r>
      <w:r>
        <w:rPr>
          <w:spacing w:val="-2"/>
          <w:sz w:val="20"/>
        </w:rPr>
        <w:t> </w:t>
      </w:r>
      <w:r>
        <w:rPr>
          <w:sz w:val="20"/>
        </w:rPr>
        <w:t>affect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2"/>
          <w:sz w:val="20"/>
        </w:rPr>
        <w:t> </w:t>
      </w:r>
      <w:r>
        <w:rPr>
          <w:sz w:val="20"/>
        </w:rPr>
        <w:t>manufacturing</w:t>
      </w:r>
      <w:r>
        <w:rPr>
          <w:spacing w:val="-2"/>
          <w:sz w:val="20"/>
        </w:rPr>
        <w:t> </w:t>
      </w:r>
      <w:r>
        <w:rPr>
          <w:sz w:val="20"/>
        </w:rPr>
        <w:t>abilities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could</w:t>
      </w:r>
      <w:r>
        <w:rPr>
          <w:spacing w:val="-2"/>
          <w:sz w:val="20"/>
        </w:rPr>
        <w:t> </w:t>
      </w:r>
      <w:r>
        <w:rPr>
          <w:sz w:val="20"/>
        </w:rPr>
        <w:t>delay,</w:t>
      </w:r>
      <w:r>
        <w:rPr>
          <w:spacing w:val="-2"/>
          <w:sz w:val="20"/>
        </w:rPr>
        <w:t> </w:t>
      </w:r>
      <w:r>
        <w:rPr>
          <w:sz w:val="20"/>
        </w:rPr>
        <w:t>prevent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impair</w:t>
      </w:r>
      <w:r>
        <w:rPr>
          <w:spacing w:val="-2"/>
          <w:sz w:val="20"/>
        </w:rPr>
        <w:t> </w:t>
      </w:r>
      <w:r>
        <w:rPr>
          <w:sz w:val="20"/>
        </w:rPr>
        <w:t>our</w:t>
      </w:r>
      <w:r>
        <w:rPr>
          <w:spacing w:val="-2"/>
          <w:sz w:val="20"/>
        </w:rPr>
        <w:t> </w:t>
      </w:r>
      <w:r>
        <w:rPr>
          <w:sz w:val="20"/>
        </w:rPr>
        <w:t>growth.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  <w:tab w:pos="820" w:val="left" w:leader="none"/>
        </w:tabs>
        <w:spacing w:line="249" w:lineRule="auto" w:before="181" w:after="0"/>
        <w:ind w:left="100" w:right="171" w:firstLine="360"/>
        <w:jc w:val="left"/>
        <w:rPr>
          <w:sz w:val="20"/>
        </w:rPr>
      </w:pPr>
      <w:r>
        <w:rPr>
          <w:sz w:val="20"/>
        </w:rPr>
        <w:t>We</w:t>
      </w:r>
      <w:r>
        <w:rPr>
          <w:spacing w:val="-4"/>
          <w:sz w:val="20"/>
        </w:rPr>
        <w:t> </w:t>
      </w:r>
      <w:r>
        <w:rPr>
          <w:sz w:val="20"/>
        </w:rPr>
        <w:t>depend</w:t>
      </w:r>
      <w:r>
        <w:rPr>
          <w:spacing w:val="-3"/>
          <w:sz w:val="20"/>
        </w:rPr>
        <w:t> </w:t>
      </w:r>
      <w:r>
        <w:rPr>
          <w:sz w:val="20"/>
        </w:rPr>
        <w:t>upon</w:t>
      </w:r>
      <w:r>
        <w:rPr>
          <w:spacing w:val="-3"/>
          <w:sz w:val="20"/>
        </w:rPr>
        <w:t> </w:t>
      </w:r>
      <w:r>
        <w:rPr>
          <w:sz w:val="20"/>
        </w:rPr>
        <w:t>third-party</w:t>
      </w:r>
      <w:r>
        <w:rPr>
          <w:spacing w:val="-3"/>
          <w:sz w:val="20"/>
        </w:rPr>
        <w:t> </w:t>
      </w:r>
      <w:r>
        <w:rPr>
          <w:sz w:val="20"/>
        </w:rPr>
        <w:t>suppliers,</w:t>
      </w:r>
      <w:r>
        <w:rPr>
          <w:spacing w:val="-3"/>
          <w:sz w:val="20"/>
        </w:rPr>
        <w:t> </w:t>
      </w:r>
      <w:r>
        <w:rPr>
          <w:sz w:val="20"/>
        </w:rPr>
        <w:t>including</w:t>
      </w:r>
      <w:r>
        <w:rPr>
          <w:spacing w:val="-3"/>
          <w:sz w:val="20"/>
        </w:rPr>
        <w:t> </w:t>
      </w:r>
      <w:r>
        <w:rPr>
          <w:sz w:val="20"/>
        </w:rPr>
        <w:t>contract</w:t>
      </w:r>
      <w:r>
        <w:rPr>
          <w:spacing w:val="-3"/>
          <w:sz w:val="20"/>
        </w:rPr>
        <w:t> </w:t>
      </w:r>
      <w:r>
        <w:rPr>
          <w:sz w:val="20"/>
        </w:rPr>
        <w:t>manufacturers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single</w:t>
      </w:r>
      <w:r>
        <w:rPr>
          <w:spacing w:val="-4"/>
          <w:sz w:val="20"/>
        </w:rPr>
        <w:t> </w:t>
      </w:r>
      <w:r>
        <w:rPr>
          <w:sz w:val="20"/>
        </w:rPr>
        <w:t>source</w:t>
      </w:r>
      <w:r>
        <w:rPr>
          <w:spacing w:val="-4"/>
          <w:sz w:val="20"/>
        </w:rPr>
        <w:t> </w:t>
      </w:r>
      <w:r>
        <w:rPr>
          <w:sz w:val="20"/>
        </w:rPr>
        <w:t>suppliers,</w:t>
      </w:r>
      <w:r>
        <w:rPr>
          <w:spacing w:val="-2"/>
          <w:sz w:val="20"/>
        </w:rPr>
        <w:t> </w:t>
      </w:r>
      <w:r>
        <w:rPr>
          <w:sz w:val="20"/>
        </w:rPr>
        <w:t>making</w:t>
      </w:r>
      <w:r>
        <w:rPr>
          <w:spacing w:val="-3"/>
          <w:sz w:val="20"/>
        </w:rPr>
        <w:t> </w:t>
      </w:r>
      <w:r>
        <w:rPr>
          <w:sz w:val="20"/>
        </w:rPr>
        <w:t>us</w:t>
      </w:r>
      <w:r>
        <w:rPr>
          <w:spacing w:val="-4"/>
          <w:sz w:val="20"/>
        </w:rPr>
        <w:t> </w:t>
      </w:r>
      <w:r>
        <w:rPr>
          <w:sz w:val="20"/>
        </w:rPr>
        <w:t>vulnerable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7"/>
          <w:sz w:val="20"/>
        </w:rPr>
        <w:t> </w:t>
      </w:r>
      <w:r>
        <w:rPr>
          <w:sz w:val="20"/>
        </w:rPr>
        <w:t>supply</w:t>
      </w:r>
      <w:r>
        <w:rPr>
          <w:spacing w:val="-2"/>
          <w:sz w:val="20"/>
        </w:rPr>
        <w:t> </w:t>
      </w:r>
      <w:r>
        <w:rPr>
          <w:sz w:val="20"/>
        </w:rPr>
        <w:t>shortages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price</w:t>
      </w:r>
      <w:r>
        <w:rPr>
          <w:spacing w:val="-2"/>
          <w:sz w:val="20"/>
        </w:rPr>
        <w:t> </w:t>
      </w:r>
      <w:r>
        <w:rPr>
          <w:sz w:val="20"/>
        </w:rPr>
        <w:t>fluctuations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could</w:t>
      </w:r>
      <w:r>
        <w:rPr>
          <w:spacing w:val="-1"/>
          <w:sz w:val="20"/>
        </w:rPr>
        <w:t> </w:t>
      </w:r>
      <w:r>
        <w:rPr>
          <w:sz w:val="20"/>
        </w:rPr>
        <w:t>negatively</w:t>
      </w:r>
      <w:r>
        <w:rPr>
          <w:spacing w:val="-2"/>
          <w:sz w:val="20"/>
        </w:rPr>
        <w:t> </w:t>
      </w:r>
      <w:r>
        <w:rPr>
          <w:sz w:val="20"/>
        </w:rPr>
        <w:t>affect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1"/>
          <w:sz w:val="20"/>
        </w:rPr>
        <w:t> </w:t>
      </w:r>
      <w:r>
        <w:rPr>
          <w:sz w:val="20"/>
        </w:rPr>
        <w:t>business,</w:t>
      </w:r>
      <w:r>
        <w:rPr>
          <w:spacing w:val="-2"/>
          <w:sz w:val="20"/>
        </w:rPr>
        <w:t> </w:t>
      </w:r>
      <w:r>
        <w:rPr>
          <w:sz w:val="20"/>
        </w:rPr>
        <w:t>financial</w:t>
      </w:r>
      <w:r>
        <w:rPr>
          <w:spacing w:val="-3"/>
          <w:sz w:val="20"/>
        </w:rPr>
        <w:t> </w:t>
      </w:r>
      <w:r>
        <w:rPr>
          <w:sz w:val="20"/>
        </w:rPr>
        <w:t>condition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results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operations.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  <w:tab w:pos="820" w:val="left" w:leader="none"/>
        </w:tabs>
        <w:spacing w:line="240" w:lineRule="auto" w:before="182" w:after="0"/>
        <w:ind w:left="820" w:right="0" w:hanging="360"/>
        <w:jc w:val="left"/>
        <w:rPr>
          <w:sz w:val="20"/>
        </w:rPr>
      </w:pPr>
      <w:r>
        <w:rPr>
          <w:sz w:val="20"/>
        </w:rPr>
        <w:t>We</w:t>
      </w:r>
      <w:r>
        <w:rPr>
          <w:spacing w:val="-4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encounter</w:t>
      </w:r>
      <w:r>
        <w:rPr>
          <w:spacing w:val="-3"/>
          <w:sz w:val="20"/>
        </w:rPr>
        <w:t> </w:t>
      </w:r>
      <w:r>
        <w:rPr>
          <w:sz w:val="20"/>
        </w:rPr>
        <w:t>difficulties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managing</w:t>
      </w:r>
      <w:r>
        <w:rPr>
          <w:spacing w:val="-2"/>
          <w:sz w:val="20"/>
        </w:rPr>
        <w:t> </w:t>
      </w: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growth,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could</w:t>
      </w:r>
      <w:r>
        <w:rPr>
          <w:spacing w:val="-2"/>
          <w:sz w:val="20"/>
        </w:rPr>
        <w:t> </w:t>
      </w:r>
      <w:r>
        <w:rPr>
          <w:sz w:val="20"/>
        </w:rPr>
        <w:t>disrupt</w:t>
      </w:r>
      <w:r>
        <w:rPr>
          <w:spacing w:val="-4"/>
          <w:sz w:val="20"/>
        </w:rPr>
        <w:t> </w:t>
      </w:r>
      <w:r>
        <w:rPr>
          <w:sz w:val="20"/>
        </w:rPr>
        <w:t>our</w:t>
      </w:r>
      <w:r>
        <w:rPr>
          <w:spacing w:val="-2"/>
          <w:sz w:val="20"/>
        </w:rPr>
        <w:t> </w:t>
      </w:r>
      <w:r>
        <w:rPr>
          <w:sz w:val="20"/>
        </w:rPr>
        <w:t>operations.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  <w:tab w:pos="820" w:val="left" w:leader="none"/>
        </w:tabs>
        <w:spacing w:line="249" w:lineRule="auto" w:before="190" w:after="0"/>
        <w:ind w:left="100" w:right="167" w:firstLine="360"/>
        <w:jc w:val="left"/>
        <w:rPr>
          <w:sz w:val="20"/>
        </w:rPr>
      </w:pP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internal</w:t>
      </w:r>
      <w:r>
        <w:rPr>
          <w:spacing w:val="-3"/>
          <w:sz w:val="20"/>
        </w:rPr>
        <w:t> </w:t>
      </w:r>
      <w:r>
        <w:rPr>
          <w:sz w:val="20"/>
        </w:rPr>
        <w:t>computer</w:t>
      </w:r>
      <w:r>
        <w:rPr>
          <w:spacing w:val="-3"/>
          <w:sz w:val="20"/>
        </w:rPr>
        <w:t> </w:t>
      </w:r>
      <w:r>
        <w:rPr>
          <w:sz w:val="20"/>
        </w:rPr>
        <w:t>systems,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those</w:t>
      </w:r>
      <w:r>
        <w:rPr>
          <w:spacing w:val="-3"/>
          <w:sz w:val="20"/>
        </w:rPr>
        <w:t> </w:t>
      </w:r>
      <w:r>
        <w:rPr>
          <w:sz w:val="20"/>
        </w:rPr>
        <w:t>used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2"/>
          <w:sz w:val="20"/>
        </w:rPr>
        <w:t> </w:t>
      </w:r>
      <w:r>
        <w:rPr>
          <w:sz w:val="20"/>
        </w:rPr>
        <w:t>contractors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consultants,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fail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suffer</w:t>
      </w:r>
      <w:r>
        <w:rPr>
          <w:spacing w:val="-3"/>
          <w:sz w:val="20"/>
        </w:rPr>
        <w:t> </w:t>
      </w:r>
      <w:r>
        <w:rPr>
          <w:sz w:val="20"/>
        </w:rPr>
        <w:t>security</w:t>
      </w:r>
      <w:r>
        <w:rPr>
          <w:spacing w:val="-2"/>
          <w:sz w:val="20"/>
        </w:rPr>
        <w:t> </w:t>
      </w:r>
      <w:r>
        <w:rPr>
          <w:sz w:val="20"/>
        </w:rPr>
        <w:t>breaches,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such</w:t>
      </w:r>
      <w:r>
        <w:rPr>
          <w:spacing w:val="-47"/>
          <w:sz w:val="20"/>
        </w:rPr>
        <w:t> </w:t>
      </w:r>
      <w:r>
        <w:rPr>
          <w:sz w:val="20"/>
        </w:rPr>
        <w:t>failure</w:t>
      </w:r>
      <w:r>
        <w:rPr>
          <w:spacing w:val="-2"/>
          <w:sz w:val="20"/>
        </w:rPr>
        <w:t> </w:t>
      </w:r>
      <w:r>
        <w:rPr>
          <w:sz w:val="20"/>
        </w:rPr>
        <w:t>could negatively</w:t>
      </w:r>
      <w:r>
        <w:rPr>
          <w:spacing w:val="-1"/>
          <w:sz w:val="20"/>
        </w:rPr>
        <w:t> </w:t>
      </w:r>
      <w:r>
        <w:rPr>
          <w:sz w:val="20"/>
        </w:rPr>
        <w:t>affect</w:t>
      </w:r>
      <w:r>
        <w:rPr>
          <w:spacing w:val="-1"/>
          <w:sz w:val="20"/>
        </w:rPr>
        <w:t> </w:t>
      </w:r>
      <w:r>
        <w:rPr>
          <w:sz w:val="20"/>
        </w:rPr>
        <w:t>our</w:t>
      </w:r>
      <w:r>
        <w:rPr>
          <w:spacing w:val="-1"/>
          <w:sz w:val="20"/>
        </w:rPr>
        <w:t> </w:t>
      </w:r>
      <w:r>
        <w:rPr>
          <w:sz w:val="20"/>
        </w:rPr>
        <w:t>business, financial</w:t>
      </w:r>
      <w:r>
        <w:rPr>
          <w:spacing w:val="-2"/>
          <w:sz w:val="20"/>
        </w:rPr>
        <w:t> </w:t>
      </w:r>
      <w:r>
        <w:rPr>
          <w:sz w:val="20"/>
        </w:rPr>
        <w:t>condition and</w:t>
      </w:r>
      <w:r>
        <w:rPr>
          <w:spacing w:val="-1"/>
          <w:sz w:val="20"/>
        </w:rPr>
        <w:t> </w:t>
      </w:r>
      <w:r>
        <w:rPr>
          <w:sz w:val="20"/>
        </w:rPr>
        <w:t>results</w:t>
      </w:r>
      <w:r>
        <w:rPr>
          <w:spacing w:val="-1"/>
          <w:sz w:val="20"/>
        </w:rPr>
        <w:t> </w:t>
      </w:r>
      <w:r>
        <w:rPr>
          <w:sz w:val="20"/>
        </w:rPr>
        <w:t>of operations.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  <w:tab w:pos="820" w:val="left" w:leader="none"/>
        </w:tabs>
        <w:spacing w:line="249" w:lineRule="auto" w:before="181" w:after="0"/>
        <w:ind w:left="100" w:right="439" w:firstLine="360"/>
        <w:jc w:val="left"/>
        <w:rPr>
          <w:sz w:val="20"/>
        </w:rPr>
      </w:pPr>
      <w:r>
        <w:rPr>
          <w:sz w:val="20"/>
        </w:rPr>
        <w:t>Failure to comply with data protection laws and regulations could lead to government enforcement actions (which could</w:t>
      </w:r>
      <w:r>
        <w:rPr>
          <w:spacing w:val="1"/>
          <w:sz w:val="20"/>
        </w:rPr>
        <w:t> </w:t>
      </w:r>
      <w:r>
        <w:rPr>
          <w:sz w:val="20"/>
        </w:rPr>
        <w:t>include</w:t>
      </w:r>
      <w:r>
        <w:rPr>
          <w:spacing w:val="-5"/>
          <w:sz w:val="20"/>
        </w:rPr>
        <w:t> </w:t>
      </w:r>
      <w:r>
        <w:rPr>
          <w:sz w:val="20"/>
        </w:rPr>
        <w:t>civil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criminal</w:t>
      </w:r>
      <w:r>
        <w:rPr>
          <w:spacing w:val="-4"/>
          <w:sz w:val="20"/>
        </w:rPr>
        <w:t> </w:t>
      </w:r>
      <w:r>
        <w:rPr>
          <w:sz w:val="20"/>
        </w:rPr>
        <w:t>penalties),</w:t>
      </w:r>
      <w:r>
        <w:rPr>
          <w:spacing w:val="-4"/>
          <w:sz w:val="20"/>
        </w:rPr>
        <w:t> </w:t>
      </w:r>
      <w:r>
        <w:rPr>
          <w:sz w:val="20"/>
        </w:rPr>
        <w:t>private</w:t>
      </w:r>
      <w:r>
        <w:rPr>
          <w:spacing w:val="-4"/>
          <w:sz w:val="20"/>
        </w:rPr>
        <w:t> </w:t>
      </w:r>
      <w:r>
        <w:rPr>
          <w:sz w:val="20"/>
        </w:rPr>
        <w:t>litigation,</w:t>
      </w:r>
      <w:r>
        <w:rPr>
          <w:spacing w:val="-3"/>
          <w:sz w:val="20"/>
        </w:rPr>
        <w:t> </w:t>
      </w:r>
      <w:r>
        <w:rPr>
          <w:sz w:val="20"/>
        </w:rPr>
        <w:t>and/or</w:t>
      </w:r>
      <w:r>
        <w:rPr>
          <w:spacing w:val="-3"/>
          <w:sz w:val="20"/>
        </w:rPr>
        <w:t> </w:t>
      </w:r>
      <w:r>
        <w:rPr>
          <w:sz w:val="20"/>
        </w:rPr>
        <w:t>adverse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could</w:t>
      </w:r>
      <w:r>
        <w:rPr>
          <w:spacing w:val="-3"/>
          <w:sz w:val="20"/>
        </w:rPr>
        <w:t> </w:t>
      </w:r>
      <w:r>
        <w:rPr>
          <w:sz w:val="20"/>
        </w:rPr>
        <w:t>negatively</w:t>
      </w:r>
      <w:r>
        <w:rPr>
          <w:spacing w:val="-4"/>
          <w:sz w:val="20"/>
        </w:rPr>
        <w:t> </w:t>
      </w:r>
      <w:r>
        <w:rPr>
          <w:sz w:val="20"/>
        </w:rPr>
        <w:t>affect</w:t>
      </w:r>
      <w:r>
        <w:rPr>
          <w:spacing w:val="-4"/>
          <w:sz w:val="20"/>
        </w:rPr>
        <w:t> </w:t>
      </w: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operating</w:t>
      </w:r>
      <w:r>
        <w:rPr>
          <w:spacing w:val="-3"/>
          <w:sz w:val="20"/>
        </w:rPr>
        <w:t> </w:t>
      </w:r>
      <w:r>
        <w:rPr>
          <w:sz w:val="20"/>
        </w:rPr>
        <w:t>results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business.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  <w:tab w:pos="820" w:val="left" w:leader="none"/>
        </w:tabs>
        <w:spacing w:line="249" w:lineRule="auto" w:before="183" w:after="0"/>
        <w:ind w:left="100" w:right="444" w:firstLine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sizes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addressable</w:t>
      </w:r>
      <w:r>
        <w:rPr>
          <w:spacing w:val="-3"/>
          <w:sz w:val="20"/>
        </w:rPr>
        <w:t> </w:t>
      </w:r>
      <w:r>
        <w:rPr>
          <w:sz w:val="20"/>
        </w:rPr>
        <w:t>markets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AquaBeam</w:t>
      </w:r>
      <w:r>
        <w:rPr>
          <w:spacing w:val="-3"/>
          <w:sz w:val="20"/>
        </w:rPr>
        <w:t> </w:t>
      </w:r>
      <w:r>
        <w:rPr>
          <w:sz w:val="20"/>
        </w:rPr>
        <w:t>Robotic</w:t>
      </w:r>
      <w:r>
        <w:rPr>
          <w:spacing w:val="-4"/>
          <w:sz w:val="20"/>
        </w:rPr>
        <w:t> </w:t>
      </w:r>
      <w:r>
        <w:rPr>
          <w:sz w:val="20"/>
        </w:rPr>
        <w:t>System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been</w:t>
      </w:r>
      <w:r>
        <w:rPr>
          <w:spacing w:val="-3"/>
          <w:sz w:val="20"/>
        </w:rPr>
        <w:t> </w:t>
      </w:r>
      <w:r>
        <w:rPr>
          <w:sz w:val="20"/>
        </w:rPr>
        <w:t>established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precision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1"/>
          <w:sz w:val="20"/>
        </w:rPr>
        <w:t> </w:t>
      </w:r>
      <w:r>
        <w:rPr>
          <w:sz w:val="20"/>
        </w:rPr>
        <w:t>potential</w:t>
      </w:r>
      <w:r>
        <w:rPr>
          <w:spacing w:val="-2"/>
          <w:sz w:val="20"/>
        </w:rPr>
        <w:t> </w:t>
      </w:r>
      <w:r>
        <w:rPr>
          <w:sz w:val="20"/>
        </w:rPr>
        <w:t>market</w:t>
      </w:r>
      <w:r>
        <w:rPr>
          <w:spacing w:val="-1"/>
          <w:sz w:val="20"/>
        </w:rPr>
        <w:t> </w:t>
      </w:r>
      <w:r>
        <w:rPr>
          <w:sz w:val="20"/>
        </w:rPr>
        <w:t>opportunity</w:t>
      </w:r>
      <w:r>
        <w:rPr>
          <w:spacing w:val="-1"/>
          <w:sz w:val="20"/>
        </w:rPr>
        <w:t> </w:t>
      </w:r>
      <w:r>
        <w:rPr>
          <w:sz w:val="20"/>
        </w:rPr>
        <w:t>may be</w:t>
      </w:r>
      <w:r>
        <w:rPr>
          <w:spacing w:val="-1"/>
          <w:sz w:val="20"/>
        </w:rPr>
        <w:t> </w:t>
      </w:r>
      <w:r>
        <w:rPr>
          <w:sz w:val="20"/>
        </w:rPr>
        <w:t>smaller</w:t>
      </w:r>
      <w:r>
        <w:rPr>
          <w:spacing w:val="-1"/>
          <w:sz w:val="20"/>
        </w:rPr>
        <w:t> </w:t>
      </w:r>
      <w:r>
        <w:rPr>
          <w:sz w:val="20"/>
        </w:rPr>
        <w:t>than we</w:t>
      </w:r>
      <w:r>
        <w:rPr>
          <w:spacing w:val="-2"/>
          <w:sz w:val="20"/>
        </w:rPr>
        <w:t> </w:t>
      </w:r>
      <w:r>
        <w:rPr>
          <w:sz w:val="20"/>
        </w:rPr>
        <w:t>estimate</w:t>
      </w:r>
      <w:r>
        <w:rPr>
          <w:spacing w:val="-1"/>
          <w:sz w:val="20"/>
        </w:rPr>
        <w:t> </w:t>
      </w:r>
      <w:r>
        <w:rPr>
          <w:sz w:val="20"/>
        </w:rPr>
        <w:t>and may</w:t>
      </w:r>
      <w:r>
        <w:rPr>
          <w:spacing w:val="-1"/>
          <w:sz w:val="20"/>
        </w:rPr>
        <w:t> </w:t>
      </w:r>
      <w:r>
        <w:rPr>
          <w:sz w:val="20"/>
        </w:rPr>
        <w:t>decline.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  <w:tab w:pos="820" w:val="left" w:leader="none"/>
        </w:tabs>
        <w:spacing w:line="249" w:lineRule="auto" w:before="182" w:after="0"/>
        <w:ind w:left="100" w:right="134" w:firstLine="360"/>
        <w:jc w:val="left"/>
        <w:rPr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product</w:t>
      </w:r>
      <w:r>
        <w:rPr>
          <w:spacing w:val="-3"/>
          <w:sz w:val="20"/>
        </w:rPr>
        <w:t> </w:t>
      </w:r>
      <w:r>
        <w:rPr>
          <w:sz w:val="20"/>
        </w:rPr>
        <w:t>liability</w:t>
      </w:r>
      <w:r>
        <w:rPr>
          <w:spacing w:val="-3"/>
          <w:sz w:val="20"/>
        </w:rPr>
        <w:t> </w:t>
      </w:r>
      <w:r>
        <w:rPr>
          <w:sz w:val="20"/>
        </w:rPr>
        <w:t>lawsuits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brought</w:t>
      </w:r>
      <w:r>
        <w:rPr>
          <w:spacing w:val="-3"/>
          <w:sz w:val="20"/>
        </w:rPr>
        <w:t> </w:t>
      </w:r>
      <w:r>
        <w:rPr>
          <w:sz w:val="20"/>
        </w:rPr>
        <w:t>against</w:t>
      </w:r>
      <w:r>
        <w:rPr>
          <w:spacing w:val="-4"/>
          <w:sz w:val="20"/>
        </w:rPr>
        <w:t> </w:t>
      </w:r>
      <w:r>
        <w:rPr>
          <w:sz w:val="20"/>
        </w:rPr>
        <w:t>us,</w:t>
      </w:r>
      <w:r>
        <w:rPr>
          <w:spacing w:val="-2"/>
          <w:sz w:val="20"/>
        </w:rPr>
        <w:t> </w:t>
      </w:r>
      <w:r>
        <w:rPr>
          <w:sz w:val="20"/>
        </w:rPr>
        <w:t>we</w:t>
      </w:r>
      <w:r>
        <w:rPr>
          <w:spacing w:val="-4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incur</w:t>
      </w:r>
      <w:r>
        <w:rPr>
          <w:spacing w:val="-3"/>
          <w:sz w:val="20"/>
        </w:rPr>
        <w:t> </w:t>
      </w:r>
      <w:r>
        <w:rPr>
          <w:sz w:val="20"/>
        </w:rPr>
        <w:t>substantial</w:t>
      </w:r>
      <w:r>
        <w:rPr>
          <w:spacing w:val="-3"/>
          <w:sz w:val="20"/>
        </w:rPr>
        <w:t> </w:t>
      </w:r>
      <w:r>
        <w:rPr>
          <w:sz w:val="20"/>
        </w:rPr>
        <w:t>liabilities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required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limit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halt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marketing and sale of our products. The expense and potential unavailability of insurance coverage for liabilities resulting from our</w:t>
      </w:r>
      <w:r>
        <w:rPr>
          <w:spacing w:val="1"/>
          <w:sz w:val="20"/>
        </w:rPr>
        <w:t> </w:t>
      </w:r>
      <w:r>
        <w:rPr>
          <w:sz w:val="20"/>
        </w:rPr>
        <w:t>products</w:t>
      </w:r>
      <w:r>
        <w:rPr>
          <w:spacing w:val="-2"/>
          <w:sz w:val="20"/>
        </w:rPr>
        <w:t> </w:t>
      </w:r>
      <w:r>
        <w:rPr>
          <w:sz w:val="20"/>
        </w:rPr>
        <w:t>could harm</w:t>
      </w:r>
      <w:r>
        <w:rPr>
          <w:spacing w:val="-1"/>
          <w:sz w:val="20"/>
        </w:rPr>
        <w:t> </w:t>
      </w:r>
      <w:r>
        <w:rPr>
          <w:sz w:val="20"/>
        </w:rPr>
        <w:t>us</w:t>
      </w:r>
      <w:r>
        <w:rPr>
          <w:spacing w:val="-1"/>
          <w:sz w:val="20"/>
        </w:rPr>
        <w:t> </w:t>
      </w:r>
      <w:r>
        <w:rPr>
          <w:sz w:val="20"/>
        </w:rPr>
        <w:t>and our ability to</w:t>
      </w:r>
      <w:r>
        <w:rPr>
          <w:spacing w:val="-1"/>
          <w:sz w:val="20"/>
        </w:rPr>
        <w:t> </w:t>
      </w:r>
      <w:r>
        <w:rPr>
          <w:sz w:val="20"/>
        </w:rPr>
        <w:t>sell</w:t>
      </w:r>
      <w:r>
        <w:rPr>
          <w:spacing w:val="-1"/>
          <w:sz w:val="20"/>
        </w:rPr>
        <w:t> </w:t>
      </w:r>
      <w:r>
        <w:rPr>
          <w:sz w:val="20"/>
        </w:rPr>
        <w:t>our products.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  <w:tab w:pos="820" w:val="left" w:leader="none"/>
        </w:tabs>
        <w:spacing w:line="249" w:lineRule="auto" w:before="182" w:after="0"/>
        <w:ind w:left="100" w:right="183" w:firstLine="360"/>
        <w:jc w:val="left"/>
        <w:rPr>
          <w:sz w:val="20"/>
        </w:rPr>
      </w:pPr>
      <w:r>
        <w:rPr>
          <w:sz w:val="20"/>
        </w:rPr>
        <w:t>Cost-containment</w:t>
      </w:r>
      <w:r>
        <w:rPr>
          <w:spacing w:val="-4"/>
          <w:sz w:val="20"/>
        </w:rPr>
        <w:t> </w:t>
      </w:r>
      <w:r>
        <w:rPr>
          <w:sz w:val="20"/>
        </w:rPr>
        <w:t>efforts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4"/>
          <w:sz w:val="20"/>
        </w:rPr>
        <w:t> </w:t>
      </w:r>
      <w:r>
        <w:rPr>
          <w:sz w:val="20"/>
        </w:rPr>
        <w:t>customers,</w:t>
      </w:r>
      <w:r>
        <w:rPr>
          <w:spacing w:val="-3"/>
          <w:sz w:val="20"/>
        </w:rPr>
        <w:t> </w:t>
      </w:r>
      <w:r>
        <w:rPr>
          <w:sz w:val="20"/>
        </w:rPr>
        <w:t>purchasing</w:t>
      </w:r>
      <w:r>
        <w:rPr>
          <w:spacing w:val="-3"/>
          <w:sz w:val="20"/>
        </w:rPr>
        <w:t> </w:t>
      </w:r>
      <w:r>
        <w:rPr>
          <w:sz w:val="20"/>
        </w:rPr>
        <w:t>groups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governmental</w:t>
      </w:r>
      <w:r>
        <w:rPr>
          <w:spacing w:val="-4"/>
          <w:sz w:val="20"/>
        </w:rPr>
        <w:t> </w:t>
      </w:r>
      <w:r>
        <w:rPr>
          <w:sz w:val="20"/>
        </w:rPr>
        <w:t>organizations</w:t>
      </w:r>
      <w:r>
        <w:rPr>
          <w:spacing w:val="-4"/>
          <w:sz w:val="20"/>
        </w:rPr>
        <w:t> </w:t>
      </w:r>
      <w:r>
        <w:rPr>
          <w:sz w:val="20"/>
        </w:rPr>
        <w:t>could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material</w:t>
      </w:r>
      <w:r>
        <w:rPr>
          <w:spacing w:val="-4"/>
          <w:sz w:val="20"/>
        </w:rPr>
        <w:t> </w:t>
      </w:r>
      <w:r>
        <w:rPr>
          <w:sz w:val="20"/>
        </w:rPr>
        <w:t>adverse</w:t>
      </w:r>
      <w:r>
        <w:rPr>
          <w:spacing w:val="-47"/>
          <w:sz w:val="20"/>
        </w:rPr>
        <w:t> </w:t>
      </w:r>
      <w:r>
        <w:rPr>
          <w:sz w:val="20"/>
        </w:rPr>
        <w:t>effect</w:t>
      </w:r>
      <w:r>
        <w:rPr>
          <w:spacing w:val="-2"/>
          <w:sz w:val="20"/>
        </w:rPr>
        <w:t> </w:t>
      </w:r>
      <w:r>
        <w:rPr>
          <w:sz w:val="20"/>
        </w:rPr>
        <w:t>on our sales</w:t>
      </w:r>
      <w:r>
        <w:rPr>
          <w:spacing w:val="-1"/>
          <w:sz w:val="20"/>
        </w:rPr>
        <w:t> </w:t>
      </w:r>
      <w:r>
        <w:rPr>
          <w:sz w:val="20"/>
        </w:rPr>
        <w:t>and profitability.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  <w:tab w:pos="820" w:val="left" w:leader="none"/>
        </w:tabs>
        <w:spacing w:line="249" w:lineRule="auto" w:before="182" w:after="0"/>
        <w:ind w:left="100" w:right="493" w:firstLine="360"/>
        <w:jc w:val="left"/>
        <w:rPr>
          <w:sz w:val="20"/>
        </w:rPr>
      </w:pPr>
      <w:r>
        <w:rPr>
          <w:sz w:val="20"/>
        </w:rPr>
        <w:t>We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highly</w:t>
      </w:r>
      <w:r>
        <w:rPr>
          <w:spacing w:val="-2"/>
          <w:sz w:val="20"/>
        </w:rPr>
        <w:t> </w:t>
      </w:r>
      <w:r>
        <w:rPr>
          <w:sz w:val="20"/>
        </w:rPr>
        <w:t>dependent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our</w:t>
      </w:r>
      <w:r>
        <w:rPr>
          <w:spacing w:val="-1"/>
          <w:sz w:val="20"/>
        </w:rPr>
        <w:t> </w:t>
      </w:r>
      <w:r>
        <w:rPr>
          <w:sz w:val="20"/>
        </w:rPr>
        <w:t>senior</w:t>
      </w:r>
      <w:r>
        <w:rPr>
          <w:spacing w:val="-2"/>
          <w:sz w:val="20"/>
        </w:rPr>
        <w:t> </w:t>
      </w:r>
      <w:r>
        <w:rPr>
          <w:sz w:val="20"/>
        </w:rPr>
        <w:t>management</w:t>
      </w:r>
      <w:r>
        <w:rPr>
          <w:spacing w:val="-3"/>
          <w:sz w:val="20"/>
        </w:rPr>
        <w:t> </w:t>
      </w:r>
      <w:r>
        <w:rPr>
          <w:sz w:val="20"/>
        </w:rPr>
        <w:t>team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key</w:t>
      </w:r>
      <w:r>
        <w:rPr>
          <w:spacing w:val="-2"/>
          <w:sz w:val="20"/>
        </w:rPr>
        <w:t> </w:t>
      </w:r>
      <w:r>
        <w:rPr>
          <w:sz w:val="20"/>
        </w:rPr>
        <w:t>personnel,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our</w:t>
      </w:r>
      <w:r>
        <w:rPr>
          <w:spacing w:val="-2"/>
          <w:sz w:val="20"/>
        </w:rPr>
        <w:t> </w:t>
      </w:r>
      <w:r>
        <w:rPr>
          <w:sz w:val="20"/>
        </w:rPr>
        <w:t>business</w:t>
      </w:r>
      <w:r>
        <w:rPr>
          <w:spacing w:val="-3"/>
          <w:sz w:val="20"/>
        </w:rPr>
        <w:t> </w:t>
      </w:r>
      <w:r>
        <w:rPr>
          <w:sz w:val="20"/>
        </w:rPr>
        <w:t>could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harmed</w:t>
      </w:r>
      <w:r>
        <w:rPr>
          <w:spacing w:val="-2"/>
          <w:sz w:val="20"/>
        </w:rPr>
        <w:t> </w:t>
      </w:r>
      <w:r>
        <w:rPr>
          <w:sz w:val="20"/>
        </w:rPr>
        <w:t>if</w:t>
      </w:r>
      <w:r>
        <w:rPr>
          <w:spacing w:val="-2"/>
          <w:sz w:val="20"/>
        </w:rPr>
        <w:t> </w:t>
      </w:r>
      <w:r>
        <w:rPr>
          <w:sz w:val="20"/>
        </w:rPr>
        <w:t>we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47"/>
          <w:sz w:val="20"/>
        </w:rPr>
        <w:t> </w:t>
      </w:r>
      <w:r>
        <w:rPr>
          <w:sz w:val="20"/>
        </w:rPr>
        <w:t>unable</w:t>
      </w:r>
      <w:r>
        <w:rPr>
          <w:spacing w:val="-2"/>
          <w:sz w:val="20"/>
        </w:rPr>
        <w:t> </w:t>
      </w:r>
      <w:r>
        <w:rPr>
          <w:sz w:val="20"/>
        </w:rPr>
        <w:t>to attract</w:t>
      </w:r>
      <w:r>
        <w:rPr>
          <w:spacing w:val="-1"/>
          <w:sz w:val="20"/>
        </w:rPr>
        <w:t> </w:t>
      </w:r>
      <w:r>
        <w:rPr>
          <w:sz w:val="20"/>
        </w:rPr>
        <w:t>and retain</w:t>
      </w:r>
      <w:r>
        <w:rPr>
          <w:spacing w:val="-1"/>
          <w:sz w:val="20"/>
        </w:rPr>
        <w:t> </w:t>
      </w:r>
      <w:r>
        <w:rPr>
          <w:sz w:val="20"/>
        </w:rPr>
        <w:t>personnel</w:t>
      </w:r>
      <w:r>
        <w:rPr>
          <w:spacing w:val="-1"/>
          <w:sz w:val="20"/>
        </w:rPr>
        <w:t> </w:t>
      </w:r>
      <w:r>
        <w:rPr>
          <w:sz w:val="20"/>
        </w:rPr>
        <w:t>necessary for our</w:t>
      </w:r>
      <w:r>
        <w:rPr>
          <w:spacing w:val="-1"/>
          <w:sz w:val="20"/>
        </w:rPr>
        <w:t> </w:t>
      </w:r>
      <w:r>
        <w:rPr>
          <w:sz w:val="20"/>
        </w:rPr>
        <w:t>success.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  <w:tab w:pos="820" w:val="left" w:leader="none"/>
        </w:tabs>
        <w:spacing w:line="249" w:lineRule="auto" w:before="181" w:after="0"/>
        <w:ind w:left="100" w:right="351" w:firstLine="360"/>
        <w:jc w:val="left"/>
        <w:rPr>
          <w:sz w:val="20"/>
        </w:rPr>
      </w:pPr>
      <w:r>
        <w:rPr>
          <w:sz w:val="20"/>
        </w:rPr>
        <w:t>Changes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reimbursement</w:t>
      </w:r>
      <w:r>
        <w:rPr>
          <w:spacing w:val="-4"/>
          <w:sz w:val="20"/>
        </w:rPr>
        <w:t> </w:t>
      </w:r>
      <w:r>
        <w:rPr>
          <w:sz w:val="20"/>
        </w:rPr>
        <w:t>rates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BPH</w:t>
      </w:r>
      <w:r>
        <w:rPr>
          <w:spacing w:val="-4"/>
          <w:sz w:val="20"/>
        </w:rPr>
        <w:t> </w:t>
      </w:r>
      <w:r>
        <w:rPr>
          <w:sz w:val="20"/>
        </w:rPr>
        <w:t>treatments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measures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reduce</w:t>
      </w:r>
      <w:r>
        <w:rPr>
          <w:spacing w:val="-3"/>
          <w:sz w:val="20"/>
        </w:rPr>
        <w:t> </w:t>
      </w:r>
      <w:r>
        <w:rPr>
          <w:sz w:val="20"/>
        </w:rPr>
        <w:t>healthcare</w:t>
      </w:r>
      <w:r>
        <w:rPr>
          <w:spacing w:val="-4"/>
          <w:sz w:val="20"/>
        </w:rPr>
        <w:t> </w:t>
      </w:r>
      <w:r>
        <w:rPr>
          <w:sz w:val="20"/>
        </w:rPr>
        <w:t>costs</w:t>
      </w:r>
      <w:r>
        <w:rPr>
          <w:spacing w:val="-4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adversely</w:t>
      </w:r>
      <w:r>
        <w:rPr>
          <w:spacing w:val="-3"/>
          <w:sz w:val="20"/>
        </w:rPr>
        <w:t> </w:t>
      </w:r>
      <w:r>
        <w:rPr>
          <w:sz w:val="20"/>
        </w:rPr>
        <w:t>impact</w:t>
      </w:r>
      <w:r>
        <w:rPr>
          <w:spacing w:val="-4"/>
          <w:sz w:val="20"/>
        </w:rPr>
        <w:t> </w:t>
      </w:r>
      <w:r>
        <w:rPr>
          <w:sz w:val="20"/>
        </w:rPr>
        <w:t>our</w:t>
      </w:r>
      <w:r>
        <w:rPr>
          <w:spacing w:val="1"/>
          <w:sz w:val="20"/>
        </w:rPr>
        <w:t> </w:t>
      </w:r>
      <w:r>
        <w:rPr>
          <w:sz w:val="20"/>
        </w:rPr>
        <w:t>business.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  <w:tab w:pos="820" w:val="left" w:leader="none"/>
        </w:tabs>
        <w:spacing w:line="240" w:lineRule="auto" w:before="182" w:after="0"/>
        <w:ind w:left="820" w:right="0" w:hanging="360"/>
        <w:jc w:val="left"/>
        <w:rPr>
          <w:sz w:val="20"/>
        </w:rPr>
      </w:pPr>
      <w:r>
        <w:rPr>
          <w:sz w:val="20"/>
        </w:rPr>
        <w:t>We</w:t>
      </w:r>
      <w:r>
        <w:rPr>
          <w:spacing w:val="-5"/>
          <w:sz w:val="20"/>
        </w:rPr>
        <w:t> </w:t>
      </w:r>
      <w:r>
        <w:rPr>
          <w:sz w:val="20"/>
        </w:rPr>
        <w:t>must</w:t>
      </w:r>
      <w:r>
        <w:rPr>
          <w:spacing w:val="-4"/>
          <w:sz w:val="20"/>
        </w:rPr>
        <w:t> </w:t>
      </w:r>
      <w:r>
        <w:rPr>
          <w:sz w:val="20"/>
        </w:rPr>
        <w:t>comply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anti-kickback,</w:t>
      </w:r>
      <w:r>
        <w:rPr>
          <w:spacing w:val="-3"/>
          <w:sz w:val="20"/>
        </w:rPr>
        <w:t> </w:t>
      </w:r>
      <w:r>
        <w:rPr>
          <w:sz w:val="20"/>
        </w:rPr>
        <w:t>fraud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abuse,</w:t>
      </w:r>
      <w:r>
        <w:rPr>
          <w:spacing w:val="-3"/>
          <w:sz w:val="20"/>
        </w:rPr>
        <w:t> </w:t>
      </w:r>
      <w:r>
        <w:rPr>
          <w:sz w:val="20"/>
        </w:rPr>
        <w:t>false</w:t>
      </w:r>
      <w:r>
        <w:rPr>
          <w:spacing w:val="-4"/>
          <w:sz w:val="20"/>
        </w:rPr>
        <w:t> </w:t>
      </w:r>
      <w:r>
        <w:rPr>
          <w:sz w:val="20"/>
        </w:rPr>
        <w:t>claims,</w:t>
      </w:r>
      <w:r>
        <w:rPr>
          <w:spacing w:val="-3"/>
          <w:sz w:val="20"/>
        </w:rPr>
        <w:t> </w:t>
      </w:r>
      <w:r>
        <w:rPr>
          <w:sz w:val="20"/>
        </w:rPr>
        <w:t>transparency,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healthcare</w:t>
      </w:r>
      <w:r>
        <w:rPr>
          <w:spacing w:val="-4"/>
          <w:sz w:val="20"/>
        </w:rPr>
        <w:t> </w:t>
      </w:r>
      <w:r>
        <w:rPr>
          <w:sz w:val="20"/>
        </w:rPr>
        <w:t>laws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regulations.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  <w:tab w:pos="820" w:val="left" w:leader="none"/>
        </w:tabs>
        <w:spacing w:line="249" w:lineRule="auto" w:before="190" w:after="0"/>
        <w:ind w:left="100" w:right="437" w:firstLine="360"/>
        <w:jc w:val="left"/>
        <w:rPr>
          <w:sz w:val="20"/>
        </w:rPr>
      </w:pPr>
      <w:r>
        <w:rPr>
          <w:sz w:val="20"/>
        </w:rPr>
        <w:t>Our AquaBeam Robotic System and our operations are subject to extensive government regulation and oversight in the</w:t>
      </w:r>
      <w:r>
        <w:rPr>
          <w:spacing w:val="1"/>
          <w:sz w:val="20"/>
        </w:rPr>
        <w:t> </w:t>
      </w:r>
      <w:r>
        <w:rPr>
          <w:sz w:val="20"/>
        </w:rPr>
        <w:t>United States. If we fail to maintain necessary marketing authorizations for our AquaBeam Robotic System, or if approvals or</w:t>
      </w:r>
      <w:r>
        <w:rPr>
          <w:spacing w:val="1"/>
          <w:sz w:val="20"/>
        </w:rPr>
        <w:t> </w:t>
      </w:r>
      <w:r>
        <w:rPr>
          <w:sz w:val="20"/>
        </w:rPr>
        <w:t>clearances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future</w:t>
      </w:r>
      <w:r>
        <w:rPr>
          <w:spacing w:val="-3"/>
          <w:sz w:val="20"/>
        </w:rPr>
        <w:t> </w:t>
      </w:r>
      <w:r>
        <w:rPr>
          <w:sz w:val="20"/>
        </w:rPr>
        <w:t>products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modifications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existing</w:t>
      </w:r>
      <w:r>
        <w:rPr>
          <w:spacing w:val="-2"/>
          <w:sz w:val="20"/>
        </w:rPr>
        <w:t> </w:t>
      </w:r>
      <w:r>
        <w:rPr>
          <w:sz w:val="20"/>
        </w:rPr>
        <w:t>products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delayed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issued,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will</w:t>
      </w:r>
      <w:r>
        <w:rPr>
          <w:spacing w:val="-4"/>
          <w:sz w:val="20"/>
        </w:rPr>
        <w:t> </w:t>
      </w:r>
      <w:r>
        <w:rPr>
          <w:sz w:val="20"/>
        </w:rPr>
        <w:t>negatively</w:t>
      </w:r>
      <w:r>
        <w:rPr>
          <w:spacing w:val="-2"/>
          <w:sz w:val="20"/>
        </w:rPr>
        <w:t> </w:t>
      </w:r>
      <w:r>
        <w:rPr>
          <w:sz w:val="20"/>
        </w:rPr>
        <w:t>affect</w:t>
      </w:r>
      <w:r>
        <w:rPr>
          <w:spacing w:val="-4"/>
          <w:sz w:val="20"/>
        </w:rPr>
        <w:t> </w:t>
      </w: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business,</w:t>
      </w:r>
      <w:r>
        <w:rPr>
          <w:spacing w:val="1"/>
          <w:sz w:val="20"/>
        </w:rPr>
        <w:t> </w:t>
      </w:r>
      <w:r>
        <w:rPr>
          <w:sz w:val="20"/>
        </w:rPr>
        <w:t>financial</w:t>
      </w:r>
      <w:r>
        <w:rPr>
          <w:spacing w:val="-2"/>
          <w:sz w:val="20"/>
        </w:rPr>
        <w:t> </w:t>
      </w:r>
      <w:r>
        <w:rPr>
          <w:sz w:val="20"/>
        </w:rPr>
        <w:t>condition and results</w:t>
      </w:r>
      <w:r>
        <w:rPr>
          <w:spacing w:val="-1"/>
          <w:sz w:val="20"/>
        </w:rPr>
        <w:t> </w:t>
      </w:r>
      <w:r>
        <w:rPr>
          <w:sz w:val="20"/>
        </w:rPr>
        <w:t>of operations.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  <w:tab w:pos="820" w:val="left" w:leader="none"/>
        </w:tabs>
        <w:spacing w:line="249" w:lineRule="auto" w:before="183" w:after="0"/>
        <w:ind w:left="100" w:right="659" w:firstLine="360"/>
        <w:jc w:val="left"/>
        <w:rPr>
          <w:sz w:val="20"/>
        </w:rPr>
      </w:pPr>
      <w:r>
        <w:rPr>
          <w:sz w:val="20"/>
        </w:rPr>
        <w:t>Even though we have obtained marketing authorization for our AquaBeam Robotic System, we are subject to ongoing</w:t>
      </w:r>
      <w:r>
        <w:rPr>
          <w:spacing w:val="1"/>
          <w:sz w:val="20"/>
        </w:rPr>
        <w:t> </w:t>
      </w:r>
      <w:r>
        <w:rPr>
          <w:sz w:val="20"/>
        </w:rPr>
        <w:t>regulatory review and scrutiny. Failure to comply with post-marketing regulatory requirements could subject us to enforcement</w:t>
      </w:r>
      <w:r>
        <w:rPr>
          <w:spacing w:val="-47"/>
          <w:sz w:val="20"/>
        </w:rPr>
        <w:t> </w:t>
      </w:r>
      <w:r>
        <w:rPr>
          <w:sz w:val="20"/>
        </w:rPr>
        <w:t>actions,</w:t>
      </w:r>
      <w:r>
        <w:rPr>
          <w:spacing w:val="-1"/>
          <w:sz w:val="20"/>
        </w:rPr>
        <w:t> </w:t>
      </w:r>
      <w:r>
        <w:rPr>
          <w:sz w:val="20"/>
        </w:rPr>
        <w:t>including</w:t>
      </w:r>
      <w:r>
        <w:rPr>
          <w:spacing w:val="-1"/>
          <w:sz w:val="20"/>
        </w:rPr>
        <w:t> </w:t>
      </w:r>
      <w:r>
        <w:rPr>
          <w:sz w:val="20"/>
        </w:rPr>
        <w:t>substantial</w:t>
      </w:r>
      <w:r>
        <w:rPr>
          <w:spacing w:val="-2"/>
          <w:sz w:val="20"/>
        </w:rPr>
        <w:t> </w:t>
      </w:r>
      <w:r>
        <w:rPr>
          <w:sz w:val="20"/>
        </w:rPr>
        <w:t>penalties,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might</w:t>
      </w:r>
      <w:r>
        <w:rPr>
          <w:spacing w:val="-2"/>
          <w:sz w:val="20"/>
        </w:rPr>
        <w:t> </w:t>
      </w:r>
      <w:r>
        <w:rPr>
          <w:sz w:val="20"/>
        </w:rPr>
        <w:t>require</w:t>
      </w:r>
      <w:r>
        <w:rPr>
          <w:spacing w:val="-2"/>
          <w:sz w:val="20"/>
        </w:rPr>
        <w:t> </w:t>
      </w:r>
      <w:r>
        <w:rPr>
          <w:sz w:val="20"/>
        </w:rPr>
        <w:t>us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recall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withdraw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product</w:t>
      </w:r>
      <w:r>
        <w:rPr>
          <w:spacing w:val="-2"/>
          <w:sz w:val="20"/>
        </w:rPr>
        <w:t> </w:t>
      </w:r>
      <w:r>
        <w:rPr>
          <w:sz w:val="20"/>
        </w:rPr>
        <w:t>from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market.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  <w:tab w:pos="820" w:val="left" w:leader="none"/>
        </w:tabs>
        <w:spacing w:line="249" w:lineRule="auto" w:before="183" w:after="0"/>
        <w:ind w:left="100" w:right="290" w:firstLine="360"/>
        <w:jc w:val="left"/>
        <w:rPr>
          <w:sz w:val="20"/>
        </w:rPr>
      </w:pPr>
      <w:r>
        <w:rPr>
          <w:sz w:val="20"/>
        </w:rPr>
        <w:t>We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obtain,</w:t>
      </w:r>
      <w:r>
        <w:rPr>
          <w:spacing w:val="-3"/>
          <w:sz w:val="20"/>
        </w:rPr>
        <w:t> </w:t>
      </w:r>
      <w:r>
        <w:rPr>
          <w:sz w:val="20"/>
        </w:rPr>
        <w:t>maintain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protect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intellectual</w:t>
      </w:r>
      <w:r>
        <w:rPr>
          <w:spacing w:val="-3"/>
          <w:sz w:val="20"/>
        </w:rPr>
        <w:t> </w:t>
      </w:r>
      <w:r>
        <w:rPr>
          <w:sz w:val="20"/>
        </w:rPr>
        <w:t>property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failure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so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adversely</w:t>
      </w:r>
      <w:r>
        <w:rPr>
          <w:spacing w:val="-3"/>
          <w:sz w:val="20"/>
        </w:rPr>
        <w:t> </w:t>
      </w:r>
      <w:r>
        <w:rPr>
          <w:sz w:val="20"/>
        </w:rPr>
        <w:t>impact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competitive</w:t>
      </w:r>
      <w:r>
        <w:rPr>
          <w:spacing w:val="-47"/>
          <w:sz w:val="20"/>
        </w:rPr>
        <w:t> </w:t>
      </w:r>
      <w:r>
        <w:rPr>
          <w:sz w:val="20"/>
        </w:rPr>
        <w:t>position.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  <w:tab w:pos="820" w:val="left" w:leader="none"/>
        </w:tabs>
        <w:spacing w:line="249" w:lineRule="auto" w:before="181" w:after="0"/>
        <w:ind w:left="100" w:right="718" w:firstLine="360"/>
        <w:jc w:val="left"/>
        <w:rPr>
          <w:sz w:val="20"/>
        </w:rPr>
      </w:pPr>
      <w:r>
        <w:rPr>
          <w:sz w:val="20"/>
        </w:rPr>
        <w:t>We</w:t>
      </w:r>
      <w:r>
        <w:rPr>
          <w:spacing w:val="-5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become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party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intellectual</w:t>
      </w:r>
      <w:r>
        <w:rPr>
          <w:spacing w:val="-4"/>
          <w:sz w:val="20"/>
        </w:rPr>
        <w:t> </w:t>
      </w:r>
      <w:r>
        <w:rPr>
          <w:sz w:val="20"/>
        </w:rPr>
        <w:t>property</w:t>
      </w:r>
      <w:r>
        <w:rPr>
          <w:spacing w:val="-3"/>
          <w:sz w:val="20"/>
        </w:rPr>
        <w:t> </w:t>
      </w:r>
      <w:r>
        <w:rPr>
          <w:sz w:val="20"/>
        </w:rPr>
        <w:t>litigation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administrative</w:t>
      </w:r>
      <w:r>
        <w:rPr>
          <w:spacing w:val="-4"/>
          <w:sz w:val="20"/>
        </w:rPr>
        <w:t> </w:t>
      </w:r>
      <w:r>
        <w:rPr>
          <w:sz w:val="20"/>
        </w:rPr>
        <w:t>proceedings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could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expensive,</w:t>
      </w:r>
      <w:r>
        <w:rPr>
          <w:spacing w:val="-3"/>
          <w:sz w:val="20"/>
        </w:rPr>
        <w:t> </w:t>
      </w:r>
      <w:r>
        <w:rPr>
          <w:sz w:val="20"/>
        </w:rPr>
        <w:t>time-</w:t>
      </w:r>
      <w:r>
        <w:rPr>
          <w:spacing w:val="1"/>
          <w:sz w:val="20"/>
        </w:rPr>
        <w:t> </w:t>
      </w:r>
      <w:r>
        <w:rPr>
          <w:sz w:val="20"/>
        </w:rPr>
        <w:t>consuming,</w:t>
      </w:r>
      <w:r>
        <w:rPr>
          <w:spacing w:val="-1"/>
          <w:sz w:val="20"/>
        </w:rPr>
        <w:t> </w:t>
      </w:r>
      <w:r>
        <w:rPr>
          <w:sz w:val="20"/>
        </w:rPr>
        <w:t>unsuccessful,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could</w:t>
      </w:r>
      <w:r>
        <w:rPr>
          <w:spacing w:val="-1"/>
          <w:sz w:val="20"/>
        </w:rPr>
        <w:t> </w:t>
      </w:r>
      <w:r>
        <w:rPr>
          <w:sz w:val="20"/>
        </w:rPr>
        <w:t>interfere</w:t>
      </w:r>
      <w:r>
        <w:rPr>
          <w:spacing w:val="-2"/>
          <w:sz w:val="20"/>
        </w:rPr>
        <w:t> </w:t>
      </w:r>
      <w:r>
        <w:rPr>
          <w:sz w:val="20"/>
        </w:rPr>
        <w:t>with our</w:t>
      </w:r>
      <w:r>
        <w:rPr>
          <w:spacing w:val="-1"/>
          <w:sz w:val="20"/>
        </w:rPr>
        <w:t> </w:t>
      </w:r>
      <w:r>
        <w:rPr>
          <w:sz w:val="20"/>
        </w:rPr>
        <w:t>ability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sell</w:t>
      </w:r>
      <w:r>
        <w:rPr>
          <w:spacing w:val="-2"/>
          <w:sz w:val="20"/>
        </w:rPr>
        <w:t> </w:t>
      </w:r>
      <w:r>
        <w:rPr>
          <w:sz w:val="20"/>
        </w:rPr>
        <w:t>and market</w:t>
      </w:r>
      <w:r>
        <w:rPr>
          <w:spacing w:val="-2"/>
          <w:sz w:val="20"/>
        </w:rPr>
        <w:t> </w:t>
      </w:r>
      <w:r>
        <w:rPr>
          <w:sz w:val="20"/>
        </w:rPr>
        <w:t>our</w:t>
      </w:r>
      <w:r>
        <w:rPr>
          <w:spacing w:val="-1"/>
          <w:sz w:val="20"/>
        </w:rPr>
        <w:t> </w:t>
      </w:r>
      <w:r>
        <w:rPr>
          <w:sz w:val="20"/>
        </w:rPr>
        <w:t>products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services.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  <w:tab w:pos="820" w:val="left" w:leader="none"/>
        </w:tabs>
        <w:spacing w:line="249" w:lineRule="auto" w:before="182" w:after="0"/>
        <w:ind w:left="100" w:right="297" w:firstLine="360"/>
        <w:jc w:val="left"/>
        <w:rPr>
          <w:sz w:val="20"/>
        </w:rPr>
      </w:pPr>
      <w:r>
        <w:rPr>
          <w:sz w:val="20"/>
        </w:rPr>
        <w:t>The market price of our common stock may be volatile or may decline steeply or suddenly regardless of our operating</w:t>
      </w:r>
      <w:r>
        <w:rPr>
          <w:spacing w:val="1"/>
          <w:sz w:val="20"/>
        </w:rPr>
        <w:t> </w:t>
      </w:r>
      <w:r>
        <w:rPr>
          <w:sz w:val="20"/>
        </w:rPr>
        <w:t>performance,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could</w:t>
      </w:r>
      <w:r>
        <w:rPr>
          <w:spacing w:val="-2"/>
          <w:sz w:val="20"/>
        </w:rPr>
        <w:t> </w:t>
      </w:r>
      <w:r>
        <w:rPr>
          <w:sz w:val="20"/>
        </w:rPr>
        <w:t>result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substantial</w:t>
      </w:r>
      <w:r>
        <w:rPr>
          <w:spacing w:val="-3"/>
          <w:sz w:val="20"/>
        </w:rPr>
        <w:t> </w:t>
      </w:r>
      <w:r>
        <w:rPr>
          <w:sz w:val="20"/>
        </w:rPr>
        <w:t>losses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purchasers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our</w:t>
      </w:r>
      <w:r>
        <w:rPr>
          <w:spacing w:val="-2"/>
          <w:sz w:val="20"/>
        </w:rPr>
        <w:t> </w:t>
      </w:r>
      <w:r>
        <w:rPr>
          <w:sz w:val="20"/>
        </w:rPr>
        <w:t>common</w:t>
      </w:r>
      <w:r>
        <w:rPr>
          <w:spacing w:val="-2"/>
          <w:sz w:val="20"/>
        </w:rPr>
        <w:t> </w:t>
      </w:r>
      <w:r>
        <w:rPr>
          <w:sz w:val="20"/>
        </w:rPr>
        <w:t>stock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offering,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we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able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7"/>
          <w:sz w:val="20"/>
        </w:rPr>
        <w:t> </w:t>
      </w:r>
      <w:r>
        <w:rPr>
          <w:sz w:val="20"/>
        </w:rPr>
        <w:t>meet</w:t>
      </w:r>
      <w:r>
        <w:rPr>
          <w:spacing w:val="-2"/>
          <w:sz w:val="20"/>
        </w:rPr>
        <w:t> </w:t>
      </w:r>
      <w:r>
        <w:rPr>
          <w:sz w:val="20"/>
        </w:rPr>
        <w:t>investor or analyst</w:t>
      </w:r>
      <w:r>
        <w:rPr>
          <w:spacing w:val="-1"/>
          <w:sz w:val="20"/>
        </w:rPr>
        <w:t> </w:t>
      </w:r>
      <w:r>
        <w:rPr>
          <w:sz w:val="20"/>
        </w:rPr>
        <w:t>expectations.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  <w:tab w:pos="820" w:val="left" w:leader="none"/>
        </w:tabs>
        <w:spacing w:line="240" w:lineRule="auto" w:before="182" w:after="0"/>
        <w:ind w:left="820" w:right="0" w:hanging="360"/>
        <w:jc w:val="left"/>
        <w:rPr>
          <w:sz w:val="20"/>
        </w:rPr>
      </w:pPr>
      <w:r>
        <w:rPr>
          <w:sz w:val="20"/>
        </w:rPr>
        <w:t>Future</w:t>
      </w:r>
      <w:r>
        <w:rPr>
          <w:spacing w:val="-4"/>
          <w:sz w:val="20"/>
        </w:rPr>
        <w:t> </w:t>
      </w:r>
      <w:r>
        <w:rPr>
          <w:sz w:val="20"/>
        </w:rPr>
        <w:t>securities</w:t>
      </w:r>
      <w:r>
        <w:rPr>
          <w:spacing w:val="-4"/>
          <w:sz w:val="20"/>
        </w:rPr>
        <w:t> </w:t>
      </w:r>
      <w:r>
        <w:rPr>
          <w:sz w:val="20"/>
        </w:rPr>
        <w:t>issuances</w:t>
      </w:r>
      <w:r>
        <w:rPr>
          <w:spacing w:val="-3"/>
          <w:sz w:val="20"/>
        </w:rPr>
        <w:t> </w:t>
      </w:r>
      <w:r>
        <w:rPr>
          <w:sz w:val="20"/>
        </w:rPr>
        <w:t>could</w:t>
      </w:r>
      <w:r>
        <w:rPr>
          <w:spacing w:val="-3"/>
          <w:sz w:val="20"/>
        </w:rPr>
        <w:t> </w:t>
      </w:r>
      <w:r>
        <w:rPr>
          <w:sz w:val="20"/>
        </w:rPr>
        <w:t>result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significant</w:t>
      </w:r>
      <w:r>
        <w:rPr>
          <w:spacing w:val="-4"/>
          <w:sz w:val="20"/>
        </w:rPr>
        <w:t> </w:t>
      </w:r>
      <w:r>
        <w:rPr>
          <w:sz w:val="20"/>
        </w:rPr>
        <w:t>dilution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stockholders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impair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market</w:t>
      </w:r>
      <w:r>
        <w:rPr>
          <w:spacing w:val="-4"/>
          <w:sz w:val="20"/>
        </w:rPr>
        <w:t> </w:t>
      </w:r>
      <w:r>
        <w:rPr>
          <w:sz w:val="20"/>
        </w:rPr>
        <w:t>price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common</w:t>
      </w:r>
    </w:p>
    <w:p>
      <w:pPr>
        <w:spacing w:after="0" w:line="240" w:lineRule="auto"/>
        <w:jc w:val="left"/>
        <w:rPr>
          <w:sz w:val="20"/>
        </w:rPr>
        <w:sectPr>
          <w:footerReference w:type="default" r:id="rId6"/>
          <w:pgSz w:w="12240" w:h="15840"/>
          <w:pgMar w:footer="738" w:header="0" w:top="600" w:bottom="920" w:left="620" w:right="620"/>
        </w:sectPr>
      </w:pPr>
    </w:p>
    <w:p>
      <w:pPr>
        <w:pStyle w:val="Heading2"/>
        <w:spacing w:line="249" w:lineRule="auto"/>
        <w:ind w:left="3109" w:right="2708" w:firstLine="814"/>
      </w:pPr>
      <w:bookmarkStart w:name="Part I - Financial Information" w:id="4"/>
      <w:bookmarkEnd w:id="4"/>
      <w:r>
        <w:rPr>
          <w:b w:val="0"/>
        </w:rPr>
      </w:r>
      <w:bookmarkStart w:name="Item 1. Financial Statements" w:id="5"/>
      <w:bookmarkEnd w:id="5"/>
      <w:r>
        <w:rPr>
          <w:b w:val="0"/>
        </w:rPr>
      </w:r>
      <w:bookmarkStart w:name="Balance Sheet" w:id="6"/>
      <w:bookmarkEnd w:id="6"/>
      <w:r>
        <w:rPr>
          <w:b w:val="0"/>
        </w:rPr>
      </w:r>
      <w:bookmarkStart w:name="_bookmark0" w:id="7"/>
      <w:bookmarkEnd w:id="7"/>
      <w:r>
        <w:rPr>
          <w:b w:val="0"/>
        </w:rPr>
      </w:r>
      <w:bookmarkStart w:name="_bookmark1" w:id="8"/>
      <w:bookmarkEnd w:id="8"/>
      <w:r>
        <w:rPr>
          <w:b w:val="0"/>
        </w:rPr>
      </w:r>
      <w:bookmarkStart w:name="_bookmark2" w:id="9"/>
      <w:bookmarkEnd w:id="9"/>
      <w:r>
        <w:rPr>
          <w:b w:val="0"/>
        </w:rPr>
      </w:r>
      <w:r>
        <w:rPr/>
        <w:t>PROCEPT BioRobotics Corporation</w:t>
      </w:r>
      <w:r>
        <w:rPr>
          <w:spacing w:val="1"/>
        </w:rPr>
        <w:t> </w:t>
      </w:r>
      <w:r>
        <w:rPr/>
        <w:t>CONDENSED</w:t>
      </w:r>
      <w:r>
        <w:rPr>
          <w:spacing w:val="-10"/>
        </w:rPr>
        <w:t> </w:t>
      </w:r>
      <w:r>
        <w:rPr/>
        <w:t>CONSOLIDATED</w:t>
      </w:r>
      <w:r>
        <w:rPr>
          <w:spacing w:val="-9"/>
        </w:rPr>
        <w:t> </w:t>
      </w:r>
      <w:r>
        <w:rPr/>
        <w:t>BALANCE</w:t>
      </w:r>
      <w:r>
        <w:rPr>
          <w:spacing w:val="-9"/>
        </w:rPr>
        <w:t> </w:t>
      </w:r>
      <w:r>
        <w:rPr/>
        <w:t>SHEETS</w:t>
      </w:r>
    </w:p>
    <w:p>
      <w:pPr>
        <w:spacing w:line="249" w:lineRule="auto" w:before="2"/>
        <w:ind w:left="3928" w:right="3926" w:firstLine="0"/>
        <w:jc w:val="center"/>
        <w:rPr>
          <w:b/>
          <w:sz w:val="20"/>
        </w:rPr>
      </w:pPr>
      <w:r>
        <w:rPr>
          <w:b/>
          <w:sz w:val="20"/>
        </w:rPr>
        <w:t>(in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thousands,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except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per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share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data)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(unaudited)</w:t>
      </w:r>
    </w:p>
    <w:p>
      <w:pPr>
        <w:pStyle w:val="BodyText"/>
        <w:spacing w:before="4"/>
        <w:ind w:left="0" w:firstLine="0"/>
        <w:rPr>
          <w:b/>
          <w:sz w:val="16"/>
        </w:rPr>
      </w:pPr>
    </w:p>
    <w:p>
      <w:pPr>
        <w:tabs>
          <w:tab w:pos="8775" w:val="left" w:leader="none"/>
        </w:tabs>
        <w:spacing w:before="94"/>
        <w:ind w:left="7390" w:right="0" w:firstLine="0"/>
        <w:jc w:val="center"/>
        <w:rPr>
          <w:b/>
          <w:sz w:val="14"/>
        </w:rPr>
      </w:pPr>
      <w:r>
        <w:rPr>
          <w:b/>
          <w:sz w:val="14"/>
        </w:rPr>
        <w:t>September</w:t>
      </w:r>
      <w:r>
        <w:rPr>
          <w:b/>
          <w:spacing w:val="-3"/>
          <w:sz w:val="14"/>
        </w:rPr>
        <w:t> </w:t>
      </w:r>
      <w:r>
        <w:rPr>
          <w:b/>
          <w:sz w:val="14"/>
        </w:rPr>
        <w:t>30,</w:t>
        <w:tab/>
        <w:t>December</w:t>
      </w:r>
      <w:r>
        <w:rPr>
          <w:b/>
          <w:spacing w:val="-4"/>
          <w:sz w:val="14"/>
        </w:rPr>
        <w:t> </w:t>
      </w:r>
      <w:r>
        <w:rPr>
          <w:b/>
          <w:sz w:val="14"/>
        </w:rPr>
        <w:t>31,</w:t>
      </w:r>
    </w:p>
    <w:p>
      <w:pPr>
        <w:tabs>
          <w:tab w:pos="8774" w:val="left" w:leader="none"/>
        </w:tabs>
        <w:spacing w:before="79"/>
        <w:ind w:left="7409" w:right="0" w:firstLine="0"/>
        <w:jc w:val="center"/>
        <w:rPr>
          <w:b/>
          <w:sz w:val="14"/>
        </w:rPr>
      </w:pPr>
      <w:r>
        <w:rPr/>
        <w:pict>
          <v:group style="position:absolute;margin-left:90pt;margin-top:12.995166pt;width:468pt;height:12.5pt;mso-position-horizontal-relative:page;mso-position-vertical-relative:paragraph;z-index:-15726592;mso-wrap-distance-left:0;mso-wrap-distance-right:0" id="docshapegroup11" coordorigin="1800,260" coordsize="9360,250">
            <v:rect style="position:absolute;left:1800;top:269;width:9360;height:240" id="docshape12" filled="true" fillcolor="#ccedff" stroked="false">
              <v:fill type="solid"/>
            </v:rect>
            <v:shape style="position:absolute;left:8490;top:269;width:1305;height:2" id="docshape13" coordorigin="8490,270" coordsize="1305,0" path="m9795,270l8490,270e" filled="true" fillcolor="#000000" stroked="false">
              <v:path arrowok="t"/>
              <v:fill opacity="0f" type="solid"/>
            </v:shape>
            <v:line style="position:absolute" from="8490,270" to="9795,270" stroked="true" strokeweight="1pt" strokecolor="#000000">
              <v:stroke dashstyle="solid"/>
            </v:line>
            <v:shape style="position:absolute;left:9855;top:269;width:1305;height:2" id="docshape14" coordorigin="9855,270" coordsize="1305,0" path="m11160,270l9855,270e" filled="true" fillcolor="#000000" stroked="false">
              <v:path arrowok="t"/>
              <v:fill opacity="0f" type="solid"/>
            </v:shape>
            <v:line style="position:absolute" from="9855,270" to="11160,270" stroked="true" strokeweight="1pt" strokecolor="#000000">
              <v:stroke dashstyle="solid"/>
            </v:line>
            <v:shape style="position:absolute;left:1800;top:269;width:9360;height:240" type="#_x0000_t202" id="docshape15" filled="false" stroked="false">
              <v:textbox inset="0,0,0,0">
                <w:txbxContent>
                  <w:p>
                    <w:pPr>
                      <w:spacing w:before="11"/>
                      <w:ind w:left="52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Assets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b/>
          <w:sz w:val="14"/>
        </w:rPr>
        <w:t>2021</w:t>
        <w:tab/>
        <w:t>2020</w:t>
      </w:r>
    </w:p>
    <w:tbl>
      <w:tblPr>
        <w:tblW w:w="0" w:type="auto"/>
        <w:jc w:val="left"/>
        <w:tblInd w:w="1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90"/>
        <w:gridCol w:w="1320"/>
        <w:gridCol w:w="1349"/>
      </w:tblGrid>
      <w:tr>
        <w:trPr>
          <w:trHeight w:val="219" w:hRule="atLeast"/>
        </w:trPr>
        <w:tc>
          <w:tcPr>
            <w:tcW w:w="6690" w:type="dxa"/>
          </w:tcPr>
          <w:p>
            <w:pPr>
              <w:pStyle w:val="TableParagraph"/>
              <w:spacing w:line="177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Current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assets:</w:t>
            </w:r>
          </w:p>
        </w:tc>
        <w:tc>
          <w:tcPr>
            <w:tcW w:w="2669" w:type="dxa"/>
            <w:gridSpan w:val="2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6690" w:type="dxa"/>
            <w:shd w:val="clear" w:color="auto" w:fill="CCEDFF"/>
          </w:tcPr>
          <w:p>
            <w:pPr>
              <w:pStyle w:val="TableParagraph"/>
              <w:spacing w:before="14"/>
              <w:ind w:right="52"/>
              <w:rPr>
                <w:sz w:val="16"/>
              </w:rPr>
            </w:pPr>
            <w:r>
              <w:rPr>
                <w:sz w:val="16"/>
              </w:rPr>
              <w:t>Cash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cash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equivalents</w:t>
            </w:r>
            <w:r>
              <w:rPr>
                <w:color w:val="B3B3B3"/>
                <w:sz w:val="16"/>
              </w:rPr>
              <w:t>....................................................................................................................</w:t>
            </w:r>
          </w:p>
        </w:tc>
        <w:tc>
          <w:tcPr>
            <w:tcW w:w="1320" w:type="dxa"/>
            <w:shd w:val="clear" w:color="auto" w:fill="CCEDFF"/>
          </w:tcPr>
          <w:p>
            <w:pPr>
              <w:pStyle w:val="TableParagraph"/>
              <w:tabs>
                <w:tab w:pos="650" w:val="left" w:leader="none"/>
              </w:tabs>
              <w:spacing w:before="26"/>
              <w:ind w:right="94"/>
              <w:rPr>
                <w:sz w:val="16"/>
              </w:rPr>
            </w:pPr>
            <w:r>
              <w:rPr>
                <w:sz w:val="16"/>
              </w:rPr>
              <w:t>$</w:t>
              <w:tab/>
              <w:t>320,484</w:t>
            </w:r>
          </w:p>
        </w:tc>
        <w:tc>
          <w:tcPr>
            <w:tcW w:w="1349" w:type="dxa"/>
            <w:shd w:val="clear" w:color="auto" w:fill="CCEDFF"/>
          </w:tcPr>
          <w:p>
            <w:pPr>
              <w:pStyle w:val="TableParagraph"/>
              <w:tabs>
                <w:tab w:pos="650" w:val="left" w:leader="none"/>
              </w:tabs>
              <w:spacing w:before="26"/>
              <w:ind w:right="78"/>
              <w:rPr>
                <w:sz w:val="16"/>
              </w:rPr>
            </w:pPr>
            <w:r>
              <w:rPr>
                <w:sz w:val="16"/>
              </w:rPr>
              <w:t>$</w:t>
              <w:tab/>
              <w:t>100,130</w:t>
            </w:r>
          </w:p>
        </w:tc>
      </w:tr>
      <w:tr>
        <w:trPr>
          <w:trHeight w:val="240" w:hRule="atLeast"/>
        </w:trPr>
        <w:tc>
          <w:tcPr>
            <w:tcW w:w="6690" w:type="dxa"/>
          </w:tcPr>
          <w:p>
            <w:pPr>
              <w:pStyle w:val="TableParagraph"/>
              <w:spacing w:before="14"/>
              <w:ind w:right="56"/>
              <w:rPr>
                <w:sz w:val="16"/>
              </w:rPr>
            </w:pPr>
            <w:r>
              <w:rPr>
                <w:sz w:val="16"/>
              </w:rPr>
              <w:t>Accounts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receivable, net</w:t>
            </w:r>
            <w:r>
              <w:rPr>
                <w:spacing w:val="4"/>
                <w:sz w:val="16"/>
              </w:rPr>
              <w:t> </w:t>
            </w:r>
            <w:r>
              <w:rPr>
                <w:color w:val="B3B3B3"/>
                <w:sz w:val="16"/>
              </w:rPr>
              <w:t>. . . . . . . . . . . . . . . . . . . . . . . . . . . . . . . . . . . . . . . . . . . . . . . . . . . . . . . . . . .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94"/>
              <w:rPr>
                <w:sz w:val="16"/>
              </w:rPr>
            </w:pPr>
            <w:r>
              <w:rPr>
                <w:sz w:val="16"/>
              </w:rPr>
              <w:t>6,353</w:t>
            </w:r>
          </w:p>
        </w:tc>
        <w:tc>
          <w:tcPr>
            <w:tcW w:w="1349" w:type="dxa"/>
          </w:tcPr>
          <w:p>
            <w:pPr>
              <w:pStyle w:val="TableParagraph"/>
              <w:spacing w:before="26"/>
              <w:ind w:right="78"/>
              <w:rPr>
                <w:sz w:val="16"/>
              </w:rPr>
            </w:pPr>
            <w:r>
              <w:rPr>
                <w:sz w:val="16"/>
              </w:rPr>
              <w:t>1,549</w:t>
            </w:r>
          </w:p>
        </w:tc>
      </w:tr>
      <w:tr>
        <w:trPr>
          <w:trHeight w:val="240" w:hRule="atLeast"/>
        </w:trPr>
        <w:tc>
          <w:tcPr>
            <w:tcW w:w="6690" w:type="dxa"/>
            <w:shd w:val="clear" w:color="auto" w:fill="CCEDFF"/>
          </w:tcPr>
          <w:p>
            <w:pPr>
              <w:pStyle w:val="TableParagraph"/>
              <w:spacing w:before="14"/>
              <w:ind w:right="54"/>
              <w:rPr>
                <w:sz w:val="16"/>
              </w:rPr>
            </w:pPr>
            <w:r>
              <w:rPr>
                <w:sz w:val="16"/>
              </w:rPr>
              <w:t>Inventory</w:t>
            </w:r>
            <w:r>
              <w:rPr>
                <w:spacing w:val="38"/>
                <w:sz w:val="16"/>
              </w:rPr>
              <w:t> </w:t>
            </w:r>
            <w:r>
              <w:rPr>
                <w:color w:val="B3B3B3"/>
                <w:sz w:val="16"/>
              </w:rPr>
              <w:t>. . . . . . . . . . . . . . . . . . . . . . . . . . . . . . . . . . . . . . . . . . . . . . . . . . . . . . . . . . . . . . . . . . . . . . .</w:t>
            </w:r>
          </w:p>
        </w:tc>
        <w:tc>
          <w:tcPr>
            <w:tcW w:w="1320" w:type="dxa"/>
            <w:shd w:val="clear" w:color="auto" w:fill="CCEDFF"/>
          </w:tcPr>
          <w:p>
            <w:pPr>
              <w:pStyle w:val="TableParagraph"/>
              <w:spacing w:before="26"/>
              <w:ind w:right="94"/>
              <w:rPr>
                <w:sz w:val="16"/>
              </w:rPr>
            </w:pPr>
            <w:r>
              <w:rPr>
                <w:sz w:val="16"/>
              </w:rPr>
              <w:t>10,401</w:t>
            </w:r>
          </w:p>
        </w:tc>
        <w:tc>
          <w:tcPr>
            <w:tcW w:w="1349" w:type="dxa"/>
            <w:shd w:val="clear" w:color="auto" w:fill="CCEDFF"/>
          </w:tcPr>
          <w:p>
            <w:pPr>
              <w:pStyle w:val="TableParagraph"/>
              <w:spacing w:before="26"/>
              <w:ind w:right="78"/>
              <w:rPr>
                <w:sz w:val="16"/>
              </w:rPr>
            </w:pPr>
            <w:r>
              <w:rPr>
                <w:sz w:val="16"/>
              </w:rPr>
              <w:t>6,924</w:t>
            </w:r>
          </w:p>
        </w:tc>
      </w:tr>
      <w:tr>
        <w:trPr>
          <w:trHeight w:val="230" w:hRule="atLeast"/>
        </w:trPr>
        <w:tc>
          <w:tcPr>
            <w:tcW w:w="6690" w:type="dxa"/>
          </w:tcPr>
          <w:p>
            <w:pPr>
              <w:pStyle w:val="TableParagraph"/>
              <w:spacing w:before="14"/>
              <w:ind w:right="51"/>
              <w:rPr>
                <w:sz w:val="16"/>
              </w:rPr>
            </w:pPr>
            <w:r>
              <w:rPr>
                <w:sz w:val="16"/>
              </w:rPr>
              <w:t>Prepaid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expenses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and other current assets</w:t>
            </w:r>
            <w:r>
              <w:rPr>
                <w:spacing w:val="11"/>
                <w:sz w:val="16"/>
              </w:rPr>
              <w:t> </w:t>
            </w:r>
            <w:r>
              <w:rPr>
                <w:color w:val="B3B3B3"/>
                <w:sz w:val="16"/>
              </w:rPr>
              <w:t>. . . . . . . .</w:t>
            </w:r>
            <w:r>
              <w:rPr>
                <w:color w:val="B3B3B3"/>
                <w:spacing w:val="-1"/>
                <w:sz w:val="16"/>
              </w:rPr>
              <w:t> </w:t>
            </w:r>
            <w:r>
              <w:rPr>
                <w:color w:val="B3B3B3"/>
                <w:sz w:val="16"/>
              </w:rPr>
              <w:t>. . . . . . . . . . . . .</w:t>
            </w:r>
            <w:r>
              <w:rPr>
                <w:color w:val="B3B3B3"/>
                <w:spacing w:val="-1"/>
                <w:sz w:val="16"/>
              </w:rPr>
              <w:t> </w:t>
            </w:r>
            <w:r>
              <w:rPr>
                <w:color w:val="B3B3B3"/>
                <w:sz w:val="16"/>
              </w:rPr>
              <w:t>. . . . . . . . . . . . .</w:t>
            </w:r>
            <w:r>
              <w:rPr>
                <w:color w:val="B3B3B3"/>
                <w:spacing w:val="-1"/>
                <w:sz w:val="16"/>
              </w:rPr>
              <w:t> </w:t>
            </w:r>
            <w:r>
              <w:rPr>
                <w:color w:val="B3B3B3"/>
                <w:sz w:val="16"/>
              </w:rPr>
              <w:t>. . . . . . . . . . . .</w:t>
            </w:r>
          </w:p>
        </w:tc>
        <w:tc>
          <w:tcPr>
            <w:tcW w:w="132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4" w:lineRule="exact" w:before="26"/>
              <w:ind w:right="94"/>
              <w:rPr>
                <w:sz w:val="16"/>
              </w:rPr>
            </w:pPr>
            <w:r>
              <w:rPr>
                <w:sz w:val="16"/>
              </w:rPr>
              <w:t>2,232</w:t>
            </w:r>
          </w:p>
        </w:tc>
        <w:tc>
          <w:tcPr>
            <w:tcW w:w="134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4" w:lineRule="exact" w:before="26"/>
              <w:ind w:right="78"/>
              <w:rPr>
                <w:sz w:val="16"/>
              </w:rPr>
            </w:pPr>
            <w:r>
              <w:rPr>
                <w:sz w:val="16"/>
              </w:rPr>
              <w:t>1,653</w:t>
            </w:r>
          </w:p>
        </w:tc>
      </w:tr>
      <w:tr>
        <w:trPr>
          <w:trHeight w:val="230" w:hRule="atLeast"/>
        </w:trPr>
        <w:tc>
          <w:tcPr>
            <w:tcW w:w="6690" w:type="dxa"/>
            <w:shd w:val="clear" w:color="auto" w:fill="CCEDFF"/>
          </w:tcPr>
          <w:p>
            <w:pPr>
              <w:pStyle w:val="TableParagraph"/>
              <w:spacing w:before="21"/>
              <w:ind w:right="56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current assets</w:t>
            </w:r>
            <w:r>
              <w:rPr>
                <w:spacing w:val="15"/>
                <w:sz w:val="16"/>
              </w:rPr>
              <w:t> </w:t>
            </w:r>
            <w:r>
              <w:rPr>
                <w:color w:val="B3B3B3"/>
                <w:sz w:val="16"/>
              </w:rPr>
              <w:t>. . . . . . . . . . . . . . . . . . . .</w:t>
            </w:r>
            <w:r>
              <w:rPr>
                <w:color w:val="B3B3B3"/>
                <w:spacing w:val="-1"/>
                <w:sz w:val="16"/>
              </w:rPr>
              <w:t> </w:t>
            </w:r>
            <w:r>
              <w:rPr>
                <w:color w:val="B3B3B3"/>
                <w:sz w:val="16"/>
              </w:rPr>
              <w:t>. . . . . . . . . . . . . . . . . . . . . .</w:t>
            </w:r>
            <w:r>
              <w:rPr>
                <w:color w:val="B3B3B3"/>
                <w:spacing w:val="-1"/>
                <w:sz w:val="16"/>
              </w:rPr>
              <w:t> </w:t>
            </w:r>
            <w:r>
              <w:rPr>
                <w:color w:val="B3B3B3"/>
                <w:sz w:val="16"/>
              </w:rPr>
              <w:t>. . . . . . . . . . . . . . . . . .</w:t>
            </w:r>
          </w:p>
        </w:tc>
        <w:tc>
          <w:tcPr>
            <w:tcW w:w="1320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16"/>
              <w:ind w:right="94"/>
              <w:rPr>
                <w:sz w:val="16"/>
              </w:rPr>
            </w:pPr>
            <w:r>
              <w:rPr>
                <w:sz w:val="16"/>
              </w:rPr>
              <w:t>339,470</w:t>
            </w:r>
          </w:p>
        </w:tc>
        <w:tc>
          <w:tcPr>
            <w:tcW w:w="1349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16"/>
              <w:ind w:right="78"/>
              <w:rPr>
                <w:sz w:val="16"/>
              </w:rPr>
            </w:pPr>
            <w:r>
              <w:rPr>
                <w:sz w:val="16"/>
              </w:rPr>
              <w:t>110,256</w:t>
            </w:r>
          </w:p>
        </w:tc>
      </w:tr>
      <w:tr>
        <w:trPr>
          <w:trHeight w:val="240" w:hRule="atLeast"/>
        </w:trPr>
        <w:tc>
          <w:tcPr>
            <w:tcW w:w="6690" w:type="dxa"/>
          </w:tcPr>
          <w:p>
            <w:pPr>
              <w:pStyle w:val="TableParagraph"/>
              <w:spacing w:before="14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Restricted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cash</w:t>
            </w:r>
            <w:r>
              <w:rPr>
                <w:spacing w:val="10"/>
                <w:sz w:val="16"/>
              </w:rPr>
              <w:t> </w:t>
            </w:r>
            <w:r>
              <w:rPr>
                <w:color w:val="B3B3B3"/>
                <w:sz w:val="16"/>
              </w:rPr>
              <w:t>. . . . . . . . . . . . . . . . . . . . . . . . . . . . . . . . . . .</w:t>
            </w:r>
            <w:r>
              <w:rPr>
                <w:color w:val="B3B3B3"/>
                <w:spacing w:val="-1"/>
                <w:sz w:val="16"/>
              </w:rPr>
              <w:t> </w:t>
            </w:r>
            <w:r>
              <w:rPr>
                <w:color w:val="B3B3B3"/>
                <w:sz w:val="16"/>
              </w:rPr>
              <w:t>. . . . . . . . . . . . . . . . . . . . . . . . . . . . . . . . . . .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94"/>
              <w:rPr>
                <w:sz w:val="16"/>
              </w:rPr>
            </w:pPr>
            <w:r>
              <w:rPr>
                <w:sz w:val="16"/>
              </w:rPr>
              <w:t>777</w:t>
            </w:r>
          </w:p>
        </w:tc>
        <w:tc>
          <w:tcPr>
            <w:tcW w:w="1349" w:type="dxa"/>
          </w:tcPr>
          <w:p>
            <w:pPr>
              <w:pStyle w:val="TableParagraph"/>
              <w:spacing w:before="26"/>
              <w:ind w:right="78"/>
              <w:rPr>
                <w:sz w:val="16"/>
              </w:rPr>
            </w:pPr>
            <w:r>
              <w:rPr>
                <w:sz w:val="16"/>
              </w:rPr>
              <w:t>777</w:t>
            </w:r>
          </w:p>
        </w:tc>
      </w:tr>
      <w:tr>
        <w:trPr>
          <w:trHeight w:val="240" w:hRule="atLeast"/>
        </w:trPr>
        <w:tc>
          <w:tcPr>
            <w:tcW w:w="6690" w:type="dxa"/>
            <w:shd w:val="clear" w:color="auto" w:fill="CCEDFF"/>
          </w:tcPr>
          <w:p>
            <w:pPr>
              <w:pStyle w:val="TableParagraph"/>
              <w:spacing w:before="31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Property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and equipment, net</w:t>
            </w:r>
            <w:r>
              <w:rPr>
                <w:spacing w:val="7"/>
                <w:sz w:val="16"/>
              </w:rPr>
              <w:t> </w:t>
            </w:r>
            <w:r>
              <w:rPr>
                <w:color w:val="B3B3B3"/>
                <w:sz w:val="16"/>
              </w:rPr>
              <w:t>. . . . . . . . . . . . . . . . . . . . . . . . . . . . . . . . . . . . . . . . . . . . . . . . . . . . . . . . . . .</w:t>
            </w:r>
          </w:p>
        </w:tc>
        <w:tc>
          <w:tcPr>
            <w:tcW w:w="1320" w:type="dxa"/>
            <w:shd w:val="clear" w:color="auto" w:fill="CCEDFF"/>
          </w:tcPr>
          <w:p>
            <w:pPr>
              <w:pStyle w:val="TableParagraph"/>
              <w:spacing w:before="26"/>
              <w:ind w:right="94"/>
              <w:rPr>
                <w:sz w:val="16"/>
              </w:rPr>
            </w:pPr>
            <w:r>
              <w:rPr>
                <w:sz w:val="16"/>
              </w:rPr>
              <w:t>5,731</w:t>
            </w:r>
          </w:p>
        </w:tc>
        <w:tc>
          <w:tcPr>
            <w:tcW w:w="1349" w:type="dxa"/>
            <w:shd w:val="clear" w:color="auto" w:fill="CCEDFF"/>
          </w:tcPr>
          <w:p>
            <w:pPr>
              <w:pStyle w:val="TableParagraph"/>
              <w:spacing w:before="26"/>
              <w:ind w:right="78"/>
              <w:rPr>
                <w:sz w:val="16"/>
              </w:rPr>
            </w:pPr>
            <w:r>
              <w:rPr>
                <w:sz w:val="16"/>
              </w:rPr>
              <w:t>8,274</w:t>
            </w:r>
          </w:p>
        </w:tc>
      </w:tr>
      <w:tr>
        <w:trPr>
          <w:trHeight w:val="240" w:hRule="atLeast"/>
        </w:trPr>
        <w:tc>
          <w:tcPr>
            <w:tcW w:w="6690" w:type="dxa"/>
          </w:tcPr>
          <w:p>
            <w:pPr>
              <w:pStyle w:val="TableParagraph"/>
              <w:spacing w:before="14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Operating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lease right-of-use assets, net</w:t>
            </w:r>
            <w:r>
              <w:rPr>
                <w:spacing w:val="18"/>
                <w:sz w:val="16"/>
              </w:rPr>
              <w:t> </w:t>
            </w:r>
            <w:r>
              <w:rPr>
                <w:color w:val="B3B3B3"/>
                <w:sz w:val="16"/>
              </w:rPr>
              <w:t>. . . . .</w:t>
            </w:r>
            <w:r>
              <w:rPr>
                <w:color w:val="B3B3B3"/>
                <w:spacing w:val="-1"/>
                <w:sz w:val="16"/>
              </w:rPr>
              <w:t> </w:t>
            </w:r>
            <w:r>
              <w:rPr>
                <w:color w:val="B3B3B3"/>
                <w:sz w:val="16"/>
              </w:rPr>
              <w:t>. . . . . . . . .</w:t>
            </w:r>
            <w:r>
              <w:rPr>
                <w:color w:val="B3B3B3"/>
                <w:spacing w:val="-1"/>
                <w:sz w:val="16"/>
              </w:rPr>
              <w:t> </w:t>
            </w:r>
            <w:r>
              <w:rPr>
                <w:color w:val="B3B3B3"/>
                <w:sz w:val="16"/>
              </w:rPr>
              <w:t>. . . . . . . . . .</w:t>
            </w:r>
            <w:r>
              <w:rPr>
                <w:color w:val="B3B3B3"/>
                <w:spacing w:val="-1"/>
                <w:sz w:val="16"/>
              </w:rPr>
              <w:t> </w:t>
            </w:r>
            <w:r>
              <w:rPr>
                <w:color w:val="B3B3B3"/>
                <w:sz w:val="16"/>
              </w:rPr>
              <w:t>. . . . . . . . .</w:t>
            </w:r>
            <w:r>
              <w:rPr>
                <w:color w:val="B3B3B3"/>
                <w:spacing w:val="-1"/>
                <w:sz w:val="16"/>
              </w:rPr>
              <w:t> </w:t>
            </w:r>
            <w:r>
              <w:rPr>
                <w:color w:val="B3B3B3"/>
                <w:sz w:val="16"/>
              </w:rPr>
              <w:t>. . . . . . . . .</w:t>
            </w:r>
            <w:r>
              <w:rPr>
                <w:color w:val="B3B3B3"/>
                <w:spacing w:val="-1"/>
                <w:sz w:val="16"/>
              </w:rPr>
              <w:t> </w:t>
            </w:r>
            <w:r>
              <w:rPr>
                <w:color w:val="B3B3B3"/>
                <w:sz w:val="16"/>
              </w:rPr>
              <w:t>. . . . . . . . .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94"/>
              <w:rPr>
                <w:sz w:val="16"/>
              </w:rPr>
            </w:pPr>
            <w:r>
              <w:rPr>
                <w:sz w:val="16"/>
              </w:rPr>
              <w:t>3,667</w:t>
            </w:r>
          </w:p>
        </w:tc>
        <w:tc>
          <w:tcPr>
            <w:tcW w:w="1349" w:type="dxa"/>
          </w:tcPr>
          <w:p>
            <w:pPr>
              <w:pStyle w:val="TableParagraph"/>
              <w:spacing w:before="26"/>
              <w:ind w:right="78"/>
              <w:rPr>
                <w:sz w:val="16"/>
              </w:rPr>
            </w:pPr>
            <w:r>
              <w:rPr>
                <w:sz w:val="16"/>
              </w:rPr>
              <w:t>4,641</w:t>
            </w:r>
          </w:p>
        </w:tc>
      </w:tr>
      <w:tr>
        <w:trPr>
          <w:trHeight w:val="230" w:hRule="atLeast"/>
        </w:trPr>
        <w:tc>
          <w:tcPr>
            <w:tcW w:w="6690" w:type="dxa"/>
            <w:shd w:val="clear" w:color="auto" w:fill="CCEDFF"/>
          </w:tcPr>
          <w:p>
            <w:pPr>
              <w:pStyle w:val="TableParagraph"/>
              <w:spacing w:before="14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Intangible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assets, net</w:t>
            </w:r>
            <w:r>
              <w:rPr>
                <w:spacing w:val="3"/>
                <w:sz w:val="16"/>
              </w:rPr>
              <w:t> </w:t>
            </w:r>
            <w:r>
              <w:rPr>
                <w:color w:val="B3B3B3"/>
                <w:sz w:val="16"/>
              </w:rPr>
              <w:t>. . . . . . . . . . . . . . . . . . . . . .</w:t>
            </w:r>
            <w:r>
              <w:rPr>
                <w:color w:val="B3B3B3"/>
                <w:spacing w:val="-1"/>
                <w:sz w:val="16"/>
              </w:rPr>
              <w:t> </w:t>
            </w:r>
            <w:r>
              <w:rPr>
                <w:color w:val="B3B3B3"/>
                <w:sz w:val="16"/>
              </w:rPr>
              <w:t>. . . . . . . . . . . . . . . . . . . . . . .</w:t>
            </w:r>
            <w:r>
              <w:rPr>
                <w:color w:val="B3B3B3"/>
                <w:spacing w:val="-1"/>
                <w:sz w:val="16"/>
              </w:rPr>
              <w:t> </w:t>
            </w:r>
            <w:r>
              <w:rPr>
                <w:color w:val="B3B3B3"/>
                <w:sz w:val="16"/>
              </w:rPr>
              <w:t>. . . . . . . . . . . . . . . . . . . .</w:t>
            </w:r>
          </w:p>
        </w:tc>
        <w:tc>
          <w:tcPr>
            <w:tcW w:w="1320" w:type="dxa"/>
            <w:tcBorders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184" w:lineRule="exact" w:before="26"/>
              <w:ind w:right="94"/>
              <w:rPr>
                <w:sz w:val="16"/>
              </w:rPr>
            </w:pPr>
            <w:r>
              <w:rPr>
                <w:sz w:val="16"/>
              </w:rPr>
              <w:t>1,818</w:t>
            </w:r>
          </w:p>
        </w:tc>
        <w:tc>
          <w:tcPr>
            <w:tcW w:w="1349" w:type="dxa"/>
            <w:tcBorders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184" w:lineRule="exact" w:before="26"/>
              <w:ind w:right="78"/>
              <w:rPr>
                <w:sz w:val="16"/>
              </w:rPr>
            </w:pPr>
            <w:r>
              <w:rPr>
                <w:sz w:val="16"/>
              </w:rPr>
              <w:t>2,023</w:t>
            </w:r>
          </w:p>
        </w:tc>
      </w:tr>
      <w:tr>
        <w:trPr>
          <w:trHeight w:val="220" w:hRule="atLeast"/>
        </w:trPr>
        <w:tc>
          <w:tcPr>
            <w:tcW w:w="6690" w:type="dxa"/>
          </w:tcPr>
          <w:p>
            <w:pPr>
              <w:pStyle w:val="TableParagraph"/>
              <w:spacing w:line="179" w:lineRule="exact" w:before="21"/>
              <w:ind w:right="57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assets</w:t>
            </w:r>
            <w:r>
              <w:rPr>
                <w:spacing w:val="27"/>
                <w:sz w:val="16"/>
              </w:rPr>
              <w:t> </w:t>
            </w:r>
            <w:r>
              <w:rPr>
                <w:color w:val="B3B3B3"/>
                <w:sz w:val="16"/>
              </w:rPr>
              <w:t>. . . . . . . . . . . . . . . . . . . . . . .</w:t>
            </w:r>
            <w:r>
              <w:rPr>
                <w:color w:val="B3B3B3"/>
                <w:spacing w:val="-1"/>
                <w:sz w:val="16"/>
              </w:rPr>
              <w:t> </w:t>
            </w:r>
            <w:r>
              <w:rPr>
                <w:color w:val="B3B3B3"/>
                <w:sz w:val="16"/>
              </w:rPr>
              <w:t>. . . . . . . . . . . . . . . . . . . . . . .</w:t>
            </w:r>
            <w:r>
              <w:rPr>
                <w:color w:val="B3B3B3"/>
                <w:spacing w:val="-1"/>
                <w:sz w:val="16"/>
              </w:rPr>
              <w:t> </w:t>
            </w:r>
            <w:r>
              <w:rPr>
                <w:color w:val="B3B3B3"/>
                <w:sz w:val="16"/>
              </w:rPr>
              <w:t>. . . . . . . . . . . . . . . . . . . .</w:t>
            </w:r>
          </w:p>
        </w:tc>
        <w:tc>
          <w:tcPr>
            <w:tcW w:w="1320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tabs>
                <w:tab w:pos="650" w:val="left" w:leader="none"/>
              </w:tabs>
              <w:spacing w:line="184" w:lineRule="exact" w:before="16"/>
              <w:ind w:right="94"/>
              <w:rPr>
                <w:sz w:val="16"/>
              </w:rPr>
            </w:pPr>
            <w:r>
              <w:rPr>
                <w:sz w:val="16"/>
              </w:rPr>
              <w:t>$</w:t>
              <w:tab/>
              <w:t>351,463</w:t>
            </w:r>
          </w:p>
        </w:tc>
        <w:tc>
          <w:tcPr>
            <w:tcW w:w="1349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tabs>
                <w:tab w:pos="650" w:val="left" w:leader="none"/>
              </w:tabs>
              <w:spacing w:line="184" w:lineRule="exact" w:before="16"/>
              <w:ind w:right="78"/>
              <w:rPr>
                <w:sz w:val="16"/>
              </w:rPr>
            </w:pPr>
            <w:r>
              <w:rPr>
                <w:sz w:val="16"/>
              </w:rPr>
              <w:t>$</w:t>
              <w:tab/>
              <w:t>125,971</w:t>
            </w:r>
          </w:p>
        </w:tc>
      </w:tr>
      <w:tr>
        <w:trPr>
          <w:trHeight w:val="190" w:hRule="atLeast"/>
        </w:trPr>
        <w:tc>
          <w:tcPr>
            <w:tcW w:w="9359" w:type="dxa"/>
            <w:gridSpan w:val="3"/>
            <w:shd w:val="clear" w:color="auto" w:fill="CCEDFF"/>
          </w:tcPr>
          <w:p>
            <w:pPr>
              <w:pStyle w:val="TableParagraph"/>
              <w:spacing w:line="145" w:lineRule="exact"/>
              <w:ind w:left="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Liabilities,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Redeemable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Convertible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Preferred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Stock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Stockholders'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Equity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(Deficit)</w:t>
            </w:r>
          </w:p>
        </w:tc>
      </w:tr>
      <w:tr>
        <w:trPr>
          <w:trHeight w:val="240" w:hRule="atLeast"/>
        </w:trPr>
        <w:tc>
          <w:tcPr>
            <w:tcW w:w="6690" w:type="dxa"/>
          </w:tcPr>
          <w:p>
            <w:pPr>
              <w:pStyle w:val="TableParagraph"/>
              <w:spacing w:before="14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Current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liabilities:</w:t>
            </w:r>
          </w:p>
        </w:tc>
        <w:tc>
          <w:tcPr>
            <w:tcW w:w="132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6690" w:type="dxa"/>
            <w:shd w:val="clear" w:color="auto" w:fill="CCEDFF"/>
          </w:tcPr>
          <w:p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z w:val="16"/>
              </w:rPr>
              <w:t>Accounts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payable</w:t>
            </w:r>
            <w:r>
              <w:rPr>
                <w:spacing w:val="2"/>
                <w:sz w:val="16"/>
              </w:rPr>
              <w:t> </w:t>
            </w:r>
            <w:r>
              <w:rPr>
                <w:color w:val="B3B3B3"/>
                <w:sz w:val="16"/>
              </w:rPr>
              <w:t>. . . . . . . . . . . . . . . . . . . . . . . . . . . . . . . . . . . . . . . . . . . . . . . . . . . . . . . . . . . . . . . . .</w:t>
            </w:r>
          </w:p>
        </w:tc>
        <w:tc>
          <w:tcPr>
            <w:tcW w:w="1320" w:type="dxa"/>
            <w:shd w:val="clear" w:color="auto" w:fill="CCEDFF"/>
          </w:tcPr>
          <w:p>
            <w:pPr>
              <w:pStyle w:val="TableParagraph"/>
              <w:tabs>
                <w:tab w:pos="810" w:val="left" w:leader="none"/>
              </w:tabs>
              <w:spacing w:before="26"/>
              <w:ind w:right="94"/>
              <w:rPr>
                <w:sz w:val="16"/>
              </w:rPr>
            </w:pPr>
            <w:r>
              <w:rPr>
                <w:sz w:val="16"/>
              </w:rPr>
              <w:t>$</w:t>
              <w:tab/>
              <w:t>3,590</w:t>
            </w:r>
          </w:p>
        </w:tc>
        <w:tc>
          <w:tcPr>
            <w:tcW w:w="1349" w:type="dxa"/>
            <w:shd w:val="clear" w:color="auto" w:fill="CCEDFF"/>
          </w:tcPr>
          <w:p>
            <w:pPr>
              <w:pStyle w:val="TableParagraph"/>
              <w:tabs>
                <w:tab w:pos="810" w:val="left" w:leader="none"/>
              </w:tabs>
              <w:spacing w:before="26"/>
              <w:ind w:right="78"/>
              <w:rPr>
                <w:sz w:val="16"/>
              </w:rPr>
            </w:pPr>
            <w:r>
              <w:rPr>
                <w:sz w:val="16"/>
              </w:rPr>
              <w:t>$</w:t>
              <w:tab/>
              <w:t>1,240</w:t>
            </w:r>
          </w:p>
        </w:tc>
      </w:tr>
      <w:tr>
        <w:trPr>
          <w:trHeight w:val="240" w:hRule="atLeast"/>
        </w:trPr>
        <w:tc>
          <w:tcPr>
            <w:tcW w:w="6690" w:type="dxa"/>
          </w:tcPr>
          <w:p>
            <w:pPr>
              <w:pStyle w:val="TableParagraph"/>
              <w:spacing w:before="31"/>
              <w:ind w:right="57"/>
              <w:rPr>
                <w:sz w:val="16"/>
              </w:rPr>
            </w:pPr>
            <w:r>
              <w:rPr>
                <w:sz w:val="16"/>
              </w:rPr>
              <w:t>Accrued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compensation</w:t>
            </w:r>
            <w:r>
              <w:rPr>
                <w:spacing w:val="28"/>
                <w:sz w:val="16"/>
              </w:rPr>
              <w:t> </w:t>
            </w:r>
            <w:r>
              <w:rPr>
                <w:color w:val="B3B3B3"/>
                <w:sz w:val="16"/>
              </w:rPr>
              <w:t>. . . . . . . . . . . . . . . . . . . . . . . . . . . . . . . .</w:t>
            </w:r>
            <w:r>
              <w:rPr>
                <w:color w:val="B3B3B3"/>
                <w:spacing w:val="-1"/>
                <w:sz w:val="16"/>
              </w:rPr>
              <w:t> </w:t>
            </w:r>
            <w:r>
              <w:rPr>
                <w:color w:val="B3B3B3"/>
                <w:sz w:val="16"/>
              </w:rPr>
              <w:t>. . . . . . . . . . . . . . . . . . . . . . . . . . . .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94"/>
              <w:rPr>
                <w:sz w:val="16"/>
              </w:rPr>
            </w:pPr>
            <w:r>
              <w:rPr>
                <w:sz w:val="16"/>
              </w:rPr>
              <w:t>4,875</w:t>
            </w:r>
          </w:p>
        </w:tc>
        <w:tc>
          <w:tcPr>
            <w:tcW w:w="1349" w:type="dxa"/>
          </w:tcPr>
          <w:p>
            <w:pPr>
              <w:pStyle w:val="TableParagraph"/>
              <w:spacing w:before="26"/>
              <w:ind w:right="78"/>
              <w:rPr>
                <w:sz w:val="16"/>
              </w:rPr>
            </w:pPr>
            <w:r>
              <w:rPr>
                <w:sz w:val="16"/>
              </w:rPr>
              <w:t>4,640</w:t>
            </w:r>
          </w:p>
        </w:tc>
      </w:tr>
      <w:tr>
        <w:trPr>
          <w:trHeight w:val="240" w:hRule="atLeast"/>
        </w:trPr>
        <w:tc>
          <w:tcPr>
            <w:tcW w:w="6690" w:type="dxa"/>
            <w:shd w:val="clear" w:color="auto" w:fill="CCEDFF"/>
          </w:tcPr>
          <w:p>
            <w:pPr>
              <w:pStyle w:val="TableParagraph"/>
              <w:spacing w:before="31"/>
              <w:ind w:right="56"/>
              <w:rPr>
                <w:sz w:val="16"/>
              </w:rPr>
            </w:pPr>
            <w:r>
              <w:rPr>
                <w:sz w:val="16"/>
              </w:rPr>
              <w:t>Note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payable – current portion</w:t>
            </w:r>
            <w:r>
              <w:rPr>
                <w:spacing w:val="16"/>
                <w:sz w:val="16"/>
              </w:rPr>
              <w:t> </w:t>
            </w:r>
            <w:r>
              <w:rPr>
                <w:color w:val="B3B3B3"/>
                <w:sz w:val="16"/>
              </w:rPr>
              <w:t>. . . . . . . . . . . . . . . . . . . . . . . . . . . . . . . . . . . . . . . . . . . . . . . . . . . . . .</w:t>
            </w:r>
          </w:p>
        </w:tc>
        <w:tc>
          <w:tcPr>
            <w:tcW w:w="1320" w:type="dxa"/>
            <w:shd w:val="clear" w:color="auto" w:fill="CCEDFF"/>
          </w:tcPr>
          <w:p>
            <w:pPr>
              <w:pStyle w:val="TableParagraph"/>
              <w:spacing w:before="26"/>
              <w:ind w:right="94"/>
              <w:rPr>
                <w:sz w:val="16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349" w:type="dxa"/>
            <w:shd w:val="clear" w:color="auto" w:fill="CCEDFF"/>
          </w:tcPr>
          <w:p>
            <w:pPr>
              <w:pStyle w:val="TableParagraph"/>
              <w:spacing w:before="26"/>
              <w:ind w:right="78"/>
              <w:rPr>
                <w:sz w:val="16"/>
              </w:rPr>
            </w:pPr>
            <w:r>
              <w:rPr>
                <w:sz w:val="16"/>
              </w:rPr>
              <w:t>4,551</w:t>
            </w:r>
          </w:p>
        </w:tc>
      </w:tr>
      <w:tr>
        <w:trPr>
          <w:trHeight w:val="240" w:hRule="atLeast"/>
        </w:trPr>
        <w:tc>
          <w:tcPr>
            <w:tcW w:w="6690" w:type="dxa"/>
          </w:tcPr>
          <w:p>
            <w:pPr>
              <w:pStyle w:val="TableParagraph"/>
              <w:spacing w:before="31"/>
              <w:ind w:right="57"/>
              <w:rPr>
                <w:sz w:val="16"/>
              </w:rPr>
            </w:pPr>
            <w:r>
              <w:rPr>
                <w:sz w:val="16"/>
              </w:rPr>
              <w:t>Operating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lease – current portion</w:t>
            </w:r>
            <w:r>
              <w:rPr>
                <w:spacing w:val="23"/>
                <w:sz w:val="16"/>
              </w:rPr>
              <w:t> </w:t>
            </w:r>
            <w:r>
              <w:rPr>
                <w:color w:val="B3B3B3"/>
                <w:sz w:val="16"/>
              </w:rPr>
              <w:t>. . . . . . . . . . . . . . . . . . . . . . . . . .</w:t>
            </w:r>
            <w:r>
              <w:rPr>
                <w:color w:val="B3B3B3"/>
                <w:spacing w:val="-1"/>
                <w:sz w:val="16"/>
              </w:rPr>
              <w:t> </w:t>
            </w:r>
            <w:r>
              <w:rPr>
                <w:color w:val="B3B3B3"/>
                <w:sz w:val="16"/>
              </w:rPr>
              <w:t>. . . . . . . . . . . . . . . . . . . . . . . . . .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94"/>
              <w:rPr>
                <w:sz w:val="16"/>
              </w:rPr>
            </w:pPr>
            <w:r>
              <w:rPr>
                <w:sz w:val="16"/>
              </w:rPr>
              <w:t>2,032</w:t>
            </w:r>
          </w:p>
        </w:tc>
        <w:tc>
          <w:tcPr>
            <w:tcW w:w="1349" w:type="dxa"/>
          </w:tcPr>
          <w:p>
            <w:pPr>
              <w:pStyle w:val="TableParagraph"/>
              <w:spacing w:before="26"/>
              <w:ind w:right="78"/>
              <w:rPr>
                <w:sz w:val="16"/>
              </w:rPr>
            </w:pPr>
            <w:r>
              <w:rPr>
                <w:sz w:val="16"/>
              </w:rPr>
              <w:t>1,708</w:t>
            </w:r>
          </w:p>
        </w:tc>
      </w:tr>
      <w:tr>
        <w:trPr>
          <w:trHeight w:val="270" w:hRule="atLeast"/>
        </w:trPr>
        <w:tc>
          <w:tcPr>
            <w:tcW w:w="6690" w:type="dxa"/>
            <w:shd w:val="clear" w:color="auto" w:fill="CCEDFF"/>
          </w:tcPr>
          <w:p>
            <w:pPr>
              <w:pStyle w:val="TableParagraph"/>
              <w:spacing w:before="14"/>
              <w:ind w:right="53"/>
              <w:rPr>
                <w:sz w:val="16"/>
              </w:rPr>
            </w:pPr>
            <w:r>
              <w:rPr>
                <w:sz w:val="16"/>
              </w:rPr>
              <w:t>Deferred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revenue</w:t>
            </w:r>
            <w:r>
              <w:rPr>
                <w:spacing w:val="27"/>
                <w:sz w:val="16"/>
              </w:rPr>
              <w:t> </w:t>
            </w:r>
            <w:r>
              <w:rPr>
                <w:color w:val="B3B3B3"/>
                <w:sz w:val="16"/>
              </w:rPr>
              <w:t>. . . . . . . . . . . . . . . . . . . . . . . . . . . . . . . . . . . . . . . . . . . . . . . . . . . . . . . . . . . . . . . . .</w:t>
            </w:r>
          </w:p>
        </w:tc>
        <w:tc>
          <w:tcPr>
            <w:tcW w:w="1320" w:type="dxa"/>
            <w:shd w:val="clear" w:color="auto" w:fill="CCEDFF"/>
          </w:tcPr>
          <w:p>
            <w:pPr>
              <w:pStyle w:val="TableParagraph"/>
              <w:spacing w:before="10"/>
              <w:ind w:right="94"/>
              <w:rPr>
                <w:sz w:val="20"/>
              </w:rPr>
            </w:pPr>
            <w:r>
              <w:rPr>
                <w:sz w:val="20"/>
              </w:rPr>
              <w:t>848</w:t>
            </w:r>
          </w:p>
        </w:tc>
        <w:tc>
          <w:tcPr>
            <w:tcW w:w="1349" w:type="dxa"/>
            <w:shd w:val="clear" w:color="auto" w:fill="CCEDFF"/>
          </w:tcPr>
          <w:p>
            <w:pPr>
              <w:pStyle w:val="TableParagraph"/>
              <w:spacing w:before="10"/>
              <w:ind w:right="78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</w:tr>
      <w:tr>
        <w:trPr>
          <w:trHeight w:val="240" w:hRule="atLeast"/>
        </w:trPr>
        <w:tc>
          <w:tcPr>
            <w:tcW w:w="6690" w:type="dxa"/>
          </w:tcPr>
          <w:p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z w:val="16"/>
              </w:rPr>
              <w:t>Convertible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preferred stock warrant liability</w:t>
            </w:r>
            <w:r>
              <w:rPr>
                <w:spacing w:val="-2"/>
                <w:sz w:val="16"/>
              </w:rPr>
              <w:t> </w:t>
            </w:r>
            <w:r>
              <w:rPr>
                <w:color w:val="B3B3B3"/>
                <w:sz w:val="16"/>
              </w:rPr>
              <w:t>. . . . . . . . . . . . . . . . . . . .</w:t>
            </w:r>
            <w:r>
              <w:rPr>
                <w:color w:val="B3B3B3"/>
                <w:spacing w:val="-1"/>
                <w:sz w:val="16"/>
              </w:rPr>
              <w:t> </w:t>
            </w:r>
            <w:r>
              <w:rPr>
                <w:color w:val="B3B3B3"/>
                <w:sz w:val="16"/>
              </w:rPr>
              <w:t>. . . . . . . . . . . . . . . . . . . . . . . .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94"/>
              <w:rPr>
                <w:sz w:val="16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349" w:type="dxa"/>
          </w:tcPr>
          <w:p>
            <w:pPr>
              <w:pStyle w:val="TableParagraph"/>
              <w:spacing w:before="26"/>
              <w:ind w:right="78"/>
              <w:rPr>
                <w:sz w:val="16"/>
              </w:rPr>
            </w:pPr>
            <w:r>
              <w:rPr>
                <w:sz w:val="16"/>
              </w:rPr>
              <w:t>177</w:t>
            </w:r>
          </w:p>
        </w:tc>
      </w:tr>
      <w:tr>
        <w:trPr>
          <w:trHeight w:val="230" w:hRule="atLeast"/>
        </w:trPr>
        <w:tc>
          <w:tcPr>
            <w:tcW w:w="6690" w:type="dxa"/>
            <w:shd w:val="clear" w:color="auto" w:fill="CCEDFF"/>
          </w:tcPr>
          <w:p>
            <w:pPr>
              <w:pStyle w:val="TableParagraph"/>
              <w:spacing w:line="179" w:lineRule="exact" w:before="31"/>
              <w:ind w:right="55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current liabilities</w:t>
            </w:r>
            <w:r>
              <w:rPr>
                <w:spacing w:val="7"/>
                <w:sz w:val="16"/>
              </w:rPr>
              <w:t> </w:t>
            </w:r>
            <w:r>
              <w:rPr>
                <w:color w:val="B3B3B3"/>
                <w:sz w:val="16"/>
              </w:rPr>
              <w:t>. . . . . . . . . . . . . . . . . . . . . . . . . . . . . . . . . . . . . . . . . . . . . . . . . . . . . . . . . . . .</w:t>
            </w:r>
          </w:p>
        </w:tc>
        <w:tc>
          <w:tcPr>
            <w:tcW w:w="1320" w:type="dxa"/>
            <w:tcBorders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184" w:lineRule="exact" w:before="26"/>
              <w:ind w:right="94"/>
              <w:rPr>
                <w:sz w:val="16"/>
              </w:rPr>
            </w:pPr>
            <w:r>
              <w:rPr>
                <w:sz w:val="16"/>
              </w:rPr>
              <w:t>2,834</w:t>
            </w:r>
          </w:p>
        </w:tc>
        <w:tc>
          <w:tcPr>
            <w:tcW w:w="1349" w:type="dxa"/>
            <w:tcBorders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184" w:lineRule="exact" w:before="26"/>
              <w:ind w:right="78"/>
              <w:rPr>
                <w:sz w:val="16"/>
              </w:rPr>
            </w:pPr>
            <w:r>
              <w:rPr>
                <w:sz w:val="16"/>
              </w:rPr>
              <w:t>1,977</w:t>
            </w:r>
          </w:p>
        </w:tc>
      </w:tr>
      <w:tr>
        <w:trPr>
          <w:trHeight w:val="230" w:hRule="atLeast"/>
        </w:trPr>
        <w:tc>
          <w:tcPr>
            <w:tcW w:w="6690" w:type="dxa"/>
          </w:tcPr>
          <w:p>
            <w:pPr>
              <w:pStyle w:val="TableParagraph"/>
              <w:spacing w:before="21"/>
              <w:ind w:right="59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current liabilities</w:t>
            </w:r>
            <w:r>
              <w:rPr>
                <w:spacing w:val="31"/>
                <w:sz w:val="16"/>
              </w:rPr>
              <w:t> </w:t>
            </w:r>
            <w:r>
              <w:rPr>
                <w:color w:val="B3B3B3"/>
                <w:sz w:val="16"/>
              </w:rPr>
              <w:t>. . . . . . . . . . . . . . . . . . . . . . . . . . . . . . . . . . . . . . . . . . . . . . . . . . . . . . . . .</w:t>
            </w:r>
          </w:p>
        </w:tc>
        <w:tc>
          <w:tcPr>
            <w:tcW w:w="132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6"/>
              <w:ind w:right="94"/>
              <w:rPr>
                <w:sz w:val="16"/>
              </w:rPr>
            </w:pPr>
            <w:r>
              <w:rPr>
                <w:sz w:val="16"/>
              </w:rPr>
              <w:t>14,179</w:t>
            </w:r>
          </w:p>
        </w:tc>
        <w:tc>
          <w:tcPr>
            <w:tcW w:w="134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6"/>
              <w:ind w:right="78"/>
              <w:rPr>
                <w:sz w:val="16"/>
              </w:rPr>
            </w:pPr>
            <w:r>
              <w:rPr>
                <w:sz w:val="16"/>
              </w:rPr>
              <w:t>14,526</w:t>
            </w:r>
          </w:p>
        </w:tc>
      </w:tr>
      <w:tr>
        <w:trPr>
          <w:trHeight w:val="240" w:hRule="atLeast"/>
        </w:trPr>
        <w:tc>
          <w:tcPr>
            <w:tcW w:w="6690" w:type="dxa"/>
            <w:shd w:val="clear" w:color="auto" w:fill="CCEDFF"/>
          </w:tcPr>
          <w:p>
            <w:pPr>
              <w:pStyle w:val="TableParagraph"/>
              <w:spacing w:before="14"/>
              <w:ind w:right="51"/>
              <w:rPr>
                <w:sz w:val="16"/>
              </w:rPr>
            </w:pPr>
            <w:r>
              <w:rPr>
                <w:sz w:val="16"/>
              </w:rPr>
              <w:t>Note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payable – non-current portion</w:t>
            </w:r>
            <w:r>
              <w:rPr>
                <w:spacing w:val="6"/>
                <w:sz w:val="16"/>
              </w:rPr>
              <w:t> </w:t>
            </w:r>
            <w:r>
              <w:rPr>
                <w:color w:val="B3B3B3"/>
                <w:sz w:val="16"/>
              </w:rPr>
              <w:t>. . . . . . . . . . . . . . . . . . . . . . . . . . . . . . . . . . . . . . . . . . . . . . . . . . .</w:t>
            </w:r>
          </w:p>
        </w:tc>
        <w:tc>
          <w:tcPr>
            <w:tcW w:w="1320" w:type="dxa"/>
            <w:shd w:val="clear" w:color="auto" w:fill="CCEDFF"/>
          </w:tcPr>
          <w:p>
            <w:pPr>
              <w:pStyle w:val="TableParagraph"/>
              <w:spacing w:before="26"/>
              <w:ind w:right="94"/>
              <w:rPr>
                <w:sz w:val="16"/>
              </w:rPr>
            </w:pPr>
            <w:r>
              <w:rPr>
                <w:sz w:val="16"/>
              </w:rPr>
              <w:t>49,762</w:t>
            </w:r>
          </w:p>
        </w:tc>
        <w:tc>
          <w:tcPr>
            <w:tcW w:w="1349" w:type="dxa"/>
            <w:shd w:val="clear" w:color="auto" w:fill="CCEDFF"/>
          </w:tcPr>
          <w:p>
            <w:pPr>
              <w:pStyle w:val="TableParagraph"/>
              <w:spacing w:before="26"/>
              <w:ind w:right="78"/>
              <w:rPr>
                <w:sz w:val="16"/>
              </w:rPr>
            </w:pPr>
            <w:r>
              <w:rPr>
                <w:sz w:val="16"/>
              </w:rPr>
              <w:t>44,407</w:t>
            </w:r>
          </w:p>
        </w:tc>
      </w:tr>
      <w:tr>
        <w:trPr>
          <w:trHeight w:val="240" w:hRule="atLeast"/>
        </w:trPr>
        <w:tc>
          <w:tcPr>
            <w:tcW w:w="6690" w:type="dxa"/>
          </w:tcPr>
          <w:p>
            <w:pPr>
              <w:pStyle w:val="TableParagraph"/>
              <w:spacing w:before="14"/>
              <w:ind w:right="52"/>
              <w:rPr>
                <w:sz w:val="16"/>
              </w:rPr>
            </w:pPr>
            <w:r>
              <w:rPr>
                <w:sz w:val="16"/>
              </w:rPr>
              <w:t>Operating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lease – non-current portion</w:t>
            </w:r>
            <w:r>
              <w:rPr>
                <w:spacing w:val="15"/>
                <w:sz w:val="16"/>
              </w:rPr>
              <w:t> </w:t>
            </w:r>
            <w:r>
              <w:rPr>
                <w:color w:val="B3B3B3"/>
                <w:sz w:val="16"/>
              </w:rPr>
              <w:t>. . . . . . . . . . . . . . . . . . . . . . .</w:t>
            </w:r>
            <w:r>
              <w:rPr>
                <w:color w:val="B3B3B3"/>
                <w:spacing w:val="-1"/>
                <w:sz w:val="16"/>
              </w:rPr>
              <w:t> </w:t>
            </w:r>
            <w:r>
              <w:rPr>
                <w:color w:val="B3B3B3"/>
                <w:sz w:val="16"/>
              </w:rPr>
              <w:t>. . . . . . . . . . . . . . . . . . . . . . . . . .</w:t>
            </w:r>
          </w:p>
        </w:tc>
        <w:tc>
          <w:tcPr>
            <w:tcW w:w="1320" w:type="dxa"/>
          </w:tcPr>
          <w:p>
            <w:pPr>
              <w:pStyle w:val="TableParagraph"/>
              <w:spacing w:before="26"/>
              <w:ind w:right="94"/>
              <w:rPr>
                <w:sz w:val="16"/>
              </w:rPr>
            </w:pPr>
            <w:r>
              <w:rPr>
                <w:sz w:val="16"/>
              </w:rPr>
              <w:t>2,550</w:t>
            </w:r>
          </w:p>
        </w:tc>
        <w:tc>
          <w:tcPr>
            <w:tcW w:w="1349" w:type="dxa"/>
          </w:tcPr>
          <w:p>
            <w:pPr>
              <w:pStyle w:val="TableParagraph"/>
              <w:spacing w:before="26"/>
              <w:ind w:right="78"/>
              <w:rPr>
                <w:sz w:val="16"/>
              </w:rPr>
            </w:pPr>
            <w:r>
              <w:rPr>
                <w:sz w:val="16"/>
              </w:rPr>
              <w:t>4,096</w:t>
            </w:r>
          </w:p>
        </w:tc>
      </w:tr>
      <w:tr>
        <w:trPr>
          <w:trHeight w:val="240" w:hRule="atLeast"/>
        </w:trPr>
        <w:tc>
          <w:tcPr>
            <w:tcW w:w="6690" w:type="dxa"/>
            <w:shd w:val="clear" w:color="auto" w:fill="CCEDFF"/>
          </w:tcPr>
          <w:p>
            <w:pPr>
              <w:pStyle w:val="TableParagraph"/>
              <w:spacing w:before="31"/>
              <w:ind w:right="56"/>
              <w:rPr>
                <w:sz w:val="16"/>
              </w:rPr>
            </w:pPr>
            <w:r>
              <w:rPr>
                <w:sz w:val="16"/>
              </w:rPr>
              <w:t>Loan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facility derivative liability</w:t>
            </w:r>
            <w:r>
              <w:rPr>
                <w:spacing w:val="19"/>
                <w:sz w:val="16"/>
              </w:rPr>
              <w:t> </w:t>
            </w:r>
            <w:r>
              <w:rPr>
                <w:color w:val="B3B3B3"/>
                <w:sz w:val="16"/>
              </w:rPr>
              <w:t>. . . . . . . . . . . . . . . . . . . . . . . . . . . . . . . . . . . . . . . . . . . . . . . . . . . . .</w:t>
            </w:r>
          </w:p>
        </w:tc>
        <w:tc>
          <w:tcPr>
            <w:tcW w:w="1320" w:type="dxa"/>
            <w:shd w:val="clear" w:color="auto" w:fill="CCEDFF"/>
          </w:tcPr>
          <w:p>
            <w:pPr>
              <w:pStyle w:val="TableParagraph"/>
              <w:spacing w:before="26"/>
              <w:ind w:right="94"/>
              <w:rPr>
                <w:sz w:val="16"/>
              </w:rPr>
            </w:pPr>
            <w:r>
              <w:rPr>
                <w:sz w:val="16"/>
              </w:rPr>
              <w:t>1,460</w:t>
            </w:r>
          </w:p>
        </w:tc>
        <w:tc>
          <w:tcPr>
            <w:tcW w:w="1349" w:type="dxa"/>
            <w:shd w:val="clear" w:color="auto" w:fill="CCEDFF"/>
          </w:tcPr>
          <w:p>
            <w:pPr>
              <w:pStyle w:val="TableParagraph"/>
              <w:spacing w:before="26"/>
              <w:ind w:right="78"/>
              <w:rPr>
                <w:sz w:val="16"/>
              </w:rPr>
            </w:pPr>
            <w:r>
              <w:rPr>
                <w:sz w:val="16"/>
              </w:rPr>
              <w:t>1,782</w:t>
            </w:r>
          </w:p>
        </w:tc>
      </w:tr>
      <w:tr>
        <w:trPr>
          <w:trHeight w:val="230" w:hRule="atLeast"/>
        </w:trPr>
        <w:tc>
          <w:tcPr>
            <w:tcW w:w="6690" w:type="dxa"/>
          </w:tcPr>
          <w:p>
            <w:pPr>
              <w:pStyle w:val="TableParagraph"/>
              <w:spacing w:line="179" w:lineRule="exact" w:before="31"/>
              <w:ind w:right="59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non-current liabilities</w:t>
            </w:r>
            <w:r>
              <w:rPr>
                <w:spacing w:val="31"/>
                <w:sz w:val="16"/>
              </w:rPr>
              <w:t> </w:t>
            </w:r>
            <w:r>
              <w:rPr>
                <w:color w:val="B3B3B3"/>
                <w:sz w:val="16"/>
              </w:rPr>
              <w:t>. . . . . . . . . . . . . . . . . . . . . . . . . . . . . . . . . . . . . . . . . . . . . . . . . . . . . . . .</w:t>
            </w:r>
          </w:p>
        </w:tc>
        <w:tc>
          <w:tcPr>
            <w:tcW w:w="132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4" w:lineRule="exact" w:before="26"/>
              <w:ind w:right="94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134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4" w:lineRule="exact" w:before="26"/>
              <w:ind w:right="78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</w:tr>
      <w:tr>
        <w:trPr>
          <w:trHeight w:val="220" w:hRule="atLeast"/>
        </w:trPr>
        <w:tc>
          <w:tcPr>
            <w:tcW w:w="6690" w:type="dxa"/>
            <w:shd w:val="clear" w:color="auto" w:fill="CCEDFF"/>
          </w:tcPr>
          <w:p>
            <w:pPr>
              <w:pStyle w:val="TableParagraph"/>
              <w:spacing w:before="4"/>
              <w:ind w:right="51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liabilities</w:t>
            </w:r>
            <w:r>
              <w:rPr>
                <w:spacing w:val="10"/>
                <w:sz w:val="16"/>
              </w:rPr>
              <w:t> </w:t>
            </w:r>
            <w:r>
              <w:rPr>
                <w:color w:val="B3B3B3"/>
                <w:sz w:val="16"/>
              </w:rPr>
              <w:t>. . . . . . . . . . . . . . . . . . . . . . . . . . . . . . . . . . . . . . . . . . . . . . . . . . . . . . . . . . . . . . . .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184" w:lineRule="exact" w:before="16"/>
              <w:ind w:right="94"/>
              <w:rPr>
                <w:sz w:val="16"/>
              </w:rPr>
            </w:pPr>
            <w:r>
              <w:rPr>
                <w:sz w:val="16"/>
              </w:rPr>
              <w:t>68,151</w:t>
            </w:r>
          </w:p>
        </w:tc>
        <w:tc>
          <w:tcPr>
            <w:tcW w:w="134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184" w:lineRule="exact" w:before="16"/>
              <w:ind w:right="78"/>
              <w:rPr>
                <w:sz w:val="16"/>
              </w:rPr>
            </w:pPr>
            <w:r>
              <w:rPr>
                <w:sz w:val="16"/>
              </w:rPr>
              <w:t>65,011</w:t>
            </w:r>
          </w:p>
        </w:tc>
      </w:tr>
    </w:tbl>
    <w:p>
      <w:pPr>
        <w:spacing w:before="25"/>
        <w:ind w:left="1232" w:right="0" w:firstLine="0"/>
        <w:jc w:val="left"/>
        <w:rPr>
          <w:sz w:val="16"/>
        </w:rPr>
      </w:pPr>
      <w:r>
        <w:rPr/>
        <w:pict>
          <v:shape style="position:absolute;margin-left:90pt;margin-top:12.548737pt;width:468pt;height:12pt;mso-position-horizontal-relative:page;mso-position-vertical-relative:paragraph;z-index:-15726080;mso-wrap-distance-left:0;mso-wrap-distance-right:0" type="#_x0000_t202" id="docshape16" filled="true" fillcolor="#ccedff" stroked="false">
            <v:textbox inset="0,0,0,0">
              <w:txbxContent>
                <w:p>
                  <w:pPr>
                    <w:spacing w:before="14"/>
                    <w:ind w:left="52" w:right="0" w:firstLine="0"/>
                    <w:jc w:val="left"/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Redeemable</w:t>
                  </w:r>
                  <w:r>
                    <w:rPr>
                      <w:color w:val="000000"/>
                      <w:spacing w:val="-1"/>
                      <w:sz w:val="16"/>
                    </w:rPr>
                    <w:t> </w:t>
                  </w:r>
                  <w:r>
                    <w:rPr>
                      <w:color w:val="000000"/>
                      <w:sz w:val="16"/>
                    </w:rPr>
                    <w:t>convertible preferred</w:t>
                  </w:r>
                  <w:r>
                    <w:rPr>
                      <w:color w:val="000000"/>
                      <w:spacing w:val="-1"/>
                      <w:sz w:val="16"/>
                    </w:rPr>
                    <w:t> </w:t>
                  </w:r>
                  <w:r>
                    <w:rPr>
                      <w:color w:val="000000"/>
                      <w:sz w:val="16"/>
                    </w:rPr>
                    <w:t>stock issuable</w:t>
                  </w:r>
                  <w:r>
                    <w:rPr>
                      <w:color w:val="000000"/>
                      <w:spacing w:val="-1"/>
                      <w:sz w:val="16"/>
                    </w:rPr>
                    <w:t> </w:t>
                  </w:r>
                  <w:r>
                    <w:rPr>
                      <w:color w:val="000000"/>
                      <w:sz w:val="16"/>
                    </w:rPr>
                    <w:t>in series,</w:t>
                  </w:r>
                  <w:r>
                    <w:rPr>
                      <w:color w:val="000000"/>
                      <w:spacing w:val="-4"/>
                      <w:sz w:val="16"/>
                    </w:rPr>
                    <w:t> </w:t>
                  </w:r>
                  <w:r>
                    <w:rPr>
                      <w:color w:val="000000"/>
                      <w:sz w:val="16"/>
                    </w:rPr>
                    <w:t>$0.00001 par</w:t>
                  </w:r>
                  <w:r>
                    <w:rPr>
                      <w:color w:val="000000"/>
                      <w:spacing w:val="-1"/>
                      <w:sz w:val="16"/>
                    </w:rPr>
                    <w:t> </w:t>
                  </w:r>
                  <w:r>
                    <w:rPr>
                      <w:color w:val="000000"/>
                      <w:sz w:val="16"/>
                    </w:rPr>
                    <w:t>value;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sz w:val="16"/>
        </w:rPr>
        <w:t>Commitments</w:t>
      </w:r>
      <w:r>
        <w:rPr>
          <w:spacing w:val="-2"/>
          <w:sz w:val="16"/>
        </w:rPr>
        <w:t> </w:t>
      </w:r>
      <w:r>
        <w:rPr>
          <w:sz w:val="16"/>
        </w:rPr>
        <w:t>and contingencies</w:t>
      </w:r>
      <w:r>
        <w:rPr>
          <w:spacing w:val="-1"/>
          <w:sz w:val="16"/>
        </w:rPr>
        <w:t> </w:t>
      </w:r>
      <w:r>
        <w:rPr>
          <w:sz w:val="16"/>
        </w:rPr>
        <w:t>(see</w:t>
      </w:r>
      <w:r>
        <w:rPr>
          <w:spacing w:val="-1"/>
          <w:sz w:val="16"/>
        </w:rPr>
        <w:t> </w:t>
      </w:r>
      <w:r>
        <w:rPr>
          <w:sz w:val="16"/>
        </w:rPr>
        <w:t>Note 9)</w:t>
      </w:r>
    </w:p>
    <w:p>
      <w:pPr>
        <w:spacing w:before="14" w:after="42"/>
        <w:ind w:left="1472" w:right="0" w:firstLine="0"/>
        <w:jc w:val="left"/>
        <w:rPr>
          <w:sz w:val="16"/>
        </w:rPr>
      </w:pPr>
      <w:r>
        <w:rPr>
          <w:sz w:val="16"/>
        </w:rPr>
        <w:t>Authorized</w:t>
      </w:r>
      <w:r>
        <w:rPr>
          <w:spacing w:val="-1"/>
          <w:sz w:val="16"/>
        </w:rPr>
        <w:t> </w:t>
      </w:r>
      <w:r>
        <w:rPr>
          <w:sz w:val="16"/>
        </w:rPr>
        <w:t>shares:</w:t>
      </w:r>
      <w:r>
        <w:rPr>
          <w:spacing w:val="-1"/>
          <w:sz w:val="16"/>
        </w:rPr>
        <w:t> </w:t>
      </w:r>
      <w:r>
        <w:rPr>
          <w:sz w:val="16"/>
        </w:rPr>
        <w:t>none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26,984,</w:t>
      </w:r>
      <w:r>
        <w:rPr>
          <w:spacing w:val="-1"/>
          <w:sz w:val="16"/>
        </w:rPr>
        <w:t> </w:t>
      </w:r>
      <w:r>
        <w:rPr>
          <w:sz w:val="16"/>
        </w:rPr>
        <w:t>at</w:t>
      </w:r>
      <w:r>
        <w:rPr>
          <w:spacing w:val="-1"/>
          <w:sz w:val="16"/>
        </w:rPr>
        <w:t> </w:t>
      </w:r>
      <w:r>
        <w:rPr>
          <w:sz w:val="16"/>
        </w:rPr>
        <w:t>September</w:t>
      </w:r>
      <w:r>
        <w:rPr>
          <w:spacing w:val="-1"/>
          <w:sz w:val="16"/>
        </w:rPr>
        <w:t> </w:t>
      </w:r>
      <w:r>
        <w:rPr>
          <w:sz w:val="16"/>
        </w:rPr>
        <w:t>30, 2021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December</w:t>
      </w:r>
      <w:r>
        <w:rPr>
          <w:spacing w:val="-1"/>
          <w:sz w:val="16"/>
        </w:rPr>
        <w:t> </w:t>
      </w:r>
      <w:r>
        <w:rPr>
          <w:sz w:val="16"/>
        </w:rPr>
        <w:t>31, 2020,</w:t>
      </w:r>
      <w:r>
        <w:rPr>
          <w:spacing w:val="-1"/>
          <w:sz w:val="16"/>
        </w:rPr>
        <w:t> </w:t>
      </w:r>
      <w:r>
        <w:rPr>
          <w:sz w:val="16"/>
        </w:rPr>
        <w:t>respectively</w:t>
      </w:r>
    </w:p>
    <w:p>
      <w:pPr>
        <w:pStyle w:val="BodyText"/>
        <w:spacing w:before="0"/>
        <w:ind w:left="1180" w:firstLine="0"/>
      </w:pPr>
      <w:r>
        <w:rPr/>
        <w:pict>
          <v:shape style="width:468pt;height:19.5pt;mso-position-horizontal-relative:char;mso-position-vertical-relative:line" type="#_x0000_t202" id="docshape17" filled="true" fillcolor="#ccedff" stroked="false">
            <w10:anchorlock/>
            <v:textbox inset="0,0,0,0">
              <w:txbxContent>
                <w:p>
                  <w:pPr>
                    <w:spacing w:line="208" w:lineRule="auto" w:before="33"/>
                    <w:ind w:left="472" w:right="2921" w:hanging="180"/>
                    <w:jc w:val="left"/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Issued</w:t>
                  </w:r>
                  <w:r>
                    <w:rPr>
                      <w:color w:val="000000"/>
                      <w:spacing w:val="-1"/>
                      <w:sz w:val="16"/>
                    </w:rPr>
                    <w:t> </w:t>
                  </w:r>
                  <w:r>
                    <w:rPr>
                      <w:color w:val="000000"/>
                      <w:sz w:val="16"/>
                    </w:rPr>
                    <w:t>and</w:t>
                  </w:r>
                  <w:r>
                    <w:rPr>
                      <w:color w:val="000000"/>
                      <w:spacing w:val="-1"/>
                      <w:sz w:val="16"/>
                    </w:rPr>
                    <w:t> </w:t>
                  </w:r>
                  <w:r>
                    <w:rPr>
                      <w:color w:val="000000"/>
                      <w:sz w:val="16"/>
                    </w:rPr>
                    <w:t>outstanding shares:</w:t>
                  </w:r>
                  <w:r>
                    <w:rPr>
                      <w:color w:val="000000"/>
                      <w:spacing w:val="-2"/>
                      <w:sz w:val="16"/>
                    </w:rPr>
                    <w:t> </w:t>
                  </w:r>
                  <w:r>
                    <w:rPr>
                      <w:color w:val="000000"/>
                      <w:sz w:val="16"/>
                    </w:rPr>
                    <w:t>none</w:t>
                  </w:r>
                  <w:r>
                    <w:rPr>
                      <w:color w:val="000000"/>
                      <w:spacing w:val="-1"/>
                      <w:sz w:val="16"/>
                    </w:rPr>
                    <w:t> </w:t>
                  </w:r>
                  <w:r>
                    <w:rPr>
                      <w:color w:val="000000"/>
                      <w:sz w:val="16"/>
                    </w:rPr>
                    <w:t>and</w:t>
                  </w:r>
                  <w:r>
                    <w:rPr>
                      <w:color w:val="000000"/>
                      <w:spacing w:val="-2"/>
                      <w:sz w:val="16"/>
                    </w:rPr>
                    <w:t> </w:t>
                  </w:r>
                  <w:r>
                    <w:rPr>
                      <w:color w:val="000000"/>
                      <w:sz w:val="16"/>
                    </w:rPr>
                    <w:t>25,402 at</w:t>
                  </w:r>
                  <w:r>
                    <w:rPr>
                      <w:color w:val="000000"/>
                      <w:spacing w:val="-2"/>
                      <w:sz w:val="16"/>
                    </w:rPr>
                    <w:t> </w:t>
                  </w:r>
                  <w:r>
                    <w:rPr>
                      <w:color w:val="000000"/>
                      <w:sz w:val="16"/>
                    </w:rPr>
                    <w:t>September 30,</w:t>
                  </w:r>
                  <w:r>
                    <w:rPr>
                      <w:color w:val="000000"/>
                      <w:spacing w:val="-1"/>
                      <w:sz w:val="16"/>
                    </w:rPr>
                    <w:t> </w:t>
                  </w:r>
                  <w:r>
                    <w:rPr>
                      <w:color w:val="000000"/>
                      <w:sz w:val="16"/>
                    </w:rPr>
                    <w:t>2021</w:t>
                  </w:r>
                  <w:r>
                    <w:rPr>
                      <w:color w:val="000000"/>
                      <w:spacing w:val="-2"/>
                      <w:sz w:val="16"/>
                    </w:rPr>
                    <w:t> </w:t>
                  </w:r>
                  <w:r>
                    <w:rPr>
                      <w:color w:val="000000"/>
                      <w:sz w:val="16"/>
                    </w:rPr>
                    <w:t>and</w:t>
                  </w:r>
                  <w:r>
                    <w:rPr>
                      <w:color w:val="000000"/>
                      <w:spacing w:val="-1"/>
                      <w:sz w:val="16"/>
                    </w:rPr>
                    <w:t> </w:t>
                  </w:r>
                  <w:r>
                    <w:rPr>
                      <w:color w:val="000000"/>
                      <w:sz w:val="16"/>
                    </w:rPr>
                    <w:t>December</w:t>
                  </w:r>
                  <w:r>
                    <w:rPr>
                      <w:color w:val="000000"/>
                      <w:spacing w:val="-1"/>
                      <w:sz w:val="16"/>
                    </w:rPr>
                    <w:t> </w:t>
                  </w:r>
                  <w:r>
                    <w:rPr>
                      <w:color w:val="000000"/>
                      <w:sz w:val="16"/>
                    </w:rPr>
                    <w:t>31, 2020,</w:t>
                  </w:r>
                  <w:r>
                    <w:rPr>
                      <w:color w:val="000000"/>
                      <w:spacing w:val="-37"/>
                      <w:sz w:val="16"/>
                    </w:rPr>
                    <w:t> </w:t>
                  </w:r>
                  <w:r>
                    <w:rPr>
                      <w:color w:val="000000"/>
                      <w:sz w:val="16"/>
                    </w:rPr>
                    <w:t>respectively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line="170" w:lineRule="exact" w:before="0"/>
        <w:ind w:left="1472" w:right="0" w:firstLine="0"/>
        <w:jc w:val="left"/>
        <w:rPr>
          <w:sz w:val="16"/>
        </w:rPr>
      </w:pPr>
      <w:r>
        <w:rPr>
          <w:sz w:val="16"/>
        </w:rPr>
        <w:t>Aggregate</w:t>
      </w:r>
      <w:r>
        <w:rPr>
          <w:spacing w:val="-1"/>
          <w:sz w:val="16"/>
        </w:rPr>
        <w:t> </w:t>
      </w:r>
      <w:r>
        <w:rPr>
          <w:sz w:val="16"/>
        </w:rPr>
        <w:t>liquidation preference:</w:t>
      </w:r>
      <w:r>
        <w:rPr>
          <w:spacing w:val="-2"/>
          <w:sz w:val="16"/>
        </w:rPr>
        <w:t> </w:t>
      </w:r>
      <w:r>
        <w:rPr>
          <w:sz w:val="16"/>
        </w:rPr>
        <w:t>none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$245,768 at</w:t>
      </w:r>
      <w:r>
        <w:rPr>
          <w:spacing w:val="-1"/>
          <w:sz w:val="16"/>
        </w:rPr>
        <w:t> </w:t>
      </w:r>
      <w:r>
        <w:rPr>
          <w:sz w:val="16"/>
        </w:rPr>
        <w:t>September 30,</w:t>
      </w:r>
      <w:r>
        <w:rPr>
          <w:spacing w:val="-1"/>
          <w:sz w:val="16"/>
        </w:rPr>
        <w:t> </w:t>
      </w:r>
      <w:r>
        <w:rPr>
          <w:sz w:val="16"/>
        </w:rPr>
        <w:t>2021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December 31,</w:t>
      </w:r>
    </w:p>
    <w:p>
      <w:pPr>
        <w:tabs>
          <w:tab w:pos="8933" w:val="left" w:leader="none"/>
          <w:tab w:pos="9938" w:val="left" w:leader="none"/>
        </w:tabs>
        <w:spacing w:line="191" w:lineRule="exact" w:before="0"/>
        <w:ind w:left="1652" w:right="0" w:firstLine="0"/>
        <w:jc w:val="left"/>
        <w:rPr>
          <w:sz w:val="16"/>
        </w:rPr>
      </w:pPr>
      <w:r>
        <w:rPr/>
        <w:pict>
          <v:shape style="position:absolute;margin-left:90pt;margin-top:11.019135pt;width:468pt;height:12pt;mso-position-horizontal-relative:page;mso-position-vertical-relative:paragraph;z-index:-15725056;mso-wrap-distance-left:0;mso-wrap-distance-right:0" type="#_x0000_t202" id="docshape18" filled="true" fillcolor="#ccedff" stroked="false">
            <v:textbox inset="0,0,0,0">
              <w:txbxContent>
                <w:p>
                  <w:pPr>
                    <w:spacing w:before="14"/>
                    <w:ind w:left="52" w:right="0" w:firstLine="0"/>
                    <w:jc w:val="left"/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Stockholders’</w:t>
                  </w:r>
                  <w:r>
                    <w:rPr>
                      <w:color w:val="000000"/>
                      <w:spacing w:val="-1"/>
                      <w:sz w:val="16"/>
                    </w:rPr>
                    <w:t> </w:t>
                  </w:r>
                  <w:r>
                    <w:rPr>
                      <w:color w:val="000000"/>
                      <w:sz w:val="16"/>
                    </w:rPr>
                    <w:t>equity</w:t>
                  </w:r>
                  <w:r>
                    <w:rPr>
                      <w:color w:val="000000"/>
                      <w:spacing w:val="-1"/>
                      <w:sz w:val="16"/>
                    </w:rPr>
                    <w:t> </w:t>
                  </w:r>
                  <w:r>
                    <w:rPr>
                      <w:color w:val="000000"/>
                      <w:sz w:val="16"/>
                    </w:rPr>
                    <w:t>(deficit):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position w:val="2"/>
          <w:sz w:val="16"/>
        </w:rPr>
        <w:t>2020,</w:t>
      </w:r>
      <w:r>
        <w:rPr>
          <w:spacing w:val="-1"/>
          <w:position w:val="2"/>
          <w:sz w:val="16"/>
        </w:rPr>
        <w:t> </w:t>
      </w:r>
      <w:r>
        <w:rPr>
          <w:position w:val="2"/>
          <w:sz w:val="16"/>
        </w:rPr>
        <w:t>respectively</w:t>
        <w:tab/>
      </w:r>
      <w:r>
        <w:rPr>
          <w:sz w:val="16"/>
        </w:rPr>
        <w:t>—</w:t>
        <w:tab/>
        <w:t>243,854</w:t>
      </w:r>
    </w:p>
    <w:p>
      <w:pPr>
        <w:spacing w:before="26" w:after="30"/>
        <w:ind w:left="1472" w:right="0" w:firstLine="0"/>
        <w:jc w:val="left"/>
        <w:rPr>
          <w:sz w:val="16"/>
        </w:rPr>
      </w:pPr>
      <w:r>
        <w:rPr>
          <w:sz w:val="16"/>
        </w:rPr>
        <w:t>Preferred</w:t>
      </w:r>
      <w:r>
        <w:rPr>
          <w:spacing w:val="-1"/>
          <w:sz w:val="16"/>
        </w:rPr>
        <w:t> </w:t>
      </w:r>
      <w:r>
        <w:rPr>
          <w:sz w:val="16"/>
        </w:rPr>
        <w:t>stock,</w:t>
      </w:r>
      <w:r>
        <w:rPr>
          <w:spacing w:val="-1"/>
          <w:sz w:val="16"/>
        </w:rPr>
        <w:t> </w:t>
      </w:r>
      <w:r>
        <w:rPr>
          <w:sz w:val="16"/>
        </w:rPr>
        <w:t>$0.00001</w:t>
      </w:r>
      <w:r>
        <w:rPr>
          <w:spacing w:val="-1"/>
          <w:sz w:val="16"/>
        </w:rPr>
        <w:t> </w:t>
      </w:r>
      <w:r>
        <w:rPr>
          <w:sz w:val="16"/>
        </w:rPr>
        <w:t>par value;</w:t>
      </w:r>
    </w:p>
    <w:p>
      <w:pPr>
        <w:pStyle w:val="BodyText"/>
        <w:spacing w:before="0"/>
        <w:ind w:left="1180" w:firstLine="0"/>
      </w:pPr>
      <w:r>
        <w:rPr/>
        <w:pict>
          <v:shape style="width:468pt;height:12pt;mso-position-horizontal-relative:char;mso-position-vertical-relative:line" type="#_x0000_t202" id="docshape19" filled="true" fillcolor="#ccedff" stroked="false">
            <w10:anchorlock/>
            <v:textbox inset="0,0,0,0">
              <w:txbxContent>
                <w:p>
                  <w:pPr>
                    <w:spacing w:before="14"/>
                    <w:ind w:left="292" w:right="0" w:firstLine="0"/>
                    <w:jc w:val="left"/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Authorized</w:t>
                  </w:r>
                  <w:r>
                    <w:rPr>
                      <w:color w:val="000000"/>
                      <w:spacing w:val="-1"/>
                      <w:sz w:val="16"/>
                    </w:rPr>
                    <w:t> </w:t>
                  </w:r>
                  <w:r>
                    <w:rPr>
                      <w:color w:val="000000"/>
                      <w:sz w:val="16"/>
                    </w:rPr>
                    <w:t>shares:</w:t>
                  </w:r>
                  <w:r>
                    <w:rPr>
                      <w:color w:val="000000"/>
                      <w:spacing w:val="-1"/>
                      <w:sz w:val="16"/>
                    </w:rPr>
                    <w:t> </w:t>
                  </w:r>
                  <w:r>
                    <w:rPr>
                      <w:color w:val="000000"/>
                      <w:sz w:val="16"/>
                    </w:rPr>
                    <w:t>10,000</w:t>
                  </w:r>
                  <w:r>
                    <w:rPr>
                      <w:color w:val="000000"/>
                      <w:spacing w:val="-1"/>
                      <w:sz w:val="16"/>
                    </w:rPr>
                    <w:t> </w:t>
                  </w:r>
                  <w:r>
                    <w:rPr>
                      <w:color w:val="000000"/>
                      <w:sz w:val="16"/>
                    </w:rPr>
                    <w:t>and</w:t>
                  </w:r>
                  <w:r>
                    <w:rPr>
                      <w:color w:val="000000"/>
                      <w:spacing w:val="-1"/>
                      <w:sz w:val="16"/>
                    </w:rPr>
                    <w:t> </w:t>
                  </w:r>
                  <w:r>
                    <w:rPr>
                      <w:color w:val="000000"/>
                      <w:sz w:val="16"/>
                    </w:rPr>
                    <w:t>none</w:t>
                  </w:r>
                  <w:r>
                    <w:rPr>
                      <w:color w:val="000000"/>
                      <w:spacing w:val="-2"/>
                      <w:sz w:val="16"/>
                    </w:rPr>
                    <w:t> </w:t>
                  </w:r>
                  <w:r>
                    <w:rPr>
                      <w:color w:val="000000"/>
                      <w:sz w:val="16"/>
                    </w:rPr>
                    <w:t>at</w:t>
                  </w:r>
                  <w:r>
                    <w:rPr>
                      <w:color w:val="000000"/>
                      <w:spacing w:val="-1"/>
                      <w:sz w:val="16"/>
                    </w:rPr>
                    <w:t> </w:t>
                  </w:r>
                  <w:r>
                    <w:rPr>
                      <w:color w:val="000000"/>
                      <w:sz w:val="16"/>
                    </w:rPr>
                    <w:t>September</w:t>
                  </w:r>
                  <w:r>
                    <w:rPr>
                      <w:color w:val="000000"/>
                      <w:spacing w:val="-1"/>
                      <w:sz w:val="16"/>
                    </w:rPr>
                    <w:t> </w:t>
                  </w:r>
                  <w:r>
                    <w:rPr>
                      <w:color w:val="000000"/>
                      <w:sz w:val="16"/>
                    </w:rPr>
                    <w:t>30, 2021</w:t>
                  </w:r>
                  <w:r>
                    <w:rPr>
                      <w:color w:val="000000"/>
                      <w:spacing w:val="-2"/>
                      <w:sz w:val="16"/>
                    </w:rPr>
                    <w:t> </w:t>
                  </w:r>
                  <w:r>
                    <w:rPr>
                      <w:color w:val="000000"/>
                      <w:sz w:val="16"/>
                    </w:rPr>
                    <w:t>and</w:t>
                  </w:r>
                  <w:r>
                    <w:rPr>
                      <w:color w:val="000000"/>
                      <w:spacing w:val="-1"/>
                      <w:sz w:val="16"/>
                    </w:rPr>
                    <w:t> </w:t>
                  </w:r>
                  <w:r>
                    <w:rPr>
                      <w:color w:val="000000"/>
                      <w:sz w:val="16"/>
                    </w:rPr>
                    <w:t>December</w:t>
                  </w:r>
                  <w:r>
                    <w:rPr>
                      <w:color w:val="000000"/>
                      <w:spacing w:val="-1"/>
                      <w:sz w:val="16"/>
                    </w:rPr>
                    <w:t> </w:t>
                  </w:r>
                  <w:r>
                    <w:rPr>
                      <w:color w:val="000000"/>
                      <w:sz w:val="16"/>
                    </w:rPr>
                    <w:t>31, 2020,</w:t>
                  </w:r>
                  <w:r>
                    <w:rPr>
                      <w:color w:val="000000"/>
                      <w:spacing w:val="-1"/>
                      <w:sz w:val="16"/>
                    </w:rPr>
                    <w:t> </w:t>
                  </w:r>
                  <w:r>
                    <w:rPr>
                      <w:color w:val="000000"/>
                      <w:sz w:val="16"/>
                    </w:rPr>
                    <w:t>respectively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tabs>
          <w:tab w:pos="8913" w:val="left" w:leader="none"/>
          <w:tab w:pos="10278" w:val="left" w:leader="none"/>
        </w:tabs>
        <w:spacing w:line="207" w:lineRule="exact" w:before="0"/>
        <w:ind w:left="1712" w:right="0" w:firstLine="0"/>
        <w:jc w:val="left"/>
        <w:rPr>
          <w:sz w:val="18"/>
        </w:rPr>
      </w:pPr>
      <w:r>
        <w:rPr/>
        <w:pict>
          <v:shape style="position:absolute;margin-left:90pt;margin-top:12pt;width:468pt;height:12pt;mso-position-horizontal-relative:page;mso-position-vertical-relative:paragraph;z-index:-15724032;mso-wrap-distance-left:0;mso-wrap-distance-right:0" type="#_x0000_t202" id="docshape20" filled="true" fillcolor="#ccedff" stroked="false">
            <v:textbox inset="0,0,0,0">
              <w:txbxContent>
                <w:p>
                  <w:pPr>
                    <w:spacing w:before="26"/>
                    <w:ind w:left="292" w:right="0" w:firstLine="0"/>
                    <w:jc w:val="left"/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Common</w:t>
                  </w:r>
                  <w:r>
                    <w:rPr>
                      <w:color w:val="000000"/>
                      <w:spacing w:val="-1"/>
                      <w:sz w:val="16"/>
                    </w:rPr>
                    <w:t> </w:t>
                  </w:r>
                  <w:r>
                    <w:rPr>
                      <w:color w:val="000000"/>
                      <w:sz w:val="16"/>
                    </w:rPr>
                    <w:t>stock,</w:t>
                  </w:r>
                  <w:r>
                    <w:rPr>
                      <w:color w:val="000000"/>
                      <w:spacing w:val="-1"/>
                      <w:sz w:val="16"/>
                    </w:rPr>
                    <w:t> </w:t>
                  </w:r>
                  <w:r>
                    <w:rPr>
                      <w:color w:val="000000"/>
                      <w:sz w:val="16"/>
                    </w:rPr>
                    <w:t>$0.00001 par value;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sz w:val="16"/>
        </w:rPr>
        <w:t>Issued</w:t>
      </w:r>
      <w:r>
        <w:rPr>
          <w:spacing w:val="-1"/>
          <w:sz w:val="16"/>
        </w:rPr>
        <w:t> </w:t>
      </w:r>
      <w:r>
        <w:rPr>
          <w:sz w:val="16"/>
        </w:rPr>
        <w:t>and outstanding shares:</w:t>
      </w:r>
      <w:r>
        <w:rPr>
          <w:spacing w:val="-2"/>
          <w:sz w:val="16"/>
        </w:rPr>
        <w:t> </w:t>
      </w:r>
      <w:r>
        <w:rPr>
          <w:sz w:val="16"/>
        </w:rPr>
        <w:t>none</w:t>
      </w:r>
      <w:r>
        <w:rPr>
          <w:spacing w:val="-1"/>
          <w:sz w:val="16"/>
        </w:rPr>
        <w:t> </w:t>
      </w:r>
      <w:r>
        <w:rPr>
          <w:sz w:val="16"/>
        </w:rPr>
        <w:t>at</w:t>
      </w:r>
      <w:r>
        <w:rPr>
          <w:spacing w:val="-1"/>
          <w:sz w:val="16"/>
        </w:rPr>
        <w:t> </w:t>
      </w:r>
      <w:r>
        <w:rPr>
          <w:sz w:val="16"/>
        </w:rPr>
        <w:t>September 30,</w:t>
      </w:r>
      <w:r>
        <w:rPr>
          <w:spacing w:val="-1"/>
          <w:sz w:val="16"/>
        </w:rPr>
        <w:t> </w:t>
      </w:r>
      <w:r>
        <w:rPr>
          <w:sz w:val="16"/>
        </w:rPr>
        <w:t>2021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December</w:t>
      </w:r>
      <w:r>
        <w:rPr>
          <w:spacing w:val="-1"/>
          <w:sz w:val="16"/>
        </w:rPr>
        <w:t> </w:t>
      </w:r>
      <w:r>
        <w:rPr>
          <w:sz w:val="16"/>
        </w:rPr>
        <w:t>31, 2020</w:t>
      </w:r>
      <w:r>
        <w:rPr>
          <w:spacing w:val="32"/>
          <w:sz w:val="16"/>
        </w:rPr>
        <w:t> </w:t>
      </w:r>
      <w:r>
        <w:rPr>
          <w:color w:val="B3B3B3"/>
          <w:sz w:val="16"/>
        </w:rPr>
        <w:t>.</w:t>
      </w:r>
      <w:r>
        <w:rPr>
          <w:color w:val="B3B3B3"/>
          <w:spacing w:val="-1"/>
          <w:sz w:val="16"/>
        </w:rPr>
        <w:t> </w:t>
      </w:r>
      <w:r>
        <w:rPr>
          <w:color w:val="B3B3B3"/>
          <w:sz w:val="16"/>
        </w:rPr>
        <w:t>. . .</w:t>
      </w:r>
      <w:r>
        <w:rPr>
          <w:color w:val="B3B3B3"/>
          <w:spacing w:val="-1"/>
          <w:sz w:val="16"/>
        </w:rPr>
        <w:t> </w:t>
      </w:r>
      <w:r>
        <w:rPr>
          <w:color w:val="B3B3B3"/>
          <w:sz w:val="16"/>
        </w:rPr>
        <w:t>. . . .</w:t>
      </w:r>
      <w:r>
        <w:rPr>
          <w:color w:val="B3B3B3"/>
          <w:spacing w:val="-1"/>
          <w:sz w:val="16"/>
        </w:rPr>
        <w:t> </w:t>
      </w:r>
      <w:r>
        <w:rPr>
          <w:color w:val="B3B3B3"/>
          <w:sz w:val="16"/>
        </w:rPr>
        <w:t>.</w:t>
        <w:tab/>
      </w:r>
      <w:r>
        <w:rPr>
          <w:position w:val="-1"/>
          <w:sz w:val="18"/>
        </w:rPr>
        <w:t>—</w:t>
        <w:tab/>
        <w:t>—</w:t>
      </w:r>
    </w:p>
    <w:p>
      <w:pPr>
        <w:spacing w:line="208" w:lineRule="auto" w:before="33" w:after="37"/>
        <w:ind w:left="1652" w:right="3915" w:hanging="180"/>
        <w:jc w:val="left"/>
        <w:rPr>
          <w:sz w:val="16"/>
        </w:rPr>
      </w:pPr>
      <w:r>
        <w:rPr>
          <w:sz w:val="16"/>
        </w:rPr>
        <w:t>Authorized</w:t>
      </w:r>
      <w:r>
        <w:rPr>
          <w:spacing w:val="-1"/>
          <w:sz w:val="16"/>
        </w:rPr>
        <w:t> </w:t>
      </w:r>
      <w:r>
        <w:rPr>
          <w:sz w:val="16"/>
        </w:rPr>
        <w:t>shares:</w:t>
      </w:r>
      <w:r>
        <w:rPr>
          <w:spacing w:val="-1"/>
          <w:sz w:val="16"/>
        </w:rPr>
        <w:t> </w:t>
      </w:r>
      <w:r>
        <w:rPr>
          <w:sz w:val="16"/>
        </w:rPr>
        <w:t>300,000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40,000</w:t>
      </w:r>
      <w:r>
        <w:rPr>
          <w:spacing w:val="-1"/>
          <w:sz w:val="16"/>
        </w:rPr>
        <w:t> </w:t>
      </w:r>
      <w:r>
        <w:rPr>
          <w:sz w:val="16"/>
        </w:rPr>
        <w:t>at</w:t>
      </w:r>
      <w:r>
        <w:rPr>
          <w:spacing w:val="-1"/>
          <w:sz w:val="16"/>
        </w:rPr>
        <w:t> </w:t>
      </w:r>
      <w:r>
        <w:rPr>
          <w:sz w:val="16"/>
        </w:rPr>
        <w:t>September</w:t>
      </w:r>
      <w:r>
        <w:rPr>
          <w:spacing w:val="-1"/>
          <w:sz w:val="16"/>
        </w:rPr>
        <w:t> </w:t>
      </w:r>
      <w:r>
        <w:rPr>
          <w:sz w:val="16"/>
        </w:rPr>
        <w:t>30, 2021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December</w:t>
      </w:r>
      <w:r>
        <w:rPr>
          <w:spacing w:val="-1"/>
          <w:sz w:val="16"/>
        </w:rPr>
        <w:t> </w:t>
      </w:r>
      <w:r>
        <w:rPr>
          <w:sz w:val="16"/>
        </w:rPr>
        <w:t>31, 2020,</w:t>
      </w:r>
      <w:r>
        <w:rPr>
          <w:spacing w:val="-37"/>
          <w:sz w:val="16"/>
        </w:rPr>
        <w:t> </w:t>
      </w:r>
      <w:r>
        <w:rPr>
          <w:sz w:val="16"/>
        </w:rPr>
        <w:t>respectively</w:t>
      </w:r>
    </w:p>
    <w:tbl>
      <w:tblPr>
        <w:tblW w:w="0" w:type="auto"/>
        <w:jc w:val="left"/>
        <w:tblInd w:w="1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90"/>
        <w:gridCol w:w="1347"/>
        <w:gridCol w:w="1323"/>
      </w:tblGrid>
      <w:tr>
        <w:trPr>
          <w:trHeight w:val="390" w:hRule="atLeast"/>
        </w:trPr>
        <w:tc>
          <w:tcPr>
            <w:tcW w:w="6690" w:type="dxa"/>
            <w:shd w:val="clear" w:color="auto" w:fill="CCEDFF"/>
          </w:tcPr>
          <w:p>
            <w:pPr>
              <w:pStyle w:val="TableParagraph"/>
              <w:spacing w:line="208" w:lineRule="auto" w:before="33"/>
              <w:ind w:left="472" w:right="201" w:hanging="180"/>
              <w:jc w:val="left"/>
              <w:rPr>
                <w:sz w:val="16"/>
              </w:rPr>
            </w:pPr>
            <w:r>
              <w:rPr>
                <w:sz w:val="16"/>
              </w:rPr>
              <w:t>Issued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outstanding shares: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43,472 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4,713 at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September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30, 2021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December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31, 2020,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respectively</w:t>
            </w:r>
          </w:p>
        </w:tc>
        <w:tc>
          <w:tcPr>
            <w:tcW w:w="1347" w:type="dxa"/>
            <w:shd w:val="clear" w:color="auto" w:fill="CCEDFF"/>
          </w:tcPr>
          <w:p>
            <w:pPr>
              <w:pStyle w:val="TableParagraph"/>
              <w:spacing w:before="3"/>
              <w:jc w:val="left"/>
              <w:rPr>
                <w:sz w:val="15"/>
              </w:rPr>
            </w:pPr>
          </w:p>
          <w:p>
            <w:pPr>
              <w:pStyle w:val="TableParagraph"/>
              <w:ind w:right="121"/>
              <w:rPr>
                <w:sz w:val="16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323" w:type="dxa"/>
            <w:shd w:val="clear" w:color="auto" w:fill="CCEDFF"/>
          </w:tcPr>
          <w:p>
            <w:pPr>
              <w:pStyle w:val="TableParagraph"/>
              <w:spacing w:before="3"/>
              <w:jc w:val="left"/>
              <w:rPr>
                <w:sz w:val="15"/>
              </w:rPr>
            </w:pPr>
          </w:p>
          <w:p>
            <w:pPr>
              <w:pStyle w:val="TableParagraph"/>
              <w:ind w:right="79"/>
              <w:rPr>
                <w:sz w:val="16"/>
              </w:rPr>
            </w:pPr>
            <w:r>
              <w:rPr>
                <w:sz w:val="16"/>
              </w:rPr>
              <w:t>—</w:t>
            </w:r>
          </w:p>
        </w:tc>
      </w:tr>
      <w:tr>
        <w:trPr>
          <w:trHeight w:val="240" w:hRule="atLeast"/>
        </w:trPr>
        <w:tc>
          <w:tcPr>
            <w:tcW w:w="6690" w:type="dxa"/>
          </w:tcPr>
          <w:p>
            <w:pPr>
              <w:pStyle w:val="TableParagraph"/>
              <w:spacing w:before="31"/>
              <w:ind w:right="56"/>
              <w:rPr>
                <w:sz w:val="16"/>
              </w:rPr>
            </w:pPr>
            <w:r>
              <w:rPr>
                <w:sz w:val="16"/>
              </w:rPr>
              <w:t>Additional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paid-in capital</w:t>
            </w:r>
            <w:r>
              <w:rPr>
                <w:spacing w:val="15"/>
                <w:sz w:val="16"/>
              </w:rPr>
              <w:t> </w:t>
            </w:r>
            <w:r>
              <w:rPr>
                <w:color w:val="B3B3B3"/>
                <w:sz w:val="16"/>
              </w:rPr>
              <w:t>. . . . . . . . . . . . . . . . . . . . . . . . . . . . . . . . . . . . . . . . . . . . . . . . . . . . . . . . . .</w:t>
            </w:r>
          </w:p>
        </w:tc>
        <w:tc>
          <w:tcPr>
            <w:tcW w:w="1347" w:type="dxa"/>
          </w:tcPr>
          <w:p>
            <w:pPr>
              <w:pStyle w:val="TableParagraph"/>
              <w:spacing w:before="26"/>
              <w:ind w:right="121"/>
              <w:rPr>
                <w:sz w:val="16"/>
              </w:rPr>
            </w:pPr>
            <w:r>
              <w:rPr>
                <w:sz w:val="16"/>
              </w:rPr>
              <w:t>526,526</w:t>
            </w:r>
          </w:p>
        </w:tc>
        <w:tc>
          <w:tcPr>
            <w:tcW w:w="1323" w:type="dxa"/>
          </w:tcPr>
          <w:p>
            <w:pPr>
              <w:pStyle w:val="TableParagraph"/>
              <w:spacing w:before="26"/>
              <w:ind w:right="79"/>
              <w:rPr>
                <w:sz w:val="16"/>
              </w:rPr>
            </w:pPr>
            <w:r>
              <w:rPr>
                <w:sz w:val="16"/>
              </w:rPr>
              <w:t>18,788</w:t>
            </w:r>
          </w:p>
        </w:tc>
      </w:tr>
      <w:tr>
        <w:trPr>
          <w:trHeight w:val="240" w:hRule="atLeast"/>
        </w:trPr>
        <w:tc>
          <w:tcPr>
            <w:tcW w:w="6690" w:type="dxa"/>
            <w:shd w:val="clear" w:color="auto" w:fill="CCEDFF"/>
          </w:tcPr>
          <w:p>
            <w:pPr>
              <w:pStyle w:val="TableParagraph"/>
              <w:spacing w:before="31"/>
              <w:ind w:right="56"/>
              <w:rPr>
                <w:sz w:val="16"/>
              </w:rPr>
            </w:pPr>
            <w:r>
              <w:rPr>
                <w:sz w:val="16"/>
              </w:rPr>
              <w:t>Accumulated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other comprehensive loss</w:t>
            </w:r>
            <w:r>
              <w:rPr>
                <w:spacing w:val="20"/>
                <w:sz w:val="16"/>
              </w:rPr>
              <w:t> </w:t>
            </w:r>
            <w:r>
              <w:rPr>
                <w:color w:val="B3B3B3"/>
                <w:sz w:val="16"/>
              </w:rPr>
              <w:t>. . . . . . . . . . . . . . .</w:t>
            </w:r>
            <w:r>
              <w:rPr>
                <w:color w:val="B3B3B3"/>
                <w:spacing w:val="-1"/>
                <w:sz w:val="16"/>
              </w:rPr>
              <w:t> </w:t>
            </w:r>
            <w:r>
              <w:rPr>
                <w:color w:val="B3B3B3"/>
                <w:sz w:val="16"/>
              </w:rPr>
              <w:t>. . . . . . . . . . . . . . . . . .</w:t>
            </w:r>
            <w:r>
              <w:rPr>
                <w:color w:val="B3B3B3"/>
                <w:spacing w:val="-1"/>
                <w:sz w:val="16"/>
              </w:rPr>
              <w:t> </w:t>
            </w:r>
            <w:r>
              <w:rPr>
                <w:color w:val="B3B3B3"/>
                <w:sz w:val="16"/>
              </w:rPr>
              <w:t>. . . . . . . . . . . . . .</w:t>
            </w:r>
          </w:p>
        </w:tc>
        <w:tc>
          <w:tcPr>
            <w:tcW w:w="1347" w:type="dxa"/>
            <w:shd w:val="clear" w:color="auto" w:fill="CCEDFF"/>
          </w:tcPr>
          <w:p>
            <w:pPr>
              <w:pStyle w:val="TableParagraph"/>
              <w:spacing w:before="26"/>
              <w:ind w:right="68"/>
              <w:rPr>
                <w:sz w:val="16"/>
              </w:rPr>
            </w:pPr>
            <w:r>
              <w:rPr>
                <w:sz w:val="16"/>
              </w:rPr>
              <w:t>(41)</w:t>
            </w:r>
          </w:p>
        </w:tc>
        <w:tc>
          <w:tcPr>
            <w:tcW w:w="1323" w:type="dxa"/>
            <w:shd w:val="clear" w:color="auto" w:fill="CCEDFF"/>
          </w:tcPr>
          <w:p>
            <w:pPr>
              <w:pStyle w:val="TableParagraph"/>
              <w:spacing w:before="26"/>
              <w:ind w:right="26"/>
              <w:rPr>
                <w:sz w:val="16"/>
              </w:rPr>
            </w:pPr>
            <w:r>
              <w:rPr>
                <w:sz w:val="16"/>
              </w:rPr>
              <w:t>(14)</w:t>
            </w:r>
          </w:p>
        </w:tc>
      </w:tr>
      <w:tr>
        <w:trPr>
          <w:trHeight w:val="230" w:hRule="atLeast"/>
        </w:trPr>
        <w:tc>
          <w:tcPr>
            <w:tcW w:w="6690" w:type="dxa"/>
          </w:tcPr>
          <w:p>
            <w:pPr>
              <w:pStyle w:val="TableParagraph"/>
              <w:spacing w:line="184" w:lineRule="exact" w:before="26"/>
              <w:ind w:right="50"/>
              <w:rPr>
                <w:sz w:val="16"/>
              </w:rPr>
            </w:pPr>
            <w:r>
              <w:rPr>
                <w:sz w:val="16"/>
              </w:rPr>
              <w:t>Accumulated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deficit</w:t>
            </w:r>
            <w:r>
              <w:rPr>
                <w:spacing w:val="2"/>
                <w:sz w:val="16"/>
              </w:rPr>
              <w:t> </w:t>
            </w:r>
            <w:r>
              <w:rPr>
                <w:color w:val="B3B3B3"/>
                <w:sz w:val="16"/>
              </w:rPr>
              <w:t>. . . . . . . . . . . . . . . . . . . . . . . . . . . . . . . . . . . . . . . . . . . . . . . . . . . . . . . . . . . . . . .</w:t>
            </w:r>
          </w:p>
        </w:tc>
        <w:tc>
          <w:tcPr>
            <w:tcW w:w="13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4" w:lineRule="exact" w:before="26"/>
              <w:ind w:right="68"/>
              <w:rPr>
                <w:sz w:val="16"/>
              </w:rPr>
            </w:pPr>
            <w:r>
              <w:rPr>
                <w:sz w:val="16"/>
              </w:rPr>
              <w:t>(243,173)</w:t>
            </w:r>
          </w:p>
        </w:tc>
        <w:tc>
          <w:tcPr>
            <w:tcW w:w="132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4" w:lineRule="exact" w:before="26"/>
              <w:ind w:right="26"/>
              <w:rPr>
                <w:sz w:val="16"/>
              </w:rPr>
            </w:pPr>
            <w:r>
              <w:rPr>
                <w:sz w:val="16"/>
              </w:rPr>
              <w:t>(201,668)</w:t>
            </w:r>
          </w:p>
        </w:tc>
      </w:tr>
      <w:tr>
        <w:trPr>
          <w:trHeight w:val="220" w:hRule="atLeast"/>
        </w:trPr>
        <w:tc>
          <w:tcPr>
            <w:tcW w:w="6690" w:type="dxa"/>
            <w:shd w:val="clear" w:color="auto" w:fill="CCEDFF"/>
          </w:tcPr>
          <w:p>
            <w:pPr>
              <w:pStyle w:val="TableParagraph"/>
              <w:spacing w:before="4"/>
              <w:ind w:right="53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stockholders’ equity (deficit)</w:t>
            </w:r>
            <w:r>
              <w:rPr>
                <w:spacing w:val="27"/>
                <w:sz w:val="16"/>
              </w:rPr>
              <w:t> </w:t>
            </w:r>
            <w:r>
              <w:rPr>
                <w:color w:val="B3B3B3"/>
                <w:sz w:val="16"/>
              </w:rPr>
              <w:t>. . . . . . . . . . . . . . . .</w:t>
            </w:r>
            <w:r>
              <w:rPr>
                <w:color w:val="B3B3B3"/>
                <w:spacing w:val="-1"/>
                <w:sz w:val="16"/>
              </w:rPr>
              <w:t> </w:t>
            </w:r>
            <w:r>
              <w:rPr>
                <w:color w:val="B3B3B3"/>
                <w:sz w:val="16"/>
              </w:rPr>
              <w:t>. . . . . . . . . . . . . . . . . . .</w:t>
            </w:r>
            <w:r>
              <w:rPr>
                <w:color w:val="B3B3B3"/>
                <w:spacing w:val="-1"/>
                <w:sz w:val="16"/>
              </w:rPr>
              <w:t> </w:t>
            </w:r>
            <w:r>
              <w:rPr>
                <w:color w:val="B3B3B3"/>
                <w:sz w:val="16"/>
              </w:rPr>
              <w:t>. . . . . . . . . . . . . . . . . . .</w:t>
            </w: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184" w:lineRule="exact" w:before="16"/>
              <w:ind w:right="121"/>
              <w:rPr>
                <w:sz w:val="16"/>
              </w:rPr>
            </w:pPr>
            <w:r>
              <w:rPr>
                <w:sz w:val="16"/>
              </w:rPr>
              <w:t>283,312</w:t>
            </w:r>
          </w:p>
        </w:tc>
        <w:tc>
          <w:tcPr>
            <w:tcW w:w="13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184" w:lineRule="exact" w:before="16"/>
              <w:ind w:right="26"/>
              <w:rPr>
                <w:sz w:val="16"/>
              </w:rPr>
            </w:pPr>
            <w:r>
              <w:rPr>
                <w:sz w:val="16"/>
              </w:rPr>
              <w:t>(182,894)</w:t>
            </w:r>
          </w:p>
        </w:tc>
      </w:tr>
      <w:tr>
        <w:trPr>
          <w:trHeight w:val="275" w:hRule="atLeast"/>
        </w:trPr>
        <w:tc>
          <w:tcPr>
            <w:tcW w:w="6690" w:type="dxa"/>
          </w:tcPr>
          <w:p>
            <w:pPr>
              <w:pStyle w:val="TableParagraph"/>
              <w:spacing w:before="26"/>
              <w:ind w:right="56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liabilities, convertible redeemable preferred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stock and stockholders’ equity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(deficit)</w:t>
            </w:r>
            <w:r>
              <w:rPr>
                <w:spacing w:val="16"/>
                <w:sz w:val="16"/>
              </w:rPr>
              <w:t> </w:t>
            </w:r>
            <w:r>
              <w:rPr>
                <w:color w:val="B3B3B3"/>
                <w:sz w:val="16"/>
              </w:rPr>
              <w:t>. . . . .</w:t>
            </w:r>
            <w:r>
              <w:rPr>
                <w:color w:val="B3B3B3"/>
                <w:spacing w:val="-1"/>
                <w:sz w:val="16"/>
              </w:rPr>
              <w:t> </w:t>
            </w:r>
            <w:r>
              <w:rPr>
                <w:color w:val="B3B3B3"/>
                <w:sz w:val="16"/>
              </w:rPr>
              <w:t>. . . .</w:t>
            </w:r>
            <w:r>
              <w:rPr>
                <w:color w:val="B3B3B3"/>
                <w:spacing w:val="-1"/>
                <w:sz w:val="16"/>
              </w:rPr>
              <w:t> </w:t>
            </w:r>
            <w:r>
              <w:rPr>
                <w:color w:val="B3B3B3"/>
                <w:sz w:val="16"/>
              </w:rPr>
              <w:t>.</w:t>
            </w:r>
          </w:p>
        </w:tc>
        <w:tc>
          <w:tcPr>
            <w:tcW w:w="1347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703" w:val="left" w:leader="none"/>
              </w:tabs>
              <w:spacing w:before="31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$</w:t>
              <w:tab/>
              <w:t>351,463</w:t>
            </w:r>
          </w:p>
        </w:tc>
        <w:tc>
          <w:tcPr>
            <w:tcW w:w="1323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721" w:val="left" w:leader="none"/>
              </w:tabs>
              <w:spacing w:before="31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$</w:t>
              <w:tab/>
              <w:t>125,971</w:t>
            </w:r>
          </w:p>
        </w:tc>
      </w:tr>
    </w:tbl>
    <w:p>
      <w:pPr>
        <w:pStyle w:val="BodyText"/>
        <w:spacing w:before="6"/>
        <w:ind w:left="0" w:firstLine="0"/>
        <w:rPr>
          <w:sz w:val="17"/>
        </w:rPr>
      </w:pPr>
    </w:p>
    <w:p>
      <w:pPr>
        <w:pStyle w:val="BodyText"/>
        <w:spacing w:before="0"/>
        <w:ind w:left="1563" w:firstLine="0"/>
      </w:pPr>
      <w:r>
        <w:rPr/>
        <w:pict>
          <v:shape style="position:absolute;margin-left:424.5pt;margin-top:-12.594051pt;width:133.5pt;height:2pt;mso-position-horizontal-relative:page;mso-position-vertical-relative:paragraph;z-index:-19257856" id="docshape21" coordorigin="8490,-252" coordsize="2670,40" path="m8490,-252l9795,-252m8490,-212l9795,-212m9855,-252l11160,-252m9855,-212l11160,-212e" filled="false" stroked="true" strokeweight="1pt" strokecolor="#000000">
            <v:path arrowok="t"/>
            <v:stroke dashstyle="solid"/>
            <w10:wrap type="none"/>
          </v:shape>
        </w:pict>
      </w:r>
      <w:r>
        <w:rPr/>
        <w:t>The</w:t>
      </w:r>
      <w:r>
        <w:rPr>
          <w:spacing w:val="-5"/>
        </w:rPr>
        <w:t> </w:t>
      </w:r>
      <w:r>
        <w:rPr/>
        <w:t>accompanying</w:t>
      </w:r>
      <w:r>
        <w:rPr>
          <w:spacing w:val="-3"/>
        </w:rPr>
        <w:t> </w:t>
      </w:r>
      <w:r>
        <w:rPr/>
        <w:t>notes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an</w:t>
      </w:r>
      <w:r>
        <w:rPr>
          <w:spacing w:val="-3"/>
        </w:rPr>
        <w:t> </w:t>
      </w:r>
      <w:r>
        <w:rPr/>
        <w:t>integral</w:t>
      </w:r>
      <w:r>
        <w:rPr>
          <w:spacing w:val="-4"/>
        </w:rPr>
        <w:t> </w:t>
      </w:r>
      <w:r>
        <w:rPr/>
        <w:t>part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these</w:t>
      </w:r>
      <w:r>
        <w:rPr>
          <w:spacing w:val="-4"/>
        </w:rPr>
        <w:t> </w:t>
      </w:r>
      <w:r>
        <w:rPr/>
        <w:t>condensed</w:t>
      </w:r>
      <w:r>
        <w:rPr>
          <w:spacing w:val="-3"/>
        </w:rPr>
        <w:t> </w:t>
      </w:r>
      <w:r>
        <w:rPr/>
        <w:t>consolidated</w:t>
      </w:r>
      <w:r>
        <w:rPr>
          <w:spacing w:val="-4"/>
        </w:rPr>
        <w:t> </w:t>
      </w:r>
      <w:r>
        <w:rPr/>
        <w:t>financial</w:t>
      </w:r>
      <w:r>
        <w:rPr>
          <w:spacing w:val="-4"/>
        </w:rPr>
        <w:t> </w:t>
      </w:r>
      <w:r>
        <w:rPr/>
        <w:t>statements.</w:t>
      </w:r>
    </w:p>
    <w:p>
      <w:pPr>
        <w:spacing w:after="0"/>
        <w:sectPr>
          <w:footerReference w:type="default" r:id="rId7"/>
          <w:pgSz w:w="12240" w:h="15840"/>
          <w:pgMar w:footer="683" w:header="0" w:top="1440" w:bottom="880" w:left="620" w:right="620"/>
        </w:sectPr>
      </w:pPr>
    </w:p>
    <w:p>
      <w:pPr>
        <w:spacing w:before="68"/>
        <w:ind w:left="0" w:right="0" w:firstLine="0"/>
        <w:jc w:val="center"/>
        <w:rPr>
          <w:b/>
          <w:sz w:val="20"/>
        </w:rPr>
      </w:pPr>
      <w:bookmarkStart w:name="Statements of Operations and Comprehensi" w:id="10"/>
      <w:bookmarkEnd w:id="10"/>
      <w:r>
        <w:rPr/>
      </w:r>
      <w:bookmarkStart w:name="_bookmark3" w:id="11"/>
      <w:bookmarkEnd w:id="11"/>
      <w:r>
        <w:rPr/>
      </w:r>
      <w:r>
        <w:rPr>
          <w:b/>
          <w:sz w:val="20"/>
        </w:rPr>
        <w:t>PROCEPT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BioRobotics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Corporation</w:t>
      </w:r>
    </w:p>
    <w:p>
      <w:pPr>
        <w:pStyle w:val="Heading1"/>
      </w:pPr>
      <w:r>
        <w:rPr/>
        <w:t>CONDENSED</w:t>
      </w:r>
      <w:r>
        <w:rPr>
          <w:spacing w:val="-8"/>
        </w:rPr>
        <w:t> </w:t>
      </w:r>
      <w:r>
        <w:rPr/>
        <w:t>CONSOLIDATED</w:t>
      </w:r>
      <w:r>
        <w:rPr>
          <w:spacing w:val="-8"/>
        </w:rPr>
        <w:t> </w:t>
      </w:r>
      <w:r>
        <w:rPr/>
        <w:t>STATEMENTS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OPERATIONS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COMPREHENSIVE</w:t>
      </w:r>
      <w:r>
        <w:rPr>
          <w:spacing w:val="-8"/>
        </w:rPr>
        <w:t> </w:t>
      </w:r>
      <w:r>
        <w:rPr/>
        <w:t>LOSS</w:t>
      </w:r>
    </w:p>
    <w:p>
      <w:pPr>
        <w:pStyle w:val="Heading2"/>
        <w:spacing w:line="249" w:lineRule="auto" w:before="10"/>
        <w:ind w:left="3928" w:right="3926"/>
        <w:jc w:val="center"/>
      </w:pPr>
      <w:r>
        <w:rPr/>
        <w:t>(in</w:t>
      </w:r>
      <w:r>
        <w:rPr>
          <w:spacing w:val="-5"/>
        </w:rPr>
        <w:t> </w:t>
      </w:r>
      <w:r>
        <w:rPr/>
        <w:t>thousands,</w:t>
      </w:r>
      <w:r>
        <w:rPr>
          <w:spacing w:val="-3"/>
        </w:rPr>
        <w:t> </w:t>
      </w:r>
      <w:r>
        <w:rPr/>
        <w:t>except</w:t>
      </w:r>
      <w:r>
        <w:rPr>
          <w:spacing w:val="-3"/>
        </w:rPr>
        <w:t> </w:t>
      </w:r>
      <w:r>
        <w:rPr/>
        <w:t>per</w:t>
      </w:r>
      <w:r>
        <w:rPr>
          <w:spacing w:val="-4"/>
        </w:rPr>
        <w:t> </w:t>
      </w:r>
      <w:r>
        <w:rPr/>
        <w:t>share</w:t>
      </w:r>
      <w:r>
        <w:rPr>
          <w:spacing w:val="-4"/>
        </w:rPr>
        <w:t> </w:t>
      </w:r>
      <w:r>
        <w:rPr/>
        <w:t>data)</w:t>
      </w:r>
      <w:r>
        <w:rPr>
          <w:spacing w:val="-47"/>
        </w:rPr>
        <w:t> </w:t>
      </w:r>
      <w:r>
        <w:rPr/>
        <w:t>(unaudited)</w:t>
      </w:r>
    </w:p>
    <w:p>
      <w:pPr>
        <w:tabs>
          <w:tab w:pos="7652" w:val="left" w:leader="none"/>
        </w:tabs>
        <w:spacing w:before="65"/>
        <w:ind w:left="4878" w:right="0" w:firstLine="0"/>
        <w:jc w:val="left"/>
        <w:rPr>
          <w:b/>
          <w:sz w:val="16"/>
        </w:rPr>
      </w:pPr>
      <w:r>
        <w:rPr>
          <w:b/>
          <w:sz w:val="16"/>
        </w:rPr>
        <w:t>Three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Months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Ended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September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30,</w:t>
        <w:tab/>
        <w:t>Nine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Months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Ended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September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30,</w:t>
      </w:r>
    </w:p>
    <w:p>
      <w:pPr>
        <w:pStyle w:val="BodyText"/>
        <w:spacing w:before="5"/>
        <w:ind w:left="0" w:firstLine="0"/>
        <w:rPr>
          <w:b/>
          <w:sz w:val="5"/>
        </w:rPr>
      </w:pPr>
    </w:p>
    <w:tbl>
      <w:tblPr>
        <w:tblW w:w="0" w:type="auto"/>
        <w:jc w:val="left"/>
        <w:tblInd w:w="8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0"/>
        <w:gridCol w:w="1354"/>
        <w:gridCol w:w="1365"/>
        <w:gridCol w:w="1365"/>
        <w:gridCol w:w="1316"/>
      </w:tblGrid>
      <w:tr>
        <w:trPr>
          <w:trHeight w:val="211" w:hRule="atLeast"/>
        </w:trPr>
        <w:tc>
          <w:tcPr>
            <w:tcW w:w="3960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7" w:lineRule="exact"/>
              <w:ind w:left="145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</w:p>
        </w:tc>
        <w:tc>
          <w:tcPr>
            <w:tcW w:w="13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7" w:lineRule="exact"/>
              <w:ind w:left="484" w:right="5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</w:p>
        </w:tc>
        <w:tc>
          <w:tcPr>
            <w:tcW w:w="13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7" w:lineRule="exact"/>
              <w:ind w:left="484" w:right="5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</w:p>
        </w:tc>
        <w:tc>
          <w:tcPr>
            <w:tcW w:w="13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7" w:lineRule="exact"/>
              <w:ind w:left="176" w:right="1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</w:p>
        </w:tc>
      </w:tr>
      <w:tr>
        <w:trPr>
          <w:trHeight w:val="275" w:hRule="atLeast"/>
        </w:trPr>
        <w:tc>
          <w:tcPr>
            <w:tcW w:w="3960" w:type="dxa"/>
            <w:shd w:val="clear" w:color="auto" w:fill="CCEDFF"/>
          </w:tcPr>
          <w:p>
            <w:pPr>
              <w:pStyle w:val="TableParagraph"/>
              <w:spacing w:line="224" w:lineRule="exact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Revenue</w:t>
            </w:r>
            <w:r>
              <w:rPr>
                <w:spacing w:val="49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</w:t>
            </w:r>
          </w:p>
        </w:tc>
        <w:tc>
          <w:tcPr>
            <w:tcW w:w="1354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773" w:val="left" w:leader="none"/>
              </w:tabs>
              <w:spacing w:line="224" w:lineRule="exact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$</w:t>
              <w:tab/>
              <w:t>8,668</w:t>
            </w:r>
          </w:p>
        </w:tc>
        <w:tc>
          <w:tcPr>
            <w:tcW w:w="1365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784" w:val="left" w:leader="none"/>
              </w:tabs>
              <w:spacing w:line="224" w:lineRule="exact"/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$</w:t>
              <w:tab/>
              <w:t>2,107</w:t>
            </w:r>
          </w:p>
        </w:tc>
        <w:tc>
          <w:tcPr>
            <w:tcW w:w="1365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684" w:val="left" w:leader="none"/>
              </w:tabs>
              <w:spacing w:line="224" w:lineRule="exact"/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$</w:t>
              <w:tab/>
              <w:t>24,335</w:t>
            </w:r>
          </w:p>
        </w:tc>
        <w:tc>
          <w:tcPr>
            <w:tcW w:w="1316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784" w:val="left" w:leader="none"/>
              </w:tabs>
              <w:spacing w:line="224" w:lineRule="exact"/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$</w:t>
              <w:tab/>
              <w:t>4,496</w:t>
            </w:r>
          </w:p>
        </w:tc>
      </w:tr>
      <w:tr>
        <w:trPr>
          <w:trHeight w:val="275" w:hRule="atLeast"/>
        </w:trPr>
        <w:tc>
          <w:tcPr>
            <w:tcW w:w="3960" w:type="dxa"/>
          </w:tcPr>
          <w:p>
            <w:pPr>
              <w:pStyle w:val="TableParagraph"/>
              <w:spacing w:before="4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Cost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 sales</w:t>
            </w:r>
            <w:r>
              <w:rPr>
                <w:spacing w:val="30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</w:p>
        </w:tc>
        <w:tc>
          <w:tcPr>
            <w:tcW w:w="13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ind w:right="128"/>
              <w:rPr>
                <w:sz w:val="20"/>
              </w:rPr>
            </w:pPr>
            <w:r>
              <w:rPr>
                <w:sz w:val="20"/>
              </w:rPr>
              <w:t>4,428</w:t>
            </w:r>
          </w:p>
        </w:tc>
        <w:tc>
          <w:tcPr>
            <w:tcW w:w="13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ind w:right="128"/>
              <w:rPr>
                <w:sz w:val="20"/>
              </w:rPr>
            </w:pPr>
            <w:r>
              <w:rPr>
                <w:sz w:val="20"/>
              </w:rPr>
              <w:t>2,138</w:t>
            </w:r>
          </w:p>
        </w:tc>
        <w:tc>
          <w:tcPr>
            <w:tcW w:w="13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ind w:right="128"/>
              <w:rPr>
                <w:sz w:val="20"/>
              </w:rPr>
            </w:pPr>
            <w:r>
              <w:rPr>
                <w:sz w:val="20"/>
              </w:rPr>
              <w:t>12,986</w:t>
            </w:r>
          </w:p>
        </w:tc>
        <w:tc>
          <w:tcPr>
            <w:tcW w:w="13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ind w:right="79"/>
              <w:rPr>
                <w:sz w:val="20"/>
              </w:rPr>
            </w:pPr>
            <w:r>
              <w:rPr>
                <w:sz w:val="20"/>
              </w:rPr>
              <w:t>6,221</w:t>
            </w:r>
          </w:p>
        </w:tc>
      </w:tr>
      <w:tr>
        <w:trPr>
          <w:trHeight w:val="275" w:hRule="atLeast"/>
        </w:trPr>
        <w:tc>
          <w:tcPr>
            <w:tcW w:w="3960" w:type="dxa"/>
            <w:shd w:val="clear" w:color="auto" w:fill="CCEDFF"/>
          </w:tcPr>
          <w:p>
            <w:pPr>
              <w:pStyle w:val="TableParagraph"/>
              <w:spacing w:line="224" w:lineRule="exact"/>
              <w:ind w:right="55"/>
              <w:rPr>
                <w:sz w:val="20"/>
              </w:rPr>
            </w:pPr>
            <w:r>
              <w:rPr>
                <w:sz w:val="20"/>
              </w:rPr>
              <w:t>Gross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profit</w:t>
            </w:r>
            <w:r>
              <w:rPr>
                <w:spacing w:val="49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</w:t>
            </w:r>
          </w:p>
        </w:tc>
        <w:tc>
          <w:tcPr>
            <w:tcW w:w="1354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224" w:lineRule="exact"/>
              <w:ind w:right="128"/>
              <w:rPr>
                <w:sz w:val="20"/>
              </w:rPr>
            </w:pPr>
            <w:r>
              <w:rPr>
                <w:sz w:val="20"/>
              </w:rPr>
              <w:t>4,240</w:t>
            </w:r>
          </w:p>
        </w:tc>
        <w:tc>
          <w:tcPr>
            <w:tcW w:w="1365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224" w:lineRule="exact"/>
              <w:ind w:right="63"/>
              <w:rPr>
                <w:sz w:val="20"/>
              </w:rPr>
            </w:pPr>
            <w:r>
              <w:rPr>
                <w:sz w:val="20"/>
              </w:rPr>
              <w:t>(31)</w:t>
            </w:r>
          </w:p>
        </w:tc>
        <w:tc>
          <w:tcPr>
            <w:tcW w:w="1365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224" w:lineRule="exact"/>
              <w:ind w:right="128"/>
              <w:rPr>
                <w:sz w:val="20"/>
              </w:rPr>
            </w:pPr>
            <w:r>
              <w:rPr>
                <w:sz w:val="20"/>
              </w:rPr>
              <w:t>11,349</w:t>
            </w:r>
          </w:p>
        </w:tc>
        <w:tc>
          <w:tcPr>
            <w:tcW w:w="1316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224" w:lineRule="exact"/>
              <w:ind w:right="14"/>
              <w:rPr>
                <w:sz w:val="20"/>
              </w:rPr>
            </w:pPr>
            <w:r>
              <w:rPr>
                <w:sz w:val="20"/>
              </w:rPr>
              <w:t>(1,725)</w:t>
            </w:r>
          </w:p>
        </w:tc>
      </w:tr>
      <w:tr>
        <w:trPr>
          <w:trHeight w:val="285" w:hRule="atLeast"/>
        </w:trPr>
        <w:tc>
          <w:tcPr>
            <w:tcW w:w="3960" w:type="dxa"/>
          </w:tcPr>
          <w:p>
            <w:pPr>
              <w:pStyle w:val="TableParagraph"/>
              <w:spacing w:before="4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Operating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expenses:</w:t>
            </w:r>
          </w:p>
        </w:tc>
        <w:tc>
          <w:tcPr>
            <w:tcW w:w="1354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3960" w:type="dxa"/>
            <w:shd w:val="clear" w:color="auto" w:fill="CCEDFF"/>
          </w:tcPr>
          <w:p>
            <w:pPr>
              <w:pStyle w:val="TableParagraph"/>
              <w:spacing w:before="4"/>
              <w:ind w:right="56"/>
              <w:rPr>
                <w:sz w:val="20"/>
              </w:rPr>
            </w:pPr>
            <w:r>
              <w:rPr>
                <w:sz w:val="20"/>
              </w:rPr>
              <w:t>Research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development</w:t>
            </w:r>
            <w:r>
              <w:rPr>
                <w:spacing w:val="5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</w:p>
        </w:tc>
        <w:tc>
          <w:tcPr>
            <w:tcW w:w="1354" w:type="dxa"/>
            <w:shd w:val="clear" w:color="auto" w:fill="CCEDFF"/>
          </w:tcPr>
          <w:p>
            <w:pPr>
              <w:pStyle w:val="TableParagraph"/>
              <w:spacing w:before="4"/>
              <w:ind w:right="128"/>
              <w:rPr>
                <w:sz w:val="20"/>
              </w:rPr>
            </w:pPr>
            <w:r>
              <w:rPr>
                <w:sz w:val="20"/>
              </w:rPr>
              <w:t>4,919</w:t>
            </w:r>
          </w:p>
        </w:tc>
        <w:tc>
          <w:tcPr>
            <w:tcW w:w="1365" w:type="dxa"/>
            <w:shd w:val="clear" w:color="auto" w:fill="CCEDFF"/>
          </w:tcPr>
          <w:p>
            <w:pPr>
              <w:pStyle w:val="TableParagraph"/>
              <w:spacing w:before="4"/>
              <w:ind w:right="128"/>
              <w:rPr>
                <w:sz w:val="20"/>
              </w:rPr>
            </w:pPr>
            <w:r>
              <w:rPr>
                <w:sz w:val="20"/>
              </w:rPr>
              <w:t>3,893</w:t>
            </w:r>
          </w:p>
        </w:tc>
        <w:tc>
          <w:tcPr>
            <w:tcW w:w="1365" w:type="dxa"/>
            <w:shd w:val="clear" w:color="auto" w:fill="CCEDFF"/>
          </w:tcPr>
          <w:p>
            <w:pPr>
              <w:pStyle w:val="TableParagraph"/>
              <w:spacing w:before="4"/>
              <w:ind w:right="128"/>
              <w:rPr>
                <w:sz w:val="20"/>
              </w:rPr>
            </w:pPr>
            <w:r>
              <w:rPr>
                <w:sz w:val="20"/>
              </w:rPr>
              <w:t>13,917</w:t>
            </w:r>
          </w:p>
        </w:tc>
        <w:tc>
          <w:tcPr>
            <w:tcW w:w="1316" w:type="dxa"/>
            <w:shd w:val="clear" w:color="auto" w:fill="CCEDFF"/>
          </w:tcPr>
          <w:p>
            <w:pPr>
              <w:pStyle w:val="TableParagraph"/>
              <w:spacing w:before="4"/>
              <w:ind w:right="79"/>
              <w:rPr>
                <w:sz w:val="20"/>
              </w:rPr>
            </w:pPr>
            <w:r>
              <w:rPr>
                <w:sz w:val="20"/>
              </w:rPr>
              <w:t>11,732</w:t>
            </w:r>
          </w:p>
        </w:tc>
      </w:tr>
      <w:tr>
        <w:trPr>
          <w:trHeight w:val="275" w:hRule="atLeast"/>
        </w:trPr>
        <w:tc>
          <w:tcPr>
            <w:tcW w:w="3960" w:type="dxa"/>
          </w:tcPr>
          <w:p>
            <w:pPr>
              <w:pStyle w:val="TableParagraph"/>
              <w:spacing w:before="4"/>
              <w:ind w:right="53"/>
              <w:rPr>
                <w:sz w:val="20"/>
              </w:rPr>
            </w:pPr>
            <w:r>
              <w:rPr>
                <w:sz w:val="20"/>
              </w:rPr>
              <w:t>Selling,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administrative</w:t>
            </w:r>
            <w:r>
              <w:rPr>
                <w:spacing w:val="25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2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2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2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</w:p>
        </w:tc>
        <w:tc>
          <w:tcPr>
            <w:tcW w:w="13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ind w:right="128"/>
              <w:rPr>
                <w:sz w:val="20"/>
              </w:rPr>
            </w:pPr>
            <w:r>
              <w:rPr>
                <w:sz w:val="20"/>
              </w:rPr>
              <w:t>12,118</w:t>
            </w:r>
          </w:p>
        </w:tc>
        <w:tc>
          <w:tcPr>
            <w:tcW w:w="13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ind w:right="128"/>
              <w:rPr>
                <w:sz w:val="20"/>
              </w:rPr>
            </w:pPr>
            <w:r>
              <w:rPr>
                <w:sz w:val="20"/>
              </w:rPr>
              <w:t>7,054</w:t>
            </w:r>
          </w:p>
        </w:tc>
        <w:tc>
          <w:tcPr>
            <w:tcW w:w="13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ind w:right="128"/>
              <w:rPr>
                <w:sz w:val="20"/>
              </w:rPr>
            </w:pPr>
            <w:r>
              <w:rPr>
                <w:sz w:val="20"/>
              </w:rPr>
              <w:t>34,765</w:t>
            </w:r>
          </w:p>
        </w:tc>
        <w:tc>
          <w:tcPr>
            <w:tcW w:w="13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ind w:right="79"/>
              <w:rPr>
                <w:sz w:val="20"/>
              </w:rPr>
            </w:pPr>
            <w:r>
              <w:rPr>
                <w:sz w:val="20"/>
              </w:rPr>
              <w:t>21,138</w:t>
            </w:r>
          </w:p>
        </w:tc>
      </w:tr>
      <w:tr>
        <w:trPr>
          <w:trHeight w:val="265" w:hRule="atLeast"/>
        </w:trPr>
        <w:tc>
          <w:tcPr>
            <w:tcW w:w="3960" w:type="dxa"/>
            <w:shd w:val="clear" w:color="auto" w:fill="CCEDFF"/>
          </w:tcPr>
          <w:p>
            <w:pPr>
              <w:pStyle w:val="TableParagraph"/>
              <w:spacing w:line="224" w:lineRule="exact"/>
              <w:ind w:right="59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operating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expenses</w:t>
            </w:r>
            <w:r>
              <w:rPr>
                <w:spacing w:val="18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</w:p>
        </w:tc>
        <w:tc>
          <w:tcPr>
            <w:tcW w:w="135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224" w:lineRule="exact"/>
              <w:ind w:right="128"/>
              <w:rPr>
                <w:sz w:val="20"/>
              </w:rPr>
            </w:pPr>
            <w:r>
              <w:rPr>
                <w:sz w:val="20"/>
              </w:rPr>
              <w:t>17,037</w:t>
            </w:r>
          </w:p>
        </w:tc>
        <w:tc>
          <w:tcPr>
            <w:tcW w:w="136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224" w:lineRule="exact"/>
              <w:ind w:right="128"/>
              <w:rPr>
                <w:sz w:val="20"/>
              </w:rPr>
            </w:pPr>
            <w:r>
              <w:rPr>
                <w:sz w:val="20"/>
              </w:rPr>
              <w:t>10,947</w:t>
            </w:r>
          </w:p>
        </w:tc>
        <w:tc>
          <w:tcPr>
            <w:tcW w:w="136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224" w:lineRule="exact"/>
              <w:ind w:right="128"/>
              <w:rPr>
                <w:sz w:val="20"/>
              </w:rPr>
            </w:pPr>
            <w:r>
              <w:rPr>
                <w:sz w:val="20"/>
              </w:rPr>
              <w:t>48,682</w:t>
            </w:r>
          </w:p>
        </w:tc>
        <w:tc>
          <w:tcPr>
            <w:tcW w:w="13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224" w:lineRule="exact"/>
              <w:ind w:right="79"/>
              <w:rPr>
                <w:sz w:val="20"/>
              </w:rPr>
            </w:pPr>
            <w:r>
              <w:rPr>
                <w:sz w:val="20"/>
              </w:rPr>
              <w:t>32,870</w:t>
            </w:r>
          </w:p>
        </w:tc>
      </w:tr>
      <w:tr>
        <w:trPr>
          <w:trHeight w:val="275" w:hRule="atLeast"/>
        </w:trPr>
        <w:tc>
          <w:tcPr>
            <w:tcW w:w="3960" w:type="dxa"/>
          </w:tcPr>
          <w:p>
            <w:pPr>
              <w:pStyle w:val="TableParagraph"/>
              <w:spacing w:line="224" w:lineRule="exact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Loss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operations 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</w:p>
        </w:tc>
        <w:tc>
          <w:tcPr>
            <w:tcW w:w="135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4" w:lineRule="exact"/>
              <w:ind w:right="63"/>
              <w:rPr>
                <w:sz w:val="20"/>
              </w:rPr>
            </w:pPr>
            <w:r>
              <w:rPr>
                <w:sz w:val="20"/>
              </w:rPr>
              <w:t>(12,797)</w:t>
            </w:r>
          </w:p>
        </w:tc>
        <w:tc>
          <w:tcPr>
            <w:tcW w:w="13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4" w:lineRule="exact"/>
              <w:ind w:right="63"/>
              <w:rPr>
                <w:sz w:val="20"/>
              </w:rPr>
            </w:pPr>
            <w:r>
              <w:rPr>
                <w:sz w:val="20"/>
              </w:rPr>
              <w:t>(10,978)</w:t>
            </w:r>
          </w:p>
        </w:tc>
        <w:tc>
          <w:tcPr>
            <w:tcW w:w="13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4" w:lineRule="exact"/>
              <w:ind w:right="63"/>
              <w:rPr>
                <w:sz w:val="20"/>
              </w:rPr>
            </w:pPr>
            <w:r>
              <w:rPr>
                <w:sz w:val="20"/>
              </w:rPr>
              <w:t>(37,333)</w:t>
            </w:r>
          </w:p>
        </w:tc>
        <w:tc>
          <w:tcPr>
            <w:tcW w:w="13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4" w:lineRule="exact"/>
              <w:ind w:right="14"/>
              <w:rPr>
                <w:sz w:val="20"/>
              </w:rPr>
            </w:pPr>
            <w:r>
              <w:rPr>
                <w:sz w:val="20"/>
              </w:rPr>
              <w:t>(34,595)</w:t>
            </w:r>
          </w:p>
        </w:tc>
      </w:tr>
      <w:tr>
        <w:trPr>
          <w:trHeight w:val="285" w:hRule="atLeast"/>
        </w:trPr>
        <w:tc>
          <w:tcPr>
            <w:tcW w:w="3960" w:type="dxa"/>
            <w:shd w:val="clear" w:color="auto" w:fill="CCEDFF"/>
          </w:tcPr>
          <w:p>
            <w:pPr>
              <w:pStyle w:val="TableParagraph"/>
              <w:spacing w:before="4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Interest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expense</w:t>
            </w:r>
            <w:r>
              <w:rPr>
                <w:spacing w:val="7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</w:p>
        </w:tc>
        <w:tc>
          <w:tcPr>
            <w:tcW w:w="1354" w:type="dxa"/>
            <w:shd w:val="clear" w:color="auto" w:fill="CCEDFF"/>
          </w:tcPr>
          <w:p>
            <w:pPr>
              <w:pStyle w:val="TableParagraph"/>
              <w:spacing w:before="4"/>
              <w:ind w:right="63"/>
              <w:rPr>
                <w:sz w:val="20"/>
              </w:rPr>
            </w:pPr>
            <w:r>
              <w:rPr>
                <w:sz w:val="20"/>
              </w:rPr>
              <w:t>(1,469)</w:t>
            </w:r>
          </w:p>
        </w:tc>
        <w:tc>
          <w:tcPr>
            <w:tcW w:w="1365" w:type="dxa"/>
            <w:shd w:val="clear" w:color="auto" w:fill="CCEDFF"/>
          </w:tcPr>
          <w:p>
            <w:pPr>
              <w:pStyle w:val="TableParagraph"/>
              <w:spacing w:before="4"/>
              <w:ind w:right="63"/>
              <w:rPr>
                <w:sz w:val="20"/>
              </w:rPr>
            </w:pPr>
            <w:r>
              <w:rPr>
                <w:sz w:val="20"/>
              </w:rPr>
              <w:t>(1,387)</w:t>
            </w:r>
          </w:p>
        </w:tc>
        <w:tc>
          <w:tcPr>
            <w:tcW w:w="1365" w:type="dxa"/>
            <w:shd w:val="clear" w:color="auto" w:fill="CCEDFF"/>
          </w:tcPr>
          <w:p>
            <w:pPr>
              <w:pStyle w:val="TableParagraph"/>
              <w:spacing w:before="4"/>
              <w:ind w:right="63"/>
              <w:rPr>
                <w:sz w:val="20"/>
              </w:rPr>
            </w:pPr>
            <w:r>
              <w:rPr>
                <w:sz w:val="20"/>
              </w:rPr>
              <w:t>(4,370)</w:t>
            </w:r>
          </w:p>
        </w:tc>
        <w:tc>
          <w:tcPr>
            <w:tcW w:w="1316" w:type="dxa"/>
            <w:shd w:val="clear" w:color="auto" w:fill="CCEDFF"/>
          </w:tcPr>
          <w:p>
            <w:pPr>
              <w:pStyle w:val="TableParagraph"/>
              <w:spacing w:before="4"/>
              <w:ind w:right="14"/>
              <w:rPr>
                <w:sz w:val="20"/>
              </w:rPr>
            </w:pPr>
            <w:r>
              <w:rPr>
                <w:sz w:val="20"/>
              </w:rPr>
              <w:t>(3,490)</w:t>
            </w:r>
          </w:p>
        </w:tc>
      </w:tr>
      <w:tr>
        <w:trPr>
          <w:trHeight w:val="275" w:hRule="atLeast"/>
        </w:trPr>
        <w:tc>
          <w:tcPr>
            <w:tcW w:w="3960" w:type="dxa"/>
          </w:tcPr>
          <w:p>
            <w:pPr>
              <w:pStyle w:val="TableParagraph"/>
              <w:spacing w:before="4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Interest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other income,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net</w:t>
            </w:r>
            <w:r>
              <w:rPr>
                <w:spacing w:val="16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</w:p>
        </w:tc>
        <w:tc>
          <w:tcPr>
            <w:tcW w:w="13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ind w:right="128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3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ind w:right="128"/>
              <w:rPr>
                <w:sz w:val="20"/>
              </w:rPr>
            </w:pPr>
            <w:r>
              <w:rPr>
                <w:sz w:val="20"/>
              </w:rPr>
              <w:t>357</w:t>
            </w:r>
          </w:p>
        </w:tc>
        <w:tc>
          <w:tcPr>
            <w:tcW w:w="13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ind w:right="128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3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ind w:right="79"/>
              <w:rPr>
                <w:sz w:val="20"/>
              </w:rPr>
            </w:pPr>
            <w:r>
              <w:rPr>
                <w:sz w:val="20"/>
              </w:rPr>
              <w:t>344</w:t>
            </w:r>
          </w:p>
        </w:tc>
      </w:tr>
      <w:tr>
        <w:trPr>
          <w:trHeight w:val="225" w:hRule="atLeast"/>
        </w:trPr>
        <w:tc>
          <w:tcPr>
            <w:tcW w:w="3960" w:type="dxa"/>
            <w:shd w:val="clear" w:color="auto" w:fill="CCEDFF"/>
          </w:tcPr>
          <w:p>
            <w:pPr>
              <w:pStyle w:val="TableParagraph"/>
              <w:spacing w:line="205" w:lineRule="exact"/>
              <w:ind w:right="56"/>
              <w:rPr>
                <w:sz w:val="20"/>
              </w:rPr>
            </w:pPr>
            <w:r>
              <w:rPr>
                <w:sz w:val="20"/>
              </w:rPr>
              <w:t>Net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loss</w:t>
            </w:r>
            <w:r>
              <w:rPr>
                <w:spacing w:val="10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</w:p>
        </w:tc>
        <w:tc>
          <w:tcPr>
            <w:tcW w:w="1354" w:type="dxa"/>
            <w:tcBorders>
              <w:top w:val="single" w:sz="8" w:space="0" w:color="000000"/>
              <w:bottom w:val="doub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606" w:val="left" w:leader="none"/>
              </w:tabs>
              <w:spacing w:line="205" w:lineRule="exact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$</w:t>
              <w:tab/>
              <w:t>(14,103)</w:t>
            </w:r>
          </w:p>
        </w:tc>
        <w:tc>
          <w:tcPr>
            <w:tcW w:w="1365" w:type="dxa"/>
            <w:tcBorders>
              <w:top w:val="single" w:sz="8" w:space="0" w:color="000000"/>
              <w:bottom w:val="doub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554" w:val="left" w:leader="none"/>
              </w:tabs>
              <w:spacing w:line="205" w:lineRule="exact"/>
              <w:ind w:right="63"/>
              <w:rPr>
                <w:sz w:val="20"/>
              </w:rPr>
            </w:pPr>
            <w:r>
              <w:rPr>
                <w:sz w:val="20"/>
              </w:rPr>
              <w:t>$</w:t>
              <w:tab/>
              <w:t>(12,008)</w:t>
            </w:r>
          </w:p>
        </w:tc>
        <w:tc>
          <w:tcPr>
            <w:tcW w:w="1365" w:type="dxa"/>
            <w:tcBorders>
              <w:top w:val="single" w:sz="8" w:space="0" w:color="000000"/>
              <w:bottom w:val="doub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617" w:val="left" w:leader="none"/>
              </w:tabs>
              <w:spacing w:line="205" w:lineRule="exact"/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$</w:t>
              <w:tab/>
              <w:t>(41,505)</w:t>
            </w:r>
          </w:p>
        </w:tc>
        <w:tc>
          <w:tcPr>
            <w:tcW w:w="1316" w:type="dxa"/>
            <w:tcBorders>
              <w:top w:val="single" w:sz="8" w:space="0" w:color="000000"/>
              <w:bottom w:val="doub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617" w:val="left" w:leader="none"/>
              </w:tabs>
              <w:spacing w:line="205" w:lineRule="exact"/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$</w:t>
              <w:tab/>
              <w:t>(37,741)</w:t>
            </w:r>
          </w:p>
        </w:tc>
      </w:tr>
      <w:tr>
        <w:trPr>
          <w:trHeight w:val="257" w:hRule="atLeast"/>
        </w:trPr>
        <w:tc>
          <w:tcPr>
            <w:tcW w:w="3960" w:type="dxa"/>
          </w:tcPr>
          <w:p>
            <w:pPr>
              <w:pStyle w:val="TableParagraph"/>
              <w:spacing w:line="224" w:lineRule="exact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Net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loss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share,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basic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diluted</w:t>
            </w:r>
            <w:r>
              <w:rPr>
                <w:spacing w:val="16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</w:p>
        </w:tc>
        <w:tc>
          <w:tcPr>
            <w:tcW w:w="1354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tabs>
                <w:tab w:pos="806" w:val="left" w:leader="none"/>
              </w:tabs>
              <w:spacing w:line="224" w:lineRule="exact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$</w:t>
              <w:tab/>
              <w:t>(1.22)</w:t>
            </w:r>
          </w:p>
        </w:tc>
        <w:tc>
          <w:tcPr>
            <w:tcW w:w="136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tabs>
                <w:tab w:pos="754" w:val="left" w:leader="none"/>
              </w:tabs>
              <w:spacing w:line="224" w:lineRule="exact"/>
              <w:ind w:right="63"/>
              <w:rPr>
                <w:sz w:val="20"/>
              </w:rPr>
            </w:pPr>
            <w:r>
              <w:rPr>
                <w:sz w:val="20"/>
              </w:rPr>
              <w:t>$</w:t>
              <w:tab/>
              <w:t>(2.77)</w:t>
            </w:r>
          </w:p>
        </w:tc>
        <w:tc>
          <w:tcPr>
            <w:tcW w:w="136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tabs>
                <w:tab w:pos="817" w:val="left" w:leader="none"/>
              </w:tabs>
              <w:spacing w:line="224" w:lineRule="exact"/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$</w:t>
              <w:tab/>
              <w:t>(5.64)</w:t>
            </w:r>
          </w:p>
        </w:tc>
        <w:tc>
          <w:tcPr>
            <w:tcW w:w="1316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tabs>
                <w:tab w:pos="717" w:val="left" w:leader="none"/>
              </w:tabs>
              <w:spacing w:line="224" w:lineRule="exact"/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$</w:t>
              <w:tab/>
              <w:t>(11.34)</w:t>
            </w:r>
          </w:p>
        </w:tc>
      </w:tr>
      <w:tr>
        <w:trPr>
          <w:trHeight w:val="242" w:hRule="atLeast"/>
        </w:trPr>
        <w:tc>
          <w:tcPr>
            <w:tcW w:w="3960" w:type="dxa"/>
            <w:shd w:val="clear" w:color="auto" w:fill="CCEDFF"/>
          </w:tcPr>
          <w:p>
            <w:pPr>
              <w:pStyle w:val="TableParagraph"/>
              <w:spacing w:line="184" w:lineRule="exact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Weighted-average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common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shares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</w:p>
        </w:tc>
        <w:tc>
          <w:tcPr>
            <w:tcW w:w="1354" w:type="dxa"/>
            <w:tcBorders>
              <w:top w:val="double" w:sz="8" w:space="0" w:color="000000"/>
            </w:tcBorders>
            <w:shd w:val="clear" w:color="auto" w:fill="CCEDFF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65" w:type="dxa"/>
            <w:tcBorders>
              <w:top w:val="double" w:sz="8" w:space="0" w:color="000000"/>
            </w:tcBorders>
            <w:shd w:val="clear" w:color="auto" w:fill="CCEDFF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65" w:type="dxa"/>
            <w:tcBorders>
              <w:top w:val="double" w:sz="8" w:space="0" w:color="000000"/>
            </w:tcBorders>
            <w:shd w:val="clear" w:color="auto" w:fill="CCEDFF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16" w:type="dxa"/>
            <w:tcBorders>
              <w:top w:val="double" w:sz="8" w:space="0" w:color="000000"/>
            </w:tcBorders>
            <w:shd w:val="clear" w:color="auto" w:fill="CCEDFF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3960" w:type="dxa"/>
          </w:tcPr>
          <w:p>
            <w:pPr>
              <w:pStyle w:val="TableParagraph"/>
              <w:spacing w:before="4"/>
              <w:ind w:left="292"/>
              <w:jc w:val="left"/>
              <w:rPr>
                <w:sz w:val="20"/>
              </w:rPr>
            </w:pPr>
            <w:r>
              <w:rPr>
                <w:sz w:val="20"/>
              </w:rPr>
              <w:t>compute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share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attributable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</w:p>
        </w:tc>
        <w:tc>
          <w:tcPr>
            <w:tcW w:w="1354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35" w:hRule="atLeast"/>
        </w:trPr>
        <w:tc>
          <w:tcPr>
            <w:tcW w:w="3960" w:type="dxa"/>
            <w:shd w:val="clear" w:color="auto" w:fill="CCEDFF"/>
          </w:tcPr>
          <w:p>
            <w:pPr>
              <w:pStyle w:val="TableParagraph"/>
              <w:spacing w:line="211" w:lineRule="exact" w:before="4"/>
              <w:ind w:right="50"/>
              <w:rPr>
                <w:sz w:val="20"/>
              </w:rPr>
            </w:pPr>
            <w:r>
              <w:rPr>
                <w:sz w:val="20"/>
              </w:rPr>
              <w:t>common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shareholders,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basic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diluted</w:t>
            </w:r>
            <w:r>
              <w:rPr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2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2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</w:p>
        </w:tc>
        <w:tc>
          <w:tcPr>
            <w:tcW w:w="1354" w:type="dxa"/>
            <w:tcBorders>
              <w:bottom w:val="double" w:sz="8" w:space="0" w:color="000000"/>
            </w:tcBorders>
            <w:shd w:val="clear" w:color="auto" w:fill="CCEDFF"/>
          </w:tcPr>
          <w:p>
            <w:pPr>
              <w:pStyle w:val="TableParagraph"/>
              <w:spacing w:line="211" w:lineRule="exact" w:before="4"/>
              <w:ind w:right="128"/>
              <w:rPr>
                <w:sz w:val="20"/>
              </w:rPr>
            </w:pPr>
            <w:r>
              <w:rPr>
                <w:sz w:val="20"/>
              </w:rPr>
              <w:t>11,580</w:t>
            </w:r>
          </w:p>
        </w:tc>
        <w:tc>
          <w:tcPr>
            <w:tcW w:w="1365" w:type="dxa"/>
            <w:tcBorders>
              <w:bottom w:val="double" w:sz="8" w:space="0" w:color="000000"/>
            </w:tcBorders>
            <w:shd w:val="clear" w:color="auto" w:fill="CCEDFF"/>
          </w:tcPr>
          <w:p>
            <w:pPr>
              <w:pStyle w:val="TableParagraph"/>
              <w:spacing w:line="211" w:lineRule="exact" w:before="4"/>
              <w:ind w:right="128"/>
              <w:rPr>
                <w:sz w:val="20"/>
              </w:rPr>
            </w:pPr>
            <w:r>
              <w:rPr>
                <w:sz w:val="20"/>
              </w:rPr>
              <w:t>4,329</w:t>
            </w:r>
          </w:p>
        </w:tc>
        <w:tc>
          <w:tcPr>
            <w:tcW w:w="1365" w:type="dxa"/>
            <w:tcBorders>
              <w:bottom w:val="double" w:sz="8" w:space="0" w:color="000000"/>
            </w:tcBorders>
            <w:shd w:val="clear" w:color="auto" w:fill="CCEDFF"/>
          </w:tcPr>
          <w:p>
            <w:pPr>
              <w:pStyle w:val="TableParagraph"/>
              <w:spacing w:line="211" w:lineRule="exact" w:before="4"/>
              <w:ind w:right="128"/>
              <w:rPr>
                <w:sz w:val="20"/>
              </w:rPr>
            </w:pPr>
            <w:r>
              <w:rPr>
                <w:sz w:val="20"/>
              </w:rPr>
              <w:t>7,361</w:t>
            </w:r>
          </w:p>
        </w:tc>
        <w:tc>
          <w:tcPr>
            <w:tcW w:w="1316" w:type="dxa"/>
            <w:tcBorders>
              <w:bottom w:val="double" w:sz="8" w:space="0" w:color="000000"/>
            </w:tcBorders>
            <w:shd w:val="clear" w:color="auto" w:fill="CCEDFF"/>
          </w:tcPr>
          <w:p>
            <w:pPr>
              <w:pStyle w:val="TableParagraph"/>
              <w:spacing w:line="211" w:lineRule="exact" w:before="4"/>
              <w:ind w:right="79"/>
              <w:rPr>
                <w:sz w:val="20"/>
              </w:rPr>
            </w:pPr>
            <w:r>
              <w:rPr>
                <w:sz w:val="20"/>
              </w:rPr>
              <w:t>3,327</w:t>
            </w:r>
          </w:p>
        </w:tc>
      </w:tr>
      <w:tr>
        <w:trPr>
          <w:trHeight w:val="275" w:hRule="atLeast"/>
        </w:trPr>
        <w:tc>
          <w:tcPr>
            <w:tcW w:w="3960" w:type="dxa"/>
          </w:tcPr>
          <w:p>
            <w:pPr>
              <w:pStyle w:val="TableParagraph"/>
              <w:spacing w:line="224" w:lineRule="exact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comprehensive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loss:</w:t>
            </w:r>
          </w:p>
        </w:tc>
        <w:tc>
          <w:tcPr>
            <w:tcW w:w="1354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3960" w:type="dxa"/>
            <w:shd w:val="clear" w:color="auto" w:fill="CCEDFF"/>
          </w:tcPr>
          <w:p>
            <w:pPr>
              <w:pStyle w:val="TableParagraph"/>
              <w:spacing w:before="4"/>
              <w:ind w:right="53"/>
              <w:rPr>
                <w:sz w:val="20"/>
              </w:rPr>
            </w:pPr>
            <w:r>
              <w:rPr>
                <w:sz w:val="20"/>
              </w:rPr>
              <w:t>Unrealized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(loss)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gain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cash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equivalents</w:t>
            </w:r>
            <w:r>
              <w:rPr>
                <w:spacing w:val="28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2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</w:p>
        </w:tc>
        <w:tc>
          <w:tcPr>
            <w:tcW w:w="1354" w:type="dxa"/>
            <w:tcBorders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4"/>
              <w:ind w:right="63"/>
              <w:rPr>
                <w:sz w:val="20"/>
              </w:rPr>
            </w:pPr>
            <w:r>
              <w:rPr>
                <w:sz w:val="20"/>
              </w:rPr>
              <w:t>(2)</w:t>
            </w:r>
          </w:p>
        </w:tc>
        <w:tc>
          <w:tcPr>
            <w:tcW w:w="1365" w:type="dxa"/>
            <w:tcBorders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4"/>
              <w:ind w:right="63"/>
              <w:rPr>
                <w:sz w:val="20"/>
              </w:rPr>
            </w:pPr>
            <w:r>
              <w:rPr>
                <w:sz w:val="20"/>
              </w:rPr>
              <w:t>(16)</w:t>
            </w:r>
          </w:p>
        </w:tc>
        <w:tc>
          <w:tcPr>
            <w:tcW w:w="1365" w:type="dxa"/>
            <w:tcBorders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4"/>
              <w:ind w:right="63"/>
              <w:rPr>
                <w:sz w:val="20"/>
              </w:rPr>
            </w:pPr>
            <w:r>
              <w:rPr>
                <w:sz w:val="20"/>
              </w:rPr>
              <w:t>(27)</w:t>
            </w:r>
          </w:p>
        </w:tc>
        <w:tc>
          <w:tcPr>
            <w:tcW w:w="1316" w:type="dxa"/>
            <w:tcBorders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4"/>
              <w:ind w:right="7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>
        <w:trPr>
          <w:trHeight w:val="245" w:hRule="atLeast"/>
        </w:trPr>
        <w:tc>
          <w:tcPr>
            <w:tcW w:w="3960" w:type="dxa"/>
          </w:tcPr>
          <w:p>
            <w:pPr>
              <w:pStyle w:val="TableParagraph"/>
              <w:spacing w:line="224" w:lineRule="exact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Comprehensive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loss</w:t>
            </w:r>
            <w:r>
              <w:rPr>
                <w:spacing w:val="35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</w:p>
        </w:tc>
        <w:tc>
          <w:tcPr>
            <w:tcW w:w="1354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tabs>
                <w:tab w:pos="606" w:val="left" w:leader="none"/>
              </w:tabs>
              <w:spacing w:line="224" w:lineRule="exact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$</w:t>
              <w:tab/>
              <w:t>(14,105)</w:t>
            </w:r>
          </w:p>
        </w:tc>
        <w:tc>
          <w:tcPr>
            <w:tcW w:w="1365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tabs>
                <w:tab w:pos="554" w:val="left" w:leader="none"/>
              </w:tabs>
              <w:spacing w:line="224" w:lineRule="exact"/>
              <w:ind w:right="63"/>
              <w:rPr>
                <w:sz w:val="20"/>
              </w:rPr>
            </w:pPr>
            <w:r>
              <w:rPr>
                <w:sz w:val="20"/>
              </w:rPr>
              <w:t>$</w:t>
              <w:tab/>
              <w:t>(12,024)</w:t>
            </w:r>
          </w:p>
        </w:tc>
        <w:tc>
          <w:tcPr>
            <w:tcW w:w="1365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tabs>
                <w:tab w:pos="617" w:val="left" w:leader="none"/>
              </w:tabs>
              <w:spacing w:line="224" w:lineRule="exact"/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$</w:t>
              <w:tab/>
              <w:t>(41,532)</w:t>
            </w:r>
          </w:p>
        </w:tc>
        <w:tc>
          <w:tcPr>
            <w:tcW w:w="1316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tabs>
                <w:tab w:pos="617" w:val="left" w:leader="none"/>
              </w:tabs>
              <w:spacing w:line="224" w:lineRule="exact"/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$</w:t>
              <w:tab/>
              <w:t>(37,738)</w:t>
            </w:r>
          </w:p>
        </w:tc>
      </w:tr>
    </w:tbl>
    <w:p>
      <w:pPr>
        <w:pStyle w:val="BodyText"/>
        <w:spacing w:before="8"/>
        <w:ind w:left="0" w:firstLine="0"/>
        <w:rPr>
          <w:b/>
          <w:sz w:val="17"/>
        </w:rPr>
      </w:pPr>
    </w:p>
    <w:p>
      <w:pPr>
        <w:pStyle w:val="BodyText"/>
        <w:spacing w:before="0"/>
        <w:ind w:left="0" w:firstLine="0"/>
        <w:jc w:val="center"/>
      </w:pPr>
      <w:r>
        <w:rPr/>
        <w:t>The</w:t>
      </w:r>
      <w:r>
        <w:rPr>
          <w:spacing w:val="-5"/>
        </w:rPr>
        <w:t> </w:t>
      </w:r>
      <w:r>
        <w:rPr/>
        <w:t>accompanying</w:t>
      </w:r>
      <w:r>
        <w:rPr>
          <w:spacing w:val="-3"/>
        </w:rPr>
        <w:t> </w:t>
      </w:r>
      <w:r>
        <w:rPr/>
        <w:t>notes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an</w:t>
      </w:r>
      <w:r>
        <w:rPr>
          <w:spacing w:val="-3"/>
        </w:rPr>
        <w:t> </w:t>
      </w:r>
      <w:r>
        <w:rPr/>
        <w:t>integral</w:t>
      </w:r>
      <w:r>
        <w:rPr>
          <w:spacing w:val="-4"/>
        </w:rPr>
        <w:t> </w:t>
      </w:r>
      <w:r>
        <w:rPr/>
        <w:t>part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these</w:t>
      </w:r>
      <w:r>
        <w:rPr>
          <w:spacing w:val="-4"/>
        </w:rPr>
        <w:t> </w:t>
      </w:r>
      <w:r>
        <w:rPr/>
        <w:t>condensed</w:t>
      </w:r>
      <w:r>
        <w:rPr>
          <w:spacing w:val="-3"/>
        </w:rPr>
        <w:t> </w:t>
      </w:r>
      <w:r>
        <w:rPr/>
        <w:t>consolidated</w:t>
      </w:r>
      <w:r>
        <w:rPr>
          <w:spacing w:val="-4"/>
        </w:rPr>
        <w:t> </w:t>
      </w:r>
      <w:r>
        <w:rPr/>
        <w:t>financial</w:t>
      </w:r>
      <w:r>
        <w:rPr>
          <w:spacing w:val="-4"/>
        </w:rPr>
        <w:t> </w:t>
      </w:r>
      <w:r>
        <w:rPr/>
        <w:t>statements.</w:t>
      </w:r>
    </w:p>
    <w:p>
      <w:pPr>
        <w:spacing w:after="0"/>
        <w:jc w:val="center"/>
        <w:sectPr>
          <w:pgSz w:w="12240" w:h="15840"/>
          <w:pgMar w:header="0" w:footer="683" w:top="1320" w:bottom="1020" w:left="620" w:right="620"/>
        </w:sectPr>
      </w:pPr>
    </w:p>
    <w:p>
      <w:pPr>
        <w:pStyle w:val="BodyText"/>
        <w:spacing w:before="7"/>
        <w:ind w:left="0" w:firstLine="0"/>
        <w:rPr>
          <w:sz w:val="13"/>
        </w:rPr>
      </w:pPr>
      <w:r>
        <w:rPr/>
        <w:pict>
          <v:group style="position:absolute;margin-left:310.5pt;margin-top:467.5pt;width:93pt;height:1pt;mso-position-horizontal-relative:page;mso-position-vertical-relative:page;z-index:15735296" id="docshapegroup23" coordorigin="6210,9350" coordsize="1860,20">
            <v:shape style="position:absolute;left:6210;top:9360;width:900;height:2" id="docshape24" coordorigin="6210,9360" coordsize="900,0" path="m7110,9360l6210,9360e" filled="true" fillcolor="#000000" stroked="false">
              <v:path arrowok="t"/>
              <v:fill opacity="0f" type="solid"/>
            </v:shape>
            <v:line style="position:absolute" from="6210,9360" to="7110,9360" stroked="true" strokeweight="1pt" strokecolor="#000000">
              <v:stroke dashstyle="solid"/>
            </v:line>
            <v:shape style="position:absolute;left:7170;top:9360;width:900;height:2" id="docshape25" coordorigin="7170,9360" coordsize="900,0" path="m8070,9360l7170,9360e" filled="true" fillcolor="#000000" stroked="false">
              <v:path arrowok="t"/>
              <v:fill opacity="0f" type="solid"/>
            </v:shape>
            <v:line style="position:absolute" from="7170,9360" to="8070,9360" stroked="true" strokeweight="1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409.5pt;margin-top:467.5pt;width:310.5pt;height:1pt;mso-position-horizontal-relative:page;mso-position-vertical-relative:page;z-index:15735808" id="docshapegroup26" coordorigin="8190,9350" coordsize="6210,20">
            <v:shape style="position:absolute;left:8190;top:9360;width:900;height:2" id="docshape27" coordorigin="8190,9360" coordsize="900,0" path="m9090,9360l8190,9360e" filled="true" fillcolor="#000000" stroked="false">
              <v:path arrowok="t"/>
              <v:fill opacity="0f" type="solid"/>
            </v:shape>
            <v:line style="position:absolute" from="8190,9360" to="9090,9360" stroked="true" strokeweight="1pt" strokecolor="#000000">
              <v:stroke dashstyle="solid"/>
            </v:line>
            <v:shape style="position:absolute;left:9150;top:9360;width:900;height:2" id="docshape28" coordorigin="9150,9360" coordsize="900,0" path="m10050,9360l9150,9360e" filled="true" fillcolor="#000000" stroked="false">
              <v:path arrowok="t"/>
              <v:fill opacity="0f" type="solid"/>
            </v:shape>
            <v:line style="position:absolute" from="9150,9360" to="10050,9360" stroked="true" strokeweight="1pt" strokecolor="#000000">
              <v:stroke dashstyle="solid"/>
            </v:line>
            <v:shape style="position:absolute;left:10110;top:9360;width:840;height:2" id="docshape29" coordorigin="10110,9360" coordsize="840,0" path="m10950,9360l10110,9360e" filled="true" fillcolor="#000000" stroked="false">
              <v:path arrowok="t"/>
              <v:fill opacity="0f" type="solid"/>
            </v:shape>
            <v:line style="position:absolute" from="10110,9360" to="10950,9360" stroked="true" strokeweight="1pt" strokecolor="#000000">
              <v:stroke dashstyle="solid"/>
            </v:line>
            <v:shape style="position:absolute;left:11010;top:9360;width:1185;height:2" id="docshape30" coordorigin="11010,9360" coordsize="1185,0" path="m12195,9360l11010,9360e" filled="true" fillcolor="#000000" stroked="false">
              <v:path arrowok="t"/>
              <v:fill opacity="0f" type="solid"/>
            </v:shape>
            <v:line style="position:absolute" from="11010,9360" to="12195,9360" stroked="true" strokeweight="1pt" strokecolor="#000000">
              <v:stroke dashstyle="solid"/>
            </v:line>
            <v:shape style="position:absolute;left:12255;top:9360;width:1020;height:2" id="docshape31" coordorigin="12255,9360" coordsize="1020,0" path="m13275,9360l12255,9360e" filled="true" fillcolor="#000000" stroked="false">
              <v:path arrowok="t"/>
              <v:fill opacity="0f" type="solid"/>
            </v:shape>
            <v:line style="position:absolute" from="12255,9360" to="13275,9360" stroked="true" strokeweight="1pt" strokecolor="#000000">
              <v:stroke dashstyle="solid"/>
            </v:line>
            <v:shape style="position:absolute;left:13335;top:9360;width:1065;height:2" id="docshape32" coordorigin="13335,9360" coordsize="1065,0" path="m14400,9360l13335,9360e" filled="true" fillcolor="#000000" stroked="false">
              <v:path arrowok="t"/>
              <v:fill opacity="0f" type="solid"/>
            </v:shape>
            <v:line style="position:absolute" from="13335,9360" to="14400,9360" stroked="true" strokeweight="1pt" strokecolor="#000000">
              <v:stroke dashstyle="solid"/>
            </v:line>
            <w10:wrap type="none"/>
          </v:group>
        </w:pict>
      </w:r>
    </w:p>
    <w:p>
      <w:pPr>
        <w:spacing w:before="92"/>
        <w:ind w:left="192" w:right="209" w:firstLine="0"/>
        <w:jc w:val="center"/>
        <w:rPr>
          <w:b/>
          <w:sz w:val="20"/>
        </w:rPr>
      </w:pPr>
      <w:bookmarkStart w:name="Statements of Redeemable Convertible Pre" w:id="12"/>
      <w:bookmarkEnd w:id="12"/>
      <w:r>
        <w:rPr/>
      </w:r>
      <w:bookmarkStart w:name="_bookmark4" w:id="13"/>
      <w:bookmarkEnd w:id="13"/>
      <w:r>
        <w:rPr/>
      </w:r>
      <w:r>
        <w:rPr>
          <w:b/>
          <w:sz w:val="20"/>
        </w:rPr>
        <w:t>PROCEPT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BioRobotics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Corporation</w:t>
      </w:r>
    </w:p>
    <w:p>
      <w:pPr>
        <w:pStyle w:val="Heading1"/>
        <w:spacing w:line="249" w:lineRule="auto"/>
        <w:ind w:left="192" w:right="210"/>
      </w:pPr>
      <w:r>
        <w:rPr/>
        <w:t>CONDENSED</w:t>
      </w:r>
      <w:r>
        <w:rPr>
          <w:spacing w:val="-8"/>
        </w:rPr>
        <w:t> </w:t>
      </w:r>
      <w:r>
        <w:rPr/>
        <w:t>CONSOLIDATED</w:t>
      </w:r>
      <w:r>
        <w:rPr>
          <w:spacing w:val="-8"/>
        </w:rPr>
        <w:t> </w:t>
      </w:r>
      <w:r>
        <w:rPr/>
        <w:t>STATEMENTS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REDEEMABLE</w:t>
      </w:r>
      <w:r>
        <w:rPr>
          <w:spacing w:val="-7"/>
        </w:rPr>
        <w:t> </w:t>
      </w:r>
      <w:r>
        <w:rPr/>
        <w:t>CONVERTIBLE</w:t>
      </w:r>
      <w:r>
        <w:rPr>
          <w:spacing w:val="-8"/>
        </w:rPr>
        <w:t> </w:t>
      </w:r>
      <w:r>
        <w:rPr/>
        <w:t>PREFERRED</w:t>
      </w:r>
      <w:r>
        <w:rPr>
          <w:spacing w:val="-8"/>
        </w:rPr>
        <w:t> </w:t>
      </w:r>
      <w:r>
        <w:rPr/>
        <w:t>STOCK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STOCKHOLDERS’</w:t>
      </w:r>
      <w:r>
        <w:rPr>
          <w:spacing w:val="-7"/>
        </w:rPr>
        <w:t> </w:t>
      </w:r>
      <w:r>
        <w:rPr/>
        <w:t>EQUITY</w:t>
      </w:r>
      <w:r>
        <w:rPr>
          <w:spacing w:val="1"/>
        </w:rPr>
        <w:t> </w:t>
      </w:r>
      <w:r>
        <w:rPr/>
        <w:t>(DEFICIT)</w:t>
      </w:r>
    </w:p>
    <w:p>
      <w:pPr>
        <w:pStyle w:val="Heading2"/>
        <w:spacing w:line="249" w:lineRule="auto" w:before="2" w:after="53"/>
        <w:ind w:left="5971" w:right="5989"/>
        <w:jc w:val="center"/>
      </w:pPr>
      <w:r>
        <w:rPr/>
        <w:pict>
          <v:group style="position:absolute;margin-left:72pt;margin-top:26.665949pt;width:648pt;height:365.25pt;mso-position-horizontal-relative:page;mso-position-vertical-relative:paragraph;z-index:-19257344" id="docshapegroup33" coordorigin="1440,533" coordsize="12960,7305">
            <v:rect style="position:absolute;left:1440;top:1328;width:12960;height:255" id="docshape34" filled="true" fillcolor="#ccedff" stroked="false">
              <v:fill type="solid"/>
            </v:rect>
            <v:shape style="position:absolute;left:8130;top:533;width:2;height:795" id="docshape35" coordorigin="8130,533" coordsize="0,795" path="m8130,533l8130,1328e" filled="true" fillcolor="#000000" stroked="false">
              <v:path arrowok="t"/>
              <v:fill opacity="0f" type="solid"/>
            </v:shape>
            <v:line style="position:absolute" from="8130,533" to="8130,1328" stroked="true" strokeweight="1pt" strokecolor="#000000">
              <v:stroke dashstyle="solid"/>
            </v:line>
            <v:shape style="position:absolute;left:8130;top:1328;width:2;height:255" id="docshape36" coordorigin="8130,1328" coordsize="0,255" path="m8130,1328l8130,1583e" filled="true" fillcolor="#000000" stroked="false">
              <v:path arrowok="t"/>
              <v:fill opacity="0f" type="solid"/>
            </v:shape>
            <v:line style="position:absolute" from="8130,1328" to="8130,1583" stroked="true" strokeweight="1pt" strokecolor="#000000">
              <v:stroke dashstyle="solid"/>
            </v:line>
            <v:shape style="position:absolute;left:8130;top:1583;width:2;height:1365" id="docshape37" coordorigin="8130,1583" coordsize="0,1365" path="m8130,1583l8130,2948e" filled="true" fillcolor="#000000" stroked="false">
              <v:path arrowok="t"/>
              <v:fill opacity="0f" type="solid"/>
            </v:shape>
            <v:line style="position:absolute" from="8130,1583" to="8130,2948" stroked="true" strokeweight="1pt" strokecolor="#000000">
              <v:stroke dashstyle="solid"/>
            </v:line>
            <v:shape style="position:absolute;left:8130;top:2948;width:2;height:465" id="docshape38" coordorigin="8130,2948" coordsize="0,465" path="m8130,2948l8130,3413e" filled="true" fillcolor="#000000" stroked="false">
              <v:path arrowok="t"/>
              <v:fill opacity="0f" type="solid"/>
            </v:shape>
            <v:line style="position:absolute" from="8130,2948" to="8130,3413" stroked="true" strokeweight="1pt" strokecolor="#000000">
              <v:stroke dashstyle="solid"/>
            </v:line>
            <v:shape style="position:absolute;left:8130;top:3413;width:2;height:1620" id="docshape39" coordorigin="8130,3413" coordsize="0,1620" path="m8130,3413l8130,5033e" filled="true" fillcolor="#000000" stroked="false">
              <v:path arrowok="t"/>
              <v:fill opacity="0f" type="solid"/>
            </v:shape>
            <v:line style="position:absolute" from="8130,3413" to="8130,5033" stroked="true" strokeweight="1pt" strokecolor="#000000">
              <v:stroke dashstyle="solid"/>
            </v:line>
            <v:rect style="position:absolute;left:1440;top:7253;width:12960;height:255" id="docshape40" filled="true" fillcolor="#ccedff" stroked="false">
              <v:fill type="solid"/>
            </v:rect>
            <v:shape style="position:absolute;left:8130;top:5033;width:2;height:2805" id="docshape41" coordorigin="8130,5033" coordsize="0,2805" path="m8130,5033l8130,7838e" filled="true" fillcolor="#000000" stroked="false">
              <v:path arrowok="t"/>
              <v:fill opacity="0f" type="solid"/>
            </v:shape>
            <v:shape style="position:absolute;left:6210;top:5033;width:8190;height:2805" id="docshape42" coordorigin="6210,5033" coordsize="8190,2805" path="m8130,5033l8130,7838m6210,7528l7110,7528m7170,7528l8070,7528m8190,7528l9090,7528m9150,7528l10050,7528m10110,7528l10950,7528m11010,7528l12195,7528m12255,7528l13275,7528m13335,7528l14400,7528e" filled="false" stroked="true" strokeweight="1pt" strokecolor="#000000">
              <v:path arrowok="t"/>
              <v:stroke dashstyle="solid"/>
            </v:shape>
            <v:shape style="position:absolute;left:1440;top:533;width:12960;height:7305" type="#_x0000_t202" id="docshape43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tabs>
                        <w:tab w:pos="5388" w:val="left" w:leader="none"/>
                        <w:tab w:pos="6348" w:val="left" w:leader="none"/>
                        <w:tab w:pos="6749" w:val="left" w:leader="none"/>
                        <w:tab w:pos="7018" w:val="left" w:leader="none"/>
                        <w:tab w:pos="8328" w:val="left" w:leader="none"/>
                        <w:tab w:pos="10406" w:val="left" w:leader="none"/>
                      </w:tabs>
                      <w:spacing w:before="137"/>
                      <w:ind w:left="52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position w:val="1"/>
                        <w:sz w:val="20"/>
                      </w:rPr>
                      <w:t>Balance</w:t>
                    </w:r>
                    <w:r>
                      <w:rPr>
                        <w:spacing w:val="-2"/>
                        <w:position w:val="1"/>
                        <w:sz w:val="20"/>
                      </w:rPr>
                      <w:t> </w:t>
                    </w:r>
                    <w:r>
                      <w:rPr>
                        <w:position w:val="1"/>
                        <w:sz w:val="20"/>
                      </w:rPr>
                      <w:t>at</w:t>
                    </w:r>
                    <w:r>
                      <w:rPr>
                        <w:spacing w:val="-1"/>
                        <w:position w:val="1"/>
                        <w:sz w:val="20"/>
                      </w:rPr>
                      <w:t> </w:t>
                    </w:r>
                    <w:r>
                      <w:rPr>
                        <w:position w:val="1"/>
                        <w:sz w:val="20"/>
                      </w:rPr>
                      <w:t>September</w:t>
                    </w:r>
                    <w:r>
                      <w:rPr>
                        <w:spacing w:val="-1"/>
                        <w:position w:val="1"/>
                        <w:sz w:val="20"/>
                      </w:rPr>
                      <w:t> </w:t>
                    </w:r>
                    <w:r>
                      <w:rPr>
                        <w:position w:val="1"/>
                        <w:sz w:val="20"/>
                      </w:rPr>
                      <w:t>30, 2021</w:t>
                    </w:r>
                    <w:r>
                      <w:rPr>
                        <w:spacing w:val="65"/>
                        <w:position w:val="1"/>
                        <w:sz w:val="20"/>
                      </w:rPr>
                      <w:t> </w:t>
                    </w:r>
                    <w:r>
                      <w:rPr>
                        <w:color w:val="B3B3B3"/>
                        <w:position w:val="1"/>
                        <w:sz w:val="20"/>
                      </w:rPr>
                      <w:t>.</w:t>
                    </w:r>
                    <w:r>
                      <w:rPr>
                        <w:color w:val="B3B3B3"/>
                        <w:spacing w:val="-1"/>
                        <w:position w:val="1"/>
                        <w:sz w:val="20"/>
                      </w:rPr>
                      <w:t> </w:t>
                    </w:r>
                    <w:r>
                      <w:rPr>
                        <w:color w:val="B3B3B3"/>
                        <w:position w:val="1"/>
                        <w:sz w:val="20"/>
                      </w:rPr>
                      <w:t>. . .</w:t>
                    </w:r>
                    <w:r>
                      <w:rPr>
                        <w:color w:val="B3B3B3"/>
                        <w:spacing w:val="-1"/>
                        <w:position w:val="1"/>
                        <w:sz w:val="20"/>
                      </w:rPr>
                      <w:t> </w:t>
                    </w:r>
                    <w:r>
                      <w:rPr>
                        <w:color w:val="B3B3B3"/>
                        <w:position w:val="1"/>
                        <w:sz w:val="20"/>
                      </w:rPr>
                      <w:t>. .</w:t>
                    </w:r>
                    <w:r>
                      <w:rPr>
                        <w:color w:val="B3B3B3"/>
                        <w:spacing w:val="-1"/>
                        <w:position w:val="1"/>
                        <w:sz w:val="20"/>
                      </w:rPr>
                      <w:t> </w:t>
                    </w:r>
                    <w:r>
                      <w:rPr>
                        <w:color w:val="B3B3B3"/>
                        <w:position w:val="1"/>
                        <w:sz w:val="20"/>
                      </w:rPr>
                      <w:t>. . .</w:t>
                    </w:r>
                    <w:r>
                      <w:rPr>
                        <w:color w:val="B3B3B3"/>
                        <w:spacing w:val="-1"/>
                        <w:position w:val="1"/>
                        <w:sz w:val="20"/>
                      </w:rPr>
                      <w:t> </w:t>
                    </w:r>
                    <w:r>
                      <w:rPr>
                        <w:color w:val="B3B3B3"/>
                        <w:position w:val="1"/>
                        <w:sz w:val="20"/>
                      </w:rPr>
                      <w:t>. .</w:t>
                    </w:r>
                    <w:r>
                      <w:rPr>
                        <w:color w:val="B3B3B3"/>
                        <w:spacing w:val="-1"/>
                        <w:position w:val="1"/>
                        <w:sz w:val="20"/>
                      </w:rPr>
                      <w:t> </w:t>
                    </w:r>
                    <w:r>
                      <w:rPr>
                        <w:color w:val="B3B3B3"/>
                        <w:position w:val="1"/>
                        <w:sz w:val="20"/>
                      </w:rPr>
                      <w:t>. .</w:t>
                    </w:r>
                    <w:r>
                      <w:rPr>
                        <w:color w:val="B3B3B3"/>
                        <w:spacing w:val="-1"/>
                        <w:position w:val="1"/>
                        <w:sz w:val="20"/>
                      </w:rPr>
                      <w:t> </w:t>
                    </w:r>
                    <w:r>
                      <w:rPr>
                        <w:color w:val="B3B3B3"/>
                        <w:position w:val="1"/>
                        <w:sz w:val="20"/>
                      </w:rPr>
                      <w:t>. . .</w:t>
                    </w:r>
                    <w:r>
                      <w:rPr>
                        <w:color w:val="B3B3B3"/>
                        <w:spacing w:val="-1"/>
                        <w:position w:val="1"/>
                        <w:sz w:val="20"/>
                      </w:rPr>
                      <w:t> </w:t>
                    </w:r>
                    <w:r>
                      <w:rPr>
                        <w:color w:val="B3B3B3"/>
                        <w:position w:val="1"/>
                        <w:sz w:val="20"/>
                      </w:rPr>
                      <w:t>. .</w:t>
                    </w:r>
                    <w:r>
                      <w:rPr>
                        <w:color w:val="B3B3B3"/>
                        <w:spacing w:val="-1"/>
                        <w:position w:val="1"/>
                        <w:sz w:val="20"/>
                      </w:rPr>
                      <w:t> </w:t>
                    </w:r>
                    <w:r>
                      <w:rPr>
                        <w:color w:val="B3B3B3"/>
                        <w:position w:val="1"/>
                        <w:sz w:val="20"/>
                      </w:rPr>
                      <w:t>. . .</w:t>
                    </w:r>
                    <w:r>
                      <w:rPr>
                        <w:sz w:val="20"/>
                        <w:u w:val="single"/>
                      </w:rPr>
                      <w:tab/>
                      <w:t>—  </w:t>
                    </w:r>
                    <w:r>
                      <w:rPr>
                        <w:spacing w:val="44"/>
                        <w:sz w:val="20"/>
                        <w:u w:val="single"/>
                      </w:rPr>
                      <w:t> </w:t>
                    </w:r>
                    <w:r>
                      <w:rPr>
                        <w:sz w:val="20"/>
                        <w:u w:val="single"/>
                      </w:rPr>
                      <w:t>$</w:t>
                      <w:tab/>
                      <w:t>—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  <w:u w:val="single"/>
                      </w:rPr>
                      <w:t> </w:t>
                      <w:tab/>
                      <w:t>43,472  </w:t>
                    </w:r>
                    <w:r>
                      <w:rPr>
                        <w:spacing w:val="44"/>
                        <w:sz w:val="20"/>
                        <w:u w:val="single"/>
                      </w:rPr>
                      <w:t> </w:t>
                    </w:r>
                    <w:r>
                      <w:rPr>
                        <w:sz w:val="20"/>
                        <w:u w:val="single"/>
                      </w:rPr>
                      <w:t>$</w:t>
                      <w:tab/>
                      <w:t>—  </w:t>
                    </w:r>
                    <w:r>
                      <w:rPr>
                        <w:spacing w:val="44"/>
                        <w:sz w:val="20"/>
                        <w:u w:val="single"/>
                      </w:rPr>
                      <w:t> </w:t>
                    </w:r>
                    <w:r>
                      <w:rPr>
                        <w:sz w:val="20"/>
                        <w:u w:val="single"/>
                      </w:rPr>
                      <w:t>$526,526   $</w:t>
                      <w:tab/>
                      <w:t>(41)</w:t>
                    </w:r>
                    <w:r>
                      <w:rPr>
                        <w:spacing w:val="77"/>
                        <w:sz w:val="20"/>
                        <w:u w:val="single"/>
                      </w:rPr>
                      <w:t> </w:t>
                    </w:r>
                    <w:r>
                      <w:rPr>
                        <w:sz w:val="20"/>
                        <w:u w:val="single"/>
                      </w:rPr>
                      <w:t>$</w:t>
                    </w:r>
                    <w:r>
                      <w:rPr>
                        <w:spacing w:val="19"/>
                        <w:sz w:val="20"/>
                        <w:u w:val="single"/>
                      </w:rPr>
                      <w:t> </w:t>
                    </w:r>
                    <w:r>
                      <w:rPr>
                        <w:sz w:val="20"/>
                        <w:u w:val="single"/>
                      </w:rPr>
                      <w:t>(243,173)</w:t>
                    </w:r>
                    <w:r>
                      <w:rPr>
                        <w:spacing w:val="77"/>
                        <w:sz w:val="20"/>
                        <w:u w:val="single"/>
                      </w:rPr>
                      <w:t> </w:t>
                    </w:r>
                    <w:r>
                      <w:rPr>
                        <w:sz w:val="20"/>
                        <w:u w:val="single"/>
                      </w:rPr>
                      <w:t>$</w:t>
                    </w:r>
                    <w:r>
                      <w:rPr>
                        <w:spacing w:val="81"/>
                        <w:sz w:val="20"/>
                        <w:u w:val="single"/>
                      </w:rPr>
                      <w:t> </w:t>
                    </w:r>
                    <w:r>
                      <w:rPr>
                        <w:sz w:val="20"/>
                        <w:u w:val="single"/>
                      </w:rPr>
                      <w:t>283,312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09.5pt;margin-top:53.915947pt;width:93pt;height:1pt;mso-position-horizontal-relative:page;mso-position-vertical-relative:paragraph;z-index:-19256832" id="docshapegroup44" coordorigin="8190,1078" coordsize="1860,20">
            <v:shape style="position:absolute;left:8190;top:1088;width:1860;height:2" id="docshape45" coordorigin="8190,1088" coordsize="1860,0" path="m10050,1088l8190,1088e" filled="true" fillcolor="#000000" stroked="false">
              <v:path arrowok="t"/>
              <v:fill opacity="0f" type="solid"/>
            </v:shape>
            <v:line style="position:absolute" from="8190,1088" to="10050,1088" stroked="true" strokeweight="1pt" strokecolor="#000000">
              <v:stroke dashstyle="solid"/>
            </v:line>
            <w10:wrap type="none"/>
          </v:group>
        </w:pict>
      </w:r>
      <w:r>
        <w:rPr/>
        <w:t>(in thousands)</w:t>
      </w:r>
      <w:r>
        <w:rPr>
          <w:spacing w:val="-48"/>
        </w:rPr>
        <w:t> </w:t>
      </w:r>
      <w:r>
        <w:rPr/>
        <w:t>(unaudited)</w:t>
      </w: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70"/>
        <w:gridCol w:w="949"/>
        <w:gridCol w:w="971"/>
        <w:gridCol w:w="975"/>
        <w:gridCol w:w="1134"/>
        <w:gridCol w:w="724"/>
        <w:gridCol w:w="1277"/>
        <w:gridCol w:w="1079"/>
        <w:gridCol w:w="1075"/>
      </w:tblGrid>
      <w:tr>
        <w:trPr>
          <w:trHeight w:val="545" w:hRule="atLeast"/>
        </w:trPr>
        <w:tc>
          <w:tcPr>
            <w:tcW w:w="6690" w:type="dxa"/>
            <w:gridSpan w:val="3"/>
          </w:tcPr>
          <w:p>
            <w:pPr>
              <w:pStyle w:val="TableParagraph"/>
              <w:spacing w:line="208" w:lineRule="auto" w:before="40"/>
              <w:ind w:left="5156" w:right="443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Redeemable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Convertible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Preferred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Stock</w:t>
            </w:r>
          </w:p>
        </w:tc>
        <w:tc>
          <w:tcPr>
            <w:tcW w:w="6264" w:type="dxa"/>
            <w:gridSpan w:val="6"/>
          </w:tcPr>
          <w:p>
            <w:pPr>
              <w:pStyle w:val="TableParagraph"/>
              <w:spacing w:line="172" w:lineRule="exact" w:before="101"/>
              <w:ind w:left="2999" w:right="23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Accumulated</w:t>
            </w:r>
          </w:p>
          <w:p>
            <w:pPr>
              <w:pStyle w:val="TableParagraph"/>
              <w:tabs>
                <w:tab w:pos="2035" w:val="left" w:leader="none"/>
                <w:tab w:pos="3268" w:val="left" w:leader="none"/>
                <w:tab w:pos="5555" w:val="left" w:leader="none"/>
              </w:tabs>
              <w:spacing w:line="129" w:lineRule="auto" w:before="19"/>
              <w:ind w:left="463"/>
              <w:jc w:val="left"/>
              <w:rPr>
                <w:b/>
                <w:sz w:val="16"/>
              </w:rPr>
            </w:pPr>
            <w:r>
              <w:rPr>
                <w:b/>
                <w:position w:val="-7"/>
                <w:sz w:val="16"/>
              </w:rPr>
              <w:t>Common</w:t>
            </w:r>
            <w:r>
              <w:rPr>
                <w:b/>
                <w:spacing w:val="-2"/>
                <w:position w:val="-7"/>
                <w:sz w:val="16"/>
              </w:rPr>
              <w:t> </w:t>
            </w:r>
            <w:r>
              <w:rPr>
                <w:b/>
                <w:position w:val="-7"/>
                <w:sz w:val="16"/>
              </w:rPr>
              <w:t>Stock</w:t>
              <w:tab/>
            </w:r>
            <w:r>
              <w:rPr>
                <w:b/>
                <w:sz w:val="16"/>
              </w:rPr>
              <w:t>Additional</w:t>
              <w:tab/>
              <w:t>Other</w:t>
              <w:tab/>
              <w:t>Total</w:t>
            </w:r>
          </w:p>
          <w:p>
            <w:pPr>
              <w:pStyle w:val="TableParagraph"/>
              <w:tabs>
                <w:tab w:pos="2939" w:val="left" w:leader="none"/>
              </w:tabs>
              <w:spacing w:line="51" w:lineRule="exact"/>
              <w:ind w:left="21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Paid-in</w:t>
              <w:tab/>
              <w:t>Comprehensive   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Accumulated   </w:t>
            </w:r>
            <w:r>
              <w:rPr>
                <w:b/>
                <w:spacing w:val="22"/>
                <w:sz w:val="16"/>
              </w:rPr>
              <w:t> </w:t>
            </w:r>
            <w:r>
              <w:rPr>
                <w:b/>
                <w:sz w:val="16"/>
              </w:rPr>
              <w:t>Stockholders'</w:t>
            </w:r>
          </w:p>
        </w:tc>
      </w:tr>
      <w:tr>
        <w:trPr>
          <w:trHeight w:val="220" w:hRule="atLeast"/>
        </w:trPr>
        <w:tc>
          <w:tcPr>
            <w:tcW w:w="4770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4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4" w:lineRule="exact" w:before="16"/>
              <w:ind w:left="2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Shares</w:t>
            </w:r>
          </w:p>
        </w:tc>
        <w:tc>
          <w:tcPr>
            <w:tcW w:w="97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4" w:lineRule="exact" w:before="16"/>
              <w:ind w:left="1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Amount</w:t>
            </w:r>
          </w:p>
        </w:tc>
        <w:tc>
          <w:tcPr>
            <w:tcW w:w="9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4" w:lineRule="exact" w:before="16"/>
              <w:ind w:left="27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Shares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4" w:lineRule="exact" w:before="16"/>
              <w:ind w:left="2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Amount</w:t>
            </w:r>
          </w:p>
        </w:tc>
        <w:tc>
          <w:tcPr>
            <w:tcW w:w="7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4" w:lineRule="exact" w:before="16"/>
              <w:ind w:left="3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Capital</w:t>
            </w:r>
          </w:p>
        </w:tc>
        <w:tc>
          <w:tcPr>
            <w:tcW w:w="12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4" w:lineRule="exact" w:before="16"/>
              <w:ind w:left="463" w:right="46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Loss</w:t>
            </w:r>
          </w:p>
        </w:tc>
        <w:tc>
          <w:tcPr>
            <w:tcW w:w="107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4" w:lineRule="exact" w:before="16"/>
              <w:ind w:left="2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Deficit</w:t>
            </w: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4" w:lineRule="exact" w:before="16"/>
              <w:ind w:left="3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Deficit</w:t>
            </w:r>
          </w:p>
        </w:tc>
      </w:tr>
      <w:tr>
        <w:trPr>
          <w:trHeight w:val="245" w:hRule="atLeast"/>
        </w:trPr>
        <w:tc>
          <w:tcPr>
            <w:tcW w:w="4770" w:type="dxa"/>
            <w:shd w:val="clear" w:color="auto" w:fill="CCEDFF"/>
          </w:tcPr>
          <w:p>
            <w:pPr>
              <w:pStyle w:val="TableParagraph"/>
              <w:spacing w:line="215" w:lineRule="exact"/>
              <w:ind w:right="51"/>
              <w:rPr>
                <w:sz w:val="20"/>
              </w:rPr>
            </w:pPr>
            <w:r>
              <w:rPr>
                <w:sz w:val="20"/>
              </w:rPr>
              <w:t>Balance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December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31, 2020</w:t>
            </w:r>
            <w:r>
              <w:rPr>
                <w:spacing w:val="5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</w:p>
        </w:tc>
        <w:tc>
          <w:tcPr>
            <w:tcW w:w="949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215" w:lineRule="exact"/>
              <w:ind w:left="268"/>
              <w:jc w:val="left"/>
              <w:rPr>
                <w:sz w:val="20"/>
              </w:rPr>
            </w:pPr>
            <w:r>
              <w:rPr>
                <w:sz w:val="20"/>
              </w:rPr>
              <w:t>25,402</w:t>
            </w:r>
          </w:p>
        </w:tc>
        <w:tc>
          <w:tcPr>
            <w:tcW w:w="971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215" w:lineRule="exact"/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</w:rPr>
              <w:t>243,854</w:t>
            </w:r>
          </w:p>
        </w:tc>
        <w:tc>
          <w:tcPr>
            <w:tcW w:w="975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215" w:lineRule="exact"/>
              <w:ind w:right="94"/>
              <w:rPr>
                <w:sz w:val="20"/>
              </w:rPr>
            </w:pPr>
            <w:r>
              <w:rPr>
                <w:sz w:val="20"/>
              </w:rPr>
              <w:t>4,713</w:t>
            </w:r>
          </w:p>
        </w:tc>
        <w:tc>
          <w:tcPr>
            <w:tcW w:w="1134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663" w:val="left" w:leader="none"/>
              </w:tabs>
              <w:spacing w:line="215" w:lineRule="exact"/>
              <w:ind w:left="97" w:right="-29"/>
              <w:jc w:val="left"/>
              <w:rPr>
                <w:sz w:val="20"/>
              </w:rPr>
            </w:pPr>
            <w:r>
              <w:rPr>
                <w:sz w:val="20"/>
              </w:rPr>
              <w:t>$</w:t>
              <w:tab/>
              <w:t>—  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$</w:t>
            </w:r>
          </w:p>
        </w:tc>
        <w:tc>
          <w:tcPr>
            <w:tcW w:w="724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215" w:lineRule="exact"/>
              <w:ind w:left="79"/>
              <w:jc w:val="left"/>
              <w:rPr>
                <w:sz w:val="20"/>
              </w:rPr>
            </w:pPr>
            <w:r>
              <w:rPr>
                <w:sz w:val="20"/>
              </w:rPr>
              <w:t>18,788</w:t>
            </w:r>
          </w:p>
        </w:tc>
        <w:tc>
          <w:tcPr>
            <w:tcW w:w="1277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784" w:val="left" w:leader="none"/>
              </w:tabs>
              <w:spacing w:line="215" w:lineRule="exact"/>
              <w:ind w:right="59"/>
              <w:rPr>
                <w:sz w:val="20"/>
              </w:rPr>
            </w:pPr>
            <w:r>
              <w:rPr>
                <w:sz w:val="20"/>
              </w:rPr>
              <w:t>$</w:t>
              <w:tab/>
              <w:t>(14)</w:t>
            </w:r>
          </w:p>
        </w:tc>
        <w:tc>
          <w:tcPr>
            <w:tcW w:w="1079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215" w:lineRule="exact"/>
              <w:ind w:right="58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(201,668)</w:t>
            </w:r>
          </w:p>
        </w:tc>
        <w:tc>
          <w:tcPr>
            <w:tcW w:w="1075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215" w:lineRule="exact"/>
              <w:ind w:right="8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(182,894)</w:t>
            </w:r>
          </w:p>
        </w:tc>
      </w:tr>
      <w:tr>
        <w:trPr>
          <w:trHeight w:val="264" w:hRule="atLeast"/>
        </w:trPr>
        <w:tc>
          <w:tcPr>
            <w:tcW w:w="4770" w:type="dxa"/>
          </w:tcPr>
          <w:p>
            <w:pPr>
              <w:pStyle w:val="TableParagraph"/>
              <w:spacing w:before="10"/>
              <w:ind w:right="54"/>
              <w:rPr>
                <w:sz w:val="20"/>
              </w:rPr>
            </w:pPr>
            <w:r>
              <w:rPr>
                <w:sz w:val="20"/>
              </w:rPr>
              <w:t>Issuance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upon exercise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 options</w:t>
            </w:r>
            <w:r>
              <w:rPr>
                <w:spacing w:val="23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</w:p>
        </w:tc>
        <w:tc>
          <w:tcPr>
            <w:tcW w:w="949" w:type="dxa"/>
          </w:tcPr>
          <w:p>
            <w:pPr>
              <w:pStyle w:val="TableParagraph"/>
              <w:spacing w:before="10"/>
              <w:ind w:right="12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71" w:type="dxa"/>
          </w:tcPr>
          <w:p>
            <w:pPr>
              <w:pStyle w:val="TableParagraph"/>
              <w:spacing w:before="10"/>
              <w:ind w:right="1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75" w:type="dxa"/>
          </w:tcPr>
          <w:p>
            <w:pPr>
              <w:pStyle w:val="TableParagraph"/>
              <w:spacing w:before="10"/>
              <w:ind w:right="94"/>
              <w:rPr>
                <w:sz w:val="20"/>
              </w:rPr>
            </w:pPr>
            <w:r>
              <w:rPr>
                <w:sz w:val="20"/>
              </w:rPr>
              <w:t>504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"/>
              <w:ind w:left="663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724" w:type="dxa"/>
          </w:tcPr>
          <w:p>
            <w:pPr>
              <w:pStyle w:val="TableParagraph"/>
              <w:spacing w:before="10"/>
              <w:ind w:right="92"/>
              <w:rPr>
                <w:sz w:val="20"/>
              </w:rPr>
            </w:pPr>
            <w:r>
              <w:rPr>
                <w:sz w:val="20"/>
              </w:rPr>
              <w:t>1,225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"/>
              <w:ind w:right="1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"/>
              <w:ind w:right="12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075" w:type="dxa"/>
          </w:tcPr>
          <w:p>
            <w:pPr>
              <w:pStyle w:val="TableParagraph"/>
              <w:spacing w:before="10"/>
              <w:ind w:right="73"/>
              <w:rPr>
                <w:sz w:val="20"/>
              </w:rPr>
            </w:pPr>
            <w:r>
              <w:rPr>
                <w:sz w:val="20"/>
              </w:rPr>
              <w:t>1,225</w:t>
            </w:r>
          </w:p>
        </w:tc>
      </w:tr>
      <w:tr>
        <w:trPr>
          <w:trHeight w:val="275" w:hRule="atLeast"/>
        </w:trPr>
        <w:tc>
          <w:tcPr>
            <w:tcW w:w="4770" w:type="dxa"/>
          </w:tcPr>
          <w:p>
            <w:pPr>
              <w:pStyle w:val="TableParagraph"/>
              <w:spacing w:before="15"/>
              <w:ind w:right="59"/>
              <w:rPr>
                <w:sz w:val="20"/>
              </w:rPr>
            </w:pPr>
            <w:r>
              <w:rPr>
                <w:sz w:val="20"/>
              </w:rPr>
              <w:t>Stock-based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compensation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expense</w:t>
            </w:r>
            <w:r>
              <w:rPr>
                <w:spacing w:val="34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</w:p>
        </w:tc>
        <w:tc>
          <w:tcPr>
            <w:tcW w:w="949" w:type="dxa"/>
          </w:tcPr>
          <w:p>
            <w:pPr>
              <w:pStyle w:val="TableParagraph"/>
              <w:spacing w:before="15"/>
              <w:ind w:right="12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71" w:type="dxa"/>
          </w:tcPr>
          <w:p>
            <w:pPr>
              <w:pStyle w:val="TableParagraph"/>
              <w:spacing w:before="15"/>
              <w:ind w:right="1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75" w:type="dxa"/>
          </w:tcPr>
          <w:p>
            <w:pPr>
              <w:pStyle w:val="TableParagraph"/>
              <w:spacing w:before="15"/>
              <w:ind w:right="9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5"/>
              <w:ind w:left="663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724" w:type="dxa"/>
          </w:tcPr>
          <w:p>
            <w:pPr>
              <w:pStyle w:val="TableParagraph"/>
              <w:spacing w:before="15"/>
              <w:ind w:right="92"/>
              <w:rPr>
                <w:sz w:val="20"/>
              </w:rPr>
            </w:pPr>
            <w:r>
              <w:rPr>
                <w:sz w:val="20"/>
              </w:rPr>
              <w:t>650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5"/>
              <w:ind w:right="1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079" w:type="dxa"/>
          </w:tcPr>
          <w:p>
            <w:pPr>
              <w:pStyle w:val="TableParagraph"/>
              <w:spacing w:before="15"/>
              <w:ind w:right="12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075" w:type="dxa"/>
          </w:tcPr>
          <w:p>
            <w:pPr>
              <w:pStyle w:val="TableParagraph"/>
              <w:spacing w:before="15"/>
              <w:ind w:right="73"/>
              <w:rPr>
                <w:sz w:val="20"/>
              </w:rPr>
            </w:pPr>
            <w:r>
              <w:rPr>
                <w:sz w:val="20"/>
              </w:rPr>
              <w:t>650</w:t>
            </w:r>
          </w:p>
        </w:tc>
      </w:tr>
      <w:tr>
        <w:trPr>
          <w:trHeight w:val="270" w:hRule="atLeast"/>
        </w:trPr>
        <w:tc>
          <w:tcPr>
            <w:tcW w:w="4770" w:type="dxa"/>
            <w:shd w:val="clear" w:color="auto" w:fill="CCEDFF"/>
          </w:tcPr>
          <w:p>
            <w:pPr>
              <w:pStyle w:val="TableParagraph"/>
              <w:spacing w:before="10"/>
              <w:ind w:right="57"/>
              <w:rPr>
                <w:sz w:val="20"/>
              </w:rPr>
            </w:pPr>
            <w:r>
              <w:rPr>
                <w:sz w:val="20"/>
              </w:rPr>
              <w:t>Unrealized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loss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cash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equivalents</w:t>
            </w:r>
            <w:r>
              <w:rPr>
                <w:spacing w:val="14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</w:p>
        </w:tc>
        <w:tc>
          <w:tcPr>
            <w:tcW w:w="949" w:type="dxa"/>
            <w:shd w:val="clear" w:color="auto" w:fill="CCEDFF"/>
          </w:tcPr>
          <w:p>
            <w:pPr>
              <w:pStyle w:val="TableParagraph"/>
              <w:spacing w:before="10"/>
              <w:ind w:right="12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71" w:type="dxa"/>
            <w:shd w:val="clear" w:color="auto" w:fill="CCEDFF"/>
          </w:tcPr>
          <w:p>
            <w:pPr>
              <w:pStyle w:val="TableParagraph"/>
              <w:spacing w:before="10"/>
              <w:ind w:right="1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75" w:type="dxa"/>
            <w:shd w:val="clear" w:color="auto" w:fill="CCEDFF"/>
          </w:tcPr>
          <w:p>
            <w:pPr>
              <w:pStyle w:val="TableParagraph"/>
              <w:spacing w:before="10"/>
              <w:ind w:right="9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shd w:val="clear" w:color="auto" w:fill="CCEDFF"/>
          </w:tcPr>
          <w:p>
            <w:pPr>
              <w:pStyle w:val="TableParagraph"/>
              <w:spacing w:before="10"/>
              <w:ind w:left="663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724" w:type="dxa"/>
            <w:shd w:val="clear" w:color="auto" w:fill="CCEDFF"/>
          </w:tcPr>
          <w:p>
            <w:pPr>
              <w:pStyle w:val="TableParagraph"/>
              <w:spacing w:before="10"/>
              <w:ind w:right="92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77" w:type="dxa"/>
            <w:shd w:val="clear" w:color="auto" w:fill="CCEDFF"/>
          </w:tcPr>
          <w:p>
            <w:pPr>
              <w:pStyle w:val="TableParagraph"/>
              <w:spacing w:before="10"/>
              <w:ind w:right="59"/>
              <w:rPr>
                <w:sz w:val="20"/>
              </w:rPr>
            </w:pPr>
            <w:r>
              <w:rPr>
                <w:sz w:val="20"/>
              </w:rPr>
              <w:t>(16)</w:t>
            </w:r>
          </w:p>
        </w:tc>
        <w:tc>
          <w:tcPr>
            <w:tcW w:w="1079" w:type="dxa"/>
            <w:shd w:val="clear" w:color="auto" w:fill="CCEDFF"/>
          </w:tcPr>
          <w:p>
            <w:pPr>
              <w:pStyle w:val="TableParagraph"/>
              <w:spacing w:before="10"/>
              <w:ind w:right="12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075" w:type="dxa"/>
            <w:shd w:val="clear" w:color="auto" w:fill="CCEDFF"/>
          </w:tcPr>
          <w:p>
            <w:pPr>
              <w:pStyle w:val="TableParagraph"/>
              <w:spacing w:before="10"/>
              <w:ind w:right="8"/>
              <w:rPr>
                <w:sz w:val="20"/>
              </w:rPr>
            </w:pPr>
            <w:r>
              <w:rPr>
                <w:sz w:val="20"/>
              </w:rPr>
              <w:t>(16)</w:t>
            </w:r>
          </w:p>
        </w:tc>
      </w:tr>
      <w:tr>
        <w:trPr>
          <w:trHeight w:val="275" w:hRule="atLeast"/>
        </w:trPr>
        <w:tc>
          <w:tcPr>
            <w:tcW w:w="4770" w:type="dxa"/>
          </w:tcPr>
          <w:p>
            <w:pPr>
              <w:pStyle w:val="TableParagraph"/>
              <w:spacing w:line="230" w:lineRule="exact" w:before="25"/>
              <w:ind w:right="57"/>
              <w:rPr>
                <w:sz w:val="20"/>
              </w:rPr>
            </w:pPr>
            <w:r>
              <w:rPr>
                <w:sz w:val="20"/>
              </w:rPr>
              <w:t>Net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loss</w:t>
            </w:r>
            <w:r>
              <w:rPr>
                <w:spacing w:val="19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</w:t>
            </w:r>
          </w:p>
        </w:tc>
        <w:tc>
          <w:tcPr>
            <w:tcW w:w="94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25"/>
              <w:ind w:right="12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25"/>
              <w:ind w:right="1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25"/>
              <w:ind w:right="9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25"/>
              <w:ind w:left="663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7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25"/>
              <w:ind w:right="92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25"/>
              <w:ind w:right="1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07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25"/>
              <w:ind w:right="58"/>
              <w:rPr>
                <w:sz w:val="20"/>
              </w:rPr>
            </w:pPr>
            <w:r>
              <w:rPr>
                <w:sz w:val="20"/>
              </w:rPr>
              <w:t>(12,822)</w:t>
            </w: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25"/>
              <w:ind w:right="8"/>
              <w:rPr>
                <w:sz w:val="20"/>
              </w:rPr>
            </w:pPr>
            <w:r>
              <w:rPr>
                <w:sz w:val="20"/>
              </w:rPr>
              <w:t>(12,822)</w:t>
            </w:r>
          </w:p>
        </w:tc>
      </w:tr>
      <w:tr>
        <w:trPr>
          <w:trHeight w:val="260" w:hRule="atLeast"/>
        </w:trPr>
        <w:tc>
          <w:tcPr>
            <w:tcW w:w="4770" w:type="dxa"/>
            <w:shd w:val="clear" w:color="auto" w:fill="CCEDFF"/>
          </w:tcPr>
          <w:p>
            <w:pPr>
              <w:pStyle w:val="TableParagraph"/>
              <w:ind w:right="50"/>
              <w:rPr>
                <w:sz w:val="20"/>
              </w:rPr>
            </w:pPr>
            <w:r>
              <w:rPr>
                <w:sz w:val="20"/>
              </w:rPr>
              <w:t>Balance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March 31,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</w:t>
            </w:r>
            <w:r>
              <w:rPr>
                <w:spacing w:val="6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</w:p>
        </w:tc>
        <w:tc>
          <w:tcPr>
            <w:tcW w:w="949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ind w:left="268"/>
              <w:jc w:val="left"/>
              <w:rPr>
                <w:sz w:val="20"/>
              </w:rPr>
            </w:pPr>
            <w:r>
              <w:rPr>
                <w:sz w:val="20"/>
              </w:rPr>
              <w:t>25,402</w:t>
            </w:r>
          </w:p>
        </w:tc>
        <w:tc>
          <w:tcPr>
            <w:tcW w:w="971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243,854</w:t>
            </w:r>
          </w:p>
        </w:tc>
        <w:tc>
          <w:tcPr>
            <w:tcW w:w="975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5,217</w:t>
            </w:r>
          </w:p>
        </w:tc>
        <w:tc>
          <w:tcPr>
            <w:tcW w:w="1134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ind w:left="663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724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ind w:left="79"/>
              <w:jc w:val="left"/>
              <w:rPr>
                <w:sz w:val="20"/>
              </w:rPr>
            </w:pPr>
            <w:r>
              <w:rPr>
                <w:sz w:val="20"/>
              </w:rPr>
              <w:t>20,663</w:t>
            </w:r>
          </w:p>
        </w:tc>
        <w:tc>
          <w:tcPr>
            <w:tcW w:w="1277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ind w:right="59"/>
              <w:rPr>
                <w:sz w:val="20"/>
              </w:rPr>
            </w:pPr>
            <w:r>
              <w:rPr>
                <w:sz w:val="20"/>
              </w:rPr>
              <w:t>(30)</w:t>
            </w:r>
          </w:p>
        </w:tc>
        <w:tc>
          <w:tcPr>
            <w:tcW w:w="1079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ind w:right="58"/>
              <w:rPr>
                <w:sz w:val="20"/>
              </w:rPr>
            </w:pPr>
            <w:r>
              <w:rPr>
                <w:sz w:val="20"/>
              </w:rPr>
              <w:t>(214,490)</w:t>
            </w:r>
          </w:p>
        </w:tc>
        <w:tc>
          <w:tcPr>
            <w:tcW w:w="1075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ind w:right="8"/>
              <w:rPr>
                <w:sz w:val="20"/>
              </w:rPr>
            </w:pPr>
            <w:r>
              <w:rPr>
                <w:sz w:val="20"/>
              </w:rPr>
              <w:t>(193,857)</w:t>
            </w:r>
          </w:p>
        </w:tc>
      </w:tr>
      <w:tr>
        <w:trPr>
          <w:trHeight w:val="213" w:hRule="atLeast"/>
        </w:trPr>
        <w:tc>
          <w:tcPr>
            <w:tcW w:w="4770" w:type="dxa"/>
          </w:tcPr>
          <w:p>
            <w:pPr>
              <w:pStyle w:val="TableParagraph"/>
              <w:spacing w:line="188" w:lineRule="exact" w:before="5"/>
              <w:ind w:right="53"/>
              <w:rPr>
                <w:sz w:val="20"/>
              </w:rPr>
            </w:pPr>
            <w:r>
              <w:rPr>
                <w:sz w:val="20"/>
              </w:rPr>
              <w:t>Issuance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redeemable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convertible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preferred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stock,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net</w:t>
            </w:r>
          </w:p>
        </w:tc>
        <w:tc>
          <w:tcPr>
            <w:tcW w:w="949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251" w:hRule="atLeast"/>
        </w:trPr>
        <w:tc>
          <w:tcPr>
            <w:tcW w:w="4770" w:type="dxa"/>
          </w:tcPr>
          <w:p>
            <w:pPr>
              <w:pStyle w:val="TableParagraph"/>
              <w:spacing w:line="221" w:lineRule="exact"/>
              <w:ind w:right="53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issuance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costs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$290</w:t>
            </w:r>
            <w:r>
              <w:rPr>
                <w:spacing w:val="32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</w:p>
        </w:tc>
        <w:tc>
          <w:tcPr>
            <w:tcW w:w="949" w:type="dxa"/>
          </w:tcPr>
          <w:p>
            <w:pPr>
              <w:pStyle w:val="TableParagraph"/>
              <w:spacing w:line="221" w:lineRule="exact"/>
              <w:ind w:left="368"/>
              <w:jc w:val="left"/>
              <w:rPr>
                <w:sz w:val="20"/>
              </w:rPr>
            </w:pPr>
            <w:r>
              <w:rPr>
                <w:sz w:val="20"/>
              </w:rPr>
              <w:t>4,448</w:t>
            </w:r>
          </w:p>
        </w:tc>
        <w:tc>
          <w:tcPr>
            <w:tcW w:w="971" w:type="dxa"/>
          </w:tcPr>
          <w:p>
            <w:pPr>
              <w:pStyle w:val="TableParagraph"/>
              <w:spacing w:line="221" w:lineRule="exact"/>
              <w:ind w:left="279"/>
              <w:jc w:val="left"/>
              <w:rPr>
                <w:sz w:val="20"/>
              </w:rPr>
            </w:pPr>
            <w:r>
              <w:rPr>
                <w:sz w:val="20"/>
              </w:rPr>
              <w:t>84,710</w:t>
            </w:r>
          </w:p>
        </w:tc>
        <w:tc>
          <w:tcPr>
            <w:tcW w:w="975" w:type="dxa"/>
          </w:tcPr>
          <w:p>
            <w:pPr>
              <w:pStyle w:val="TableParagraph"/>
              <w:spacing w:line="221" w:lineRule="exact"/>
              <w:ind w:right="9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58" w:type="dxa"/>
            <w:gridSpan w:val="2"/>
          </w:tcPr>
          <w:p>
            <w:pPr>
              <w:pStyle w:val="TableParagraph"/>
              <w:tabs>
                <w:tab w:pos="1563" w:val="left" w:leader="none"/>
              </w:tabs>
              <w:spacing w:line="221" w:lineRule="exact"/>
              <w:ind w:left="663"/>
              <w:jc w:val="left"/>
              <w:rPr>
                <w:sz w:val="20"/>
              </w:rPr>
            </w:pPr>
            <w:r>
              <w:rPr>
                <w:sz w:val="20"/>
              </w:rPr>
              <w:t>—</w:t>
              <w:tab/>
              <w:t>—</w:t>
            </w:r>
          </w:p>
        </w:tc>
        <w:tc>
          <w:tcPr>
            <w:tcW w:w="1277" w:type="dxa"/>
          </w:tcPr>
          <w:p>
            <w:pPr>
              <w:pStyle w:val="TableParagraph"/>
              <w:spacing w:line="221" w:lineRule="exact"/>
              <w:ind w:right="1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079" w:type="dxa"/>
          </w:tcPr>
          <w:p>
            <w:pPr>
              <w:pStyle w:val="TableParagraph"/>
              <w:spacing w:line="221" w:lineRule="exact"/>
              <w:ind w:right="12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075" w:type="dxa"/>
          </w:tcPr>
          <w:p>
            <w:pPr>
              <w:pStyle w:val="TableParagraph"/>
              <w:spacing w:line="221" w:lineRule="exact"/>
              <w:ind w:right="7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70" w:hRule="atLeast"/>
        </w:trPr>
        <w:tc>
          <w:tcPr>
            <w:tcW w:w="4770" w:type="dxa"/>
            <w:shd w:val="clear" w:color="auto" w:fill="CCEDFF"/>
          </w:tcPr>
          <w:p>
            <w:pPr>
              <w:pStyle w:val="TableParagraph"/>
              <w:spacing w:before="10"/>
              <w:ind w:right="54"/>
              <w:rPr>
                <w:sz w:val="20"/>
              </w:rPr>
            </w:pPr>
            <w:r>
              <w:rPr>
                <w:sz w:val="20"/>
              </w:rPr>
              <w:t>Issuance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upon exercise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 options</w:t>
            </w:r>
            <w:r>
              <w:rPr>
                <w:spacing w:val="23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</w:p>
        </w:tc>
        <w:tc>
          <w:tcPr>
            <w:tcW w:w="949" w:type="dxa"/>
            <w:shd w:val="clear" w:color="auto" w:fill="CCEDFF"/>
          </w:tcPr>
          <w:p>
            <w:pPr>
              <w:pStyle w:val="TableParagraph"/>
              <w:spacing w:before="10"/>
              <w:ind w:right="12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71" w:type="dxa"/>
            <w:shd w:val="clear" w:color="auto" w:fill="CCEDFF"/>
          </w:tcPr>
          <w:p>
            <w:pPr>
              <w:pStyle w:val="TableParagraph"/>
              <w:spacing w:before="10"/>
              <w:ind w:right="1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75" w:type="dxa"/>
            <w:shd w:val="clear" w:color="auto" w:fill="CCEDFF"/>
          </w:tcPr>
          <w:p>
            <w:pPr>
              <w:pStyle w:val="TableParagraph"/>
              <w:spacing w:before="10"/>
              <w:ind w:right="94"/>
              <w:rPr>
                <w:sz w:val="20"/>
              </w:rPr>
            </w:pPr>
            <w:r>
              <w:rPr>
                <w:sz w:val="20"/>
              </w:rPr>
              <w:t>575</w:t>
            </w:r>
          </w:p>
        </w:tc>
        <w:tc>
          <w:tcPr>
            <w:tcW w:w="1858" w:type="dxa"/>
            <w:gridSpan w:val="2"/>
            <w:shd w:val="clear" w:color="auto" w:fill="CCEDFF"/>
          </w:tcPr>
          <w:p>
            <w:pPr>
              <w:pStyle w:val="TableParagraph"/>
              <w:tabs>
                <w:tab w:pos="1313" w:val="left" w:leader="none"/>
              </w:tabs>
              <w:spacing w:before="10"/>
              <w:ind w:left="663"/>
              <w:jc w:val="left"/>
              <w:rPr>
                <w:sz w:val="20"/>
              </w:rPr>
            </w:pPr>
            <w:r>
              <w:rPr>
                <w:sz w:val="20"/>
              </w:rPr>
              <w:t>—</w:t>
              <w:tab/>
              <w:t>1,415</w:t>
            </w:r>
          </w:p>
        </w:tc>
        <w:tc>
          <w:tcPr>
            <w:tcW w:w="1277" w:type="dxa"/>
            <w:shd w:val="clear" w:color="auto" w:fill="CCEDFF"/>
          </w:tcPr>
          <w:p>
            <w:pPr>
              <w:pStyle w:val="TableParagraph"/>
              <w:spacing w:before="10"/>
              <w:ind w:right="1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079" w:type="dxa"/>
            <w:shd w:val="clear" w:color="auto" w:fill="CCEDFF"/>
          </w:tcPr>
          <w:p>
            <w:pPr>
              <w:pStyle w:val="TableParagraph"/>
              <w:spacing w:before="10"/>
              <w:ind w:right="12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075" w:type="dxa"/>
            <w:shd w:val="clear" w:color="auto" w:fill="CCEDFF"/>
          </w:tcPr>
          <w:p>
            <w:pPr>
              <w:pStyle w:val="TableParagraph"/>
              <w:spacing w:before="10"/>
              <w:ind w:right="73"/>
              <w:rPr>
                <w:sz w:val="20"/>
              </w:rPr>
            </w:pPr>
            <w:r>
              <w:rPr>
                <w:sz w:val="20"/>
              </w:rPr>
              <w:t>1,415</w:t>
            </w:r>
          </w:p>
        </w:tc>
      </w:tr>
      <w:tr>
        <w:trPr>
          <w:trHeight w:val="270" w:hRule="atLeast"/>
        </w:trPr>
        <w:tc>
          <w:tcPr>
            <w:tcW w:w="4770" w:type="dxa"/>
          </w:tcPr>
          <w:p>
            <w:pPr>
              <w:pStyle w:val="TableParagraph"/>
              <w:spacing w:before="10"/>
              <w:ind w:right="59"/>
              <w:rPr>
                <w:sz w:val="20"/>
              </w:rPr>
            </w:pPr>
            <w:r>
              <w:rPr>
                <w:sz w:val="20"/>
              </w:rPr>
              <w:t>Stock-based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compensation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expense</w:t>
            </w:r>
            <w:r>
              <w:rPr>
                <w:spacing w:val="34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</w:p>
        </w:tc>
        <w:tc>
          <w:tcPr>
            <w:tcW w:w="949" w:type="dxa"/>
          </w:tcPr>
          <w:p>
            <w:pPr>
              <w:pStyle w:val="TableParagraph"/>
              <w:spacing w:before="10"/>
              <w:ind w:right="12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71" w:type="dxa"/>
          </w:tcPr>
          <w:p>
            <w:pPr>
              <w:pStyle w:val="TableParagraph"/>
              <w:spacing w:before="10"/>
              <w:ind w:right="1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75" w:type="dxa"/>
          </w:tcPr>
          <w:p>
            <w:pPr>
              <w:pStyle w:val="TableParagraph"/>
              <w:spacing w:before="10"/>
              <w:ind w:right="9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58" w:type="dxa"/>
            <w:gridSpan w:val="2"/>
          </w:tcPr>
          <w:p>
            <w:pPr>
              <w:pStyle w:val="TableParagraph"/>
              <w:tabs>
                <w:tab w:pos="1463" w:val="left" w:leader="none"/>
              </w:tabs>
              <w:spacing w:before="10"/>
              <w:ind w:left="663"/>
              <w:jc w:val="left"/>
              <w:rPr>
                <w:sz w:val="20"/>
              </w:rPr>
            </w:pPr>
            <w:r>
              <w:rPr>
                <w:sz w:val="20"/>
              </w:rPr>
              <w:t>—</w:t>
              <w:tab/>
              <w:t>725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"/>
              <w:ind w:right="1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"/>
              <w:ind w:right="12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075" w:type="dxa"/>
          </w:tcPr>
          <w:p>
            <w:pPr>
              <w:pStyle w:val="TableParagraph"/>
              <w:spacing w:before="10"/>
              <w:ind w:right="73"/>
              <w:rPr>
                <w:sz w:val="20"/>
              </w:rPr>
            </w:pPr>
            <w:r>
              <w:rPr>
                <w:sz w:val="20"/>
              </w:rPr>
              <w:t>725</w:t>
            </w:r>
          </w:p>
        </w:tc>
      </w:tr>
      <w:tr>
        <w:trPr>
          <w:trHeight w:val="270" w:hRule="atLeast"/>
        </w:trPr>
        <w:tc>
          <w:tcPr>
            <w:tcW w:w="4770" w:type="dxa"/>
            <w:shd w:val="clear" w:color="auto" w:fill="CCEDFF"/>
          </w:tcPr>
          <w:p>
            <w:pPr>
              <w:pStyle w:val="TableParagraph"/>
              <w:spacing w:before="10"/>
              <w:ind w:right="57"/>
              <w:rPr>
                <w:sz w:val="20"/>
              </w:rPr>
            </w:pPr>
            <w:r>
              <w:rPr>
                <w:sz w:val="20"/>
              </w:rPr>
              <w:t>Unrealized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loss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cash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equivalents</w:t>
            </w:r>
            <w:r>
              <w:rPr>
                <w:spacing w:val="14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</w:p>
        </w:tc>
        <w:tc>
          <w:tcPr>
            <w:tcW w:w="949" w:type="dxa"/>
            <w:shd w:val="clear" w:color="auto" w:fill="CCEDFF"/>
          </w:tcPr>
          <w:p>
            <w:pPr>
              <w:pStyle w:val="TableParagraph"/>
              <w:spacing w:before="10"/>
              <w:ind w:right="12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71" w:type="dxa"/>
            <w:shd w:val="clear" w:color="auto" w:fill="CCEDFF"/>
          </w:tcPr>
          <w:p>
            <w:pPr>
              <w:pStyle w:val="TableParagraph"/>
              <w:spacing w:before="10"/>
              <w:ind w:right="1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75" w:type="dxa"/>
            <w:shd w:val="clear" w:color="auto" w:fill="CCEDFF"/>
          </w:tcPr>
          <w:p>
            <w:pPr>
              <w:pStyle w:val="TableParagraph"/>
              <w:spacing w:before="10"/>
              <w:ind w:right="9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58" w:type="dxa"/>
            <w:gridSpan w:val="2"/>
            <w:shd w:val="clear" w:color="auto" w:fill="CCEDFF"/>
          </w:tcPr>
          <w:p>
            <w:pPr>
              <w:pStyle w:val="TableParagraph"/>
              <w:tabs>
                <w:tab w:pos="1563" w:val="left" w:leader="none"/>
              </w:tabs>
              <w:spacing w:before="10"/>
              <w:ind w:left="663"/>
              <w:jc w:val="left"/>
              <w:rPr>
                <w:sz w:val="20"/>
              </w:rPr>
            </w:pPr>
            <w:r>
              <w:rPr>
                <w:sz w:val="20"/>
              </w:rPr>
              <w:t>—</w:t>
              <w:tab/>
              <w:t>—</w:t>
            </w:r>
          </w:p>
        </w:tc>
        <w:tc>
          <w:tcPr>
            <w:tcW w:w="1277" w:type="dxa"/>
            <w:shd w:val="clear" w:color="auto" w:fill="CCEDFF"/>
          </w:tcPr>
          <w:p>
            <w:pPr>
              <w:pStyle w:val="TableParagraph"/>
              <w:spacing w:before="10"/>
              <w:ind w:right="59"/>
              <w:rPr>
                <w:sz w:val="20"/>
              </w:rPr>
            </w:pPr>
            <w:r>
              <w:rPr>
                <w:sz w:val="20"/>
              </w:rPr>
              <w:t>(9)</w:t>
            </w:r>
          </w:p>
        </w:tc>
        <w:tc>
          <w:tcPr>
            <w:tcW w:w="1079" w:type="dxa"/>
            <w:shd w:val="clear" w:color="auto" w:fill="CCEDFF"/>
          </w:tcPr>
          <w:p>
            <w:pPr>
              <w:pStyle w:val="TableParagraph"/>
              <w:spacing w:before="10"/>
              <w:ind w:right="12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075" w:type="dxa"/>
            <w:shd w:val="clear" w:color="auto" w:fill="CCEDFF"/>
          </w:tcPr>
          <w:p>
            <w:pPr>
              <w:pStyle w:val="TableParagraph"/>
              <w:spacing w:before="10"/>
              <w:ind w:right="8"/>
              <w:rPr>
                <w:sz w:val="20"/>
              </w:rPr>
            </w:pPr>
            <w:r>
              <w:rPr>
                <w:sz w:val="20"/>
              </w:rPr>
              <w:t>(9)</w:t>
            </w:r>
          </w:p>
        </w:tc>
      </w:tr>
      <w:tr>
        <w:trPr>
          <w:trHeight w:val="260" w:hRule="atLeast"/>
        </w:trPr>
        <w:tc>
          <w:tcPr>
            <w:tcW w:w="4770" w:type="dxa"/>
          </w:tcPr>
          <w:p>
            <w:pPr>
              <w:pStyle w:val="TableParagraph"/>
              <w:spacing w:line="230" w:lineRule="exact" w:before="10"/>
              <w:ind w:right="57"/>
              <w:rPr>
                <w:sz w:val="20"/>
              </w:rPr>
            </w:pPr>
            <w:r>
              <w:rPr>
                <w:sz w:val="20"/>
              </w:rPr>
              <w:t>Net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loss</w:t>
            </w:r>
            <w:r>
              <w:rPr>
                <w:spacing w:val="19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</w:t>
            </w:r>
          </w:p>
        </w:tc>
        <w:tc>
          <w:tcPr>
            <w:tcW w:w="94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10"/>
              <w:ind w:right="12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10"/>
              <w:ind w:right="1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10"/>
              <w:ind w:right="9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58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1563" w:val="left" w:leader="none"/>
              </w:tabs>
              <w:spacing w:line="230" w:lineRule="exact" w:before="10"/>
              <w:ind w:left="663"/>
              <w:jc w:val="left"/>
              <w:rPr>
                <w:sz w:val="20"/>
              </w:rPr>
            </w:pPr>
            <w:r>
              <w:rPr>
                <w:sz w:val="20"/>
              </w:rPr>
              <w:t>—</w:t>
              <w:tab/>
              <w:t>—</w:t>
            </w:r>
          </w:p>
        </w:tc>
        <w:tc>
          <w:tcPr>
            <w:tcW w:w="12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10"/>
              <w:ind w:right="1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07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10"/>
              <w:ind w:right="58"/>
              <w:rPr>
                <w:sz w:val="20"/>
              </w:rPr>
            </w:pPr>
            <w:r>
              <w:rPr>
                <w:sz w:val="20"/>
              </w:rPr>
              <w:t>(14,580)</w:t>
            </w: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10"/>
              <w:ind w:right="8"/>
              <w:rPr>
                <w:sz w:val="20"/>
              </w:rPr>
            </w:pPr>
            <w:r>
              <w:rPr>
                <w:sz w:val="20"/>
              </w:rPr>
              <w:t>(14,580)</w:t>
            </w:r>
          </w:p>
        </w:tc>
      </w:tr>
      <w:tr>
        <w:trPr>
          <w:trHeight w:val="260" w:hRule="atLeast"/>
        </w:trPr>
        <w:tc>
          <w:tcPr>
            <w:tcW w:w="4770" w:type="dxa"/>
            <w:shd w:val="clear" w:color="auto" w:fill="CCEDFF"/>
          </w:tcPr>
          <w:p>
            <w:pPr>
              <w:pStyle w:val="TableParagraph"/>
              <w:ind w:right="56"/>
              <w:rPr>
                <w:sz w:val="20"/>
              </w:rPr>
            </w:pPr>
            <w:r>
              <w:rPr>
                <w:sz w:val="20"/>
              </w:rPr>
              <w:t>Balance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June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30, 2021</w:t>
            </w:r>
            <w:r>
              <w:rPr>
                <w:spacing w:val="6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</w:p>
        </w:tc>
        <w:tc>
          <w:tcPr>
            <w:tcW w:w="949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ind w:left="268"/>
              <w:jc w:val="left"/>
              <w:rPr>
                <w:sz w:val="20"/>
              </w:rPr>
            </w:pPr>
            <w:r>
              <w:rPr>
                <w:sz w:val="20"/>
              </w:rPr>
              <w:t>29,850</w:t>
            </w:r>
          </w:p>
        </w:tc>
        <w:tc>
          <w:tcPr>
            <w:tcW w:w="971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328,564</w:t>
            </w:r>
          </w:p>
        </w:tc>
        <w:tc>
          <w:tcPr>
            <w:tcW w:w="975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5,792</w:t>
            </w:r>
          </w:p>
        </w:tc>
        <w:tc>
          <w:tcPr>
            <w:tcW w:w="1858" w:type="dxa"/>
            <w:gridSpan w:val="2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1213" w:val="left" w:leader="none"/>
              </w:tabs>
              <w:ind w:left="663"/>
              <w:jc w:val="left"/>
              <w:rPr>
                <w:sz w:val="20"/>
              </w:rPr>
            </w:pPr>
            <w:r>
              <w:rPr>
                <w:sz w:val="20"/>
              </w:rPr>
              <w:t>—</w:t>
              <w:tab/>
              <w:t>22,803</w:t>
            </w:r>
          </w:p>
        </w:tc>
        <w:tc>
          <w:tcPr>
            <w:tcW w:w="1277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ind w:right="59"/>
              <w:rPr>
                <w:sz w:val="20"/>
              </w:rPr>
            </w:pPr>
            <w:r>
              <w:rPr>
                <w:sz w:val="20"/>
              </w:rPr>
              <w:t>(39)</w:t>
            </w:r>
          </w:p>
        </w:tc>
        <w:tc>
          <w:tcPr>
            <w:tcW w:w="1079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ind w:right="58"/>
              <w:rPr>
                <w:sz w:val="20"/>
              </w:rPr>
            </w:pPr>
            <w:r>
              <w:rPr>
                <w:sz w:val="20"/>
              </w:rPr>
              <w:t>(229,070)</w:t>
            </w:r>
          </w:p>
        </w:tc>
        <w:tc>
          <w:tcPr>
            <w:tcW w:w="1075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ind w:right="8"/>
              <w:rPr>
                <w:sz w:val="20"/>
              </w:rPr>
            </w:pPr>
            <w:r>
              <w:rPr>
                <w:sz w:val="20"/>
              </w:rPr>
              <w:t>(206,306)</w:t>
            </w:r>
          </w:p>
        </w:tc>
      </w:tr>
      <w:tr>
        <w:trPr>
          <w:trHeight w:val="283" w:hRule="atLeast"/>
        </w:trPr>
        <w:tc>
          <w:tcPr>
            <w:tcW w:w="4770" w:type="dxa"/>
          </w:tcPr>
          <w:p>
            <w:pPr>
              <w:pStyle w:val="TableParagraph"/>
              <w:spacing w:before="10"/>
              <w:ind w:right="54"/>
              <w:rPr>
                <w:sz w:val="20"/>
              </w:rPr>
            </w:pPr>
            <w:r>
              <w:rPr>
                <w:sz w:val="20"/>
              </w:rPr>
              <w:t>Issuance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upon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exercise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warrants</w:t>
            </w:r>
            <w:r>
              <w:rPr>
                <w:spacing w:val="24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</w:p>
        </w:tc>
        <w:tc>
          <w:tcPr>
            <w:tcW w:w="949" w:type="dxa"/>
          </w:tcPr>
          <w:p>
            <w:pPr>
              <w:pStyle w:val="TableParagraph"/>
              <w:spacing w:before="10"/>
              <w:ind w:right="128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971" w:type="dxa"/>
          </w:tcPr>
          <w:p>
            <w:pPr>
              <w:pStyle w:val="TableParagraph"/>
              <w:spacing w:before="10"/>
              <w:ind w:right="139"/>
              <w:rPr>
                <w:sz w:val="20"/>
              </w:rPr>
            </w:pPr>
            <w:r>
              <w:rPr>
                <w:sz w:val="20"/>
              </w:rPr>
              <w:t>970</w:t>
            </w:r>
          </w:p>
        </w:tc>
        <w:tc>
          <w:tcPr>
            <w:tcW w:w="975" w:type="dxa"/>
          </w:tcPr>
          <w:p>
            <w:pPr>
              <w:pStyle w:val="TableParagraph"/>
              <w:spacing w:before="10"/>
              <w:ind w:right="9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58" w:type="dxa"/>
            <w:gridSpan w:val="2"/>
          </w:tcPr>
          <w:p>
            <w:pPr>
              <w:pStyle w:val="TableParagraph"/>
              <w:tabs>
                <w:tab w:pos="1563" w:val="left" w:leader="none"/>
              </w:tabs>
              <w:spacing w:before="10"/>
              <w:ind w:left="663"/>
              <w:jc w:val="left"/>
              <w:rPr>
                <w:sz w:val="20"/>
              </w:rPr>
            </w:pPr>
            <w:r>
              <w:rPr>
                <w:sz w:val="20"/>
              </w:rPr>
              <w:t>—</w:t>
              <w:tab/>
              <w:t>—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"/>
              <w:ind w:right="1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"/>
              <w:ind w:right="12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075" w:type="dxa"/>
          </w:tcPr>
          <w:p>
            <w:pPr>
              <w:pStyle w:val="TableParagraph"/>
              <w:spacing w:before="10"/>
              <w:ind w:right="7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10" w:hRule="atLeast"/>
        </w:trPr>
        <w:tc>
          <w:tcPr>
            <w:tcW w:w="4770" w:type="dxa"/>
            <w:shd w:val="clear" w:color="auto" w:fill="CCEDFF"/>
          </w:tcPr>
          <w:p>
            <w:pPr>
              <w:pStyle w:val="TableParagraph"/>
              <w:spacing w:line="199" w:lineRule="exact" w:before="5"/>
              <w:ind w:right="164"/>
              <w:rPr>
                <w:sz w:val="20"/>
              </w:rPr>
            </w:pPr>
            <w:r>
              <w:rPr>
                <w:sz w:val="20"/>
              </w:rPr>
              <w:t>Conversion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redeemable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convertible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preferred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stock</w:t>
            </w:r>
          </w:p>
        </w:tc>
        <w:tc>
          <w:tcPr>
            <w:tcW w:w="949" w:type="dxa"/>
            <w:shd w:val="clear" w:color="auto" w:fill="CCEDFF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71" w:type="dxa"/>
            <w:shd w:val="clear" w:color="auto" w:fill="CCEDFF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75" w:type="dxa"/>
            <w:shd w:val="clear" w:color="auto" w:fill="CCEDFF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34" w:type="dxa"/>
            <w:shd w:val="clear" w:color="auto" w:fill="CCEDFF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24" w:type="dxa"/>
            <w:shd w:val="clear" w:color="auto" w:fill="CCEDFF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277" w:type="dxa"/>
            <w:shd w:val="clear" w:color="auto" w:fill="CCEDFF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079" w:type="dxa"/>
            <w:shd w:val="clear" w:color="auto" w:fill="CCEDFF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075" w:type="dxa"/>
            <w:shd w:val="clear" w:color="auto" w:fill="CCEDFF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4770" w:type="dxa"/>
            <w:shd w:val="clear" w:color="auto" w:fill="CCEDFF"/>
          </w:tcPr>
          <w:p>
            <w:pPr>
              <w:pStyle w:val="TableParagraph"/>
              <w:spacing w:line="211" w:lineRule="exact"/>
              <w:ind w:right="56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common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stock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upon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initial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offering</w:t>
            </w:r>
            <w:r>
              <w:rPr>
                <w:spacing w:val="2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2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</w:p>
        </w:tc>
        <w:tc>
          <w:tcPr>
            <w:tcW w:w="949" w:type="dxa"/>
            <w:shd w:val="clear" w:color="auto" w:fill="CCEDFF"/>
          </w:tcPr>
          <w:p>
            <w:pPr>
              <w:pStyle w:val="TableParagraph"/>
              <w:spacing w:line="211" w:lineRule="exact"/>
              <w:ind w:right="63"/>
              <w:rPr>
                <w:sz w:val="20"/>
              </w:rPr>
            </w:pPr>
            <w:r>
              <w:rPr>
                <w:sz w:val="20"/>
              </w:rPr>
              <w:t>(29,912)</w:t>
            </w:r>
          </w:p>
        </w:tc>
        <w:tc>
          <w:tcPr>
            <w:tcW w:w="971" w:type="dxa"/>
            <w:shd w:val="clear" w:color="auto" w:fill="CCEDFF"/>
          </w:tcPr>
          <w:p>
            <w:pPr>
              <w:pStyle w:val="TableParagraph"/>
              <w:spacing w:line="211" w:lineRule="exact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(329,534)</w:t>
            </w:r>
          </w:p>
        </w:tc>
        <w:tc>
          <w:tcPr>
            <w:tcW w:w="975" w:type="dxa"/>
            <w:shd w:val="clear" w:color="auto" w:fill="CCEDFF"/>
          </w:tcPr>
          <w:p>
            <w:pPr>
              <w:pStyle w:val="TableParagraph"/>
              <w:spacing w:line="211" w:lineRule="exact"/>
              <w:ind w:right="94"/>
              <w:rPr>
                <w:sz w:val="20"/>
              </w:rPr>
            </w:pPr>
            <w:r>
              <w:rPr>
                <w:sz w:val="20"/>
              </w:rPr>
              <w:t>29,912</w:t>
            </w:r>
          </w:p>
        </w:tc>
        <w:tc>
          <w:tcPr>
            <w:tcW w:w="1134" w:type="dxa"/>
            <w:shd w:val="clear" w:color="auto" w:fill="CCEDFF"/>
          </w:tcPr>
          <w:p>
            <w:pPr>
              <w:pStyle w:val="TableParagraph"/>
              <w:spacing w:line="211" w:lineRule="exact"/>
              <w:ind w:left="663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724" w:type="dxa"/>
            <w:shd w:val="clear" w:color="auto" w:fill="CCEDFF"/>
          </w:tcPr>
          <w:p>
            <w:pPr>
              <w:pStyle w:val="TableParagraph"/>
              <w:spacing w:line="211" w:lineRule="exact"/>
              <w:ind w:left="-21"/>
              <w:jc w:val="left"/>
              <w:rPr>
                <w:sz w:val="20"/>
              </w:rPr>
            </w:pPr>
            <w:r>
              <w:rPr>
                <w:sz w:val="20"/>
              </w:rPr>
              <w:t>329,534</w:t>
            </w:r>
          </w:p>
        </w:tc>
        <w:tc>
          <w:tcPr>
            <w:tcW w:w="1277" w:type="dxa"/>
            <w:shd w:val="clear" w:color="auto" w:fill="CCEDFF"/>
          </w:tcPr>
          <w:p>
            <w:pPr>
              <w:pStyle w:val="TableParagraph"/>
              <w:spacing w:line="211" w:lineRule="exact"/>
              <w:ind w:right="1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079" w:type="dxa"/>
            <w:shd w:val="clear" w:color="auto" w:fill="CCEDFF"/>
          </w:tcPr>
          <w:p>
            <w:pPr>
              <w:pStyle w:val="TableParagraph"/>
              <w:spacing w:line="211" w:lineRule="exact"/>
              <w:ind w:right="12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075" w:type="dxa"/>
            <w:shd w:val="clear" w:color="auto" w:fill="CCEDFF"/>
          </w:tcPr>
          <w:p>
            <w:pPr>
              <w:pStyle w:val="TableParagraph"/>
              <w:spacing w:line="211" w:lineRule="exact"/>
              <w:ind w:left="349"/>
              <w:jc w:val="left"/>
              <w:rPr>
                <w:sz w:val="20"/>
              </w:rPr>
            </w:pPr>
            <w:r>
              <w:rPr>
                <w:sz w:val="20"/>
              </w:rPr>
              <w:t>329,534</w:t>
            </w:r>
          </w:p>
        </w:tc>
      </w:tr>
      <w:tr>
        <w:trPr>
          <w:trHeight w:val="234" w:hRule="atLeast"/>
        </w:trPr>
        <w:tc>
          <w:tcPr>
            <w:tcW w:w="4770" w:type="dxa"/>
          </w:tcPr>
          <w:p>
            <w:pPr>
              <w:pStyle w:val="TableParagraph"/>
              <w:spacing w:line="199" w:lineRule="exact" w:before="15"/>
              <w:ind w:right="90"/>
              <w:rPr>
                <w:sz w:val="20"/>
              </w:rPr>
            </w:pPr>
            <w:r>
              <w:rPr>
                <w:sz w:val="20"/>
              </w:rPr>
              <w:t>Issuance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common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stock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upon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initial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offering,</w:t>
            </w:r>
          </w:p>
        </w:tc>
        <w:tc>
          <w:tcPr>
            <w:tcW w:w="94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00" w:hRule="atLeast"/>
        </w:trPr>
        <w:tc>
          <w:tcPr>
            <w:tcW w:w="4770" w:type="dxa"/>
          </w:tcPr>
          <w:p>
            <w:pPr>
              <w:pStyle w:val="TableParagraph"/>
              <w:spacing w:line="180" w:lineRule="exact"/>
              <w:ind w:left="472"/>
              <w:jc w:val="left"/>
              <w:rPr>
                <w:sz w:val="20"/>
              </w:rPr>
            </w:pPr>
            <w:r>
              <w:rPr>
                <w:sz w:val="20"/>
              </w:rPr>
              <w:t>net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underwriting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discounts,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commissions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</w:p>
        </w:tc>
        <w:tc>
          <w:tcPr>
            <w:tcW w:w="949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4770" w:type="dxa"/>
          </w:tcPr>
          <w:p>
            <w:pPr>
              <w:pStyle w:val="TableParagraph"/>
              <w:spacing w:line="211" w:lineRule="exact"/>
              <w:ind w:right="51"/>
              <w:rPr>
                <w:sz w:val="20"/>
              </w:rPr>
            </w:pPr>
            <w:r>
              <w:rPr>
                <w:sz w:val="20"/>
              </w:rPr>
              <w:t>offering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expenses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$16,076</w:t>
            </w:r>
            <w:r>
              <w:rPr>
                <w:spacing w:val="10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</w:p>
        </w:tc>
        <w:tc>
          <w:tcPr>
            <w:tcW w:w="949" w:type="dxa"/>
          </w:tcPr>
          <w:p>
            <w:pPr>
              <w:pStyle w:val="TableParagraph"/>
              <w:spacing w:line="211" w:lineRule="exact"/>
              <w:ind w:right="12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71" w:type="dxa"/>
          </w:tcPr>
          <w:p>
            <w:pPr>
              <w:pStyle w:val="TableParagraph"/>
              <w:spacing w:line="211" w:lineRule="exact"/>
              <w:ind w:right="1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75" w:type="dxa"/>
          </w:tcPr>
          <w:p>
            <w:pPr>
              <w:pStyle w:val="TableParagraph"/>
              <w:spacing w:line="211" w:lineRule="exact"/>
              <w:ind w:right="94"/>
              <w:rPr>
                <w:sz w:val="20"/>
              </w:rPr>
            </w:pPr>
            <w:r>
              <w:rPr>
                <w:sz w:val="20"/>
              </w:rPr>
              <w:t>7,539</w:t>
            </w:r>
          </w:p>
        </w:tc>
        <w:tc>
          <w:tcPr>
            <w:tcW w:w="1134" w:type="dxa"/>
          </w:tcPr>
          <w:p>
            <w:pPr>
              <w:pStyle w:val="TableParagraph"/>
              <w:spacing w:line="211" w:lineRule="exact"/>
              <w:ind w:left="663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724" w:type="dxa"/>
          </w:tcPr>
          <w:p>
            <w:pPr>
              <w:pStyle w:val="TableParagraph"/>
              <w:spacing w:line="211" w:lineRule="exact"/>
              <w:ind w:left="-21"/>
              <w:jc w:val="left"/>
              <w:rPr>
                <w:sz w:val="20"/>
              </w:rPr>
            </w:pPr>
            <w:r>
              <w:rPr>
                <w:sz w:val="20"/>
              </w:rPr>
              <w:t>172,409</w:t>
            </w:r>
          </w:p>
        </w:tc>
        <w:tc>
          <w:tcPr>
            <w:tcW w:w="1277" w:type="dxa"/>
          </w:tcPr>
          <w:p>
            <w:pPr>
              <w:pStyle w:val="TableParagraph"/>
              <w:spacing w:line="211" w:lineRule="exact"/>
              <w:ind w:right="1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079" w:type="dxa"/>
          </w:tcPr>
          <w:p>
            <w:pPr>
              <w:pStyle w:val="TableParagraph"/>
              <w:spacing w:line="211" w:lineRule="exact"/>
              <w:ind w:right="12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075" w:type="dxa"/>
          </w:tcPr>
          <w:p>
            <w:pPr>
              <w:pStyle w:val="TableParagraph"/>
              <w:spacing w:line="211" w:lineRule="exact"/>
              <w:ind w:left="349"/>
              <w:jc w:val="left"/>
              <w:rPr>
                <w:sz w:val="20"/>
              </w:rPr>
            </w:pPr>
            <w:r>
              <w:rPr>
                <w:sz w:val="20"/>
              </w:rPr>
              <w:t>172,409</w:t>
            </w:r>
          </w:p>
        </w:tc>
      </w:tr>
      <w:tr>
        <w:trPr>
          <w:trHeight w:val="270" w:hRule="atLeast"/>
        </w:trPr>
        <w:tc>
          <w:tcPr>
            <w:tcW w:w="4770" w:type="dxa"/>
            <w:shd w:val="clear" w:color="auto" w:fill="CCEDFF"/>
          </w:tcPr>
          <w:p>
            <w:pPr>
              <w:pStyle w:val="TableParagraph"/>
              <w:spacing w:before="10"/>
              <w:ind w:right="54"/>
              <w:rPr>
                <w:sz w:val="20"/>
              </w:rPr>
            </w:pPr>
            <w:r>
              <w:rPr>
                <w:sz w:val="20"/>
              </w:rPr>
              <w:t>Issuance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upon exercise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 options</w:t>
            </w:r>
            <w:r>
              <w:rPr>
                <w:spacing w:val="23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</w:p>
        </w:tc>
        <w:tc>
          <w:tcPr>
            <w:tcW w:w="949" w:type="dxa"/>
            <w:shd w:val="clear" w:color="auto" w:fill="CCEDFF"/>
          </w:tcPr>
          <w:p>
            <w:pPr>
              <w:pStyle w:val="TableParagraph"/>
              <w:spacing w:before="10"/>
              <w:ind w:right="12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71" w:type="dxa"/>
            <w:shd w:val="clear" w:color="auto" w:fill="CCEDFF"/>
          </w:tcPr>
          <w:p>
            <w:pPr>
              <w:pStyle w:val="TableParagraph"/>
              <w:spacing w:before="10"/>
              <w:ind w:right="1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75" w:type="dxa"/>
            <w:shd w:val="clear" w:color="auto" w:fill="CCEDFF"/>
          </w:tcPr>
          <w:p>
            <w:pPr>
              <w:pStyle w:val="TableParagraph"/>
              <w:spacing w:before="10"/>
              <w:ind w:right="94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134" w:type="dxa"/>
            <w:shd w:val="clear" w:color="auto" w:fill="CCEDFF"/>
          </w:tcPr>
          <w:p>
            <w:pPr>
              <w:pStyle w:val="TableParagraph"/>
              <w:spacing w:before="10"/>
              <w:ind w:left="663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724" w:type="dxa"/>
            <w:shd w:val="clear" w:color="auto" w:fill="CCEDFF"/>
          </w:tcPr>
          <w:p>
            <w:pPr>
              <w:pStyle w:val="TableParagraph"/>
              <w:spacing w:before="10"/>
              <w:ind w:right="92"/>
              <w:rPr>
                <w:sz w:val="20"/>
              </w:rPr>
            </w:pPr>
            <w:r>
              <w:rPr>
                <w:sz w:val="20"/>
              </w:rPr>
              <w:t>855</w:t>
            </w:r>
          </w:p>
        </w:tc>
        <w:tc>
          <w:tcPr>
            <w:tcW w:w="1277" w:type="dxa"/>
            <w:shd w:val="clear" w:color="auto" w:fill="CCEDFF"/>
          </w:tcPr>
          <w:p>
            <w:pPr>
              <w:pStyle w:val="TableParagraph"/>
              <w:spacing w:before="10"/>
              <w:ind w:right="1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079" w:type="dxa"/>
            <w:shd w:val="clear" w:color="auto" w:fill="CCEDFF"/>
          </w:tcPr>
          <w:p>
            <w:pPr>
              <w:pStyle w:val="TableParagraph"/>
              <w:spacing w:before="10"/>
              <w:ind w:right="12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075" w:type="dxa"/>
            <w:shd w:val="clear" w:color="auto" w:fill="CCEDFF"/>
          </w:tcPr>
          <w:p>
            <w:pPr>
              <w:pStyle w:val="TableParagraph"/>
              <w:spacing w:before="10"/>
              <w:ind w:right="73"/>
              <w:rPr>
                <w:sz w:val="20"/>
              </w:rPr>
            </w:pPr>
            <w:r>
              <w:rPr>
                <w:sz w:val="20"/>
              </w:rPr>
              <w:t>855</w:t>
            </w:r>
          </w:p>
        </w:tc>
      </w:tr>
      <w:tr>
        <w:trPr>
          <w:trHeight w:val="270" w:hRule="atLeast"/>
        </w:trPr>
        <w:tc>
          <w:tcPr>
            <w:tcW w:w="4770" w:type="dxa"/>
          </w:tcPr>
          <w:p>
            <w:pPr>
              <w:pStyle w:val="TableParagraph"/>
              <w:spacing w:before="10"/>
              <w:ind w:right="59"/>
              <w:rPr>
                <w:sz w:val="20"/>
              </w:rPr>
            </w:pPr>
            <w:r>
              <w:rPr>
                <w:sz w:val="20"/>
              </w:rPr>
              <w:t>Stock-based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compensation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expense</w:t>
            </w:r>
            <w:r>
              <w:rPr>
                <w:spacing w:val="34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</w:p>
        </w:tc>
        <w:tc>
          <w:tcPr>
            <w:tcW w:w="949" w:type="dxa"/>
          </w:tcPr>
          <w:p>
            <w:pPr>
              <w:pStyle w:val="TableParagraph"/>
              <w:spacing w:before="10"/>
              <w:ind w:right="12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71" w:type="dxa"/>
          </w:tcPr>
          <w:p>
            <w:pPr>
              <w:pStyle w:val="TableParagraph"/>
              <w:spacing w:before="10"/>
              <w:ind w:right="1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75" w:type="dxa"/>
          </w:tcPr>
          <w:p>
            <w:pPr>
              <w:pStyle w:val="TableParagraph"/>
              <w:spacing w:before="10"/>
              <w:ind w:right="9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"/>
              <w:ind w:left="663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724" w:type="dxa"/>
          </w:tcPr>
          <w:p>
            <w:pPr>
              <w:pStyle w:val="TableParagraph"/>
              <w:spacing w:before="10"/>
              <w:ind w:right="92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"/>
              <w:ind w:right="1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"/>
              <w:ind w:right="12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075" w:type="dxa"/>
          </w:tcPr>
          <w:p>
            <w:pPr>
              <w:pStyle w:val="TableParagraph"/>
              <w:spacing w:before="10"/>
              <w:ind w:right="73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</w:tr>
      <w:tr>
        <w:trPr>
          <w:trHeight w:val="270" w:hRule="atLeast"/>
        </w:trPr>
        <w:tc>
          <w:tcPr>
            <w:tcW w:w="4770" w:type="dxa"/>
            <w:shd w:val="clear" w:color="auto" w:fill="CCEDFF"/>
          </w:tcPr>
          <w:p>
            <w:pPr>
              <w:pStyle w:val="TableParagraph"/>
              <w:spacing w:before="10"/>
              <w:ind w:right="57"/>
              <w:rPr>
                <w:sz w:val="20"/>
              </w:rPr>
            </w:pPr>
            <w:r>
              <w:rPr>
                <w:sz w:val="20"/>
              </w:rPr>
              <w:t>Unrealized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loss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cash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equivalents</w:t>
            </w:r>
            <w:r>
              <w:rPr>
                <w:spacing w:val="14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</w:p>
        </w:tc>
        <w:tc>
          <w:tcPr>
            <w:tcW w:w="949" w:type="dxa"/>
            <w:shd w:val="clear" w:color="auto" w:fill="CCEDFF"/>
          </w:tcPr>
          <w:p>
            <w:pPr>
              <w:pStyle w:val="TableParagraph"/>
              <w:spacing w:before="10"/>
              <w:ind w:right="12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71" w:type="dxa"/>
            <w:shd w:val="clear" w:color="auto" w:fill="CCEDFF"/>
          </w:tcPr>
          <w:p>
            <w:pPr>
              <w:pStyle w:val="TableParagraph"/>
              <w:spacing w:before="10"/>
              <w:ind w:right="1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75" w:type="dxa"/>
            <w:shd w:val="clear" w:color="auto" w:fill="CCEDFF"/>
          </w:tcPr>
          <w:p>
            <w:pPr>
              <w:pStyle w:val="TableParagraph"/>
              <w:spacing w:before="10"/>
              <w:ind w:right="9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shd w:val="clear" w:color="auto" w:fill="CCEDFF"/>
          </w:tcPr>
          <w:p>
            <w:pPr>
              <w:pStyle w:val="TableParagraph"/>
              <w:spacing w:before="10"/>
              <w:ind w:left="663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724" w:type="dxa"/>
            <w:shd w:val="clear" w:color="auto" w:fill="CCEDFF"/>
          </w:tcPr>
          <w:p>
            <w:pPr>
              <w:pStyle w:val="TableParagraph"/>
              <w:spacing w:before="10"/>
              <w:ind w:right="92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77" w:type="dxa"/>
            <w:shd w:val="clear" w:color="auto" w:fill="CCEDFF"/>
          </w:tcPr>
          <w:p>
            <w:pPr>
              <w:pStyle w:val="TableParagraph"/>
              <w:spacing w:before="10"/>
              <w:ind w:right="59"/>
              <w:rPr>
                <w:sz w:val="20"/>
              </w:rPr>
            </w:pPr>
            <w:r>
              <w:rPr>
                <w:sz w:val="20"/>
              </w:rPr>
              <w:t>(2)</w:t>
            </w:r>
          </w:p>
        </w:tc>
        <w:tc>
          <w:tcPr>
            <w:tcW w:w="1079" w:type="dxa"/>
            <w:shd w:val="clear" w:color="auto" w:fill="CCEDFF"/>
          </w:tcPr>
          <w:p>
            <w:pPr>
              <w:pStyle w:val="TableParagraph"/>
              <w:spacing w:before="10"/>
              <w:ind w:right="12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075" w:type="dxa"/>
            <w:shd w:val="clear" w:color="auto" w:fill="CCEDFF"/>
          </w:tcPr>
          <w:p>
            <w:pPr>
              <w:pStyle w:val="TableParagraph"/>
              <w:spacing w:before="10"/>
              <w:ind w:right="8"/>
              <w:rPr>
                <w:sz w:val="20"/>
              </w:rPr>
            </w:pPr>
            <w:r>
              <w:rPr>
                <w:sz w:val="20"/>
              </w:rPr>
              <w:t>(2)</w:t>
            </w:r>
          </w:p>
        </w:tc>
      </w:tr>
      <w:tr>
        <w:trPr>
          <w:trHeight w:val="273" w:hRule="atLeast"/>
        </w:trPr>
        <w:tc>
          <w:tcPr>
            <w:tcW w:w="4770" w:type="dxa"/>
          </w:tcPr>
          <w:p>
            <w:pPr>
              <w:pStyle w:val="TableParagraph"/>
              <w:spacing w:before="10"/>
              <w:ind w:right="57"/>
              <w:rPr>
                <w:sz w:val="20"/>
              </w:rPr>
            </w:pPr>
            <w:r>
              <w:rPr>
                <w:sz w:val="20"/>
              </w:rPr>
              <w:t>Net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loss</w:t>
            </w:r>
            <w:r>
              <w:rPr>
                <w:spacing w:val="19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</w:t>
            </w:r>
          </w:p>
        </w:tc>
        <w:tc>
          <w:tcPr>
            <w:tcW w:w="949" w:type="dxa"/>
          </w:tcPr>
          <w:p>
            <w:pPr>
              <w:pStyle w:val="TableParagraph"/>
              <w:spacing w:before="10"/>
              <w:ind w:right="12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71" w:type="dxa"/>
          </w:tcPr>
          <w:p>
            <w:pPr>
              <w:pStyle w:val="TableParagraph"/>
              <w:spacing w:before="10"/>
              <w:ind w:right="13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75" w:type="dxa"/>
          </w:tcPr>
          <w:p>
            <w:pPr>
              <w:pStyle w:val="TableParagraph"/>
              <w:spacing w:before="10"/>
              <w:ind w:right="9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"/>
              <w:ind w:left="663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724" w:type="dxa"/>
          </w:tcPr>
          <w:p>
            <w:pPr>
              <w:pStyle w:val="TableParagraph"/>
              <w:spacing w:before="10"/>
              <w:ind w:right="92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"/>
              <w:ind w:right="1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"/>
              <w:ind w:right="58"/>
              <w:rPr>
                <w:sz w:val="20"/>
              </w:rPr>
            </w:pPr>
            <w:r>
              <w:rPr>
                <w:sz w:val="20"/>
              </w:rPr>
              <w:t>(14,103)</w:t>
            </w:r>
          </w:p>
        </w:tc>
        <w:tc>
          <w:tcPr>
            <w:tcW w:w="1075" w:type="dxa"/>
          </w:tcPr>
          <w:p>
            <w:pPr>
              <w:pStyle w:val="TableParagraph"/>
              <w:spacing w:before="10"/>
              <w:ind w:right="8"/>
              <w:rPr>
                <w:sz w:val="20"/>
              </w:rPr>
            </w:pPr>
            <w:r>
              <w:rPr>
                <w:sz w:val="20"/>
              </w:rPr>
              <w:t>(14,103)</w:t>
            </w:r>
          </w:p>
        </w:tc>
      </w:tr>
    </w:tbl>
    <w:p>
      <w:pPr>
        <w:spacing w:after="0"/>
        <w:rPr>
          <w:sz w:val="20"/>
        </w:rPr>
        <w:sectPr>
          <w:footerReference w:type="default" r:id="rId8"/>
          <w:pgSz w:w="15840" w:h="12240" w:orient="landscape"/>
          <w:pgMar w:footer="471" w:header="0" w:top="1140" w:bottom="660" w:left="1340" w:right="1320"/>
        </w:sectPr>
      </w:pPr>
    </w:p>
    <w:p>
      <w:pPr>
        <w:pStyle w:val="BodyText"/>
        <w:spacing w:before="1"/>
        <w:ind w:left="0" w:firstLine="0"/>
        <w:rPr>
          <w:b/>
          <w:sz w:val="26"/>
        </w:rPr>
      </w:pPr>
      <w:r>
        <w:rPr/>
        <w:pict>
          <v:group style="position:absolute;margin-left:310.5pt;margin-top:99.25pt;width:93pt;height:1pt;mso-position-horizontal-relative:page;mso-position-vertical-relative:page;z-index:-19255296" id="docshapegroup46" coordorigin="6210,1985" coordsize="1860,20">
            <v:shape style="position:absolute;left:6210;top:1995;width:1860;height:2" id="docshape47" coordorigin="6210,1995" coordsize="1860,0" path="m8070,1995l6210,1995e" filled="true" fillcolor="#000000" stroked="false">
              <v:path arrowok="t"/>
              <v:fill opacity="0f" type="solid"/>
            </v:shape>
            <v:line style="position:absolute" from="6210,1995" to="8070,1995" stroked="true" strokeweight="1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409.5pt;margin-top:99.25pt;width:93pt;height:1pt;mso-position-horizontal-relative:page;mso-position-vertical-relative:page;z-index:-19254784" id="docshapegroup48" coordorigin="8190,1985" coordsize="1860,20">
            <v:shape style="position:absolute;left:8190;top:1995;width:1860;height:2" id="docshape49" coordorigin="8190,1995" coordsize="1860,0" path="m10050,1995l8190,1995e" filled="true" fillcolor="#000000" stroked="false">
              <v:path arrowok="t"/>
              <v:fill opacity="0f" type="solid"/>
            </v:shape>
            <v:line style="position:absolute" from="8190,1995" to="10050,1995" stroked="true" strokeweight="1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10.5pt;margin-top:111.25pt;width:93pt;height:1pt;mso-position-horizontal-relative:page;mso-position-vertical-relative:page;z-index:-19254272" id="docshapegroup50" coordorigin="6210,2225" coordsize="1860,20">
            <v:shape style="position:absolute;left:6210;top:2235;width:900;height:2" id="docshape51" coordorigin="6210,2235" coordsize="900,0" path="m7110,2235l6210,2235e" filled="true" fillcolor="#000000" stroked="false">
              <v:path arrowok="t"/>
              <v:fill opacity="0f" type="solid"/>
            </v:shape>
            <v:line style="position:absolute" from="6210,2235" to="7110,2235" stroked="true" strokeweight="1pt" strokecolor="#000000">
              <v:stroke dashstyle="solid"/>
            </v:line>
            <v:shape style="position:absolute;left:7170;top:2235;width:900;height:2" id="docshape52" coordorigin="7170,2235" coordsize="900,0" path="m8070,2235l7170,2235e" filled="true" fillcolor="#000000" stroked="false">
              <v:path arrowok="t"/>
              <v:fill opacity="0f" type="solid"/>
            </v:shape>
            <v:line style="position:absolute" from="7170,2235" to="8070,2235" stroked="true" strokeweight="1pt" strokecolor="#000000">
              <v:stroke dashstyle="solid"/>
            </v:line>
            <w10:wrap type="none"/>
          </v:group>
        </w:pict>
      </w: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3"/>
        <w:gridCol w:w="866"/>
        <w:gridCol w:w="971"/>
        <w:gridCol w:w="975"/>
        <w:gridCol w:w="959"/>
        <w:gridCol w:w="913"/>
        <w:gridCol w:w="1244"/>
        <w:gridCol w:w="1079"/>
        <w:gridCol w:w="1094"/>
      </w:tblGrid>
      <w:tr>
        <w:trPr>
          <w:trHeight w:val="785" w:hRule="atLeast"/>
        </w:trPr>
        <w:tc>
          <w:tcPr>
            <w:tcW w:w="4853" w:type="dxa"/>
            <w:vMerge w:val="restart"/>
            <w:shd w:val="clear" w:color="auto" w:fill="CCEDFF"/>
          </w:tcPr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Balance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December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31, 2019</w:t>
            </w:r>
            <w:r>
              <w:rPr>
                <w:spacing w:val="5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</w:p>
        </w:tc>
        <w:tc>
          <w:tcPr>
            <w:tcW w:w="1837" w:type="dxa"/>
            <w:gridSpan w:val="2"/>
            <w:vMerge w:val="restart"/>
            <w:tcBorders>
              <w:right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208" w:lineRule="auto" w:before="40"/>
              <w:ind w:left="293" w:right="433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Redeemable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Convertible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Preferred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Stock</w:t>
            </w:r>
          </w:p>
          <w:p>
            <w:pPr>
              <w:pStyle w:val="TableParagraph"/>
              <w:tabs>
                <w:tab w:pos="911" w:val="left" w:leader="none"/>
              </w:tabs>
              <w:spacing w:before="61"/>
              <w:ind w:right="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Shares</w:t>
              <w:tab/>
              <w:t>Amount</w:t>
            </w:r>
          </w:p>
          <w:p>
            <w:pPr>
              <w:pStyle w:val="TableParagraph"/>
              <w:spacing w:before="40"/>
              <w:ind w:left="175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20,998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47"/>
                <w:sz w:val="20"/>
              </w:rPr>
              <w:t> </w:t>
            </w:r>
            <w:r>
              <w:rPr>
                <w:w w:val="95"/>
                <w:sz w:val="20"/>
              </w:rPr>
              <w:t>$</w:t>
            </w:r>
            <w:r>
              <w:rPr>
                <w:spacing w:val="-2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173,068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9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tLeast"/>
              <w:ind w:left="269" w:right="-51" w:firstLine="1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Commo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Shares</w:t>
            </w:r>
          </w:p>
        </w:tc>
        <w:tc>
          <w:tcPr>
            <w:tcW w:w="959" w:type="dxa"/>
            <w:tcBorders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34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Stock</w:t>
            </w:r>
          </w:p>
          <w:p>
            <w:pPr>
              <w:pStyle w:val="TableParagraph"/>
              <w:spacing w:line="184" w:lineRule="exact" w:before="56"/>
              <w:ind w:left="2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Amount</w:t>
            </w:r>
          </w:p>
        </w:tc>
        <w:tc>
          <w:tcPr>
            <w:tcW w:w="913" w:type="dxa"/>
            <w:tcBorders>
              <w:bottom w:val="single" w:sz="8" w:space="0" w:color="CCEDFF"/>
              <w:right w:val="single" w:sz="24" w:space="0" w:color="FFFFFF"/>
            </w:tcBorders>
            <w:shd w:val="clear" w:color="auto" w:fill="CCEDFF"/>
          </w:tcPr>
          <w:p>
            <w:pPr>
              <w:pStyle w:val="TableParagraph"/>
              <w:spacing w:before="4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08" w:lineRule="auto"/>
              <w:ind w:left="182" w:right="50" w:hanging="1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Additional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Paid-in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Capital</w:t>
            </w:r>
          </w:p>
        </w:tc>
        <w:tc>
          <w:tcPr>
            <w:tcW w:w="1244" w:type="dxa"/>
            <w:tcBorders>
              <w:left w:val="single" w:sz="24" w:space="0" w:color="FFFFFF"/>
              <w:bottom w:val="single" w:sz="8" w:space="0" w:color="CCEDFF"/>
              <w:right w:val="single" w:sz="24" w:space="0" w:color="FFFFFF"/>
            </w:tcBorders>
            <w:shd w:val="clear" w:color="auto" w:fill="CCEDFF"/>
          </w:tcPr>
          <w:p>
            <w:pPr>
              <w:pStyle w:val="TableParagraph"/>
              <w:spacing w:line="208" w:lineRule="auto" w:before="120"/>
              <w:ind w:left="62" w:right="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Accumulated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Other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Comprehensive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Loss</w:t>
            </w:r>
          </w:p>
        </w:tc>
        <w:tc>
          <w:tcPr>
            <w:tcW w:w="1079" w:type="dxa"/>
            <w:tcBorders>
              <w:left w:val="single" w:sz="24" w:space="0" w:color="FFFFFF"/>
              <w:bottom w:val="single" w:sz="8" w:space="0" w:color="CCEDFF"/>
              <w:right w:val="single" w:sz="24" w:space="0" w:color="FFFFFF"/>
            </w:tcBorders>
            <w:shd w:val="clear" w:color="auto" w:fill="CCEDFF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08" w:lineRule="auto"/>
              <w:ind w:left="287" w:right="32" w:hanging="2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Accumulated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Deficit</w:t>
            </w:r>
          </w:p>
        </w:tc>
        <w:tc>
          <w:tcPr>
            <w:tcW w:w="1094" w:type="dxa"/>
            <w:tcBorders>
              <w:left w:val="single" w:sz="24" w:space="0" w:color="FFFFFF"/>
              <w:bottom w:val="single" w:sz="8" w:space="0" w:color="CCEDFF"/>
            </w:tcBorders>
            <w:shd w:val="clear" w:color="auto" w:fill="CCEDFF"/>
          </w:tcPr>
          <w:p>
            <w:pPr>
              <w:pStyle w:val="TableParagraph"/>
              <w:spacing w:before="4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08" w:lineRule="auto"/>
              <w:ind w:left="71" w:righ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Stockholders'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Deficit</w:t>
            </w:r>
          </w:p>
        </w:tc>
      </w:tr>
      <w:tr>
        <w:trPr>
          <w:trHeight w:val="260" w:hRule="atLeast"/>
        </w:trPr>
        <w:tc>
          <w:tcPr>
            <w:tcW w:w="4853" w:type="dxa"/>
            <w:vMerge/>
            <w:tcBorders>
              <w:top w:val="nil"/>
            </w:tcBorders>
            <w:shd w:val="clear" w:color="auto" w:fill="CCED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7" w:type="dxa"/>
            <w:gridSpan w:val="2"/>
            <w:vMerge/>
            <w:tcBorders>
              <w:top w:val="nil"/>
              <w:right w:val="single" w:sz="8" w:space="0" w:color="000000"/>
            </w:tcBorders>
            <w:shd w:val="clear" w:color="auto" w:fill="CCED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CEDFF"/>
          </w:tcPr>
          <w:p>
            <w:pPr>
              <w:pStyle w:val="TableParagraph"/>
              <w:ind w:left="418"/>
              <w:jc w:val="left"/>
              <w:rPr>
                <w:sz w:val="20"/>
              </w:rPr>
            </w:pPr>
            <w:r>
              <w:rPr>
                <w:sz w:val="20"/>
              </w:rPr>
              <w:t>2,290</w:t>
            </w:r>
          </w:p>
        </w:tc>
        <w:tc>
          <w:tcPr>
            <w:tcW w:w="959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663" w:val="left" w:leader="none"/>
              </w:tabs>
              <w:ind w:left="97"/>
              <w:jc w:val="left"/>
              <w:rPr>
                <w:sz w:val="20"/>
              </w:rPr>
            </w:pPr>
            <w:r>
              <w:rPr>
                <w:sz w:val="20"/>
              </w:rPr>
              <w:t>$</w:t>
              <w:tab/>
              <w:t>—</w:t>
            </w:r>
          </w:p>
        </w:tc>
        <w:tc>
          <w:tcPr>
            <w:tcW w:w="913" w:type="dxa"/>
            <w:tcBorders>
              <w:top w:val="single" w:sz="8" w:space="0" w:color="CCEDFF"/>
            </w:tcBorders>
            <w:shd w:val="clear" w:color="auto" w:fill="CCEDFF"/>
          </w:tcPr>
          <w:p>
            <w:pPr>
              <w:pStyle w:val="TableParagraph"/>
              <w:ind w:left="98"/>
              <w:jc w:val="left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56"/>
                <w:sz w:val="20"/>
              </w:rPr>
              <w:t> </w:t>
            </w:r>
            <w:r>
              <w:rPr>
                <w:sz w:val="20"/>
              </w:rPr>
              <w:t>4,808</w:t>
            </w:r>
          </w:p>
        </w:tc>
        <w:tc>
          <w:tcPr>
            <w:tcW w:w="1244" w:type="dxa"/>
            <w:tcBorders>
              <w:top w:val="single" w:sz="8" w:space="0" w:color="CCEDFF"/>
            </w:tcBorders>
            <w:shd w:val="clear" w:color="auto" w:fill="CCEDFF"/>
          </w:tcPr>
          <w:p>
            <w:pPr>
              <w:pStyle w:val="TableParagraph"/>
              <w:tabs>
                <w:tab w:pos="1036" w:val="left" w:leader="none"/>
              </w:tabs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$</w:t>
              <w:tab/>
              <w:t>4</w:t>
            </w:r>
          </w:p>
        </w:tc>
        <w:tc>
          <w:tcPr>
            <w:tcW w:w="1079" w:type="dxa"/>
            <w:tcBorders>
              <w:top w:val="single" w:sz="8" w:space="0" w:color="CCEDFF"/>
            </w:tcBorders>
            <w:shd w:val="clear" w:color="auto" w:fill="CCEDFF"/>
          </w:tcPr>
          <w:p>
            <w:pPr>
              <w:pStyle w:val="TableParagraph"/>
              <w:ind w:right="39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(148,649)</w:t>
            </w:r>
          </w:p>
        </w:tc>
        <w:tc>
          <w:tcPr>
            <w:tcW w:w="1094" w:type="dxa"/>
            <w:tcBorders>
              <w:top w:val="single" w:sz="8" w:space="0" w:color="CCEDFF"/>
            </w:tcBorders>
            <w:shd w:val="clear" w:color="auto" w:fill="CCEDFF"/>
          </w:tcPr>
          <w:p>
            <w:pPr>
              <w:pStyle w:val="TableParagraph"/>
              <w:ind w:right="8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(143,837)</w:t>
            </w:r>
          </w:p>
        </w:tc>
      </w:tr>
      <w:tr>
        <w:trPr>
          <w:trHeight w:val="270" w:hRule="atLeast"/>
        </w:trPr>
        <w:tc>
          <w:tcPr>
            <w:tcW w:w="4853" w:type="dxa"/>
          </w:tcPr>
          <w:p>
            <w:pPr>
              <w:pStyle w:val="TableParagraph"/>
              <w:spacing w:before="10"/>
              <w:ind w:right="137"/>
              <w:rPr>
                <w:sz w:val="20"/>
              </w:rPr>
            </w:pPr>
            <w:r>
              <w:rPr>
                <w:sz w:val="20"/>
              </w:rPr>
              <w:t>Issuance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upon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exercise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warrants</w:t>
            </w:r>
            <w:r>
              <w:rPr>
                <w:spacing w:val="24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</w:p>
        </w:tc>
        <w:tc>
          <w:tcPr>
            <w:tcW w:w="866" w:type="dxa"/>
          </w:tcPr>
          <w:p>
            <w:pPr>
              <w:pStyle w:val="TableParagraph"/>
              <w:spacing w:before="10"/>
              <w:ind w:right="128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97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0"/>
              <w:ind w:right="129"/>
              <w:rPr>
                <w:sz w:val="20"/>
              </w:rPr>
            </w:pPr>
            <w:r>
              <w:rPr>
                <w:sz w:val="20"/>
              </w:rPr>
              <w:t>379</w:t>
            </w:r>
          </w:p>
        </w:tc>
        <w:tc>
          <w:tcPr>
            <w:tcW w:w="97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"/>
              <w:ind w:right="8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59" w:type="dxa"/>
          </w:tcPr>
          <w:p>
            <w:pPr>
              <w:pStyle w:val="TableParagraph"/>
              <w:spacing w:before="10"/>
              <w:ind w:right="9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13" w:type="dxa"/>
          </w:tcPr>
          <w:p>
            <w:pPr>
              <w:pStyle w:val="TableParagraph"/>
              <w:spacing w:before="10"/>
              <w:ind w:left="604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44" w:type="dxa"/>
          </w:tcPr>
          <w:p>
            <w:pPr>
              <w:pStyle w:val="TableParagraph"/>
              <w:spacing w:before="10"/>
              <w:ind w:right="10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"/>
              <w:ind w:right="10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094" w:type="dxa"/>
          </w:tcPr>
          <w:p>
            <w:pPr>
              <w:pStyle w:val="TableParagraph"/>
              <w:spacing w:before="10"/>
              <w:ind w:right="7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70" w:hRule="atLeast"/>
        </w:trPr>
        <w:tc>
          <w:tcPr>
            <w:tcW w:w="4853" w:type="dxa"/>
            <w:shd w:val="clear" w:color="auto" w:fill="CCEDFF"/>
          </w:tcPr>
          <w:p>
            <w:pPr>
              <w:pStyle w:val="TableParagraph"/>
              <w:spacing w:before="10"/>
              <w:ind w:right="137"/>
              <w:rPr>
                <w:sz w:val="20"/>
              </w:rPr>
            </w:pPr>
            <w:r>
              <w:rPr>
                <w:sz w:val="20"/>
              </w:rPr>
              <w:t>Issuance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upon exercise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 options</w:t>
            </w:r>
            <w:r>
              <w:rPr>
                <w:spacing w:val="23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</w:p>
        </w:tc>
        <w:tc>
          <w:tcPr>
            <w:tcW w:w="866" w:type="dxa"/>
            <w:shd w:val="clear" w:color="auto" w:fill="CCEDFF"/>
          </w:tcPr>
          <w:p>
            <w:pPr>
              <w:pStyle w:val="TableParagraph"/>
              <w:spacing w:before="10"/>
              <w:ind w:right="12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71" w:type="dxa"/>
            <w:tcBorders>
              <w:right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10"/>
              <w:ind w:right="12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75" w:type="dxa"/>
            <w:tcBorders>
              <w:left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10"/>
              <w:ind w:left="568"/>
              <w:jc w:val="left"/>
              <w:rPr>
                <w:sz w:val="20"/>
              </w:rPr>
            </w:pPr>
            <w:r>
              <w:rPr>
                <w:sz w:val="20"/>
              </w:rPr>
              <w:t>602</w:t>
            </w:r>
          </w:p>
        </w:tc>
        <w:tc>
          <w:tcPr>
            <w:tcW w:w="959" w:type="dxa"/>
            <w:shd w:val="clear" w:color="auto" w:fill="CCEDFF"/>
          </w:tcPr>
          <w:p>
            <w:pPr>
              <w:pStyle w:val="TableParagraph"/>
              <w:spacing w:before="10"/>
              <w:ind w:right="9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13" w:type="dxa"/>
            <w:shd w:val="clear" w:color="auto" w:fill="CCEDFF"/>
          </w:tcPr>
          <w:p>
            <w:pPr>
              <w:pStyle w:val="TableParagraph"/>
              <w:spacing w:before="10"/>
              <w:ind w:left="354"/>
              <w:jc w:val="left"/>
              <w:rPr>
                <w:sz w:val="20"/>
              </w:rPr>
            </w:pPr>
            <w:r>
              <w:rPr>
                <w:sz w:val="20"/>
              </w:rPr>
              <w:t>1,024</w:t>
            </w:r>
          </w:p>
        </w:tc>
        <w:tc>
          <w:tcPr>
            <w:tcW w:w="1244" w:type="dxa"/>
            <w:shd w:val="clear" w:color="auto" w:fill="CCEDFF"/>
          </w:tcPr>
          <w:p>
            <w:pPr>
              <w:pStyle w:val="TableParagraph"/>
              <w:spacing w:before="10"/>
              <w:ind w:right="10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079" w:type="dxa"/>
            <w:shd w:val="clear" w:color="auto" w:fill="CCEDFF"/>
          </w:tcPr>
          <w:p>
            <w:pPr>
              <w:pStyle w:val="TableParagraph"/>
              <w:spacing w:before="10"/>
              <w:ind w:right="10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094" w:type="dxa"/>
            <w:shd w:val="clear" w:color="auto" w:fill="CCEDFF"/>
          </w:tcPr>
          <w:p>
            <w:pPr>
              <w:pStyle w:val="TableParagraph"/>
              <w:spacing w:before="10"/>
              <w:ind w:right="73"/>
              <w:rPr>
                <w:sz w:val="20"/>
              </w:rPr>
            </w:pPr>
            <w:r>
              <w:rPr>
                <w:sz w:val="20"/>
              </w:rPr>
              <w:t>1,024</w:t>
            </w:r>
          </w:p>
        </w:tc>
      </w:tr>
      <w:tr>
        <w:trPr>
          <w:trHeight w:val="270" w:hRule="atLeast"/>
        </w:trPr>
        <w:tc>
          <w:tcPr>
            <w:tcW w:w="4853" w:type="dxa"/>
          </w:tcPr>
          <w:p>
            <w:pPr>
              <w:pStyle w:val="TableParagraph"/>
              <w:spacing w:before="10"/>
              <w:ind w:right="142"/>
              <w:rPr>
                <w:sz w:val="20"/>
              </w:rPr>
            </w:pPr>
            <w:r>
              <w:rPr>
                <w:sz w:val="20"/>
              </w:rPr>
              <w:t>Stock-based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compensation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expense</w:t>
            </w:r>
            <w:r>
              <w:rPr>
                <w:spacing w:val="34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</w:p>
        </w:tc>
        <w:tc>
          <w:tcPr>
            <w:tcW w:w="866" w:type="dxa"/>
          </w:tcPr>
          <w:p>
            <w:pPr>
              <w:pStyle w:val="TableParagraph"/>
              <w:spacing w:before="10"/>
              <w:ind w:right="12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7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0"/>
              <w:ind w:right="12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7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"/>
              <w:ind w:right="8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59" w:type="dxa"/>
          </w:tcPr>
          <w:p>
            <w:pPr>
              <w:pStyle w:val="TableParagraph"/>
              <w:spacing w:before="10"/>
              <w:ind w:right="9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13" w:type="dxa"/>
          </w:tcPr>
          <w:p>
            <w:pPr>
              <w:pStyle w:val="TableParagraph"/>
              <w:spacing w:before="10"/>
              <w:ind w:left="504"/>
              <w:jc w:val="left"/>
              <w:rPr>
                <w:sz w:val="20"/>
              </w:rPr>
            </w:pPr>
            <w:r>
              <w:rPr>
                <w:sz w:val="20"/>
              </w:rPr>
              <w:t>561</w:t>
            </w:r>
          </w:p>
        </w:tc>
        <w:tc>
          <w:tcPr>
            <w:tcW w:w="1244" w:type="dxa"/>
          </w:tcPr>
          <w:p>
            <w:pPr>
              <w:pStyle w:val="TableParagraph"/>
              <w:spacing w:before="10"/>
              <w:ind w:right="10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"/>
              <w:ind w:right="10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094" w:type="dxa"/>
          </w:tcPr>
          <w:p>
            <w:pPr>
              <w:pStyle w:val="TableParagraph"/>
              <w:spacing w:before="10"/>
              <w:ind w:right="73"/>
              <w:rPr>
                <w:sz w:val="20"/>
              </w:rPr>
            </w:pPr>
            <w:r>
              <w:rPr>
                <w:sz w:val="20"/>
              </w:rPr>
              <w:t>561</w:t>
            </w:r>
          </w:p>
        </w:tc>
      </w:tr>
      <w:tr>
        <w:trPr>
          <w:trHeight w:val="270" w:hRule="atLeast"/>
        </w:trPr>
        <w:tc>
          <w:tcPr>
            <w:tcW w:w="4853" w:type="dxa"/>
            <w:shd w:val="clear" w:color="auto" w:fill="CCEDFF"/>
          </w:tcPr>
          <w:p>
            <w:pPr>
              <w:pStyle w:val="TableParagraph"/>
              <w:spacing w:before="10"/>
              <w:ind w:right="140"/>
              <w:rPr>
                <w:sz w:val="20"/>
              </w:rPr>
            </w:pPr>
            <w:r>
              <w:rPr>
                <w:sz w:val="20"/>
              </w:rPr>
              <w:t>Unrealized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loss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cash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equivalents</w:t>
            </w:r>
            <w:r>
              <w:rPr>
                <w:spacing w:val="14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</w:p>
        </w:tc>
        <w:tc>
          <w:tcPr>
            <w:tcW w:w="866" w:type="dxa"/>
            <w:shd w:val="clear" w:color="auto" w:fill="CCEDFF"/>
          </w:tcPr>
          <w:p>
            <w:pPr>
              <w:pStyle w:val="TableParagraph"/>
              <w:spacing w:before="10"/>
              <w:ind w:right="12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71" w:type="dxa"/>
            <w:tcBorders>
              <w:right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10"/>
              <w:ind w:right="12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75" w:type="dxa"/>
            <w:tcBorders>
              <w:left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10"/>
              <w:ind w:right="8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59" w:type="dxa"/>
            <w:shd w:val="clear" w:color="auto" w:fill="CCEDFF"/>
          </w:tcPr>
          <w:p>
            <w:pPr>
              <w:pStyle w:val="TableParagraph"/>
              <w:spacing w:before="10"/>
              <w:ind w:right="9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13" w:type="dxa"/>
            <w:shd w:val="clear" w:color="auto" w:fill="CCEDFF"/>
          </w:tcPr>
          <w:p>
            <w:pPr>
              <w:pStyle w:val="TableParagraph"/>
              <w:spacing w:before="10"/>
              <w:ind w:left="604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44" w:type="dxa"/>
            <w:shd w:val="clear" w:color="auto" w:fill="CCEDFF"/>
          </w:tcPr>
          <w:p>
            <w:pPr>
              <w:pStyle w:val="TableParagraph"/>
              <w:spacing w:before="10"/>
              <w:ind w:right="40"/>
              <w:rPr>
                <w:sz w:val="20"/>
              </w:rPr>
            </w:pPr>
            <w:r>
              <w:rPr>
                <w:sz w:val="20"/>
              </w:rPr>
              <w:t>(7)</w:t>
            </w:r>
          </w:p>
        </w:tc>
        <w:tc>
          <w:tcPr>
            <w:tcW w:w="2173" w:type="dxa"/>
            <w:gridSpan w:val="2"/>
            <w:shd w:val="clear" w:color="auto" w:fill="CCEDFF"/>
          </w:tcPr>
          <w:p>
            <w:pPr>
              <w:pStyle w:val="TableParagraph"/>
              <w:tabs>
                <w:tab w:pos="1930" w:val="left" w:leader="none"/>
              </w:tabs>
              <w:spacing w:before="10"/>
              <w:ind w:left="77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  <w:tab/>
              <w:t>(7)</w:t>
            </w:r>
          </w:p>
        </w:tc>
      </w:tr>
      <w:tr>
        <w:trPr>
          <w:trHeight w:val="260" w:hRule="atLeast"/>
        </w:trPr>
        <w:tc>
          <w:tcPr>
            <w:tcW w:w="4853" w:type="dxa"/>
          </w:tcPr>
          <w:p>
            <w:pPr>
              <w:pStyle w:val="TableParagraph"/>
              <w:spacing w:line="230" w:lineRule="exact" w:before="10"/>
              <w:ind w:right="140"/>
              <w:rPr>
                <w:sz w:val="20"/>
              </w:rPr>
            </w:pPr>
            <w:r>
              <w:rPr>
                <w:sz w:val="20"/>
              </w:rPr>
              <w:t>Net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loss</w:t>
            </w:r>
            <w:r>
              <w:rPr>
                <w:spacing w:val="19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10"/>
              <w:ind w:right="12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7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10"/>
              <w:ind w:right="12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10"/>
              <w:ind w:right="8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10"/>
              <w:ind w:right="9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10"/>
              <w:ind w:left="604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10"/>
              <w:ind w:right="10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173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1480" w:val="left" w:leader="none"/>
              </w:tabs>
              <w:spacing w:line="230" w:lineRule="exact" w:before="10"/>
              <w:ind w:left="355"/>
              <w:jc w:val="left"/>
              <w:rPr>
                <w:sz w:val="20"/>
              </w:rPr>
            </w:pPr>
            <w:r>
              <w:rPr>
                <w:sz w:val="20"/>
              </w:rPr>
              <w:t>(13,126)</w:t>
              <w:tab/>
              <w:t>(13,126)</w:t>
            </w:r>
          </w:p>
        </w:tc>
      </w:tr>
      <w:tr>
        <w:trPr>
          <w:trHeight w:val="260" w:hRule="atLeast"/>
        </w:trPr>
        <w:tc>
          <w:tcPr>
            <w:tcW w:w="4853" w:type="dxa"/>
            <w:shd w:val="clear" w:color="auto" w:fill="CCEDFF"/>
          </w:tcPr>
          <w:p>
            <w:pPr>
              <w:pStyle w:val="TableParagraph"/>
              <w:ind w:right="133"/>
              <w:rPr>
                <w:sz w:val="20"/>
              </w:rPr>
            </w:pPr>
            <w:r>
              <w:rPr>
                <w:sz w:val="20"/>
              </w:rPr>
              <w:t>Balance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March 31,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2020</w:t>
            </w:r>
            <w:r>
              <w:rPr>
                <w:spacing w:val="6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ind w:left="185"/>
              <w:jc w:val="left"/>
              <w:rPr>
                <w:sz w:val="20"/>
              </w:rPr>
            </w:pPr>
            <w:r>
              <w:rPr>
                <w:sz w:val="20"/>
              </w:rPr>
              <w:t>21,073</w:t>
            </w:r>
          </w:p>
        </w:tc>
        <w:tc>
          <w:tcPr>
            <w:tcW w:w="97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CEDFF"/>
          </w:tcPr>
          <w:p>
            <w:pPr>
              <w:pStyle w:val="TableParagraph"/>
              <w:ind w:left="169"/>
              <w:jc w:val="left"/>
              <w:rPr>
                <w:sz w:val="20"/>
              </w:rPr>
            </w:pPr>
            <w:r>
              <w:rPr>
                <w:sz w:val="20"/>
              </w:rPr>
              <w:t>173,447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CEDFF"/>
          </w:tcPr>
          <w:p>
            <w:pPr>
              <w:pStyle w:val="TableParagraph"/>
              <w:ind w:left="418"/>
              <w:jc w:val="left"/>
              <w:rPr>
                <w:sz w:val="20"/>
              </w:rPr>
            </w:pPr>
            <w:r>
              <w:rPr>
                <w:sz w:val="20"/>
              </w:rPr>
              <w:t>2,892</w:t>
            </w:r>
          </w:p>
        </w:tc>
        <w:tc>
          <w:tcPr>
            <w:tcW w:w="959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13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ind w:left="354"/>
              <w:jc w:val="left"/>
              <w:rPr>
                <w:sz w:val="20"/>
              </w:rPr>
            </w:pPr>
            <w:r>
              <w:rPr>
                <w:sz w:val="20"/>
              </w:rPr>
              <w:t>6,393</w:t>
            </w:r>
          </w:p>
        </w:tc>
        <w:tc>
          <w:tcPr>
            <w:tcW w:w="1244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ind w:right="40"/>
              <w:rPr>
                <w:sz w:val="20"/>
              </w:rPr>
            </w:pPr>
            <w:r>
              <w:rPr>
                <w:sz w:val="20"/>
              </w:rPr>
              <w:t>(3)</w:t>
            </w:r>
          </w:p>
        </w:tc>
        <w:tc>
          <w:tcPr>
            <w:tcW w:w="2173" w:type="dxa"/>
            <w:gridSpan w:val="2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1380" w:val="left" w:leader="none"/>
              </w:tabs>
              <w:ind w:left="255"/>
              <w:jc w:val="left"/>
              <w:rPr>
                <w:sz w:val="20"/>
              </w:rPr>
            </w:pPr>
            <w:r>
              <w:rPr>
                <w:sz w:val="20"/>
              </w:rPr>
              <w:t>(161,775)</w:t>
              <w:tab/>
              <w:t>(155,385)</w:t>
            </w:r>
          </w:p>
        </w:tc>
      </w:tr>
      <w:tr>
        <w:trPr>
          <w:trHeight w:val="270" w:hRule="atLeast"/>
        </w:trPr>
        <w:tc>
          <w:tcPr>
            <w:tcW w:w="4853" w:type="dxa"/>
          </w:tcPr>
          <w:p>
            <w:pPr>
              <w:pStyle w:val="TableParagraph"/>
              <w:spacing w:before="10"/>
              <w:ind w:right="137"/>
              <w:rPr>
                <w:sz w:val="20"/>
              </w:rPr>
            </w:pPr>
            <w:r>
              <w:rPr>
                <w:sz w:val="20"/>
              </w:rPr>
              <w:t>Issuance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upon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exercise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warrants</w:t>
            </w:r>
            <w:r>
              <w:rPr>
                <w:spacing w:val="24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</w:p>
        </w:tc>
        <w:tc>
          <w:tcPr>
            <w:tcW w:w="866" w:type="dxa"/>
          </w:tcPr>
          <w:p>
            <w:pPr>
              <w:pStyle w:val="TableParagraph"/>
              <w:spacing w:before="10"/>
              <w:ind w:right="128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97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0"/>
              <w:ind w:right="129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97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"/>
              <w:ind w:right="8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59" w:type="dxa"/>
          </w:tcPr>
          <w:p>
            <w:pPr>
              <w:pStyle w:val="TableParagraph"/>
              <w:spacing w:before="10"/>
              <w:ind w:right="9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13" w:type="dxa"/>
          </w:tcPr>
          <w:p>
            <w:pPr>
              <w:pStyle w:val="TableParagraph"/>
              <w:spacing w:before="10"/>
              <w:ind w:left="604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44" w:type="dxa"/>
          </w:tcPr>
          <w:p>
            <w:pPr>
              <w:pStyle w:val="TableParagraph"/>
              <w:spacing w:before="10"/>
              <w:ind w:right="10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"/>
              <w:ind w:right="10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094" w:type="dxa"/>
          </w:tcPr>
          <w:p>
            <w:pPr>
              <w:pStyle w:val="TableParagraph"/>
              <w:spacing w:before="10"/>
              <w:ind w:right="7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70" w:hRule="atLeast"/>
        </w:trPr>
        <w:tc>
          <w:tcPr>
            <w:tcW w:w="4853" w:type="dxa"/>
            <w:shd w:val="clear" w:color="auto" w:fill="CCEDFF"/>
          </w:tcPr>
          <w:p>
            <w:pPr>
              <w:pStyle w:val="TableParagraph"/>
              <w:spacing w:before="10"/>
              <w:ind w:right="137"/>
              <w:rPr>
                <w:sz w:val="20"/>
              </w:rPr>
            </w:pPr>
            <w:r>
              <w:rPr>
                <w:sz w:val="20"/>
              </w:rPr>
              <w:t>Issuance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upon exercise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 options</w:t>
            </w:r>
            <w:r>
              <w:rPr>
                <w:spacing w:val="23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</w:p>
        </w:tc>
        <w:tc>
          <w:tcPr>
            <w:tcW w:w="866" w:type="dxa"/>
            <w:shd w:val="clear" w:color="auto" w:fill="CCEDFF"/>
          </w:tcPr>
          <w:p>
            <w:pPr>
              <w:pStyle w:val="TableParagraph"/>
              <w:spacing w:before="10"/>
              <w:ind w:right="12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71" w:type="dxa"/>
            <w:tcBorders>
              <w:right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10"/>
              <w:ind w:right="12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75" w:type="dxa"/>
            <w:tcBorders>
              <w:left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10"/>
              <w:ind w:left="568"/>
              <w:jc w:val="left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959" w:type="dxa"/>
            <w:shd w:val="clear" w:color="auto" w:fill="CCEDFF"/>
          </w:tcPr>
          <w:p>
            <w:pPr>
              <w:pStyle w:val="TableParagraph"/>
              <w:spacing w:before="10"/>
              <w:ind w:right="9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13" w:type="dxa"/>
            <w:shd w:val="clear" w:color="auto" w:fill="CCEDFF"/>
          </w:tcPr>
          <w:p>
            <w:pPr>
              <w:pStyle w:val="TableParagraph"/>
              <w:spacing w:before="10"/>
              <w:ind w:left="504"/>
              <w:jc w:val="left"/>
              <w:rPr>
                <w:sz w:val="20"/>
              </w:rPr>
            </w:pPr>
            <w:r>
              <w:rPr>
                <w:sz w:val="20"/>
              </w:rPr>
              <w:t>979</w:t>
            </w:r>
          </w:p>
        </w:tc>
        <w:tc>
          <w:tcPr>
            <w:tcW w:w="1244" w:type="dxa"/>
            <w:shd w:val="clear" w:color="auto" w:fill="CCEDFF"/>
          </w:tcPr>
          <w:p>
            <w:pPr>
              <w:pStyle w:val="TableParagraph"/>
              <w:spacing w:before="10"/>
              <w:ind w:right="10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079" w:type="dxa"/>
            <w:shd w:val="clear" w:color="auto" w:fill="CCEDFF"/>
          </w:tcPr>
          <w:p>
            <w:pPr>
              <w:pStyle w:val="TableParagraph"/>
              <w:spacing w:before="10"/>
              <w:ind w:right="10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094" w:type="dxa"/>
            <w:shd w:val="clear" w:color="auto" w:fill="CCEDFF"/>
          </w:tcPr>
          <w:p>
            <w:pPr>
              <w:pStyle w:val="TableParagraph"/>
              <w:spacing w:before="10"/>
              <w:ind w:right="73"/>
              <w:rPr>
                <w:sz w:val="20"/>
              </w:rPr>
            </w:pPr>
            <w:r>
              <w:rPr>
                <w:sz w:val="20"/>
              </w:rPr>
              <w:t>979</w:t>
            </w:r>
          </w:p>
        </w:tc>
      </w:tr>
      <w:tr>
        <w:trPr>
          <w:trHeight w:val="270" w:hRule="atLeast"/>
        </w:trPr>
        <w:tc>
          <w:tcPr>
            <w:tcW w:w="4853" w:type="dxa"/>
          </w:tcPr>
          <w:p>
            <w:pPr>
              <w:pStyle w:val="TableParagraph"/>
              <w:spacing w:before="10"/>
              <w:ind w:right="142"/>
              <w:rPr>
                <w:sz w:val="20"/>
              </w:rPr>
            </w:pPr>
            <w:r>
              <w:rPr>
                <w:sz w:val="20"/>
              </w:rPr>
              <w:t>Stock-based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compensation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expense</w:t>
            </w:r>
            <w:r>
              <w:rPr>
                <w:spacing w:val="34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</w:p>
        </w:tc>
        <w:tc>
          <w:tcPr>
            <w:tcW w:w="866" w:type="dxa"/>
          </w:tcPr>
          <w:p>
            <w:pPr>
              <w:pStyle w:val="TableParagraph"/>
              <w:spacing w:before="10"/>
              <w:ind w:right="12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7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0"/>
              <w:ind w:right="12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7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"/>
              <w:ind w:right="8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59" w:type="dxa"/>
          </w:tcPr>
          <w:p>
            <w:pPr>
              <w:pStyle w:val="TableParagraph"/>
              <w:spacing w:before="10"/>
              <w:ind w:right="9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13" w:type="dxa"/>
          </w:tcPr>
          <w:p>
            <w:pPr>
              <w:pStyle w:val="TableParagraph"/>
              <w:spacing w:before="10"/>
              <w:ind w:left="504"/>
              <w:jc w:val="left"/>
              <w:rPr>
                <w:sz w:val="20"/>
              </w:rPr>
            </w:pPr>
            <w:r>
              <w:rPr>
                <w:sz w:val="20"/>
              </w:rPr>
              <w:t>445</w:t>
            </w:r>
          </w:p>
        </w:tc>
        <w:tc>
          <w:tcPr>
            <w:tcW w:w="1244" w:type="dxa"/>
          </w:tcPr>
          <w:p>
            <w:pPr>
              <w:pStyle w:val="TableParagraph"/>
              <w:spacing w:before="10"/>
              <w:ind w:right="10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"/>
              <w:ind w:right="10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094" w:type="dxa"/>
          </w:tcPr>
          <w:p>
            <w:pPr>
              <w:pStyle w:val="TableParagraph"/>
              <w:spacing w:before="10"/>
              <w:ind w:right="73"/>
              <w:rPr>
                <w:sz w:val="20"/>
              </w:rPr>
            </w:pPr>
            <w:r>
              <w:rPr>
                <w:sz w:val="20"/>
              </w:rPr>
              <w:t>445</w:t>
            </w:r>
          </w:p>
        </w:tc>
      </w:tr>
      <w:tr>
        <w:trPr>
          <w:trHeight w:val="270" w:hRule="atLeast"/>
        </w:trPr>
        <w:tc>
          <w:tcPr>
            <w:tcW w:w="4853" w:type="dxa"/>
            <w:shd w:val="clear" w:color="auto" w:fill="CCEDFF"/>
          </w:tcPr>
          <w:p>
            <w:pPr>
              <w:pStyle w:val="TableParagraph"/>
              <w:spacing w:before="10"/>
              <w:ind w:right="140"/>
              <w:rPr>
                <w:sz w:val="20"/>
              </w:rPr>
            </w:pPr>
            <w:r>
              <w:rPr>
                <w:sz w:val="20"/>
              </w:rPr>
              <w:t>Unrealized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loss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cash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equivalents</w:t>
            </w:r>
            <w:r>
              <w:rPr>
                <w:spacing w:val="14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</w:p>
        </w:tc>
        <w:tc>
          <w:tcPr>
            <w:tcW w:w="866" w:type="dxa"/>
            <w:shd w:val="clear" w:color="auto" w:fill="CCEDFF"/>
          </w:tcPr>
          <w:p>
            <w:pPr>
              <w:pStyle w:val="TableParagraph"/>
              <w:spacing w:before="10"/>
              <w:ind w:right="12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71" w:type="dxa"/>
            <w:tcBorders>
              <w:right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10"/>
              <w:ind w:right="12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75" w:type="dxa"/>
            <w:tcBorders>
              <w:left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10"/>
              <w:ind w:right="8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59" w:type="dxa"/>
            <w:shd w:val="clear" w:color="auto" w:fill="CCEDFF"/>
          </w:tcPr>
          <w:p>
            <w:pPr>
              <w:pStyle w:val="TableParagraph"/>
              <w:spacing w:before="10"/>
              <w:ind w:right="9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13" w:type="dxa"/>
            <w:shd w:val="clear" w:color="auto" w:fill="CCEDFF"/>
          </w:tcPr>
          <w:p>
            <w:pPr>
              <w:pStyle w:val="TableParagraph"/>
              <w:spacing w:before="10"/>
              <w:ind w:left="604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44" w:type="dxa"/>
            <w:shd w:val="clear" w:color="auto" w:fill="CCEDFF"/>
          </w:tcPr>
          <w:p>
            <w:pPr>
              <w:pStyle w:val="TableParagraph"/>
              <w:spacing w:before="10"/>
              <w:ind w:right="105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079" w:type="dxa"/>
            <w:shd w:val="clear" w:color="auto" w:fill="CCEDFF"/>
          </w:tcPr>
          <w:p>
            <w:pPr>
              <w:pStyle w:val="TableParagraph"/>
              <w:spacing w:before="10"/>
              <w:ind w:right="10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094" w:type="dxa"/>
            <w:shd w:val="clear" w:color="auto" w:fill="CCEDFF"/>
          </w:tcPr>
          <w:p>
            <w:pPr>
              <w:pStyle w:val="TableParagraph"/>
              <w:spacing w:before="10"/>
              <w:ind w:right="73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4853" w:type="dxa"/>
          </w:tcPr>
          <w:p>
            <w:pPr>
              <w:pStyle w:val="TableParagraph"/>
              <w:spacing w:line="230" w:lineRule="exact" w:before="10"/>
              <w:ind w:right="140"/>
              <w:rPr>
                <w:sz w:val="20"/>
              </w:rPr>
            </w:pPr>
            <w:r>
              <w:rPr>
                <w:sz w:val="20"/>
              </w:rPr>
              <w:t>Net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loss</w:t>
            </w:r>
            <w:r>
              <w:rPr>
                <w:spacing w:val="19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10"/>
              <w:ind w:right="12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7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10"/>
              <w:ind w:right="12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10"/>
              <w:ind w:right="8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10"/>
              <w:ind w:right="9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10"/>
              <w:ind w:left="604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10"/>
              <w:ind w:right="10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173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1480" w:val="left" w:leader="none"/>
              </w:tabs>
              <w:spacing w:line="230" w:lineRule="exact" w:before="10"/>
              <w:ind w:left="355"/>
              <w:jc w:val="left"/>
              <w:rPr>
                <w:sz w:val="20"/>
              </w:rPr>
            </w:pPr>
            <w:r>
              <w:rPr>
                <w:sz w:val="20"/>
              </w:rPr>
              <w:t>(12,606)</w:t>
              <w:tab/>
              <w:t>(12,606)</w:t>
            </w:r>
          </w:p>
        </w:tc>
      </w:tr>
      <w:tr>
        <w:trPr>
          <w:trHeight w:val="260" w:hRule="atLeast"/>
        </w:trPr>
        <w:tc>
          <w:tcPr>
            <w:tcW w:w="4853" w:type="dxa"/>
            <w:shd w:val="clear" w:color="auto" w:fill="CCEDFF"/>
          </w:tcPr>
          <w:p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Balance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June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30, 2020</w:t>
            </w:r>
            <w:r>
              <w:rPr>
                <w:spacing w:val="6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ind w:left="185"/>
              <w:jc w:val="left"/>
              <w:rPr>
                <w:sz w:val="20"/>
              </w:rPr>
            </w:pPr>
            <w:r>
              <w:rPr>
                <w:sz w:val="20"/>
              </w:rPr>
              <w:t>21,118</w:t>
            </w:r>
          </w:p>
        </w:tc>
        <w:tc>
          <w:tcPr>
            <w:tcW w:w="97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CEDFF"/>
          </w:tcPr>
          <w:p>
            <w:pPr>
              <w:pStyle w:val="TableParagraph"/>
              <w:ind w:left="169"/>
              <w:jc w:val="left"/>
              <w:rPr>
                <w:sz w:val="20"/>
              </w:rPr>
            </w:pPr>
            <w:r>
              <w:rPr>
                <w:sz w:val="20"/>
              </w:rPr>
              <w:t>173,677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CEDFF"/>
          </w:tcPr>
          <w:p>
            <w:pPr>
              <w:pStyle w:val="TableParagraph"/>
              <w:ind w:left="418"/>
              <w:jc w:val="left"/>
              <w:rPr>
                <w:sz w:val="20"/>
              </w:rPr>
            </w:pPr>
            <w:r>
              <w:rPr>
                <w:sz w:val="20"/>
              </w:rPr>
              <w:t>3,110</w:t>
            </w:r>
          </w:p>
        </w:tc>
        <w:tc>
          <w:tcPr>
            <w:tcW w:w="959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13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ind w:left="354"/>
              <w:jc w:val="left"/>
              <w:rPr>
                <w:sz w:val="20"/>
              </w:rPr>
            </w:pPr>
            <w:r>
              <w:rPr>
                <w:sz w:val="20"/>
              </w:rPr>
              <w:t>7,817</w:t>
            </w:r>
          </w:p>
        </w:tc>
        <w:tc>
          <w:tcPr>
            <w:tcW w:w="1244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ind w:right="105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173" w:type="dxa"/>
            <w:gridSpan w:val="2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1380" w:val="left" w:leader="none"/>
              </w:tabs>
              <w:ind w:left="255"/>
              <w:jc w:val="left"/>
              <w:rPr>
                <w:sz w:val="20"/>
              </w:rPr>
            </w:pPr>
            <w:r>
              <w:rPr>
                <w:sz w:val="20"/>
              </w:rPr>
              <w:t>(174,381)</w:t>
              <w:tab/>
              <w:t>(166,541)</w:t>
            </w:r>
          </w:p>
        </w:tc>
      </w:tr>
      <w:tr>
        <w:trPr>
          <w:trHeight w:val="465" w:hRule="atLeast"/>
        </w:trPr>
        <w:tc>
          <w:tcPr>
            <w:tcW w:w="4853" w:type="dxa"/>
          </w:tcPr>
          <w:p>
            <w:pPr>
              <w:pStyle w:val="TableParagraph"/>
              <w:spacing w:line="208" w:lineRule="auto" w:before="29"/>
              <w:ind w:left="472" w:right="128" w:hanging="180"/>
              <w:jc w:val="left"/>
              <w:rPr>
                <w:sz w:val="20"/>
              </w:rPr>
            </w:pPr>
            <w:r>
              <w:rPr>
                <w:sz w:val="20"/>
              </w:rPr>
              <w:t>Conversion of redeemable convertible preferred stock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common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stock</w:t>
            </w:r>
            <w:r>
              <w:rPr>
                <w:spacing w:val="1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</w:p>
        </w:tc>
        <w:tc>
          <w:tcPr>
            <w:tcW w:w="866" w:type="dxa"/>
          </w:tcPr>
          <w:p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63"/>
              <w:rPr>
                <w:sz w:val="20"/>
              </w:rPr>
            </w:pPr>
            <w:r>
              <w:rPr>
                <w:sz w:val="20"/>
              </w:rPr>
              <w:t>(1,474)</w:t>
            </w:r>
          </w:p>
        </w:tc>
        <w:tc>
          <w:tcPr>
            <w:tcW w:w="97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64"/>
              <w:rPr>
                <w:sz w:val="20"/>
              </w:rPr>
            </w:pPr>
            <w:r>
              <w:rPr>
                <w:sz w:val="20"/>
              </w:rPr>
              <w:t>(9,520)</w:t>
            </w:r>
          </w:p>
        </w:tc>
        <w:tc>
          <w:tcPr>
            <w:tcW w:w="97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418"/>
              <w:jc w:val="left"/>
              <w:rPr>
                <w:sz w:val="20"/>
              </w:rPr>
            </w:pPr>
            <w:r>
              <w:rPr>
                <w:sz w:val="20"/>
              </w:rPr>
              <w:t>1,474</w:t>
            </w:r>
          </w:p>
        </w:tc>
        <w:tc>
          <w:tcPr>
            <w:tcW w:w="959" w:type="dxa"/>
          </w:tcPr>
          <w:p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13" w:type="dxa"/>
          </w:tcPr>
          <w:p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354"/>
              <w:jc w:val="left"/>
              <w:rPr>
                <w:sz w:val="20"/>
              </w:rPr>
            </w:pPr>
            <w:r>
              <w:rPr>
                <w:sz w:val="20"/>
              </w:rPr>
              <w:t>9,520</w:t>
            </w:r>
          </w:p>
        </w:tc>
        <w:tc>
          <w:tcPr>
            <w:tcW w:w="1244" w:type="dxa"/>
          </w:tcPr>
          <w:p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10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079" w:type="dxa"/>
          </w:tcPr>
          <w:p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094" w:type="dxa"/>
          </w:tcPr>
          <w:p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9,520</w:t>
            </w:r>
          </w:p>
        </w:tc>
      </w:tr>
      <w:tr>
        <w:trPr>
          <w:trHeight w:val="270" w:hRule="atLeast"/>
        </w:trPr>
        <w:tc>
          <w:tcPr>
            <w:tcW w:w="4853" w:type="dxa"/>
            <w:shd w:val="clear" w:color="auto" w:fill="CCEDFF"/>
          </w:tcPr>
          <w:p>
            <w:pPr>
              <w:pStyle w:val="TableParagraph"/>
              <w:spacing w:before="10"/>
              <w:ind w:right="137"/>
              <w:rPr>
                <w:sz w:val="20"/>
              </w:rPr>
            </w:pPr>
            <w:r>
              <w:rPr>
                <w:sz w:val="20"/>
              </w:rPr>
              <w:t>Issuance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upon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exercise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warrants</w:t>
            </w:r>
            <w:r>
              <w:rPr>
                <w:spacing w:val="24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</w:p>
        </w:tc>
        <w:tc>
          <w:tcPr>
            <w:tcW w:w="866" w:type="dxa"/>
            <w:shd w:val="clear" w:color="auto" w:fill="CCEDFF"/>
          </w:tcPr>
          <w:p>
            <w:pPr>
              <w:pStyle w:val="TableParagraph"/>
              <w:spacing w:before="10"/>
              <w:ind w:right="128"/>
              <w:rPr>
                <w:sz w:val="20"/>
              </w:rPr>
            </w:pPr>
            <w:r>
              <w:rPr>
                <w:sz w:val="20"/>
              </w:rPr>
              <w:t>531</w:t>
            </w:r>
          </w:p>
        </w:tc>
        <w:tc>
          <w:tcPr>
            <w:tcW w:w="971" w:type="dxa"/>
            <w:tcBorders>
              <w:right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10"/>
              <w:ind w:left="369"/>
              <w:jc w:val="left"/>
              <w:rPr>
                <w:sz w:val="20"/>
              </w:rPr>
            </w:pPr>
            <w:r>
              <w:rPr>
                <w:sz w:val="20"/>
              </w:rPr>
              <w:t>3,209</w:t>
            </w:r>
          </w:p>
        </w:tc>
        <w:tc>
          <w:tcPr>
            <w:tcW w:w="975" w:type="dxa"/>
            <w:tcBorders>
              <w:left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10"/>
              <w:ind w:right="8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59" w:type="dxa"/>
            <w:shd w:val="clear" w:color="auto" w:fill="CCEDFF"/>
          </w:tcPr>
          <w:p>
            <w:pPr>
              <w:pStyle w:val="TableParagraph"/>
              <w:spacing w:before="10"/>
              <w:ind w:right="9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13" w:type="dxa"/>
            <w:shd w:val="clear" w:color="auto" w:fill="CCEDFF"/>
          </w:tcPr>
          <w:p>
            <w:pPr>
              <w:pStyle w:val="TableParagraph"/>
              <w:spacing w:before="10"/>
              <w:ind w:left="604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44" w:type="dxa"/>
            <w:shd w:val="clear" w:color="auto" w:fill="CCEDFF"/>
          </w:tcPr>
          <w:p>
            <w:pPr>
              <w:pStyle w:val="TableParagraph"/>
              <w:spacing w:before="10"/>
              <w:ind w:right="10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079" w:type="dxa"/>
            <w:shd w:val="clear" w:color="auto" w:fill="CCEDFF"/>
          </w:tcPr>
          <w:p>
            <w:pPr>
              <w:pStyle w:val="TableParagraph"/>
              <w:spacing w:before="10"/>
              <w:ind w:right="10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094" w:type="dxa"/>
            <w:shd w:val="clear" w:color="auto" w:fill="CCEDFF"/>
          </w:tcPr>
          <w:p>
            <w:pPr>
              <w:pStyle w:val="TableParagraph"/>
              <w:spacing w:before="10"/>
              <w:ind w:right="7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65" w:hRule="atLeast"/>
        </w:trPr>
        <w:tc>
          <w:tcPr>
            <w:tcW w:w="4853" w:type="dxa"/>
          </w:tcPr>
          <w:p>
            <w:pPr>
              <w:pStyle w:val="TableParagraph"/>
              <w:spacing w:line="208" w:lineRule="auto" w:before="29"/>
              <w:ind w:left="472" w:right="128" w:hanging="180"/>
              <w:jc w:val="left"/>
              <w:rPr>
                <w:sz w:val="20"/>
              </w:rPr>
            </w:pPr>
            <w:r>
              <w:rPr>
                <w:sz w:val="20"/>
              </w:rPr>
              <w:t>Issuance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redeemable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convertible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preferred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stock,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net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issuance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costs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$496</w:t>
            </w:r>
            <w:r>
              <w:rPr>
                <w:spacing w:val="32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</w:p>
        </w:tc>
        <w:tc>
          <w:tcPr>
            <w:tcW w:w="866" w:type="dxa"/>
          </w:tcPr>
          <w:p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285"/>
              <w:jc w:val="left"/>
              <w:rPr>
                <w:sz w:val="20"/>
              </w:rPr>
            </w:pPr>
            <w:r>
              <w:rPr>
                <w:sz w:val="20"/>
              </w:rPr>
              <w:t>5,227</w:t>
            </w:r>
          </w:p>
        </w:tc>
        <w:tc>
          <w:tcPr>
            <w:tcW w:w="97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269"/>
              <w:jc w:val="left"/>
              <w:rPr>
                <w:sz w:val="20"/>
              </w:rPr>
            </w:pPr>
            <w:r>
              <w:rPr>
                <w:sz w:val="20"/>
              </w:rPr>
              <w:t>76,486</w:t>
            </w:r>
          </w:p>
        </w:tc>
        <w:tc>
          <w:tcPr>
            <w:tcW w:w="97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59" w:type="dxa"/>
          </w:tcPr>
          <w:p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13" w:type="dxa"/>
          </w:tcPr>
          <w:p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604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44" w:type="dxa"/>
          </w:tcPr>
          <w:p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10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079" w:type="dxa"/>
          </w:tcPr>
          <w:p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094" w:type="dxa"/>
          </w:tcPr>
          <w:p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70" w:hRule="atLeast"/>
        </w:trPr>
        <w:tc>
          <w:tcPr>
            <w:tcW w:w="4853" w:type="dxa"/>
            <w:shd w:val="clear" w:color="auto" w:fill="CCEDFF"/>
          </w:tcPr>
          <w:p>
            <w:pPr>
              <w:pStyle w:val="TableParagraph"/>
              <w:spacing w:before="10"/>
              <w:ind w:right="137"/>
              <w:rPr>
                <w:sz w:val="20"/>
              </w:rPr>
            </w:pPr>
            <w:r>
              <w:rPr>
                <w:sz w:val="20"/>
              </w:rPr>
              <w:t>Issuance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upon exercise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 options</w:t>
            </w:r>
            <w:r>
              <w:rPr>
                <w:spacing w:val="23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</w:p>
        </w:tc>
        <w:tc>
          <w:tcPr>
            <w:tcW w:w="866" w:type="dxa"/>
            <w:shd w:val="clear" w:color="auto" w:fill="CCEDFF"/>
          </w:tcPr>
          <w:p>
            <w:pPr>
              <w:pStyle w:val="TableParagraph"/>
              <w:spacing w:before="10"/>
              <w:ind w:right="12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71" w:type="dxa"/>
            <w:tcBorders>
              <w:right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10"/>
              <w:ind w:right="12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75" w:type="dxa"/>
            <w:tcBorders>
              <w:left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10"/>
              <w:ind w:right="84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959" w:type="dxa"/>
            <w:shd w:val="clear" w:color="auto" w:fill="CCEDFF"/>
          </w:tcPr>
          <w:p>
            <w:pPr>
              <w:pStyle w:val="TableParagraph"/>
              <w:spacing w:before="10"/>
              <w:ind w:right="9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13" w:type="dxa"/>
            <w:shd w:val="clear" w:color="auto" w:fill="CCEDFF"/>
          </w:tcPr>
          <w:p>
            <w:pPr>
              <w:pStyle w:val="TableParagraph"/>
              <w:spacing w:before="10"/>
              <w:ind w:left="604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244" w:type="dxa"/>
            <w:shd w:val="clear" w:color="auto" w:fill="CCEDFF"/>
          </w:tcPr>
          <w:p>
            <w:pPr>
              <w:pStyle w:val="TableParagraph"/>
              <w:spacing w:before="10"/>
              <w:ind w:right="10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079" w:type="dxa"/>
            <w:shd w:val="clear" w:color="auto" w:fill="CCEDFF"/>
          </w:tcPr>
          <w:p>
            <w:pPr>
              <w:pStyle w:val="TableParagraph"/>
              <w:spacing w:before="10"/>
              <w:ind w:right="10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094" w:type="dxa"/>
            <w:shd w:val="clear" w:color="auto" w:fill="CCEDFF"/>
          </w:tcPr>
          <w:p>
            <w:pPr>
              <w:pStyle w:val="TableParagraph"/>
              <w:spacing w:before="10"/>
              <w:ind w:right="73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</w:tr>
      <w:tr>
        <w:trPr>
          <w:trHeight w:val="270" w:hRule="atLeast"/>
        </w:trPr>
        <w:tc>
          <w:tcPr>
            <w:tcW w:w="4853" w:type="dxa"/>
          </w:tcPr>
          <w:p>
            <w:pPr>
              <w:pStyle w:val="TableParagraph"/>
              <w:spacing w:before="10"/>
              <w:ind w:right="142"/>
              <w:rPr>
                <w:sz w:val="20"/>
              </w:rPr>
            </w:pPr>
            <w:r>
              <w:rPr>
                <w:sz w:val="20"/>
              </w:rPr>
              <w:t>Stock-based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compensation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expense</w:t>
            </w:r>
            <w:r>
              <w:rPr>
                <w:spacing w:val="34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</w:p>
        </w:tc>
        <w:tc>
          <w:tcPr>
            <w:tcW w:w="866" w:type="dxa"/>
          </w:tcPr>
          <w:p>
            <w:pPr>
              <w:pStyle w:val="TableParagraph"/>
              <w:spacing w:before="10"/>
              <w:ind w:right="12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7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0"/>
              <w:ind w:right="12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7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"/>
              <w:ind w:right="8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59" w:type="dxa"/>
          </w:tcPr>
          <w:p>
            <w:pPr>
              <w:pStyle w:val="TableParagraph"/>
              <w:spacing w:before="10"/>
              <w:ind w:right="9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13" w:type="dxa"/>
          </w:tcPr>
          <w:p>
            <w:pPr>
              <w:pStyle w:val="TableParagraph"/>
              <w:spacing w:before="10"/>
              <w:ind w:left="504"/>
              <w:jc w:val="left"/>
              <w:rPr>
                <w:sz w:val="20"/>
              </w:rPr>
            </w:pPr>
            <w:r>
              <w:rPr>
                <w:sz w:val="20"/>
              </w:rPr>
              <w:t>563</w:t>
            </w:r>
          </w:p>
        </w:tc>
        <w:tc>
          <w:tcPr>
            <w:tcW w:w="1244" w:type="dxa"/>
          </w:tcPr>
          <w:p>
            <w:pPr>
              <w:pStyle w:val="TableParagraph"/>
              <w:spacing w:before="10"/>
              <w:ind w:right="10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079" w:type="dxa"/>
          </w:tcPr>
          <w:p>
            <w:pPr>
              <w:pStyle w:val="TableParagraph"/>
              <w:spacing w:before="10"/>
              <w:ind w:right="10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094" w:type="dxa"/>
          </w:tcPr>
          <w:p>
            <w:pPr>
              <w:pStyle w:val="TableParagraph"/>
              <w:spacing w:before="10"/>
              <w:ind w:right="73"/>
              <w:rPr>
                <w:sz w:val="20"/>
              </w:rPr>
            </w:pPr>
            <w:r>
              <w:rPr>
                <w:sz w:val="20"/>
              </w:rPr>
              <w:t>563</w:t>
            </w:r>
          </w:p>
        </w:tc>
      </w:tr>
      <w:tr>
        <w:trPr>
          <w:trHeight w:val="270" w:hRule="atLeast"/>
        </w:trPr>
        <w:tc>
          <w:tcPr>
            <w:tcW w:w="4853" w:type="dxa"/>
            <w:shd w:val="clear" w:color="auto" w:fill="CCEDFF"/>
          </w:tcPr>
          <w:p>
            <w:pPr>
              <w:pStyle w:val="TableParagraph"/>
              <w:spacing w:before="10"/>
              <w:ind w:right="140"/>
              <w:rPr>
                <w:sz w:val="20"/>
              </w:rPr>
            </w:pPr>
            <w:r>
              <w:rPr>
                <w:sz w:val="20"/>
              </w:rPr>
              <w:t>Unrealized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loss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cash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equivalents</w:t>
            </w:r>
            <w:r>
              <w:rPr>
                <w:spacing w:val="14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</w:p>
        </w:tc>
        <w:tc>
          <w:tcPr>
            <w:tcW w:w="866" w:type="dxa"/>
            <w:shd w:val="clear" w:color="auto" w:fill="CCEDFF"/>
          </w:tcPr>
          <w:p>
            <w:pPr>
              <w:pStyle w:val="TableParagraph"/>
              <w:spacing w:before="10"/>
              <w:ind w:right="12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71" w:type="dxa"/>
            <w:tcBorders>
              <w:right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10"/>
              <w:ind w:right="12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75" w:type="dxa"/>
            <w:tcBorders>
              <w:left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10"/>
              <w:ind w:right="8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59" w:type="dxa"/>
            <w:shd w:val="clear" w:color="auto" w:fill="CCEDFF"/>
          </w:tcPr>
          <w:p>
            <w:pPr>
              <w:pStyle w:val="TableParagraph"/>
              <w:spacing w:before="10"/>
              <w:ind w:right="9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13" w:type="dxa"/>
            <w:shd w:val="clear" w:color="auto" w:fill="CCEDFF"/>
          </w:tcPr>
          <w:p>
            <w:pPr>
              <w:pStyle w:val="TableParagraph"/>
              <w:spacing w:before="10"/>
              <w:ind w:left="604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44" w:type="dxa"/>
            <w:shd w:val="clear" w:color="auto" w:fill="CCEDFF"/>
          </w:tcPr>
          <w:p>
            <w:pPr>
              <w:pStyle w:val="TableParagraph"/>
              <w:spacing w:before="10"/>
              <w:ind w:right="40"/>
              <w:rPr>
                <w:sz w:val="20"/>
              </w:rPr>
            </w:pPr>
            <w:r>
              <w:rPr>
                <w:sz w:val="20"/>
              </w:rPr>
              <w:t>(16)</w:t>
            </w:r>
          </w:p>
        </w:tc>
        <w:tc>
          <w:tcPr>
            <w:tcW w:w="2173" w:type="dxa"/>
            <w:gridSpan w:val="2"/>
            <w:shd w:val="clear" w:color="auto" w:fill="CCEDFF"/>
          </w:tcPr>
          <w:p>
            <w:pPr>
              <w:pStyle w:val="TableParagraph"/>
              <w:tabs>
                <w:tab w:pos="1830" w:val="left" w:leader="none"/>
              </w:tabs>
              <w:spacing w:before="10"/>
              <w:ind w:left="77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  <w:tab/>
              <w:t>(16)</w:t>
            </w:r>
          </w:p>
        </w:tc>
      </w:tr>
      <w:tr>
        <w:trPr>
          <w:trHeight w:val="260" w:hRule="atLeast"/>
        </w:trPr>
        <w:tc>
          <w:tcPr>
            <w:tcW w:w="4853" w:type="dxa"/>
          </w:tcPr>
          <w:p>
            <w:pPr>
              <w:pStyle w:val="TableParagraph"/>
              <w:spacing w:line="230" w:lineRule="exact" w:before="10"/>
              <w:ind w:right="140"/>
              <w:rPr>
                <w:sz w:val="20"/>
              </w:rPr>
            </w:pPr>
            <w:r>
              <w:rPr>
                <w:sz w:val="20"/>
              </w:rPr>
              <w:t>Net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loss</w:t>
            </w:r>
            <w:r>
              <w:rPr>
                <w:spacing w:val="19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10"/>
              <w:ind w:right="12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7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10"/>
              <w:ind w:right="12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10"/>
              <w:ind w:right="8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10"/>
              <w:ind w:right="9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9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10"/>
              <w:ind w:left="604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10"/>
              <w:ind w:right="10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173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1480" w:val="left" w:leader="none"/>
              </w:tabs>
              <w:spacing w:line="230" w:lineRule="exact" w:before="10"/>
              <w:ind w:left="355"/>
              <w:jc w:val="left"/>
              <w:rPr>
                <w:sz w:val="20"/>
              </w:rPr>
            </w:pPr>
            <w:r>
              <w:rPr>
                <w:sz w:val="20"/>
              </w:rPr>
              <w:t>(12,008)</w:t>
              <w:tab/>
              <w:t>(12,008)</w:t>
            </w:r>
          </w:p>
        </w:tc>
      </w:tr>
      <w:tr>
        <w:trPr>
          <w:trHeight w:val="255" w:hRule="atLeast"/>
        </w:trPr>
        <w:tc>
          <w:tcPr>
            <w:tcW w:w="5719" w:type="dxa"/>
            <w:gridSpan w:val="2"/>
            <w:shd w:val="clear" w:color="auto" w:fill="CCEDFF"/>
          </w:tcPr>
          <w:p>
            <w:pPr>
              <w:pStyle w:val="TableParagraph"/>
              <w:tabs>
                <w:tab w:pos="4769" w:val="left" w:leader="dot"/>
                <w:tab w:pos="5038" w:val="left" w:leader="none"/>
              </w:tabs>
              <w:spacing w:line="215" w:lineRule="exact"/>
              <w:ind w:left="52" w:right="-72"/>
              <w:jc w:val="left"/>
              <w:rPr>
                <w:sz w:val="20"/>
              </w:rPr>
            </w:pPr>
            <w:r>
              <w:rPr>
                <w:sz w:val="20"/>
              </w:rPr>
              <w:t>Balance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September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30,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2020 </w:t>
              <w:tab/>
            </w:r>
            <w:r>
              <w:rPr>
                <w:sz w:val="20"/>
                <w:u w:val="single"/>
              </w:rPr>
              <w:t> </w:t>
              <w:tab/>
              <w:t>25,402</w:t>
            </w:r>
            <w:r>
              <w:rPr>
                <w:spacing w:val="-6"/>
                <w:sz w:val="20"/>
                <w:u w:val="single"/>
              </w:rPr>
              <w:t> </w:t>
            </w:r>
          </w:p>
        </w:tc>
        <w:tc>
          <w:tcPr>
            <w:tcW w:w="97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224" w:lineRule="exact"/>
              <w:ind w:left="53"/>
              <w:jc w:val="left"/>
              <w:rPr>
                <w:sz w:val="20"/>
              </w:rPr>
            </w:pPr>
            <w:r>
              <w:rPr>
                <w:sz w:val="20"/>
                <w:u w:val="single"/>
              </w:rPr>
              <w:t>$</w:t>
            </w:r>
            <w:r>
              <w:rPr>
                <w:spacing w:val="-35"/>
                <w:sz w:val="20"/>
              </w:rPr>
              <w:t> </w:t>
            </w:r>
            <w:r>
              <w:rPr>
                <w:sz w:val="20"/>
                <w:u w:val="single"/>
              </w:rPr>
              <w:t>243,852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418" w:val="left" w:leader="none"/>
              </w:tabs>
              <w:spacing w:line="224" w:lineRule="exact"/>
              <w:ind w:left="50" w:right="-116"/>
              <w:jc w:val="left"/>
              <w:rPr>
                <w:sz w:val="20"/>
              </w:rPr>
            </w:pP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  <w:u w:val="single"/>
              </w:rPr>
              <w:t>4,620</w:t>
            </w:r>
            <w:r>
              <w:rPr>
                <w:spacing w:val="-6"/>
                <w:sz w:val="20"/>
                <w:u w:val="single"/>
              </w:rPr>
              <w:t> </w:t>
            </w:r>
          </w:p>
        </w:tc>
        <w:tc>
          <w:tcPr>
            <w:tcW w:w="95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663" w:val="left" w:leader="none"/>
              </w:tabs>
              <w:spacing w:line="224" w:lineRule="exact"/>
              <w:ind w:left="97" w:right="-101"/>
              <w:jc w:val="left"/>
              <w:rPr>
                <w:sz w:val="20"/>
              </w:rPr>
            </w:pPr>
            <w:r>
              <w:rPr>
                <w:sz w:val="20"/>
                <w:u w:val="single"/>
              </w:rPr>
              <w:t>$</w:t>
              <w:tab/>
              <w:t>—</w:t>
            </w:r>
            <w:r>
              <w:rPr>
                <w:spacing w:val="-6"/>
                <w:sz w:val="20"/>
                <w:u w:val="single"/>
              </w:rPr>
              <w:t> </w:t>
            </w:r>
          </w:p>
        </w:tc>
        <w:tc>
          <w:tcPr>
            <w:tcW w:w="91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224" w:lineRule="exact"/>
              <w:ind w:left="98" w:right="-87"/>
              <w:jc w:val="left"/>
              <w:rPr>
                <w:sz w:val="20"/>
              </w:rPr>
            </w:pPr>
            <w:r>
              <w:rPr>
                <w:sz w:val="20"/>
                <w:u w:val="single"/>
              </w:rPr>
              <w:t>$</w:t>
            </w:r>
            <w:r>
              <w:rPr>
                <w:spacing w:val="5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17,951</w:t>
            </w:r>
            <w:r>
              <w:rPr>
                <w:spacing w:val="-6"/>
                <w:sz w:val="20"/>
                <w:u w:val="single"/>
              </w:rPr>
              <w:t> </w:t>
            </w:r>
          </w:p>
        </w:tc>
        <w:tc>
          <w:tcPr>
            <w:tcW w:w="124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1036" w:val="left" w:leader="none"/>
              </w:tabs>
              <w:spacing w:line="224" w:lineRule="exact"/>
              <w:ind w:left="85" w:right="-101"/>
              <w:jc w:val="left"/>
              <w:rPr>
                <w:sz w:val="20"/>
              </w:rPr>
            </w:pPr>
            <w:r>
              <w:rPr>
                <w:sz w:val="20"/>
                <w:u w:val="single"/>
              </w:rPr>
              <w:t>$</w:t>
              <w:tab/>
              <w:t>7</w:t>
            </w:r>
            <w:r>
              <w:rPr>
                <w:spacing w:val="-6"/>
                <w:sz w:val="20"/>
                <w:u w:val="single"/>
              </w:rPr>
              <w:t> </w:t>
            </w:r>
          </w:p>
        </w:tc>
        <w:tc>
          <w:tcPr>
            <w:tcW w:w="2173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224" w:lineRule="exact"/>
              <w:ind w:left="86"/>
              <w:jc w:val="left"/>
              <w:rPr>
                <w:sz w:val="20"/>
              </w:rPr>
            </w:pPr>
            <w:r>
              <w:rPr>
                <w:sz w:val="20"/>
                <w:u w:val="single"/>
              </w:rPr>
              <w:t>$</w:t>
            </w:r>
            <w:r>
              <w:rPr>
                <w:spacing w:val="1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(186,389)</w:t>
            </w:r>
            <w:r>
              <w:rPr>
                <w:spacing w:val="77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$</w:t>
            </w:r>
            <w:r>
              <w:rPr>
                <w:spacing w:val="64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(168,431)</w:t>
            </w:r>
          </w:p>
        </w:tc>
      </w:tr>
    </w:tbl>
    <w:p>
      <w:pPr>
        <w:pStyle w:val="BodyText"/>
        <w:spacing w:before="82"/>
        <w:ind w:left="192" w:right="210" w:firstLine="0"/>
        <w:jc w:val="center"/>
      </w:pPr>
      <w:r>
        <w:rPr/>
        <w:t>The</w:t>
      </w:r>
      <w:r>
        <w:rPr>
          <w:spacing w:val="-5"/>
        </w:rPr>
        <w:t> </w:t>
      </w:r>
      <w:r>
        <w:rPr/>
        <w:t>accompanying</w:t>
      </w:r>
      <w:r>
        <w:rPr>
          <w:spacing w:val="-3"/>
        </w:rPr>
        <w:t> </w:t>
      </w:r>
      <w:r>
        <w:rPr/>
        <w:t>notes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an</w:t>
      </w:r>
      <w:r>
        <w:rPr>
          <w:spacing w:val="-3"/>
        </w:rPr>
        <w:t> </w:t>
      </w:r>
      <w:r>
        <w:rPr/>
        <w:t>integral</w:t>
      </w:r>
      <w:r>
        <w:rPr>
          <w:spacing w:val="-4"/>
        </w:rPr>
        <w:t> </w:t>
      </w:r>
      <w:r>
        <w:rPr/>
        <w:t>part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these</w:t>
      </w:r>
      <w:r>
        <w:rPr>
          <w:spacing w:val="-4"/>
        </w:rPr>
        <w:t> </w:t>
      </w:r>
      <w:r>
        <w:rPr/>
        <w:t>condensed</w:t>
      </w:r>
      <w:r>
        <w:rPr>
          <w:spacing w:val="-3"/>
        </w:rPr>
        <w:t> </w:t>
      </w:r>
      <w:r>
        <w:rPr/>
        <w:t>consolidated</w:t>
      </w:r>
      <w:r>
        <w:rPr>
          <w:spacing w:val="-4"/>
        </w:rPr>
        <w:t> </w:t>
      </w:r>
      <w:r>
        <w:rPr/>
        <w:t>financial</w:t>
      </w:r>
      <w:r>
        <w:rPr>
          <w:spacing w:val="-4"/>
        </w:rPr>
        <w:t> </w:t>
      </w:r>
      <w:r>
        <w:rPr/>
        <w:t>statements.</w:t>
      </w:r>
    </w:p>
    <w:p>
      <w:pPr>
        <w:spacing w:after="0"/>
        <w:jc w:val="center"/>
        <w:sectPr>
          <w:pgSz w:w="15840" w:h="12240" w:orient="landscape"/>
          <w:pgMar w:header="0" w:footer="471" w:top="1140" w:bottom="660" w:left="1340" w:right="1320"/>
        </w:sectPr>
      </w:pPr>
    </w:p>
    <w:p>
      <w:pPr>
        <w:spacing w:before="68"/>
        <w:ind w:left="269" w:right="286" w:firstLine="0"/>
        <w:jc w:val="center"/>
        <w:rPr>
          <w:b/>
          <w:sz w:val="20"/>
        </w:rPr>
      </w:pPr>
      <w:bookmarkStart w:name="Statements of Cash Flows" w:id="14"/>
      <w:bookmarkEnd w:id="14"/>
      <w:r>
        <w:rPr/>
      </w:r>
      <w:bookmarkStart w:name="_bookmark5" w:id="15"/>
      <w:bookmarkEnd w:id="15"/>
      <w:r>
        <w:rPr/>
      </w:r>
      <w:r>
        <w:rPr>
          <w:b/>
          <w:sz w:val="20"/>
        </w:rPr>
        <w:t>PROCEPT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BioRobotics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Corporation</w:t>
      </w:r>
    </w:p>
    <w:p>
      <w:pPr>
        <w:pStyle w:val="Heading1"/>
        <w:ind w:left="269" w:right="286"/>
      </w:pPr>
      <w:r>
        <w:rPr/>
        <w:t>CONDENSED</w:t>
      </w:r>
      <w:r>
        <w:rPr>
          <w:spacing w:val="-7"/>
        </w:rPr>
        <w:t> </w:t>
      </w:r>
      <w:r>
        <w:rPr/>
        <w:t>CONSOLIDATED</w:t>
      </w:r>
      <w:r>
        <w:rPr>
          <w:spacing w:val="-6"/>
        </w:rPr>
        <w:t> </w:t>
      </w:r>
      <w:r>
        <w:rPr/>
        <w:t>STATEMENTS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CASH</w:t>
      </w:r>
      <w:r>
        <w:rPr>
          <w:spacing w:val="-6"/>
        </w:rPr>
        <w:t> </w:t>
      </w:r>
      <w:r>
        <w:rPr/>
        <w:t>FLOWS</w:t>
      </w:r>
    </w:p>
    <w:p>
      <w:pPr>
        <w:pStyle w:val="Heading2"/>
        <w:spacing w:line="249" w:lineRule="auto" w:before="10"/>
        <w:ind w:left="3918" w:right="3936"/>
        <w:jc w:val="center"/>
      </w:pPr>
      <w:r>
        <w:rPr/>
        <w:t>(in thousands)</w:t>
      </w:r>
      <w:r>
        <w:rPr>
          <w:spacing w:val="-48"/>
        </w:rPr>
        <w:t> </w:t>
      </w:r>
      <w:r>
        <w:rPr/>
        <w:t>(unaudited)</w:t>
      </w:r>
    </w:p>
    <w:p>
      <w:pPr>
        <w:spacing w:before="80" w:after="30"/>
        <w:ind w:left="0" w:right="259" w:firstLine="0"/>
        <w:jc w:val="right"/>
        <w:rPr>
          <w:b/>
          <w:sz w:val="16"/>
        </w:rPr>
      </w:pPr>
      <w:r>
        <w:rPr>
          <w:b/>
          <w:sz w:val="16"/>
        </w:rPr>
        <w:t>Nine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Months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Ended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September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30,</w:t>
      </w: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90"/>
        <w:gridCol w:w="1354"/>
        <w:gridCol w:w="1316"/>
      </w:tblGrid>
      <w:tr>
        <w:trPr>
          <w:trHeight w:val="220" w:hRule="atLeast"/>
        </w:trPr>
        <w:tc>
          <w:tcPr>
            <w:tcW w:w="6690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5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4" w:lineRule="exact" w:before="16"/>
              <w:ind w:left="145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</w:p>
        </w:tc>
        <w:tc>
          <w:tcPr>
            <w:tcW w:w="131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4" w:lineRule="exact" w:before="16"/>
              <w:ind w:left="176" w:right="1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</w:p>
        </w:tc>
      </w:tr>
      <w:tr>
        <w:trPr>
          <w:trHeight w:val="245" w:hRule="atLeast"/>
        </w:trPr>
        <w:tc>
          <w:tcPr>
            <w:tcW w:w="6690" w:type="dxa"/>
            <w:shd w:val="clear" w:color="auto" w:fill="CCEDFF"/>
          </w:tcPr>
          <w:p>
            <w:pPr>
              <w:pStyle w:val="TableParagraph"/>
              <w:spacing w:before="8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Cash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flows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from operating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activities:</w:t>
            </w:r>
          </w:p>
        </w:tc>
        <w:tc>
          <w:tcPr>
            <w:tcW w:w="1354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16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6690" w:type="dxa"/>
          </w:tcPr>
          <w:p>
            <w:pPr>
              <w:pStyle w:val="TableParagraph"/>
              <w:spacing w:before="1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Net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loss</w:t>
            </w:r>
            <w:r>
              <w:rPr>
                <w:spacing w:val="10"/>
                <w:sz w:val="18"/>
              </w:rPr>
              <w:t> </w:t>
            </w:r>
            <w:r>
              <w:rPr>
                <w:color w:val="B3B3B3"/>
                <w:sz w:val="18"/>
              </w:rPr>
              <w:t>. . . . . . . . . . . . . . . . . . . . . . . . . . . . . . . . . . .</w:t>
            </w:r>
            <w:r>
              <w:rPr>
                <w:color w:val="B3B3B3"/>
                <w:spacing w:val="-1"/>
                <w:sz w:val="18"/>
              </w:rPr>
              <w:t> </w:t>
            </w:r>
            <w:r>
              <w:rPr>
                <w:color w:val="B3B3B3"/>
                <w:sz w:val="18"/>
              </w:rPr>
              <w:t>. . . . . . . . . . . . . . . . . . . . . . . . . . . . . . .</w:t>
            </w:r>
          </w:p>
        </w:tc>
        <w:tc>
          <w:tcPr>
            <w:tcW w:w="1354" w:type="dxa"/>
          </w:tcPr>
          <w:p>
            <w:pPr>
              <w:pStyle w:val="TableParagraph"/>
              <w:tabs>
                <w:tab w:pos="622" w:val="left" w:leader="none"/>
              </w:tabs>
              <w:spacing w:before="18"/>
              <w:ind w:right="61"/>
              <w:rPr>
                <w:sz w:val="18"/>
              </w:rPr>
            </w:pPr>
            <w:r>
              <w:rPr>
                <w:sz w:val="18"/>
              </w:rPr>
              <w:t>$</w:t>
              <w:tab/>
              <w:t>(41,505)</w:t>
            </w:r>
          </w:p>
        </w:tc>
        <w:tc>
          <w:tcPr>
            <w:tcW w:w="1316" w:type="dxa"/>
          </w:tcPr>
          <w:p>
            <w:pPr>
              <w:pStyle w:val="TableParagraph"/>
              <w:tabs>
                <w:tab w:pos="622" w:val="left" w:leader="none"/>
              </w:tabs>
              <w:spacing w:before="18"/>
              <w:ind w:right="12"/>
              <w:rPr>
                <w:sz w:val="18"/>
              </w:rPr>
            </w:pPr>
            <w:r>
              <w:rPr>
                <w:sz w:val="18"/>
              </w:rPr>
              <w:t>$</w:t>
              <w:tab/>
              <w:t>(37,741)</w:t>
            </w:r>
          </w:p>
        </w:tc>
      </w:tr>
      <w:tr>
        <w:trPr>
          <w:trHeight w:val="255" w:hRule="atLeast"/>
        </w:trPr>
        <w:tc>
          <w:tcPr>
            <w:tcW w:w="6690" w:type="dxa"/>
            <w:shd w:val="clear" w:color="auto" w:fill="CCEDFF"/>
          </w:tcPr>
          <w:p>
            <w:pPr>
              <w:pStyle w:val="TableParagraph"/>
              <w:spacing w:before="18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Adjustments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reconcile net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loss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cash used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 operating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activities:</w:t>
            </w:r>
          </w:p>
        </w:tc>
        <w:tc>
          <w:tcPr>
            <w:tcW w:w="1354" w:type="dxa"/>
            <w:shd w:val="clear" w:color="auto" w:fill="CCEDFF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16" w:type="dxa"/>
            <w:shd w:val="clear" w:color="auto" w:fill="CCEDFF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6690" w:type="dxa"/>
          </w:tcPr>
          <w:p>
            <w:pPr>
              <w:pStyle w:val="TableParagraph"/>
              <w:spacing w:before="18"/>
              <w:ind w:right="52"/>
              <w:rPr>
                <w:sz w:val="18"/>
              </w:rPr>
            </w:pPr>
            <w:r>
              <w:rPr>
                <w:sz w:val="18"/>
              </w:rPr>
              <w:t>Depreciation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and amortization</w:t>
            </w:r>
            <w:r>
              <w:rPr>
                <w:spacing w:val="13"/>
                <w:sz w:val="18"/>
              </w:rPr>
              <w:t> </w:t>
            </w:r>
            <w:r>
              <w:rPr>
                <w:color w:val="B3B3B3"/>
                <w:sz w:val="18"/>
              </w:rPr>
              <w:t>. . . . . . . . . . . . . . . . . . . . . . . . . . . . . . . . . . . . . . . . . . . . . .</w:t>
            </w:r>
          </w:p>
        </w:tc>
        <w:tc>
          <w:tcPr>
            <w:tcW w:w="1354" w:type="dxa"/>
          </w:tcPr>
          <w:p>
            <w:pPr>
              <w:pStyle w:val="TableParagraph"/>
              <w:spacing w:before="18"/>
              <w:ind w:right="121"/>
              <w:rPr>
                <w:sz w:val="18"/>
              </w:rPr>
            </w:pPr>
            <w:r>
              <w:rPr>
                <w:sz w:val="18"/>
              </w:rPr>
              <w:t>2,561</w:t>
            </w:r>
          </w:p>
        </w:tc>
        <w:tc>
          <w:tcPr>
            <w:tcW w:w="1316" w:type="dxa"/>
          </w:tcPr>
          <w:p>
            <w:pPr>
              <w:pStyle w:val="TableParagraph"/>
              <w:spacing w:before="18"/>
              <w:ind w:right="72"/>
              <w:rPr>
                <w:sz w:val="18"/>
              </w:rPr>
            </w:pPr>
            <w:r>
              <w:rPr>
                <w:sz w:val="18"/>
              </w:rPr>
              <w:t>2,145</w:t>
            </w:r>
          </w:p>
        </w:tc>
      </w:tr>
      <w:tr>
        <w:trPr>
          <w:trHeight w:val="255" w:hRule="atLeast"/>
        </w:trPr>
        <w:tc>
          <w:tcPr>
            <w:tcW w:w="6690" w:type="dxa"/>
            <w:shd w:val="clear" w:color="auto" w:fill="CCEDFF"/>
          </w:tcPr>
          <w:p>
            <w:pPr>
              <w:pStyle w:val="TableParagraph"/>
              <w:spacing w:before="18"/>
              <w:ind w:right="52"/>
              <w:rPr>
                <w:sz w:val="18"/>
              </w:rPr>
            </w:pPr>
            <w:r>
              <w:rPr>
                <w:sz w:val="18"/>
              </w:rPr>
              <w:t>Stock-based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compensation expense</w:t>
            </w:r>
            <w:r>
              <w:rPr>
                <w:spacing w:val="13"/>
                <w:sz w:val="18"/>
              </w:rPr>
              <w:t> </w:t>
            </w:r>
            <w:r>
              <w:rPr>
                <w:color w:val="B3B3B3"/>
                <w:sz w:val="18"/>
              </w:rPr>
              <w:t>. . . . . . . . .</w:t>
            </w:r>
            <w:r>
              <w:rPr>
                <w:color w:val="B3B3B3"/>
                <w:spacing w:val="-1"/>
                <w:sz w:val="18"/>
              </w:rPr>
              <w:t> </w:t>
            </w:r>
            <w:r>
              <w:rPr>
                <w:color w:val="B3B3B3"/>
                <w:sz w:val="18"/>
              </w:rPr>
              <w:t>. . . . . . . . . . .</w:t>
            </w:r>
            <w:r>
              <w:rPr>
                <w:color w:val="B3B3B3"/>
                <w:spacing w:val="-1"/>
                <w:sz w:val="18"/>
              </w:rPr>
              <w:t> </w:t>
            </w:r>
            <w:r>
              <w:rPr>
                <w:color w:val="B3B3B3"/>
                <w:sz w:val="18"/>
              </w:rPr>
              <w:t>. . . . . . . . . . . .</w:t>
            </w:r>
            <w:r>
              <w:rPr>
                <w:color w:val="B3B3B3"/>
                <w:spacing w:val="-1"/>
                <w:sz w:val="18"/>
              </w:rPr>
              <w:t> </w:t>
            </w:r>
            <w:r>
              <w:rPr>
                <w:color w:val="B3B3B3"/>
                <w:sz w:val="18"/>
              </w:rPr>
              <w:t>. . . . . . . . . .</w:t>
            </w:r>
          </w:p>
        </w:tc>
        <w:tc>
          <w:tcPr>
            <w:tcW w:w="1354" w:type="dxa"/>
            <w:shd w:val="clear" w:color="auto" w:fill="CCEDFF"/>
          </w:tcPr>
          <w:p>
            <w:pPr>
              <w:pStyle w:val="TableParagraph"/>
              <w:spacing w:before="18"/>
              <w:ind w:right="121"/>
              <w:rPr>
                <w:sz w:val="18"/>
              </w:rPr>
            </w:pPr>
            <w:r>
              <w:rPr>
                <w:sz w:val="18"/>
              </w:rPr>
              <w:t>2,300</w:t>
            </w:r>
          </w:p>
        </w:tc>
        <w:tc>
          <w:tcPr>
            <w:tcW w:w="1316" w:type="dxa"/>
            <w:shd w:val="clear" w:color="auto" w:fill="CCEDFF"/>
          </w:tcPr>
          <w:p>
            <w:pPr>
              <w:pStyle w:val="TableParagraph"/>
              <w:spacing w:before="18"/>
              <w:ind w:right="72"/>
              <w:rPr>
                <w:sz w:val="18"/>
              </w:rPr>
            </w:pPr>
            <w:r>
              <w:rPr>
                <w:sz w:val="18"/>
              </w:rPr>
              <w:t>1,569</w:t>
            </w:r>
          </w:p>
        </w:tc>
      </w:tr>
      <w:tr>
        <w:trPr>
          <w:trHeight w:val="227" w:hRule="atLeast"/>
        </w:trPr>
        <w:tc>
          <w:tcPr>
            <w:tcW w:w="6690" w:type="dxa"/>
          </w:tcPr>
          <w:p>
            <w:pPr>
              <w:pStyle w:val="TableParagraph"/>
              <w:spacing w:line="195" w:lineRule="exact" w:before="12"/>
              <w:ind w:left="292"/>
              <w:jc w:val="left"/>
              <w:rPr>
                <w:sz w:val="18"/>
              </w:rPr>
            </w:pPr>
            <w:r>
              <w:rPr>
                <w:sz w:val="18"/>
              </w:rPr>
              <w:t>Change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 fair value of redeemable convertible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preferred stock warrants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and derivative</w:t>
            </w:r>
          </w:p>
        </w:tc>
        <w:tc>
          <w:tcPr>
            <w:tcW w:w="135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6690" w:type="dxa"/>
          </w:tcPr>
          <w:p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liability</w:t>
            </w:r>
            <w:r>
              <w:rPr>
                <w:spacing w:val="22"/>
                <w:sz w:val="18"/>
              </w:rPr>
              <w:t> </w:t>
            </w:r>
            <w:r>
              <w:rPr>
                <w:color w:val="B3B3B3"/>
                <w:sz w:val="18"/>
              </w:rPr>
              <w:t>. . . . . . . . . . . . . . . . . . . . . . . . . . . . . . . . . . . . . . . . . . . . . . . . . . . . . . . . . . . . . .</w:t>
            </w:r>
          </w:p>
        </w:tc>
        <w:tc>
          <w:tcPr>
            <w:tcW w:w="1354" w:type="dxa"/>
          </w:tcPr>
          <w:p>
            <w:pPr>
              <w:pStyle w:val="TableParagraph"/>
              <w:ind w:right="61"/>
              <w:rPr>
                <w:sz w:val="18"/>
              </w:rPr>
            </w:pPr>
            <w:r>
              <w:rPr>
                <w:sz w:val="18"/>
              </w:rPr>
              <w:t>(235)</w:t>
            </w:r>
          </w:p>
        </w:tc>
        <w:tc>
          <w:tcPr>
            <w:tcW w:w="1316" w:type="dxa"/>
          </w:tcPr>
          <w:p>
            <w:pPr>
              <w:pStyle w:val="TableParagraph"/>
              <w:ind w:right="12"/>
              <w:rPr>
                <w:sz w:val="18"/>
              </w:rPr>
            </w:pPr>
            <w:r>
              <w:rPr>
                <w:sz w:val="18"/>
              </w:rPr>
              <w:t>(408)</w:t>
            </w:r>
          </w:p>
        </w:tc>
      </w:tr>
      <w:tr>
        <w:trPr>
          <w:trHeight w:val="255" w:hRule="atLeast"/>
        </w:trPr>
        <w:tc>
          <w:tcPr>
            <w:tcW w:w="6690" w:type="dxa"/>
            <w:shd w:val="clear" w:color="auto" w:fill="CCEDFF"/>
          </w:tcPr>
          <w:p>
            <w:pPr>
              <w:pStyle w:val="TableParagraph"/>
              <w:spacing w:before="18"/>
              <w:ind w:right="53"/>
              <w:rPr>
                <w:sz w:val="18"/>
              </w:rPr>
            </w:pPr>
            <w:r>
              <w:rPr>
                <w:sz w:val="18"/>
              </w:rPr>
              <w:t>Non-cash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lease expense</w:t>
            </w:r>
            <w:r>
              <w:rPr>
                <w:spacing w:val="32"/>
                <w:sz w:val="18"/>
              </w:rPr>
              <w:t> </w:t>
            </w:r>
            <w:r>
              <w:rPr>
                <w:color w:val="B3B3B3"/>
                <w:sz w:val="18"/>
              </w:rPr>
              <w:t>. . . . . . . . . . .</w:t>
            </w:r>
            <w:r>
              <w:rPr>
                <w:color w:val="B3B3B3"/>
                <w:spacing w:val="-1"/>
                <w:sz w:val="18"/>
              </w:rPr>
              <w:t> </w:t>
            </w:r>
            <w:r>
              <w:rPr>
                <w:color w:val="B3B3B3"/>
                <w:sz w:val="18"/>
              </w:rPr>
              <w:t>. . . . . . . . . . . . .</w:t>
            </w:r>
            <w:r>
              <w:rPr>
                <w:color w:val="B3B3B3"/>
                <w:spacing w:val="-1"/>
                <w:sz w:val="18"/>
              </w:rPr>
              <w:t> </w:t>
            </w:r>
            <w:r>
              <w:rPr>
                <w:color w:val="B3B3B3"/>
                <w:sz w:val="18"/>
              </w:rPr>
              <w:t>. . . . . . . . . . . . . .</w:t>
            </w:r>
            <w:r>
              <w:rPr>
                <w:color w:val="B3B3B3"/>
                <w:spacing w:val="-1"/>
                <w:sz w:val="18"/>
              </w:rPr>
              <w:t> </w:t>
            </w:r>
            <w:r>
              <w:rPr>
                <w:color w:val="B3B3B3"/>
                <w:sz w:val="18"/>
              </w:rPr>
              <w:t>. . . . . . . . . . . . .</w:t>
            </w:r>
          </w:p>
        </w:tc>
        <w:tc>
          <w:tcPr>
            <w:tcW w:w="1354" w:type="dxa"/>
            <w:shd w:val="clear" w:color="auto" w:fill="CCEDFF"/>
          </w:tcPr>
          <w:p>
            <w:pPr>
              <w:pStyle w:val="TableParagraph"/>
              <w:spacing w:before="18"/>
              <w:ind w:right="61"/>
              <w:rPr>
                <w:sz w:val="18"/>
              </w:rPr>
            </w:pPr>
            <w:r>
              <w:rPr>
                <w:sz w:val="18"/>
              </w:rPr>
              <w:t>(249)</w:t>
            </w:r>
          </w:p>
        </w:tc>
        <w:tc>
          <w:tcPr>
            <w:tcW w:w="1316" w:type="dxa"/>
            <w:shd w:val="clear" w:color="auto" w:fill="CCEDFF"/>
          </w:tcPr>
          <w:p>
            <w:pPr>
              <w:pStyle w:val="TableParagraph"/>
              <w:spacing w:before="18"/>
              <w:ind w:right="12"/>
              <w:rPr>
                <w:sz w:val="18"/>
              </w:rPr>
            </w:pPr>
            <w:r>
              <w:rPr>
                <w:sz w:val="18"/>
              </w:rPr>
              <w:t>(82)</w:t>
            </w:r>
          </w:p>
        </w:tc>
      </w:tr>
      <w:tr>
        <w:trPr>
          <w:trHeight w:val="255" w:hRule="atLeast"/>
        </w:trPr>
        <w:tc>
          <w:tcPr>
            <w:tcW w:w="6690" w:type="dxa"/>
          </w:tcPr>
          <w:p>
            <w:pPr>
              <w:pStyle w:val="TableParagraph"/>
              <w:spacing w:before="18"/>
              <w:ind w:right="50"/>
              <w:rPr>
                <w:sz w:val="18"/>
              </w:rPr>
            </w:pPr>
            <w:r>
              <w:rPr>
                <w:sz w:val="18"/>
              </w:rPr>
              <w:t>Inventory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write-down </w:t>
            </w:r>
            <w:r>
              <w:rPr>
                <w:color w:val="B3B3B3"/>
                <w:sz w:val="18"/>
              </w:rPr>
              <w:t>. . . . . . . . . . . . . . . . . . . . . . . . . .</w:t>
            </w:r>
            <w:r>
              <w:rPr>
                <w:color w:val="B3B3B3"/>
                <w:spacing w:val="-1"/>
                <w:sz w:val="18"/>
              </w:rPr>
              <w:t> </w:t>
            </w:r>
            <w:r>
              <w:rPr>
                <w:color w:val="B3B3B3"/>
                <w:sz w:val="18"/>
              </w:rPr>
              <w:t>. . . . . . . . . . . . . . . . . . . . . . . . . . .</w:t>
            </w:r>
          </w:p>
        </w:tc>
        <w:tc>
          <w:tcPr>
            <w:tcW w:w="1354" w:type="dxa"/>
          </w:tcPr>
          <w:p>
            <w:pPr>
              <w:pStyle w:val="TableParagraph"/>
              <w:spacing w:before="18"/>
              <w:ind w:right="121"/>
              <w:rPr>
                <w:sz w:val="18"/>
              </w:rPr>
            </w:pPr>
            <w:r>
              <w:rPr>
                <w:sz w:val="18"/>
              </w:rPr>
              <w:t>537</w:t>
            </w:r>
          </w:p>
        </w:tc>
        <w:tc>
          <w:tcPr>
            <w:tcW w:w="1316" w:type="dxa"/>
          </w:tcPr>
          <w:p>
            <w:pPr>
              <w:pStyle w:val="TableParagraph"/>
              <w:spacing w:before="9"/>
              <w:ind w:right="72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6690" w:type="dxa"/>
            <w:shd w:val="clear" w:color="auto" w:fill="CCEDFF"/>
          </w:tcPr>
          <w:p>
            <w:pPr>
              <w:pStyle w:val="TableParagraph"/>
              <w:spacing w:before="18"/>
              <w:ind w:left="292"/>
              <w:jc w:val="left"/>
              <w:rPr>
                <w:sz w:val="18"/>
              </w:rPr>
            </w:pPr>
            <w:r>
              <w:rPr>
                <w:sz w:val="18"/>
              </w:rPr>
              <w:t>Changes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 operating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assets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liabilities:</w:t>
            </w:r>
          </w:p>
        </w:tc>
        <w:tc>
          <w:tcPr>
            <w:tcW w:w="1354" w:type="dxa"/>
            <w:shd w:val="clear" w:color="auto" w:fill="CCEDFF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16" w:type="dxa"/>
            <w:shd w:val="clear" w:color="auto" w:fill="CCEDFF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6690" w:type="dxa"/>
          </w:tcPr>
          <w:p>
            <w:pPr>
              <w:pStyle w:val="TableParagraph"/>
              <w:spacing w:before="18"/>
              <w:ind w:right="54"/>
              <w:rPr>
                <w:sz w:val="18"/>
              </w:rPr>
            </w:pPr>
            <w:r>
              <w:rPr>
                <w:sz w:val="18"/>
              </w:rPr>
              <w:t>Accounts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receivable, net</w:t>
            </w:r>
            <w:r>
              <w:rPr>
                <w:spacing w:val="36"/>
                <w:sz w:val="18"/>
              </w:rPr>
              <w:t> </w:t>
            </w:r>
            <w:r>
              <w:rPr>
                <w:color w:val="B3B3B3"/>
                <w:sz w:val="18"/>
              </w:rPr>
              <w:t>. . . . . . . . . . . . . . . . . . . . . . . . . . . . . . . . . . . . . . . . . . . . . . . . .</w:t>
            </w:r>
          </w:p>
        </w:tc>
        <w:tc>
          <w:tcPr>
            <w:tcW w:w="1354" w:type="dxa"/>
          </w:tcPr>
          <w:p>
            <w:pPr>
              <w:pStyle w:val="TableParagraph"/>
              <w:spacing w:before="18"/>
              <w:ind w:right="61"/>
              <w:rPr>
                <w:sz w:val="18"/>
              </w:rPr>
            </w:pPr>
            <w:r>
              <w:rPr>
                <w:sz w:val="18"/>
              </w:rPr>
              <w:t>(4,804)</w:t>
            </w:r>
          </w:p>
        </w:tc>
        <w:tc>
          <w:tcPr>
            <w:tcW w:w="1316" w:type="dxa"/>
          </w:tcPr>
          <w:p>
            <w:pPr>
              <w:pStyle w:val="TableParagraph"/>
              <w:spacing w:before="18"/>
              <w:ind w:right="12"/>
              <w:rPr>
                <w:sz w:val="18"/>
              </w:rPr>
            </w:pPr>
            <w:r>
              <w:rPr>
                <w:sz w:val="18"/>
              </w:rPr>
              <w:t>(729)</w:t>
            </w:r>
          </w:p>
        </w:tc>
      </w:tr>
      <w:tr>
        <w:trPr>
          <w:trHeight w:val="255" w:hRule="atLeast"/>
        </w:trPr>
        <w:tc>
          <w:tcPr>
            <w:tcW w:w="6690" w:type="dxa"/>
            <w:shd w:val="clear" w:color="auto" w:fill="CCEDFF"/>
          </w:tcPr>
          <w:p>
            <w:pPr>
              <w:pStyle w:val="TableParagraph"/>
              <w:spacing w:before="18"/>
              <w:ind w:right="53"/>
              <w:rPr>
                <w:sz w:val="18"/>
              </w:rPr>
            </w:pPr>
            <w:r>
              <w:rPr>
                <w:sz w:val="18"/>
              </w:rPr>
              <w:t>Inventory</w:t>
            </w:r>
            <w:r>
              <w:rPr>
                <w:spacing w:val="31"/>
                <w:sz w:val="18"/>
              </w:rPr>
              <w:t> </w:t>
            </w:r>
            <w:r>
              <w:rPr>
                <w:color w:val="B3B3B3"/>
                <w:sz w:val="18"/>
              </w:rPr>
              <w:t>. . . . . . . . . . . . . . . . . . . . . . . . . . . . . . . . . . . . . . . . . . . . . . . . . . . . . . . . . . . . .</w:t>
            </w:r>
          </w:p>
        </w:tc>
        <w:tc>
          <w:tcPr>
            <w:tcW w:w="1354" w:type="dxa"/>
            <w:shd w:val="clear" w:color="auto" w:fill="CCEDFF"/>
          </w:tcPr>
          <w:p>
            <w:pPr>
              <w:pStyle w:val="TableParagraph"/>
              <w:spacing w:before="18"/>
              <w:ind w:right="61"/>
              <w:rPr>
                <w:sz w:val="18"/>
              </w:rPr>
            </w:pPr>
            <w:r>
              <w:rPr>
                <w:sz w:val="18"/>
              </w:rPr>
              <w:t>(3,580)</w:t>
            </w:r>
          </w:p>
        </w:tc>
        <w:tc>
          <w:tcPr>
            <w:tcW w:w="1316" w:type="dxa"/>
            <w:shd w:val="clear" w:color="auto" w:fill="CCEDFF"/>
          </w:tcPr>
          <w:p>
            <w:pPr>
              <w:pStyle w:val="TableParagraph"/>
              <w:spacing w:before="18"/>
              <w:ind w:right="12"/>
              <w:rPr>
                <w:sz w:val="18"/>
              </w:rPr>
            </w:pPr>
            <w:r>
              <w:rPr>
                <w:sz w:val="18"/>
              </w:rPr>
              <w:t>(895)</w:t>
            </w:r>
          </w:p>
        </w:tc>
      </w:tr>
      <w:tr>
        <w:trPr>
          <w:trHeight w:val="255" w:hRule="atLeast"/>
        </w:trPr>
        <w:tc>
          <w:tcPr>
            <w:tcW w:w="6690" w:type="dxa"/>
          </w:tcPr>
          <w:p>
            <w:pPr>
              <w:pStyle w:val="TableParagraph"/>
              <w:spacing w:before="18"/>
              <w:ind w:right="50"/>
              <w:rPr>
                <w:sz w:val="18"/>
              </w:rPr>
            </w:pPr>
            <w:r>
              <w:rPr>
                <w:sz w:val="18"/>
              </w:rPr>
              <w:t>Prepaid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expenses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and other current assets </w:t>
            </w:r>
            <w:r>
              <w:rPr>
                <w:color w:val="B3B3B3"/>
                <w:sz w:val="18"/>
              </w:rPr>
              <w:t>. . . . .</w:t>
            </w:r>
            <w:r>
              <w:rPr>
                <w:color w:val="B3B3B3"/>
                <w:spacing w:val="-1"/>
                <w:sz w:val="18"/>
              </w:rPr>
              <w:t> </w:t>
            </w:r>
            <w:r>
              <w:rPr>
                <w:color w:val="B3B3B3"/>
                <w:sz w:val="18"/>
              </w:rPr>
              <w:t>. . . . . . . . . . .</w:t>
            </w:r>
            <w:r>
              <w:rPr>
                <w:color w:val="B3B3B3"/>
                <w:spacing w:val="-1"/>
                <w:sz w:val="18"/>
              </w:rPr>
              <w:t> </w:t>
            </w:r>
            <w:r>
              <w:rPr>
                <w:color w:val="B3B3B3"/>
                <w:sz w:val="18"/>
              </w:rPr>
              <w:t>. . . . . . . . . .</w:t>
            </w:r>
            <w:r>
              <w:rPr>
                <w:color w:val="B3B3B3"/>
                <w:spacing w:val="-1"/>
                <w:sz w:val="18"/>
              </w:rPr>
              <w:t> </w:t>
            </w:r>
            <w:r>
              <w:rPr>
                <w:color w:val="B3B3B3"/>
                <w:sz w:val="18"/>
              </w:rPr>
              <w:t>. . . . . . . . . .</w:t>
            </w:r>
          </w:p>
        </w:tc>
        <w:tc>
          <w:tcPr>
            <w:tcW w:w="1354" w:type="dxa"/>
          </w:tcPr>
          <w:p>
            <w:pPr>
              <w:pStyle w:val="TableParagraph"/>
              <w:spacing w:before="18"/>
              <w:ind w:right="61"/>
              <w:rPr>
                <w:sz w:val="18"/>
              </w:rPr>
            </w:pPr>
            <w:r>
              <w:rPr>
                <w:sz w:val="18"/>
              </w:rPr>
              <w:t>(606)</w:t>
            </w:r>
          </w:p>
        </w:tc>
        <w:tc>
          <w:tcPr>
            <w:tcW w:w="1316" w:type="dxa"/>
          </w:tcPr>
          <w:p>
            <w:pPr>
              <w:pStyle w:val="TableParagraph"/>
              <w:spacing w:before="18"/>
              <w:ind w:right="12"/>
              <w:rPr>
                <w:sz w:val="18"/>
              </w:rPr>
            </w:pPr>
            <w:r>
              <w:rPr>
                <w:sz w:val="18"/>
              </w:rPr>
              <w:t>(200)</w:t>
            </w:r>
          </w:p>
        </w:tc>
      </w:tr>
      <w:tr>
        <w:trPr>
          <w:trHeight w:val="240" w:hRule="atLeast"/>
        </w:trPr>
        <w:tc>
          <w:tcPr>
            <w:tcW w:w="6690" w:type="dxa"/>
            <w:shd w:val="clear" w:color="auto" w:fill="CCEDFF"/>
          </w:tcPr>
          <w:p>
            <w:pPr>
              <w:pStyle w:val="TableParagraph"/>
              <w:spacing w:before="2"/>
              <w:ind w:right="58"/>
              <w:rPr>
                <w:sz w:val="18"/>
              </w:rPr>
            </w:pPr>
            <w:r>
              <w:rPr>
                <w:sz w:val="18"/>
              </w:rPr>
              <w:t>Accounts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payable</w:t>
            </w:r>
            <w:r>
              <w:rPr>
                <w:spacing w:val="28"/>
                <w:sz w:val="18"/>
              </w:rPr>
              <w:t> </w:t>
            </w:r>
            <w:r>
              <w:rPr>
                <w:color w:val="B3B3B3"/>
                <w:sz w:val="18"/>
              </w:rPr>
              <w:t>. . . . . . . . . . . . . . . . . . . . . . . . . . . . . . . . . . . . . . . . . . . . . . . . . . . . . .</w:t>
            </w:r>
          </w:p>
        </w:tc>
        <w:tc>
          <w:tcPr>
            <w:tcW w:w="1354" w:type="dxa"/>
            <w:shd w:val="clear" w:color="auto" w:fill="CCEDFF"/>
          </w:tcPr>
          <w:p>
            <w:pPr>
              <w:pStyle w:val="TableParagraph"/>
              <w:spacing w:before="3"/>
              <w:ind w:right="121"/>
              <w:rPr>
                <w:sz w:val="18"/>
              </w:rPr>
            </w:pPr>
            <w:r>
              <w:rPr>
                <w:sz w:val="18"/>
              </w:rPr>
              <w:t>2,362</w:t>
            </w:r>
          </w:p>
        </w:tc>
        <w:tc>
          <w:tcPr>
            <w:tcW w:w="1316" w:type="dxa"/>
            <w:shd w:val="clear" w:color="auto" w:fill="CCEDFF"/>
          </w:tcPr>
          <w:p>
            <w:pPr>
              <w:pStyle w:val="TableParagraph"/>
              <w:spacing w:before="3"/>
              <w:ind w:right="12"/>
              <w:rPr>
                <w:sz w:val="18"/>
              </w:rPr>
            </w:pPr>
            <w:r>
              <w:rPr>
                <w:sz w:val="18"/>
              </w:rPr>
              <w:t>(262)</w:t>
            </w:r>
          </w:p>
        </w:tc>
      </w:tr>
      <w:tr>
        <w:trPr>
          <w:trHeight w:val="240" w:hRule="atLeast"/>
        </w:trPr>
        <w:tc>
          <w:tcPr>
            <w:tcW w:w="6690" w:type="dxa"/>
          </w:tcPr>
          <w:p>
            <w:pPr>
              <w:pStyle w:val="TableParagraph"/>
              <w:spacing w:before="2"/>
              <w:ind w:right="57"/>
              <w:rPr>
                <w:sz w:val="18"/>
              </w:rPr>
            </w:pPr>
            <w:r>
              <w:rPr>
                <w:sz w:val="18"/>
              </w:rPr>
              <w:t>Accrued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compensation</w:t>
            </w:r>
            <w:r>
              <w:rPr>
                <w:spacing w:val="19"/>
                <w:sz w:val="18"/>
              </w:rPr>
              <w:t> </w:t>
            </w:r>
            <w:r>
              <w:rPr>
                <w:color w:val="B3B3B3"/>
                <w:sz w:val="18"/>
              </w:rPr>
              <w:t>. . . . . . . . . . . . . . . . . . . . . . . . . . .</w:t>
            </w:r>
            <w:r>
              <w:rPr>
                <w:color w:val="B3B3B3"/>
                <w:spacing w:val="-1"/>
                <w:sz w:val="18"/>
              </w:rPr>
              <w:t> </w:t>
            </w:r>
            <w:r>
              <w:rPr>
                <w:color w:val="B3B3B3"/>
                <w:sz w:val="18"/>
              </w:rPr>
              <w:t>. . . . . . . . . . . . . . . . . . . . . . .</w:t>
            </w:r>
          </w:p>
        </w:tc>
        <w:tc>
          <w:tcPr>
            <w:tcW w:w="1354" w:type="dxa"/>
          </w:tcPr>
          <w:p>
            <w:pPr>
              <w:pStyle w:val="TableParagraph"/>
              <w:spacing w:before="3"/>
              <w:ind w:right="121"/>
              <w:rPr>
                <w:sz w:val="18"/>
              </w:rPr>
            </w:pPr>
            <w:r>
              <w:rPr>
                <w:sz w:val="18"/>
              </w:rPr>
              <w:t>235</w:t>
            </w:r>
          </w:p>
        </w:tc>
        <w:tc>
          <w:tcPr>
            <w:tcW w:w="1316" w:type="dxa"/>
          </w:tcPr>
          <w:p>
            <w:pPr>
              <w:pStyle w:val="TableParagraph"/>
              <w:spacing w:before="3"/>
              <w:ind w:right="72"/>
              <w:rPr>
                <w:sz w:val="18"/>
              </w:rPr>
            </w:pPr>
            <w:r>
              <w:rPr>
                <w:sz w:val="18"/>
              </w:rPr>
              <w:t>1,307</w:t>
            </w:r>
          </w:p>
        </w:tc>
      </w:tr>
      <w:tr>
        <w:trPr>
          <w:trHeight w:val="240" w:hRule="atLeast"/>
        </w:trPr>
        <w:tc>
          <w:tcPr>
            <w:tcW w:w="6690" w:type="dxa"/>
            <w:shd w:val="clear" w:color="auto" w:fill="CCEDFF"/>
          </w:tcPr>
          <w:p>
            <w:pPr>
              <w:pStyle w:val="TableParagraph"/>
              <w:spacing w:before="3"/>
              <w:ind w:right="51"/>
              <w:rPr>
                <w:sz w:val="18"/>
              </w:rPr>
            </w:pPr>
            <w:r>
              <w:rPr>
                <w:sz w:val="18"/>
              </w:rPr>
              <w:t>Accrued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interest expense</w:t>
            </w:r>
            <w:r>
              <w:rPr>
                <w:spacing w:val="4"/>
                <w:sz w:val="18"/>
              </w:rPr>
              <w:t> </w:t>
            </w:r>
            <w:r>
              <w:rPr>
                <w:color w:val="B3B3B3"/>
                <w:sz w:val="18"/>
              </w:rPr>
              <w:t>. . . . . . . . . . . . . . .</w:t>
            </w:r>
            <w:r>
              <w:rPr>
                <w:color w:val="B3B3B3"/>
                <w:spacing w:val="-1"/>
                <w:sz w:val="18"/>
              </w:rPr>
              <w:t> </w:t>
            </w:r>
            <w:r>
              <w:rPr>
                <w:color w:val="B3B3B3"/>
                <w:sz w:val="18"/>
              </w:rPr>
              <w:t>. . . . . . . . . . . . . . . . . .</w:t>
            </w:r>
            <w:r>
              <w:rPr>
                <w:color w:val="B3B3B3"/>
                <w:spacing w:val="-1"/>
                <w:sz w:val="18"/>
              </w:rPr>
              <w:t> </w:t>
            </w:r>
            <w:r>
              <w:rPr>
                <w:color w:val="B3B3B3"/>
                <w:sz w:val="18"/>
              </w:rPr>
              <w:t>. . . . . . . . . . . . . . . .</w:t>
            </w:r>
          </w:p>
        </w:tc>
        <w:tc>
          <w:tcPr>
            <w:tcW w:w="1354" w:type="dxa"/>
            <w:shd w:val="clear" w:color="auto" w:fill="CCEDFF"/>
          </w:tcPr>
          <w:p>
            <w:pPr>
              <w:pStyle w:val="TableParagraph"/>
              <w:spacing w:before="3"/>
              <w:ind w:right="121"/>
              <w:rPr>
                <w:sz w:val="18"/>
              </w:rPr>
            </w:pPr>
            <w:r>
              <w:rPr>
                <w:sz w:val="18"/>
              </w:rPr>
              <w:t>804</w:t>
            </w:r>
          </w:p>
        </w:tc>
        <w:tc>
          <w:tcPr>
            <w:tcW w:w="1316" w:type="dxa"/>
            <w:shd w:val="clear" w:color="auto" w:fill="CCEDFF"/>
          </w:tcPr>
          <w:p>
            <w:pPr>
              <w:pStyle w:val="TableParagraph"/>
              <w:spacing w:before="3"/>
              <w:ind w:right="72"/>
              <w:rPr>
                <w:sz w:val="18"/>
              </w:rPr>
            </w:pPr>
            <w:r>
              <w:rPr>
                <w:sz w:val="18"/>
              </w:rPr>
              <w:t>866</w:t>
            </w:r>
          </w:p>
        </w:tc>
      </w:tr>
      <w:tr>
        <w:trPr>
          <w:trHeight w:val="240" w:hRule="atLeast"/>
        </w:trPr>
        <w:tc>
          <w:tcPr>
            <w:tcW w:w="6690" w:type="dxa"/>
          </w:tcPr>
          <w:p>
            <w:pPr>
              <w:pStyle w:val="TableParagraph"/>
              <w:spacing w:before="3"/>
              <w:ind w:right="52"/>
              <w:rPr>
                <w:sz w:val="18"/>
              </w:rPr>
            </w:pPr>
            <w:r>
              <w:rPr>
                <w:sz w:val="18"/>
              </w:rPr>
              <w:t>Deferred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revenue</w:t>
            </w:r>
            <w:r>
              <w:rPr>
                <w:spacing w:val="18"/>
                <w:sz w:val="18"/>
              </w:rPr>
              <w:t> </w:t>
            </w:r>
            <w:r>
              <w:rPr>
                <w:color w:val="B3B3B3"/>
                <w:sz w:val="18"/>
              </w:rPr>
              <w:t>. . . . . . . . . . . . . . . . . . . . . . . . . . . . . . . . . . . . . . . . . . . . . . . . . . . . . . .</w:t>
            </w:r>
          </w:p>
        </w:tc>
        <w:tc>
          <w:tcPr>
            <w:tcW w:w="1354" w:type="dxa"/>
          </w:tcPr>
          <w:p>
            <w:pPr>
              <w:pStyle w:val="TableParagraph"/>
              <w:spacing w:before="3"/>
              <w:ind w:right="121"/>
              <w:rPr>
                <w:sz w:val="18"/>
              </w:rPr>
            </w:pPr>
            <w:r>
              <w:rPr>
                <w:sz w:val="18"/>
              </w:rPr>
              <w:t>615</w:t>
            </w:r>
          </w:p>
        </w:tc>
        <w:tc>
          <w:tcPr>
            <w:tcW w:w="1316" w:type="dxa"/>
          </w:tcPr>
          <w:p>
            <w:pPr>
              <w:pStyle w:val="TableParagraph"/>
              <w:spacing w:before="3"/>
              <w:ind w:right="72"/>
              <w:rPr>
                <w:sz w:val="18"/>
              </w:rPr>
            </w:pPr>
            <w:r>
              <w:rPr>
                <w:sz w:val="18"/>
              </w:rPr>
              <w:t>182</w:t>
            </w:r>
          </w:p>
        </w:tc>
      </w:tr>
      <w:tr>
        <w:trPr>
          <w:trHeight w:val="230" w:hRule="atLeast"/>
        </w:trPr>
        <w:tc>
          <w:tcPr>
            <w:tcW w:w="6690" w:type="dxa"/>
            <w:shd w:val="clear" w:color="auto" w:fill="CCEDFF"/>
          </w:tcPr>
          <w:p>
            <w:pPr>
              <w:pStyle w:val="TableParagraph"/>
              <w:spacing w:before="2"/>
              <w:ind w:right="56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liabilities</w:t>
            </w:r>
            <w:r>
              <w:rPr>
                <w:spacing w:val="9"/>
                <w:sz w:val="18"/>
              </w:rPr>
              <w:t> </w:t>
            </w:r>
            <w:r>
              <w:rPr>
                <w:color w:val="B3B3B3"/>
                <w:sz w:val="18"/>
              </w:rPr>
              <w:t>. . . . . . . . . . . . . . . . . . . . . . . . . . . . . . . . . . . . . . . . . . . . . . . . . . . . . . . .</w:t>
            </w:r>
          </w:p>
        </w:tc>
        <w:tc>
          <w:tcPr>
            <w:tcW w:w="1354" w:type="dxa"/>
            <w:tcBorders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3"/>
              <w:ind w:right="121"/>
              <w:rPr>
                <w:sz w:val="18"/>
              </w:rPr>
            </w:pPr>
            <w:r>
              <w:rPr>
                <w:sz w:val="18"/>
              </w:rPr>
              <w:t>707</w:t>
            </w:r>
          </w:p>
        </w:tc>
        <w:tc>
          <w:tcPr>
            <w:tcW w:w="1316" w:type="dxa"/>
            <w:tcBorders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3"/>
              <w:ind w:right="12"/>
              <w:rPr>
                <w:sz w:val="18"/>
              </w:rPr>
            </w:pPr>
            <w:r>
              <w:rPr>
                <w:sz w:val="18"/>
              </w:rPr>
              <w:t>(672)</w:t>
            </w:r>
          </w:p>
        </w:tc>
      </w:tr>
      <w:tr>
        <w:trPr>
          <w:trHeight w:val="220" w:hRule="atLeast"/>
        </w:trPr>
        <w:tc>
          <w:tcPr>
            <w:tcW w:w="6690" w:type="dxa"/>
          </w:tcPr>
          <w:p>
            <w:pPr>
              <w:pStyle w:val="TableParagraph"/>
              <w:spacing w:line="200" w:lineRule="exact"/>
              <w:ind w:right="52"/>
              <w:rPr>
                <w:sz w:val="18"/>
              </w:rPr>
            </w:pPr>
            <w:r>
              <w:rPr>
                <w:sz w:val="18"/>
              </w:rPr>
              <w:t>Net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cash used in operating activities</w:t>
            </w:r>
            <w:r>
              <w:rPr>
                <w:spacing w:val="18"/>
                <w:sz w:val="18"/>
              </w:rPr>
              <w:t> </w:t>
            </w:r>
            <w:r>
              <w:rPr>
                <w:color w:val="B3B3B3"/>
                <w:sz w:val="18"/>
              </w:rPr>
              <w:t>. . . . . . . . . .</w:t>
            </w:r>
            <w:r>
              <w:rPr>
                <w:color w:val="B3B3B3"/>
                <w:spacing w:val="-1"/>
                <w:sz w:val="18"/>
              </w:rPr>
              <w:t> </w:t>
            </w:r>
            <w:r>
              <w:rPr>
                <w:color w:val="B3B3B3"/>
                <w:sz w:val="18"/>
              </w:rPr>
              <w:t>. . . . . . . . . . . . . . .</w:t>
            </w:r>
            <w:r>
              <w:rPr>
                <w:color w:val="B3B3B3"/>
                <w:spacing w:val="-1"/>
                <w:sz w:val="18"/>
              </w:rPr>
              <w:t> </w:t>
            </w:r>
            <w:r>
              <w:rPr>
                <w:color w:val="B3B3B3"/>
                <w:sz w:val="18"/>
              </w:rPr>
              <w:t>. . . . . . . . . . . . . . .</w:t>
            </w:r>
          </w:p>
        </w:tc>
        <w:tc>
          <w:tcPr>
            <w:tcW w:w="135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0" w:lineRule="exact"/>
              <w:ind w:right="61"/>
              <w:rPr>
                <w:sz w:val="18"/>
              </w:rPr>
            </w:pPr>
            <w:r>
              <w:rPr>
                <w:sz w:val="18"/>
              </w:rPr>
              <w:t>(40,858)</w:t>
            </w:r>
          </w:p>
        </w:tc>
        <w:tc>
          <w:tcPr>
            <w:tcW w:w="131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0" w:lineRule="exact"/>
              <w:ind w:right="12"/>
              <w:rPr>
                <w:sz w:val="18"/>
              </w:rPr>
            </w:pPr>
            <w:r>
              <w:rPr>
                <w:sz w:val="18"/>
              </w:rPr>
              <w:t>(34,898)</w:t>
            </w:r>
          </w:p>
        </w:tc>
      </w:tr>
      <w:tr>
        <w:trPr>
          <w:trHeight w:val="230" w:hRule="atLeast"/>
        </w:trPr>
        <w:tc>
          <w:tcPr>
            <w:tcW w:w="6690" w:type="dxa"/>
            <w:shd w:val="clear" w:color="auto" w:fill="CCEDFF"/>
          </w:tcPr>
          <w:p>
            <w:pPr>
              <w:pStyle w:val="TableParagraph"/>
              <w:spacing w:line="200" w:lineRule="exact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Cash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flows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investing activities:</w:t>
            </w:r>
          </w:p>
        </w:tc>
        <w:tc>
          <w:tcPr>
            <w:tcW w:w="1354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16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6690" w:type="dxa"/>
          </w:tcPr>
          <w:p>
            <w:pPr>
              <w:pStyle w:val="TableParagraph"/>
              <w:spacing w:before="3"/>
              <w:ind w:right="53"/>
              <w:rPr>
                <w:sz w:val="18"/>
              </w:rPr>
            </w:pPr>
            <w:r>
              <w:rPr>
                <w:sz w:val="18"/>
              </w:rPr>
              <w:t>Purchases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 property and equipment</w:t>
            </w:r>
            <w:r>
              <w:rPr>
                <w:spacing w:val="32"/>
                <w:sz w:val="18"/>
              </w:rPr>
              <w:t> </w:t>
            </w:r>
            <w:r>
              <w:rPr>
                <w:color w:val="B3B3B3"/>
                <w:sz w:val="18"/>
              </w:rPr>
              <w:t>. . . . . . . . . . . . . . . . . .</w:t>
            </w:r>
            <w:r>
              <w:rPr>
                <w:color w:val="B3B3B3"/>
                <w:spacing w:val="-1"/>
                <w:sz w:val="18"/>
              </w:rPr>
              <w:t> </w:t>
            </w:r>
            <w:r>
              <w:rPr>
                <w:color w:val="B3B3B3"/>
                <w:sz w:val="18"/>
              </w:rPr>
              <w:t>. . . . . . . . . . . . . . . . . . . . .</w:t>
            </w:r>
          </w:p>
        </w:tc>
        <w:tc>
          <w:tcPr>
            <w:tcW w:w="13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"/>
              <w:ind w:right="61"/>
              <w:rPr>
                <w:sz w:val="18"/>
              </w:rPr>
            </w:pPr>
            <w:r>
              <w:rPr>
                <w:sz w:val="18"/>
              </w:rPr>
              <w:t>(260)</w:t>
            </w:r>
          </w:p>
        </w:tc>
        <w:tc>
          <w:tcPr>
            <w:tcW w:w="13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"/>
              <w:ind w:right="12"/>
              <w:rPr>
                <w:sz w:val="18"/>
              </w:rPr>
            </w:pPr>
            <w:r>
              <w:rPr>
                <w:sz w:val="18"/>
              </w:rPr>
              <w:t>(224)</w:t>
            </w:r>
          </w:p>
        </w:tc>
      </w:tr>
      <w:tr>
        <w:trPr>
          <w:trHeight w:val="235" w:hRule="atLeast"/>
        </w:trPr>
        <w:tc>
          <w:tcPr>
            <w:tcW w:w="6690" w:type="dxa"/>
            <w:shd w:val="clear" w:color="auto" w:fill="CCEDFF"/>
          </w:tcPr>
          <w:p>
            <w:pPr>
              <w:pStyle w:val="TableParagraph"/>
              <w:spacing w:before="8"/>
              <w:ind w:right="51"/>
              <w:rPr>
                <w:sz w:val="18"/>
              </w:rPr>
            </w:pPr>
            <w:r>
              <w:rPr>
                <w:sz w:val="18"/>
              </w:rPr>
              <w:t>Net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cash used in investing activities</w:t>
            </w:r>
            <w:r>
              <w:rPr>
                <w:spacing w:val="9"/>
                <w:sz w:val="18"/>
              </w:rPr>
              <w:t> </w:t>
            </w:r>
            <w:r>
              <w:rPr>
                <w:color w:val="B3B3B3"/>
                <w:sz w:val="18"/>
              </w:rPr>
              <w:t>. . . . . .</w:t>
            </w:r>
            <w:r>
              <w:rPr>
                <w:color w:val="B3B3B3"/>
                <w:spacing w:val="-1"/>
                <w:sz w:val="18"/>
              </w:rPr>
              <w:t> </w:t>
            </w:r>
            <w:r>
              <w:rPr>
                <w:color w:val="B3B3B3"/>
                <w:sz w:val="18"/>
              </w:rPr>
              <w:t>. . . . . . . . . . .</w:t>
            </w:r>
            <w:r>
              <w:rPr>
                <w:color w:val="B3B3B3"/>
                <w:spacing w:val="-1"/>
                <w:sz w:val="18"/>
              </w:rPr>
              <w:t> </w:t>
            </w:r>
            <w:r>
              <w:rPr>
                <w:color w:val="B3B3B3"/>
                <w:sz w:val="18"/>
              </w:rPr>
              <w:t>. . . . . . . . . . . .</w:t>
            </w:r>
            <w:r>
              <w:rPr>
                <w:color w:val="B3B3B3"/>
                <w:spacing w:val="-1"/>
                <w:sz w:val="18"/>
              </w:rPr>
              <w:t> </w:t>
            </w:r>
            <w:r>
              <w:rPr>
                <w:color w:val="B3B3B3"/>
                <w:sz w:val="18"/>
              </w:rPr>
              <w:t>. . . . . . . . . .</w:t>
            </w:r>
          </w:p>
        </w:tc>
        <w:tc>
          <w:tcPr>
            <w:tcW w:w="135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8"/>
              <w:ind w:right="61"/>
              <w:rPr>
                <w:sz w:val="18"/>
              </w:rPr>
            </w:pPr>
            <w:r>
              <w:rPr>
                <w:sz w:val="18"/>
              </w:rPr>
              <w:t>(260)</w:t>
            </w:r>
          </w:p>
        </w:tc>
        <w:tc>
          <w:tcPr>
            <w:tcW w:w="13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8"/>
              <w:ind w:right="12"/>
              <w:rPr>
                <w:sz w:val="18"/>
              </w:rPr>
            </w:pPr>
            <w:r>
              <w:rPr>
                <w:sz w:val="18"/>
              </w:rPr>
              <w:t>(224)</w:t>
            </w:r>
          </w:p>
        </w:tc>
      </w:tr>
      <w:tr>
        <w:trPr>
          <w:trHeight w:val="230" w:hRule="atLeast"/>
        </w:trPr>
        <w:tc>
          <w:tcPr>
            <w:tcW w:w="6690" w:type="dxa"/>
          </w:tcPr>
          <w:p>
            <w:pPr>
              <w:pStyle w:val="TableParagraph"/>
              <w:spacing w:line="200" w:lineRule="exact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Cash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flows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from financing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activities:</w:t>
            </w:r>
          </w:p>
        </w:tc>
        <w:tc>
          <w:tcPr>
            <w:tcW w:w="1354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16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6690" w:type="dxa"/>
            <w:shd w:val="clear" w:color="auto" w:fill="CCEDFF"/>
          </w:tcPr>
          <w:p>
            <w:pPr>
              <w:pStyle w:val="TableParagraph"/>
              <w:spacing w:before="17"/>
              <w:ind w:right="55"/>
              <w:rPr>
                <w:sz w:val="18"/>
              </w:rPr>
            </w:pPr>
            <w:r>
              <w:rPr>
                <w:sz w:val="18"/>
              </w:rPr>
              <w:t>Proceeds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from issuance 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common stock from 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exercise of stock options</w:t>
            </w:r>
            <w:r>
              <w:rPr>
                <w:spacing w:val="44"/>
                <w:sz w:val="18"/>
              </w:rPr>
              <w:t> </w:t>
            </w:r>
            <w:r>
              <w:rPr>
                <w:color w:val="B3B3B3"/>
                <w:sz w:val="18"/>
              </w:rPr>
              <w:t>. .</w:t>
            </w:r>
            <w:r>
              <w:rPr>
                <w:color w:val="B3B3B3"/>
                <w:spacing w:val="-1"/>
                <w:sz w:val="18"/>
              </w:rPr>
              <w:t> </w:t>
            </w:r>
            <w:r>
              <w:rPr>
                <w:color w:val="B3B3B3"/>
                <w:sz w:val="18"/>
              </w:rPr>
              <w:t>. . . .</w:t>
            </w:r>
            <w:r>
              <w:rPr>
                <w:color w:val="B3B3B3"/>
                <w:spacing w:val="-1"/>
                <w:sz w:val="18"/>
              </w:rPr>
              <w:t> </w:t>
            </w:r>
            <w:r>
              <w:rPr>
                <w:color w:val="B3B3B3"/>
                <w:sz w:val="18"/>
              </w:rPr>
              <w:t>. . .</w:t>
            </w:r>
          </w:p>
        </w:tc>
        <w:tc>
          <w:tcPr>
            <w:tcW w:w="1354" w:type="dxa"/>
            <w:shd w:val="clear" w:color="auto" w:fill="CCEDFF"/>
          </w:tcPr>
          <w:p>
            <w:pPr>
              <w:pStyle w:val="TableParagraph"/>
              <w:spacing w:before="18"/>
              <w:ind w:right="121"/>
              <w:rPr>
                <w:sz w:val="18"/>
              </w:rPr>
            </w:pPr>
            <w:r>
              <w:rPr>
                <w:sz w:val="18"/>
              </w:rPr>
              <w:t>3,495</w:t>
            </w:r>
          </w:p>
        </w:tc>
        <w:tc>
          <w:tcPr>
            <w:tcW w:w="1316" w:type="dxa"/>
            <w:shd w:val="clear" w:color="auto" w:fill="CCEDFF"/>
          </w:tcPr>
          <w:p>
            <w:pPr>
              <w:pStyle w:val="TableParagraph"/>
              <w:spacing w:before="18"/>
              <w:ind w:right="72"/>
              <w:rPr>
                <w:sz w:val="18"/>
              </w:rPr>
            </w:pPr>
            <w:r>
              <w:rPr>
                <w:sz w:val="18"/>
              </w:rPr>
              <w:t>2,051</w:t>
            </w:r>
          </w:p>
        </w:tc>
      </w:tr>
      <w:tr>
        <w:trPr>
          <w:trHeight w:val="255" w:hRule="atLeast"/>
        </w:trPr>
        <w:tc>
          <w:tcPr>
            <w:tcW w:w="6690" w:type="dxa"/>
          </w:tcPr>
          <w:p>
            <w:pPr>
              <w:pStyle w:val="TableParagraph"/>
              <w:spacing w:before="18"/>
              <w:ind w:right="54"/>
              <w:rPr>
                <w:sz w:val="18"/>
              </w:rPr>
            </w:pPr>
            <w:r>
              <w:rPr>
                <w:sz w:val="18"/>
              </w:rPr>
              <w:t>Proceeds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from issuance of note payable,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net of issuance costs</w:t>
            </w:r>
            <w:r>
              <w:rPr>
                <w:spacing w:val="32"/>
                <w:sz w:val="18"/>
              </w:rPr>
              <w:t> </w:t>
            </w:r>
            <w:r>
              <w:rPr>
                <w:color w:val="B3B3B3"/>
                <w:sz w:val="18"/>
              </w:rPr>
              <w:t>.</w:t>
            </w:r>
            <w:r>
              <w:rPr>
                <w:color w:val="B3B3B3"/>
                <w:spacing w:val="-1"/>
                <w:sz w:val="18"/>
              </w:rPr>
              <w:t> </w:t>
            </w:r>
            <w:r>
              <w:rPr>
                <w:color w:val="B3B3B3"/>
                <w:sz w:val="18"/>
              </w:rPr>
              <w:t>. . . . .</w:t>
            </w:r>
            <w:r>
              <w:rPr>
                <w:color w:val="B3B3B3"/>
                <w:spacing w:val="-1"/>
                <w:sz w:val="18"/>
              </w:rPr>
              <w:t> </w:t>
            </w:r>
            <w:r>
              <w:rPr>
                <w:color w:val="B3B3B3"/>
                <w:sz w:val="18"/>
              </w:rPr>
              <w:t>. . . . .</w:t>
            </w:r>
            <w:r>
              <w:rPr>
                <w:color w:val="B3B3B3"/>
                <w:spacing w:val="-1"/>
                <w:sz w:val="18"/>
              </w:rPr>
              <w:t> </w:t>
            </w:r>
            <w:r>
              <w:rPr>
                <w:color w:val="B3B3B3"/>
                <w:sz w:val="18"/>
              </w:rPr>
              <w:t>. . . . . .</w:t>
            </w:r>
            <w:r>
              <w:rPr>
                <w:color w:val="B3B3B3"/>
                <w:spacing w:val="-1"/>
                <w:sz w:val="18"/>
              </w:rPr>
              <w:t> </w:t>
            </w:r>
            <w:r>
              <w:rPr>
                <w:color w:val="B3B3B3"/>
                <w:sz w:val="18"/>
              </w:rPr>
              <w:t>. . . .</w:t>
            </w:r>
          </w:p>
        </w:tc>
        <w:tc>
          <w:tcPr>
            <w:tcW w:w="1354" w:type="dxa"/>
          </w:tcPr>
          <w:p>
            <w:pPr>
              <w:pStyle w:val="TableParagraph"/>
              <w:spacing w:before="18"/>
              <w:ind w:right="121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316" w:type="dxa"/>
          </w:tcPr>
          <w:p>
            <w:pPr>
              <w:pStyle w:val="TableParagraph"/>
              <w:spacing w:before="18"/>
              <w:ind w:right="72"/>
              <w:rPr>
                <w:sz w:val="18"/>
              </w:rPr>
            </w:pPr>
            <w:r>
              <w:rPr>
                <w:sz w:val="18"/>
              </w:rPr>
              <w:t>24,685</w:t>
            </w:r>
          </w:p>
        </w:tc>
      </w:tr>
      <w:tr>
        <w:trPr>
          <w:trHeight w:val="255" w:hRule="atLeast"/>
        </w:trPr>
        <w:tc>
          <w:tcPr>
            <w:tcW w:w="6690" w:type="dxa"/>
            <w:shd w:val="clear" w:color="auto" w:fill="CCEDFF"/>
          </w:tcPr>
          <w:p>
            <w:pPr>
              <w:pStyle w:val="TableParagraph"/>
              <w:spacing w:before="17"/>
              <w:ind w:right="55"/>
              <w:rPr>
                <w:sz w:val="18"/>
              </w:rPr>
            </w:pPr>
            <w:r>
              <w:rPr>
                <w:sz w:val="18"/>
              </w:rPr>
              <w:t>Proceeds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from the exercise 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redeemable convertible preferred stock warrants</w:t>
            </w:r>
            <w:r>
              <w:rPr>
                <w:spacing w:val="2"/>
                <w:sz w:val="18"/>
              </w:rPr>
              <w:t> </w:t>
            </w:r>
            <w:r>
              <w:rPr>
                <w:color w:val="B3B3B3"/>
                <w:sz w:val="18"/>
              </w:rPr>
              <w:t>.</w:t>
            </w:r>
            <w:r>
              <w:rPr>
                <w:color w:val="B3B3B3"/>
                <w:spacing w:val="-1"/>
                <w:sz w:val="18"/>
              </w:rPr>
              <w:t> </w:t>
            </w:r>
            <w:r>
              <w:rPr>
                <w:color w:val="B3B3B3"/>
                <w:sz w:val="18"/>
              </w:rPr>
              <w:t>. . . .</w:t>
            </w:r>
            <w:r>
              <w:rPr>
                <w:color w:val="B3B3B3"/>
                <w:spacing w:val="-1"/>
                <w:sz w:val="18"/>
              </w:rPr>
              <w:t> </w:t>
            </w:r>
            <w:r>
              <w:rPr>
                <w:color w:val="B3B3B3"/>
                <w:sz w:val="18"/>
              </w:rPr>
              <w:t>. .</w:t>
            </w:r>
          </w:p>
        </w:tc>
        <w:tc>
          <w:tcPr>
            <w:tcW w:w="1354" w:type="dxa"/>
            <w:shd w:val="clear" w:color="auto" w:fill="CCEDFF"/>
          </w:tcPr>
          <w:p>
            <w:pPr>
              <w:pStyle w:val="TableParagraph"/>
              <w:spacing w:before="18"/>
              <w:ind w:right="121"/>
              <w:rPr>
                <w:sz w:val="18"/>
              </w:rPr>
            </w:pPr>
            <w:r>
              <w:rPr>
                <w:sz w:val="18"/>
              </w:rPr>
              <w:t>858</w:t>
            </w:r>
          </w:p>
        </w:tc>
        <w:tc>
          <w:tcPr>
            <w:tcW w:w="1316" w:type="dxa"/>
            <w:shd w:val="clear" w:color="auto" w:fill="CCEDFF"/>
          </w:tcPr>
          <w:p>
            <w:pPr>
              <w:pStyle w:val="TableParagraph"/>
              <w:spacing w:before="18"/>
              <w:ind w:right="72"/>
              <w:rPr>
                <w:sz w:val="18"/>
              </w:rPr>
            </w:pPr>
            <w:r>
              <w:rPr>
                <w:sz w:val="18"/>
              </w:rPr>
              <w:t>3,310</w:t>
            </w:r>
          </w:p>
        </w:tc>
      </w:tr>
      <w:tr>
        <w:trPr>
          <w:trHeight w:val="227" w:hRule="atLeast"/>
        </w:trPr>
        <w:tc>
          <w:tcPr>
            <w:tcW w:w="6690" w:type="dxa"/>
          </w:tcPr>
          <w:p>
            <w:pPr>
              <w:pStyle w:val="TableParagraph"/>
              <w:spacing w:line="195" w:lineRule="exact" w:before="12"/>
              <w:ind w:left="292"/>
              <w:jc w:val="left"/>
              <w:rPr>
                <w:sz w:val="18"/>
              </w:rPr>
            </w:pPr>
            <w:r>
              <w:rPr>
                <w:sz w:val="18"/>
              </w:rPr>
              <w:t>Proceeds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from issuance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 Series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redeemable convertible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preferred stock,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net of</w:t>
            </w:r>
          </w:p>
        </w:tc>
        <w:tc>
          <w:tcPr>
            <w:tcW w:w="135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6690" w:type="dxa"/>
          </w:tcPr>
          <w:p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issuance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costs</w:t>
            </w:r>
            <w:r>
              <w:rPr>
                <w:spacing w:val="18"/>
                <w:sz w:val="18"/>
              </w:rPr>
              <w:t> </w:t>
            </w:r>
            <w:r>
              <w:rPr>
                <w:color w:val="B3B3B3"/>
                <w:sz w:val="18"/>
              </w:rPr>
              <w:t>. . . . . . . . . . . . . . . . . .</w:t>
            </w:r>
            <w:r>
              <w:rPr>
                <w:color w:val="B3B3B3"/>
                <w:spacing w:val="-1"/>
                <w:sz w:val="18"/>
              </w:rPr>
              <w:t> </w:t>
            </w:r>
            <w:r>
              <w:rPr>
                <w:color w:val="B3B3B3"/>
                <w:sz w:val="18"/>
              </w:rPr>
              <w:t>. . . . . . . . . . . . . . . . . . . .</w:t>
            </w:r>
            <w:r>
              <w:rPr>
                <w:color w:val="B3B3B3"/>
                <w:spacing w:val="-1"/>
                <w:sz w:val="18"/>
              </w:rPr>
              <w:t> </w:t>
            </w:r>
            <w:r>
              <w:rPr>
                <w:color w:val="B3B3B3"/>
                <w:sz w:val="18"/>
              </w:rPr>
              <w:t>. . . . . . . . . . . . . . . . . . .</w:t>
            </w:r>
          </w:p>
        </w:tc>
        <w:tc>
          <w:tcPr>
            <w:tcW w:w="1354" w:type="dxa"/>
          </w:tcPr>
          <w:p>
            <w:pPr>
              <w:pStyle w:val="TableParagraph"/>
              <w:ind w:right="121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1316" w:type="dxa"/>
          </w:tcPr>
          <w:p>
            <w:pPr>
              <w:pStyle w:val="TableParagraph"/>
              <w:ind w:right="72"/>
              <w:rPr>
                <w:sz w:val="18"/>
              </w:rPr>
            </w:pPr>
            <w:r>
              <w:rPr>
                <w:sz w:val="18"/>
              </w:rPr>
              <w:t>76,488</w:t>
            </w:r>
          </w:p>
        </w:tc>
      </w:tr>
      <w:tr>
        <w:trPr>
          <w:trHeight w:val="465" w:hRule="atLeast"/>
        </w:trPr>
        <w:tc>
          <w:tcPr>
            <w:tcW w:w="9360" w:type="dxa"/>
            <w:gridSpan w:val="3"/>
            <w:shd w:val="clear" w:color="auto" w:fill="CCEDFF"/>
          </w:tcPr>
          <w:p>
            <w:pPr>
              <w:pStyle w:val="TableParagraph"/>
              <w:spacing w:before="12"/>
              <w:ind w:left="292"/>
              <w:jc w:val="left"/>
              <w:rPr>
                <w:sz w:val="18"/>
              </w:rPr>
            </w:pPr>
            <w:r>
              <w:rPr>
                <w:sz w:val="18"/>
              </w:rPr>
              <w:t>Proceeds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from issuance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 Series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redeemable convertible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preferred stock,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net of</w:t>
            </w:r>
          </w:p>
          <w:p>
            <w:pPr>
              <w:pStyle w:val="TableParagraph"/>
              <w:tabs>
                <w:tab w:pos="7425" w:val="left" w:leader="none"/>
                <w:tab w:pos="9105" w:val="left" w:leader="none"/>
              </w:tabs>
              <w:spacing w:before="9"/>
              <w:ind w:left="472"/>
              <w:jc w:val="left"/>
              <w:rPr>
                <w:sz w:val="18"/>
              </w:rPr>
            </w:pPr>
            <w:r>
              <w:rPr>
                <w:sz w:val="18"/>
              </w:rPr>
              <w:t>issuance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costs</w:t>
            </w:r>
            <w:r>
              <w:rPr>
                <w:spacing w:val="18"/>
                <w:sz w:val="18"/>
              </w:rPr>
              <w:t> </w:t>
            </w:r>
            <w:r>
              <w:rPr>
                <w:color w:val="B3B3B3"/>
                <w:sz w:val="18"/>
              </w:rPr>
              <w:t>. . . . . . . . . . . . . . . . . . .</w:t>
            </w:r>
            <w:r>
              <w:rPr>
                <w:color w:val="B3B3B3"/>
                <w:spacing w:val="-1"/>
                <w:sz w:val="18"/>
              </w:rPr>
              <w:t> </w:t>
            </w:r>
            <w:r>
              <w:rPr>
                <w:color w:val="B3B3B3"/>
                <w:sz w:val="18"/>
              </w:rPr>
              <w:t>. . . . . . . . . . . . . . . . . . . .</w:t>
            </w:r>
            <w:r>
              <w:rPr>
                <w:color w:val="B3B3B3"/>
                <w:spacing w:val="-1"/>
                <w:sz w:val="18"/>
              </w:rPr>
              <w:t> </w:t>
            </w:r>
            <w:r>
              <w:rPr>
                <w:color w:val="B3B3B3"/>
                <w:sz w:val="18"/>
              </w:rPr>
              <w:t>. . . . . . . . . . . . . . . . . .</w:t>
              <w:tab/>
            </w:r>
            <w:r>
              <w:rPr>
                <w:sz w:val="18"/>
              </w:rPr>
              <w:t>84,710</w:t>
              <w:tab/>
              <w:t>—</w:t>
            </w:r>
          </w:p>
        </w:tc>
      </w:tr>
      <w:tr>
        <w:trPr>
          <w:trHeight w:val="470" w:hRule="atLeast"/>
        </w:trPr>
        <w:tc>
          <w:tcPr>
            <w:tcW w:w="6690" w:type="dxa"/>
          </w:tcPr>
          <w:p>
            <w:pPr>
              <w:pStyle w:val="TableParagraph"/>
              <w:spacing w:line="220" w:lineRule="atLeast" w:before="10"/>
              <w:ind w:left="472" w:hanging="180"/>
              <w:jc w:val="left"/>
              <w:rPr>
                <w:sz w:val="18"/>
              </w:rPr>
            </w:pPr>
            <w:r>
              <w:rPr>
                <w:sz w:val="18"/>
              </w:rPr>
              <w:t>Proceeds from issuance of common stock from the initial public offering, net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underwriting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discounts, commissions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and offering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expenses</w:t>
            </w:r>
            <w:r>
              <w:rPr>
                <w:spacing w:val="5"/>
                <w:sz w:val="18"/>
              </w:rPr>
              <w:t> </w:t>
            </w:r>
            <w:r>
              <w:rPr>
                <w:color w:val="B3B3B3"/>
                <w:sz w:val="18"/>
              </w:rPr>
              <w:t>. . . .</w:t>
            </w:r>
            <w:r>
              <w:rPr>
                <w:color w:val="B3B3B3"/>
                <w:spacing w:val="-1"/>
                <w:sz w:val="18"/>
              </w:rPr>
              <w:t> </w:t>
            </w:r>
            <w:r>
              <w:rPr>
                <w:color w:val="B3B3B3"/>
                <w:sz w:val="18"/>
              </w:rPr>
              <w:t>. . . . .</w:t>
            </w:r>
            <w:r>
              <w:rPr>
                <w:color w:val="B3B3B3"/>
                <w:spacing w:val="-1"/>
                <w:sz w:val="18"/>
              </w:rPr>
              <w:t> </w:t>
            </w:r>
            <w:r>
              <w:rPr>
                <w:color w:val="B3B3B3"/>
                <w:sz w:val="18"/>
              </w:rPr>
              <w:t>. . . .</w:t>
            </w:r>
            <w:r>
              <w:rPr>
                <w:color w:val="B3B3B3"/>
                <w:spacing w:val="-1"/>
                <w:sz w:val="18"/>
              </w:rPr>
              <w:t> </w:t>
            </w:r>
            <w:r>
              <w:rPr>
                <w:color w:val="B3B3B3"/>
                <w:sz w:val="18"/>
              </w:rPr>
              <w:t>. . . .</w:t>
            </w:r>
            <w:r>
              <w:rPr>
                <w:color w:val="B3B3B3"/>
                <w:spacing w:val="-1"/>
                <w:sz w:val="18"/>
              </w:rPr>
              <w:t> </w:t>
            </w:r>
            <w:r>
              <w:rPr>
                <w:color w:val="B3B3B3"/>
                <w:sz w:val="18"/>
              </w:rPr>
              <w:t>. . .</w:t>
            </w:r>
          </w:p>
        </w:tc>
        <w:tc>
          <w:tcPr>
            <w:tcW w:w="13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ind w:right="121"/>
              <w:rPr>
                <w:sz w:val="18"/>
              </w:rPr>
            </w:pPr>
            <w:r>
              <w:rPr>
                <w:sz w:val="18"/>
              </w:rPr>
              <w:t>172,409</w:t>
            </w:r>
          </w:p>
        </w:tc>
        <w:tc>
          <w:tcPr>
            <w:tcW w:w="13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ind w:right="72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</w:tr>
      <w:tr>
        <w:trPr>
          <w:trHeight w:val="235" w:hRule="atLeast"/>
        </w:trPr>
        <w:tc>
          <w:tcPr>
            <w:tcW w:w="6690" w:type="dxa"/>
            <w:shd w:val="clear" w:color="auto" w:fill="CCEDFF"/>
          </w:tcPr>
          <w:p>
            <w:pPr>
              <w:pStyle w:val="TableParagraph"/>
              <w:spacing w:before="8"/>
              <w:ind w:right="50"/>
              <w:rPr>
                <w:sz w:val="18"/>
              </w:rPr>
            </w:pPr>
            <w:r>
              <w:rPr>
                <w:sz w:val="18"/>
              </w:rPr>
              <w:t>Net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cash provided by financing activities </w:t>
            </w:r>
            <w:r>
              <w:rPr>
                <w:color w:val="B3B3B3"/>
                <w:sz w:val="18"/>
              </w:rPr>
              <w:t>. . . . . . . . . . . . . . .</w:t>
            </w:r>
            <w:r>
              <w:rPr>
                <w:color w:val="B3B3B3"/>
                <w:spacing w:val="-1"/>
                <w:sz w:val="18"/>
              </w:rPr>
              <w:t> </w:t>
            </w:r>
            <w:r>
              <w:rPr>
                <w:color w:val="B3B3B3"/>
                <w:sz w:val="18"/>
              </w:rPr>
              <w:t>. . . . . . . . . . . . . . . . . . . .</w:t>
            </w:r>
          </w:p>
        </w:tc>
        <w:tc>
          <w:tcPr>
            <w:tcW w:w="135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8"/>
              <w:ind w:right="121"/>
              <w:rPr>
                <w:sz w:val="18"/>
              </w:rPr>
            </w:pPr>
            <w:r>
              <w:rPr>
                <w:sz w:val="18"/>
              </w:rPr>
              <w:t>261,472</w:t>
            </w:r>
          </w:p>
        </w:tc>
        <w:tc>
          <w:tcPr>
            <w:tcW w:w="13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8"/>
              <w:ind w:right="72"/>
              <w:rPr>
                <w:sz w:val="18"/>
              </w:rPr>
            </w:pPr>
            <w:r>
              <w:rPr>
                <w:sz w:val="18"/>
              </w:rPr>
              <w:t>106,534</w:t>
            </w:r>
          </w:p>
        </w:tc>
      </w:tr>
      <w:tr>
        <w:trPr>
          <w:trHeight w:val="245" w:hRule="atLeast"/>
        </w:trPr>
        <w:tc>
          <w:tcPr>
            <w:tcW w:w="6690" w:type="dxa"/>
          </w:tcPr>
          <w:p>
            <w:pPr>
              <w:pStyle w:val="TableParagraph"/>
              <w:spacing w:before="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Net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increase in cash, cash equivalents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restricted cash  </w:t>
            </w:r>
            <w:r>
              <w:rPr>
                <w:color w:val="B3B3B3"/>
                <w:sz w:val="18"/>
              </w:rPr>
              <w:t>. . .</w:t>
            </w:r>
            <w:r>
              <w:rPr>
                <w:color w:val="B3B3B3"/>
                <w:spacing w:val="-1"/>
                <w:sz w:val="18"/>
              </w:rPr>
              <w:t> </w:t>
            </w:r>
            <w:r>
              <w:rPr>
                <w:color w:val="B3B3B3"/>
                <w:sz w:val="18"/>
              </w:rPr>
              <w:t>. . . . . .</w:t>
            </w:r>
            <w:r>
              <w:rPr>
                <w:color w:val="B3B3B3"/>
                <w:spacing w:val="-1"/>
                <w:sz w:val="18"/>
              </w:rPr>
              <w:t> </w:t>
            </w:r>
            <w:r>
              <w:rPr>
                <w:color w:val="B3B3B3"/>
                <w:sz w:val="18"/>
              </w:rPr>
              <w:t>. . . . . .</w:t>
            </w:r>
            <w:r>
              <w:rPr>
                <w:color w:val="B3B3B3"/>
                <w:spacing w:val="-1"/>
                <w:sz w:val="18"/>
              </w:rPr>
              <w:t> </w:t>
            </w:r>
            <w:r>
              <w:rPr>
                <w:color w:val="B3B3B3"/>
                <w:sz w:val="18"/>
              </w:rPr>
              <w:t>. . . . . . .</w:t>
            </w:r>
            <w:r>
              <w:rPr>
                <w:color w:val="B3B3B3"/>
                <w:spacing w:val="-1"/>
                <w:sz w:val="18"/>
              </w:rPr>
              <w:t> </w:t>
            </w:r>
            <w:r>
              <w:rPr>
                <w:color w:val="B3B3B3"/>
                <w:sz w:val="18"/>
              </w:rPr>
              <w:t>. . . . .</w:t>
            </w:r>
          </w:p>
        </w:tc>
        <w:tc>
          <w:tcPr>
            <w:tcW w:w="135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"/>
              <w:ind w:right="121"/>
              <w:rPr>
                <w:sz w:val="18"/>
              </w:rPr>
            </w:pPr>
            <w:r>
              <w:rPr>
                <w:sz w:val="18"/>
              </w:rPr>
              <w:t>220,354</w:t>
            </w:r>
          </w:p>
        </w:tc>
        <w:tc>
          <w:tcPr>
            <w:tcW w:w="13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"/>
              <w:ind w:right="72"/>
              <w:rPr>
                <w:sz w:val="18"/>
              </w:rPr>
            </w:pPr>
            <w:r>
              <w:rPr>
                <w:sz w:val="18"/>
              </w:rPr>
              <w:t>71,412</w:t>
            </w:r>
          </w:p>
        </w:tc>
      </w:tr>
      <w:tr>
        <w:trPr>
          <w:trHeight w:val="255" w:hRule="atLeast"/>
        </w:trPr>
        <w:tc>
          <w:tcPr>
            <w:tcW w:w="6690" w:type="dxa"/>
            <w:shd w:val="clear" w:color="auto" w:fill="CCEDFF"/>
          </w:tcPr>
          <w:p>
            <w:pPr>
              <w:pStyle w:val="TableParagraph"/>
              <w:spacing w:before="18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Cash,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cash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equivalents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restricted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cash</w:t>
            </w:r>
          </w:p>
        </w:tc>
        <w:tc>
          <w:tcPr>
            <w:tcW w:w="1354" w:type="dxa"/>
            <w:shd w:val="clear" w:color="auto" w:fill="CCEDFF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16" w:type="dxa"/>
            <w:shd w:val="clear" w:color="auto" w:fill="CCEDFF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6690" w:type="dxa"/>
          </w:tcPr>
          <w:p>
            <w:pPr>
              <w:pStyle w:val="TableParagraph"/>
              <w:spacing w:before="3"/>
              <w:ind w:right="54"/>
              <w:rPr>
                <w:sz w:val="18"/>
              </w:rPr>
            </w:pPr>
            <w:r>
              <w:rPr>
                <w:sz w:val="18"/>
              </w:rPr>
              <w:t>Beginning of the period</w:t>
            </w:r>
            <w:r>
              <w:rPr>
                <w:spacing w:val="36"/>
                <w:sz w:val="18"/>
              </w:rPr>
              <w:t> </w:t>
            </w:r>
            <w:r>
              <w:rPr>
                <w:color w:val="B3B3B3"/>
                <w:sz w:val="18"/>
              </w:rPr>
              <w:t>. . . . . . . . . . . . . . . . . . . . . . . . . . . . . . . . . . . . . . . . . . . . . . . . . . .</w:t>
            </w:r>
          </w:p>
        </w:tc>
        <w:tc>
          <w:tcPr>
            <w:tcW w:w="13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"/>
              <w:ind w:right="121"/>
              <w:rPr>
                <w:sz w:val="18"/>
              </w:rPr>
            </w:pPr>
            <w:r>
              <w:rPr>
                <w:sz w:val="18"/>
              </w:rPr>
              <w:t>100,907</w:t>
            </w:r>
          </w:p>
        </w:tc>
        <w:tc>
          <w:tcPr>
            <w:tcW w:w="13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"/>
              <w:ind w:right="72"/>
              <w:rPr>
                <w:sz w:val="18"/>
              </w:rPr>
            </w:pPr>
            <w:r>
              <w:rPr>
                <w:sz w:val="18"/>
              </w:rPr>
              <w:t>42,712</w:t>
            </w:r>
          </w:p>
        </w:tc>
      </w:tr>
      <w:tr>
        <w:trPr>
          <w:trHeight w:val="180" w:hRule="atLeast"/>
        </w:trPr>
        <w:tc>
          <w:tcPr>
            <w:tcW w:w="6690" w:type="dxa"/>
            <w:shd w:val="clear" w:color="auto" w:fill="CCEDFF"/>
          </w:tcPr>
          <w:p>
            <w:pPr>
              <w:pStyle w:val="TableParagraph"/>
              <w:spacing w:line="160" w:lineRule="exact"/>
              <w:ind w:right="56"/>
              <w:rPr>
                <w:sz w:val="18"/>
              </w:rPr>
            </w:pPr>
            <w:r>
              <w:rPr>
                <w:sz w:val="18"/>
              </w:rPr>
              <w:t>End of the period</w:t>
            </w:r>
            <w:r>
              <w:rPr>
                <w:spacing w:val="1"/>
                <w:sz w:val="18"/>
              </w:rPr>
              <w:t> </w:t>
            </w:r>
            <w:r>
              <w:rPr>
                <w:color w:val="B3B3B3"/>
                <w:sz w:val="18"/>
              </w:rPr>
              <w:t>. . . . . . . . . . . . . . . . . . . . . . . . . . . . . . . . . . . . . . . . . . . . . . . . . . . . . . . .</w:t>
            </w:r>
          </w:p>
        </w:tc>
        <w:tc>
          <w:tcPr>
            <w:tcW w:w="1354" w:type="dxa"/>
            <w:tcBorders>
              <w:top w:val="single" w:sz="8" w:space="0" w:color="000000"/>
              <w:bottom w:val="doub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592" w:val="left" w:leader="none"/>
              </w:tabs>
              <w:spacing w:line="160" w:lineRule="exact"/>
              <w:ind w:right="121"/>
              <w:rPr>
                <w:sz w:val="18"/>
              </w:rPr>
            </w:pPr>
            <w:r>
              <w:rPr>
                <w:sz w:val="18"/>
              </w:rPr>
              <w:t>$</w:t>
              <w:tab/>
              <w:t>321,261</w:t>
            </w:r>
          </w:p>
        </w:tc>
        <w:tc>
          <w:tcPr>
            <w:tcW w:w="1316" w:type="dxa"/>
            <w:tcBorders>
              <w:top w:val="single" w:sz="8" w:space="0" w:color="000000"/>
              <w:bottom w:val="doub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592" w:val="left" w:leader="none"/>
              </w:tabs>
              <w:spacing w:line="160" w:lineRule="exact"/>
              <w:ind w:right="72"/>
              <w:rPr>
                <w:sz w:val="18"/>
              </w:rPr>
            </w:pPr>
            <w:r>
              <w:rPr>
                <w:sz w:val="18"/>
              </w:rPr>
              <w:t>$</w:t>
              <w:tab/>
              <w:t>114,124</w:t>
            </w:r>
          </w:p>
        </w:tc>
      </w:tr>
      <w:tr>
        <w:trPr>
          <w:trHeight w:val="245" w:hRule="atLeast"/>
        </w:trPr>
        <w:tc>
          <w:tcPr>
            <w:tcW w:w="6690" w:type="dxa"/>
          </w:tcPr>
          <w:p>
            <w:pPr>
              <w:pStyle w:val="TableParagraph"/>
              <w:spacing w:before="8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Reconciliation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cash, cash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equivalents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restricted cash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 balance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sheets:</w:t>
            </w:r>
          </w:p>
        </w:tc>
        <w:tc>
          <w:tcPr>
            <w:tcW w:w="1354" w:type="dxa"/>
            <w:tcBorders>
              <w:top w:val="doub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16" w:type="dxa"/>
            <w:tcBorders>
              <w:top w:val="double" w:sz="8" w:space="0" w:color="000000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6690" w:type="dxa"/>
            <w:shd w:val="clear" w:color="auto" w:fill="CCEDFF"/>
          </w:tcPr>
          <w:p>
            <w:pPr>
              <w:pStyle w:val="TableParagraph"/>
              <w:spacing w:before="3"/>
              <w:ind w:right="54"/>
              <w:rPr>
                <w:sz w:val="18"/>
              </w:rPr>
            </w:pPr>
            <w:r>
              <w:rPr>
                <w:sz w:val="18"/>
              </w:rPr>
              <w:t>Cash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and cash equivalents</w:t>
            </w:r>
            <w:r>
              <w:rPr>
                <w:spacing w:val="36"/>
                <w:sz w:val="18"/>
              </w:rPr>
              <w:t> </w:t>
            </w:r>
            <w:r>
              <w:rPr>
                <w:color w:val="B3B3B3"/>
                <w:sz w:val="18"/>
              </w:rPr>
              <w:t>. . . . . . . . . . . . . . . . . . . . . . .</w:t>
            </w:r>
            <w:r>
              <w:rPr>
                <w:color w:val="B3B3B3"/>
                <w:spacing w:val="-1"/>
                <w:sz w:val="18"/>
              </w:rPr>
              <w:t> </w:t>
            </w:r>
            <w:r>
              <w:rPr>
                <w:color w:val="B3B3B3"/>
                <w:sz w:val="18"/>
              </w:rPr>
              <w:t>. . . . . . . . . . . . . . . . . . . . . . . . . .</w:t>
            </w:r>
          </w:p>
        </w:tc>
        <w:tc>
          <w:tcPr>
            <w:tcW w:w="1354" w:type="dxa"/>
            <w:shd w:val="clear" w:color="auto" w:fill="CCEDFF"/>
          </w:tcPr>
          <w:p>
            <w:pPr>
              <w:pStyle w:val="TableParagraph"/>
              <w:tabs>
                <w:tab w:pos="592" w:val="left" w:leader="none"/>
              </w:tabs>
              <w:spacing w:before="3"/>
              <w:ind w:right="121"/>
              <w:rPr>
                <w:sz w:val="18"/>
              </w:rPr>
            </w:pPr>
            <w:r>
              <w:rPr>
                <w:sz w:val="18"/>
              </w:rPr>
              <w:t>$</w:t>
              <w:tab/>
              <w:t>320,484</w:t>
            </w:r>
          </w:p>
        </w:tc>
        <w:tc>
          <w:tcPr>
            <w:tcW w:w="1316" w:type="dxa"/>
            <w:shd w:val="clear" w:color="auto" w:fill="CCEDFF"/>
          </w:tcPr>
          <w:p>
            <w:pPr>
              <w:pStyle w:val="TableParagraph"/>
              <w:tabs>
                <w:tab w:pos="592" w:val="left" w:leader="none"/>
              </w:tabs>
              <w:spacing w:before="3"/>
              <w:ind w:right="72"/>
              <w:rPr>
                <w:sz w:val="18"/>
              </w:rPr>
            </w:pPr>
            <w:r>
              <w:rPr>
                <w:sz w:val="18"/>
              </w:rPr>
              <w:t>$</w:t>
              <w:tab/>
              <w:t>113,347</w:t>
            </w:r>
          </w:p>
        </w:tc>
      </w:tr>
      <w:tr>
        <w:trPr>
          <w:trHeight w:val="230" w:hRule="atLeast"/>
        </w:trPr>
        <w:tc>
          <w:tcPr>
            <w:tcW w:w="6690" w:type="dxa"/>
          </w:tcPr>
          <w:p>
            <w:pPr>
              <w:pStyle w:val="TableParagraph"/>
              <w:spacing w:before="3"/>
              <w:ind w:right="53"/>
              <w:rPr>
                <w:sz w:val="18"/>
              </w:rPr>
            </w:pPr>
            <w:r>
              <w:rPr>
                <w:sz w:val="18"/>
              </w:rPr>
              <w:t>Restricted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cash</w:t>
            </w:r>
            <w:r>
              <w:rPr>
                <w:spacing w:val="27"/>
                <w:sz w:val="18"/>
              </w:rPr>
              <w:t> </w:t>
            </w:r>
            <w:r>
              <w:rPr>
                <w:color w:val="B3B3B3"/>
                <w:sz w:val="18"/>
              </w:rPr>
              <w:t>. . . . . . . . . . . . . . . . . . . . . . . . . . . . .</w:t>
            </w:r>
            <w:r>
              <w:rPr>
                <w:color w:val="B3B3B3"/>
                <w:spacing w:val="-1"/>
                <w:sz w:val="18"/>
              </w:rPr>
              <w:t> </w:t>
            </w:r>
            <w:r>
              <w:rPr>
                <w:color w:val="B3B3B3"/>
                <w:sz w:val="18"/>
              </w:rPr>
              <w:t>. . . . . . . . . . . . . . . . . . . . . . . . . . . . .</w:t>
            </w:r>
          </w:p>
        </w:tc>
        <w:tc>
          <w:tcPr>
            <w:tcW w:w="13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"/>
              <w:ind w:right="121"/>
              <w:rPr>
                <w:sz w:val="18"/>
              </w:rPr>
            </w:pPr>
            <w:r>
              <w:rPr>
                <w:sz w:val="18"/>
              </w:rPr>
              <w:t>777</w:t>
            </w:r>
          </w:p>
        </w:tc>
        <w:tc>
          <w:tcPr>
            <w:tcW w:w="13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"/>
              <w:ind w:right="72"/>
              <w:rPr>
                <w:sz w:val="18"/>
              </w:rPr>
            </w:pPr>
            <w:r>
              <w:rPr>
                <w:sz w:val="18"/>
              </w:rPr>
              <w:t>777</w:t>
            </w:r>
          </w:p>
        </w:tc>
      </w:tr>
      <w:tr>
        <w:trPr>
          <w:trHeight w:val="195" w:hRule="atLeast"/>
        </w:trPr>
        <w:tc>
          <w:tcPr>
            <w:tcW w:w="6690" w:type="dxa"/>
            <w:shd w:val="clear" w:color="auto" w:fill="CCEDFF"/>
          </w:tcPr>
          <w:p>
            <w:pPr>
              <w:pStyle w:val="TableParagraph"/>
              <w:spacing w:line="167" w:lineRule="exact" w:before="8"/>
              <w:ind w:right="52"/>
              <w:rPr>
                <w:sz w:val="18"/>
              </w:rPr>
            </w:pPr>
            <w:r>
              <w:rPr>
                <w:sz w:val="18"/>
              </w:rPr>
              <w:t>Cash,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cash equivalents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and restricted cash in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balance sheets</w:t>
            </w:r>
            <w:r>
              <w:rPr>
                <w:spacing w:val="18"/>
                <w:sz w:val="18"/>
              </w:rPr>
              <w:t> </w:t>
            </w:r>
            <w:r>
              <w:rPr>
                <w:color w:val="B3B3B3"/>
                <w:sz w:val="18"/>
              </w:rPr>
              <w:t>. . .</w:t>
            </w:r>
            <w:r>
              <w:rPr>
                <w:color w:val="B3B3B3"/>
                <w:spacing w:val="-1"/>
                <w:sz w:val="18"/>
              </w:rPr>
              <w:t> </w:t>
            </w:r>
            <w:r>
              <w:rPr>
                <w:color w:val="B3B3B3"/>
                <w:sz w:val="18"/>
              </w:rPr>
              <w:t>. . . . . .</w:t>
            </w:r>
            <w:r>
              <w:rPr>
                <w:color w:val="B3B3B3"/>
                <w:spacing w:val="-1"/>
                <w:sz w:val="18"/>
              </w:rPr>
              <w:t> </w:t>
            </w:r>
            <w:r>
              <w:rPr>
                <w:color w:val="B3B3B3"/>
                <w:sz w:val="18"/>
              </w:rPr>
              <w:t>. . . . . .</w:t>
            </w:r>
            <w:r>
              <w:rPr>
                <w:color w:val="B3B3B3"/>
                <w:spacing w:val="-1"/>
                <w:sz w:val="18"/>
              </w:rPr>
              <w:t> </w:t>
            </w:r>
            <w:r>
              <w:rPr>
                <w:color w:val="B3B3B3"/>
                <w:sz w:val="18"/>
              </w:rPr>
              <w:t>. . . . .</w:t>
            </w:r>
          </w:p>
        </w:tc>
        <w:tc>
          <w:tcPr>
            <w:tcW w:w="1354" w:type="dxa"/>
            <w:tcBorders>
              <w:top w:val="single" w:sz="8" w:space="0" w:color="000000"/>
              <w:bottom w:val="doub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592" w:val="left" w:leader="none"/>
              </w:tabs>
              <w:spacing w:line="167" w:lineRule="exact" w:before="8"/>
              <w:ind w:right="121"/>
              <w:rPr>
                <w:sz w:val="18"/>
              </w:rPr>
            </w:pPr>
            <w:r>
              <w:rPr>
                <w:sz w:val="18"/>
              </w:rPr>
              <w:t>$</w:t>
              <w:tab/>
              <w:t>321,261</w:t>
            </w:r>
          </w:p>
        </w:tc>
        <w:tc>
          <w:tcPr>
            <w:tcW w:w="1316" w:type="dxa"/>
            <w:tcBorders>
              <w:top w:val="single" w:sz="8" w:space="0" w:color="000000"/>
              <w:bottom w:val="doub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592" w:val="left" w:leader="none"/>
              </w:tabs>
              <w:spacing w:line="167" w:lineRule="exact" w:before="8"/>
              <w:ind w:right="72"/>
              <w:rPr>
                <w:sz w:val="18"/>
              </w:rPr>
            </w:pPr>
            <w:r>
              <w:rPr>
                <w:sz w:val="18"/>
              </w:rPr>
              <w:t>$</w:t>
              <w:tab/>
              <w:t>114,124</w:t>
            </w:r>
          </w:p>
        </w:tc>
      </w:tr>
    </w:tbl>
    <w:p>
      <w:pPr>
        <w:spacing w:line="192" w:lineRule="exact" w:before="0"/>
        <w:ind w:left="152" w:right="0" w:firstLine="0"/>
        <w:jc w:val="left"/>
        <w:rPr>
          <w:b/>
          <w:sz w:val="18"/>
        </w:rPr>
      </w:pPr>
      <w:r>
        <w:rPr/>
        <w:pict>
          <v:group style="position:absolute;margin-left:72pt;margin-top:10.806775pt;width:468pt;height:13.5pt;mso-position-horizontal-relative:page;mso-position-vertical-relative:paragraph;z-index:-15719424;mso-wrap-distance-left:0;mso-wrap-distance-right:0" id="docshapegroup54" coordorigin="1440,216" coordsize="9360,270">
            <v:rect style="position:absolute;left:1440;top:216;width:9360;height:240" id="docshape55" filled="true" fillcolor="#ccedff" stroked="false">
              <v:fill type="solid"/>
            </v:rect>
            <v:shape style="position:absolute;left:8130;top:436;width:2670;height:40" id="docshape56" coordorigin="8130,436" coordsize="2670,40" path="m8130,436l9435,436m8130,476l9435,476m9495,436l10800,436m9495,476l10800,476e" filled="false" stroked="true" strokeweight="1pt" strokecolor="#000000">
              <v:path arrowok="t"/>
              <v:stroke dashstyle="solid"/>
            </v:shape>
            <v:shape style="position:absolute;left:1440;top:216;width:9360;height:220" type="#_x0000_t202" id="docshape57" filled="false" stroked="false">
              <v:textbox inset="0,0,0,0">
                <w:txbxContent>
                  <w:p>
                    <w:pPr>
                      <w:tabs>
                        <w:tab w:pos="7515" w:val="left" w:leader="none"/>
                        <w:tab w:pos="8880" w:val="left" w:leader="none"/>
                      </w:tabs>
                      <w:spacing w:before="3"/>
                      <w:ind w:left="292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Interest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paid</w:t>
                    </w:r>
                    <w:r>
                      <w:rPr>
                        <w:spacing w:val="45"/>
                        <w:sz w:val="18"/>
                      </w:rPr>
                      <w:t> </w:t>
                    </w:r>
                    <w:r>
                      <w:rPr>
                        <w:color w:val="B3B3B3"/>
                        <w:sz w:val="18"/>
                      </w:rPr>
                      <w:t>. . . . . . . . . . . . . . . . . . . . . . . . . . . . . . . . . . . . . . . . . . . . . . . . . . . . . . . . . . . .</w:t>
                    </w:r>
                    <w:r>
                      <w:rPr>
                        <w:color w:val="B3B3B3"/>
                        <w:spacing w:val="6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$</w:t>
                      <w:tab/>
                      <w:t>3,566   </w:t>
                    </w:r>
                    <w:r>
                      <w:rPr>
                        <w:spacing w:val="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$</w:t>
                      <w:tab/>
                      <w:t>2,785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b/>
          <w:sz w:val="18"/>
        </w:rPr>
        <w:t>Supplemental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cash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flow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information</w:t>
      </w:r>
    </w:p>
    <w:p>
      <w:pPr>
        <w:spacing w:line="201" w:lineRule="exact" w:before="0" w:after="60"/>
        <w:ind w:left="152" w:right="0" w:firstLine="0"/>
        <w:jc w:val="left"/>
        <w:rPr>
          <w:b/>
          <w:sz w:val="18"/>
        </w:rPr>
      </w:pPr>
      <w:r>
        <w:rPr>
          <w:b/>
          <w:sz w:val="18"/>
        </w:rPr>
        <w:t>Non-cash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investing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financing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activities</w:t>
      </w: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9"/>
        <w:gridCol w:w="1355"/>
        <w:gridCol w:w="1316"/>
      </w:tblGrid>
      <w:tr>
        <w:trPr>
          <w:trHeight w:val="205" w:hRule="atLeast"/>
        </w:trPr>
        <w:tc>
          <w:tcPr>
            <w:tcW w:w="6689" w:type="dxa"/>
            <w:shd w:val="clear" w:color="auto" w:fill="CCEDFF"/>
          </w:tcPr>
          <w:p>
            <w:pPr>
              <w:pStyle w:val="TableParagraph"/>
              <w:spacing w:line="168" w:lineRule="exact" w:before="17"/>
              <w:ind w:right="55"/>
              <w:rPr>
                <w:sz w:val="18"/>
              </w:rPr>
            </w:pPr>
            <w:r>
              <w:rPr>
                <w:sz w:val="18"/>
              </w:rPr>
              <w:t>Transfer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 evaluation units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from inventory to property and equipment, net</w:t>
            </w:r>
            <w:r>
              <w:rPr>
                <w:spacing w:val="10"/>
                <w:sz w:val="18"/>
              </w:rPr>
              <w:t> </w:t>
            </w:r>
            <w:r>
              <w:rPr>
                <w:color w:val="B3B3B3"/>
                <w:sz w:val="18"/>
              </w:rPr>
              <w:t>. . . . . . . . . .</w:t>
            </w:r>
          </w:p>
        </w:tc>
        <w:tc>
          <w:tcPr>
            <w:tcW w:w="1355" w:type="dxa"/>
            <w:tcBorders>
              <w:bottom w:val="doub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766" w:val="left" w:leader="none"/>
              </w:tabs>
              <w:spacing w:line="167" w:lineRule="exact" w:before="18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$</w:t>
              <w:tab/>
              <w:t>(1,227)</w:t>
            </w:r>
          </w:p>
        </w:tc>
        <w:tc>
          <w:tcPr>
            <w:tcW w:w="1316" w:type="dxa"/>
            <w:tcBorders>
              <w:bottom w:val="doub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836" w:val="left" w:leader="none"/>
              </w:tabs>
              <w:spacing w:line="167" w:lineRule="exact" w:before="18"/>
              <w:ind w:left="63"/>
              <w:jc w:val="left"/>
              <w:rPr>
                <w:sz w:val="18"/>
              </w:rPr>
            </w:pPr>
            <w:r>
              <w:rPr>
                <w:sz w:val="18"/>
              </w:rPr>
              <w:t>$</w:t>
              <w:tab/>
              <w:t>1,470</w:t>
            </w:r>
          </w:p>
        </w:tc>
      </w:tr>
      <w:tr>
        <w:trPr>
          <w:trHeight w:val="235" w:hRule="atLeast"/>
        </w:trPr>
        <w:tc>
          <w:tcPr>
            <w:tcW w:w="6689" w:type="dxa"/>
          </w:tcPr>
          <w:p>
            <w:pPr>
              <w:pStyle w:val="TableParagraph"/>
              <w:spacing w:before="7"/>
              <w:ind w:right="56"/>
              <w:rPr>
                <w:sz w:val="18"/>
              </w:rPr>
            </w:pPr>
            <w:r>
              <w:rPr>
                <w:sz w:val="18"/>
              </w:rPr>
              <w:t>Property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and equipment included in accounts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payable and accrued expenses</w:t>
            </w:r>
            <w:r>
              <w:rPr>
                <w:spacing w:val="20"/>
                <w:sz w:val="18"/>
              </w:rPr>
              <w:t> </w:t>
            </w:r>
            <w:r>
              <w:rPr>
                <w:color w:val="B3B3B3"/>
                <w:sz w:val="18"/>
              </w:rPr>
              <w:t>. .</w:t>
            </w:r>
            <w:r>
              <w:rPr>
                <w:color w:val="B3B3B3"/>
                <w:spacing w:val="-1"/>
                <w:sz w:val="18"/>
              </w:rPr>
              <w:t> </w:t>
            </w:r>
            <w:r>
              <w:rPr>
                <w:color w:val="B3B3B3"/>
                <w:sz w:val="18"/>
              </w:rPr>
              <w:t>. . . . . . .</w:t>
            </w:r>
          </w:p>
        </w:tc>
        <w:tc>
          <w:tcPr>
            <w:tcW w:w="1355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tabs>
                <w:tab w:pos="961" w:val="left" w:leader="none"/>
              </w:tabs>
              <w:spacing w:before="8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$</w:t>
              <w:tab/>
              <w:t>200</w:t>
            </w:r>
          </w:p>
        </w:tc>
        <w:tc>
          <w:tcPr>
            <w:tcW w:w="1316" w:type="dxa"/>
            <w:tcBorders>
              <w:top w:val="double" w:sz="8" w:space="0" w:color="000000"/>
              <w:bottom w:val="double" w:sz="8" w:space="0" w:color="000000"/>
            </w:tcBorders>
          </w:tcPr>
          <w:p>
            <w:pPr>
              <w:pStyle w:val="TableParagraph"/>
              <w:tabs>
                <w:tab w:pos="971" w:val="left" w:leader="none"/>
              </w:tabs>
              <w:spacing w:before="8"/>
              <w:ind w:left="63"/>
              <w:jc w:val="left"/>
              <w:rPr>
                <w:sz w:val="18"/>
              </w:rPr>
            </w:pPr>
            <w:r>
              <w:rPr>
                <w:sz w:val="18"/>
              </w:rPr>
              <w:t>$</w:t>
              <w:tab/>
              <w:t>200</w:t>
            </w:r>
          </w:p>
        </w:tc>
      </w:tr>
      <w:tr>
        <w:trPr>
          <w:trHeight w:val="175" w:hRule="atLeast"/>
        </w:trPr>
        <w:tc>
          <w:tcPr>
            <w:tcW w:w="6689" w:type="dxa"/>
            <w:shd w:val="clear" w:color="auto" w:fill="CCEDFF"/>
          </w:tcPr>
          <w:p>
            <w:pPr>
              <w:pStyle w:val="TableParagraph"/>
              <w:spacing w:line="155" w:lineRule="exact"/>
              <w:ind w:right="51"/>
              <w:rPr>
                <w:sz w:val="18"/>
              </w:rPr>
            </w:pPr>
            <w:r>
              <w:rPr>
                <w:sz w:val="18"/>
              </w:rPr>
              <w:t>Deferred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offering costs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included in accounts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payable and other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current liabilities</w:t>
            </w:r>
            <w:r>
              <w:rPr>
                <w:spacing w:val="14"/>
                <w:sz w:val="18"/>
              </w:rPr>
              <w:t> </w:t>
            </w:r>
            <w:r>
              <w:rPr>
                <w:color w:val="B3B3B3"/>
                <w:sz w:val="18"/>
              </w:rPr>
              <w:t>. . . . . .</w:t>
            </w:r>
          </w:p>
        </w:tc>
        <w:tc>
          <w:tcPr>
            <w:tcW w:w="1355" w:type="dxa"/>
            <w:tcBorders>
              <w:top w:val="double" w:sz="8" w:space="0" w:color="000000"/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961" w:val="left" w:leader="none"/>
              </w:tabs>
              <w:spacing w:line="155" w:lineRule="exact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$</w:t>
              <w:tab/>
              <w:t>819</w:t>
            </w:r>
          </w:p>
        </w:tc>
        <w:tc>
          <w:tcPr>
            <w:tcW w:w="1316" w:type="dxa"/>
            <w:tcBorders>
              <w:top w:val="double" w:sz="8" w:space="0" w:color="000000"/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1061" w:val="left" w:leader="none"/>
              </w:tabs>
              <w:spacing w:line="155" w:lineRule="exact"/>
              <w:ind w:left="63"/>
              <w:jc w:val="left"/>
              <w:rPr>
                <w:sz w:val="18"/>
              </w:rPr>
            </w:pPr>
            <w:r>
              <w:rPr>
                <w:sz w:val="18"/>
              </w:rPr>
              <w:t>$</w:t>
              <w:tab/>
              <w:t>—</w:t>
            </w:r>
          </w:p>
        </w:tc>
      </w:tr>
    </w:tbl>
    <w:p>
      <w:pPr>
        <w:pStyle w:val="BodyText"/>
        <w:spacing w:line="20" w:lineRule="exact" w:before="0"/>
        <w:ind w:left="6790" w:firstLine="0"/>
        <w:rPr>
          <w:sz w:val="2"/>
        </w:rPr>
      </w:pPr>
      <w:r>
        <w:rPr>
          <w:sz w:val="2"/>
        </w:rPr>
        <w:pict>
          <v:group style="width:65.25pt;height:1pt;mso-position-horizontal-relative:char;mso-position-vertical-relative:line" id="docshapegroup58" coordorigin="0,0" coordsize="1305,20">
            <v:line style="position:absolute" from="0,10" to="1305,10" stroked="true" strokeweight="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7"/>
        <w:ind w:left="0" w:firstLine="0"/>
        <w:rPr>
          <w:b/>
          <w:sz w:val="16"/>
        </w:rPr>
      </w:pPr>
    </w:p>
    <w:p>
      <w:pPr>
        <w:pStyle w:val="BodyText"/>
        <w:spacing w:before="1"/>
        <w:ind w:left="843" w:firstLine="0"/>
      </w:pPr>
      <w:r>
        <w:rPr/>
        <w:pict>
          <v:line style="position:absolute;mso-position-horizontal-relative:page;mso-position-vertical-relative:paragraph;z-index:15738880" from="474.75pt,-10.544055pt" to="540pt,-10.544055pt" stroked="true" strokeweight="1pt" strokecolor="#000000">
            <v:stroke dashstyle="solid"/>
            <w10:wrap type="none"/>
          </v:line>
        </w:pict>
      </w:r>
      <w:r>
        <w:rPr/>
        <w:t>The</w:t>
      </w:r>
      <w:r>
        <w:rPr>
          <w:spacing w:val="-5"/>
        </w:rPr>
        <w:t> </w:t>
      </w:r>
      <w:r>
        <w:rPr/>
        <w:t>accompanying</w:t>
      </w:r>
      <w:r>
        <w:rPr>
          <w:spacing w:val="-3"/>
        </w:rPr>
        <w:t> </w:t>
      </w:r>
      <w:r>
        <w:rPr/>
        <w:t>notes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an</w:t>
      </w:r>
      <w:r>
        <w:rPr>
          <w:spacing w:val="-3"/>
        </w:rPr>
        <w:t> </w:t>
      </w:r>
      <w:r>
        <w:rPr/>
        <w:t>integral</w:t>
      </w:r>
      <w:r>
        <w:rPr>
          <w:spacing w:val="-4"/>
        </w:rPr>
        <w:t> </w:t>
      </w:r>
      <w:r>
        <w:rPr/>
        <w:t>part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these</w:t>
      </w:r>
      <w:r>
        <w:rPr>
          <w:spacing w:val="-4"/>
        </w:rPr>
        <w:t> </w:t>
      </w:r>
      <w:r>
        <w:rPr/>
        <w:t>condensed</w:t>
      </w:r>
      <w:r>
        <w:rPr>
          <w:spacing w:val="-3"/>
        </w:rPr>
        <w:t> </w:t>
      </w:r>
      <w:r>
        <w:rPr/>
        <w:t>consolidated</w:t>
      </w:r>
      <w:r>
        <w:rPr>
          <w:spacing w:val="-4"/>
        </w:rPr>
        <w:t> </w:t>
      </w:r>
      <w:r>
        <w:rPr/>
        <w:t>financial</w:t>
      </w:r>
      <w:r>
        <w:rPr>
          <w:spacing w:val="-4"/>
        </w:rPr>
        <w:t> </w:t>
      </w:r>
      <w:r>
        <w:rPr/>
        <w:t>statements.</w:t>
      </w:r>
    </w:p>
    <w:p>
      <w:pPr>
        <w:spacing w:after="0"/>
        <w:sectPr>
          <w:footerReference w:type="default" r:id="rId9"/>
          <w:pgSz w:w="12240" w:h="15840"/>
          <w:pgMar w:footer="471" w:header="0" w:top="960" w:bottom="660" w:left="1340" w:right="1320"/>
        </w:sectPr>
      </w:pPr>
    </w:p>
    <w:p>
      <w:pPr>
        <w:spacing w:before="68"/>
        <w:ind w:left="269" w:right="286" w:firstLine="0"/>
        <w:jc w:val="center"/>
        <w:rPr>
          <w:b/>
          <w:sz w:val="20"/>
        </w:rPr>
      </w:pPr>
      <w:bookmarkStart w:name="Notes to Consolidated Financial Statemen" w:id="16"/>
      <w:bookmarkEnd w:id="16"/>
      <w:r>
        <w:rPr/>
      </w:r>
      <w:bookmarkStart w:name="_bookmark6" w:id="17"/>
      <w:bookmarkEnd w:id="17"/>
      <w:r>
        <w:rPr/>
      </w:r>
      <w:r>
        <w:rPr>
          <w:b/>
          <w:sz w:val="20"/>
        </w:rPr>
        <w:t>PROCEPT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BioRobotics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Corporation</w:t>
      </w:r>
    </w:p>
    <w:p>
      <w:pPr>
        <w:pStyle w:val="Heading1"/>
        <w:ind w:left="268" w:right="286"/>
      </w:pPr>
      <w:r>
        <w:rPr/>
        <w:t>NOTES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CONDENSED</w:t>
      </w:r>
      <w:r>
        <w:rPr>
          <w:spacing w:val="-8"/>
        </w:rPr>
        <w:t> </w:t>
      </w:r>
      <w:r>
        <w:rPr/>
        <w:t>CONSOLIDATED</w:t>
      </w:r>
      <w:r>
        <w:rPr>
          <w:spacing w:val="-7"/>
        </w:rPr>
        <w:t> </w:t>
      </w:r>
      <w:r>
        <w:rPr/>
        <w:t>FINANCIAL</w:t>
      </w:r>
      <w:r>
        <w:rPr>
          <w:spacing w:val="-8"/>
        </w:rPr>
        <w:t> </w:t>
      </w:r>
      <w:r>
        <w:rPr/>
        <w:t>STATEMENTS</w:t>
      </w:r>
    </w:p>
    <w:p>
      <w:pPr>
        <w:pStyle w:val="Heading2"/>
        <w:spacing w:before="10"/>
        <w:ind w:left="268" w:right="286"/>
        <w:jc w:val="center"/>
      </w:pPr>
      <w:r>
        <w:rPr/>
        <w:t>(unaudited)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  <w:tab w:pos="820" w:val="left" w:leader="none"/>
        </w:tabs>
        <w:spacing w:line="240" w:lineRule="auto" w:before="10" w:after="0"/>
        <w:ind w:left="820" w:right="0" w:hanging="720"/>
        <w:jc w:val="left"/>
        <w:rPr>
          <w:b/>
          <w:sz w:val="20"/>
        </w:rPr>
      </w:pPr>
      <w:bookmarkStart w:name="1. Organization " w:id="18"/>
      <w:bookmarkEnd w:id="18"/>
      <w:r>
        <w:rPr/>
      </w:r>
      <w:bookmarkStart w:name="1. Organization " w:id="19"/>
      <w:bookmarkEnd w:id="19"/>
      <w:r>
        <w:rPr>
          <w:b/>
          <w:sz w:val="20"/>
        </w:rPr>
        <w:t>O</w:t>
      </w:r>
      <w:r>
        <w:rPr>
          <w:b/>
          <w:sz w:val="20"/>
        </w:rPr>
        <w:t>rganization</w:t>
      </w:r>
    </w:p>
    <w:p>
      <w:pPr>
        <w:pStyle w:val="Heading3"/>
        <w:spacing w:before="190"/>
        <w:rPr>
          <w:i/>
        </w:rPr>
      </w:pPr>
      <w:r>
        <w:rPr>
          <w:i/>
        </w:rPr>
        <w:t>Description</w:t>
      </w:r>
      <w:r>
        <w:rPr>
          <w:i/>
          <w:spacing w:val="-6"/>
        </w:rPr>
        <w:t> </w:t>
      </w:r>
      <w:r>
        <w:rPr>
          <w:i/>
        </w:rPr>
        <w:t>of</w:t>
      </w:r>
      <w:r>
        <w:rPr>
          <w:i/>
          <w:spacing w:val="-4"/>
        </w:rPr>
        <w:t> </w:t>
      </w:r>
      <w:r>
        <w:rPr>
          <w:i/>
        </w:rPr>
        <w:t>Business</w:t>
      </w:r>
    </w:p>
    <w:p>
      <w:pPr>
        <w:pStyle w:val="BodyText"/>
        <w:spacing w:line="249" w:lineRule="auto" w:before="194"/>
        <w:ind w:right="180"/>
      </w:pPr>
      <w:r>
        <w:rPr/>
        <w:t>PROCEPT BioRobotics Corporation (the “Company”) was incorporated in the state of California in 2007 and</w:t>
      </w:r>
      <w:r>
        <w:rPr>
          <w:spacing w:val="1"/>
        </w:rPr>
        <w:t> </w:t>
      </w:r>
      <w:r>
        <w:rPr/>
        <w:t>its</w:t>
      </w:r>
      <w:r>
        <w:rPr>
          <w:spacing w:val="-4"/>
        </w:rPr>
        <w:t> </w:t>
      </w:r>
      <w:r>
        <w:rPr/>
        <w:t>headquarters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located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Redwood</w:t>
      </w:r>
      <w:r>
        <w:rPr>
          <w:spacing w:val="-2"/>
        </w:rPr>
        <w:t> </w:t>
      </w:r>
      <w:r>
        <w:rPr/>
        <w:t>City,</w:t>
      </w:r>
      <w:r>
        <w:rPr>
          <w:spacing w:val="-3"/>
        </w:rPr>
        <w:t> </w:t>
      </w:r>
      <w:r>
        <w:rPr/>
        <w:t>California.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April</w:t>
      </w:r>
      <w:r>
        <w:rPr>
          <w:spacing w:val="-3"/>
        </w:rPr>
        <w:t> </w:t>
      </w:r>
      <w:r>
        <w:rPr/>
        <w:t>2021,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Company</w:t>
      </w:r>
      <w:r>
        <w:rPr>
          <w:spacing w:val="-2"/>
        </w:rPr>
        <w:t> </w:t>
      </w:r>
      <w:r>
        <w:rPr/>
        <w:t>re-incorporated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state</w:t>
      </w:r>
      <w:r>
        <w:rPr>
          <w:spacing w:val="-3"/>
        </w:rPr>
        <w:t> </w:t>
      </w:r>
      <w:r>
        <w:rPr/>
        <w:t>of</w:t>
      </w:r>
      <w:r>
        <w:rPr>
          <w:spacing w:val="-47"/>
        </w:rPr>
        <w:t> </w:t>
      </w:r>
      <w:r>
        <w:rPr/>
        <w:t>Delaware. The Company received U.S. Food and Drug Administration clearance in December 2017 to market its</w:t>
      </w:r>
      <w:r>
        <w:rPr>
          <w:spacing w:val="1"/>
        </w:rPr>
        <w:t> </w:t>
      </w:r>
      <w:r>
        <w:rPr/>
        <w:t>AquaBeam</w:t>
      </w:r>
      <w:r>
        <w:rPr>
          <w:vertAlign w:val="superscript"/>
        </w:rPr>
        <w:t>®</w:t>
      </w:r>
      <w:r>
        <w:rPr>
          <w:vertAlign w:val="baseline"/>
        </w:rPr>
        <w:t> Robotic System, an automated surgical robot providing tissue removal for the treatment of benign</w:t>
      </w:r>
      <w:r>
        <w:rPr>
          <w:spacing w:val="1"/>
          <w:vertAlign w:val="baseline"/>
        </w:rPr>
        <w:t> </w:t>
      </w:r>
      <w:r>
        <w:rPr>
          <w:vertAlign w:val="baseline"/>
        </w:rPr>
        <w:t>prostatic</w:t>
      </w:r>
      <w:r>
        <w:rPr>
          <w:spacing w:val="-2"/>
          <w:vertAlign w:val="baseline"/>
        </w:rPr>
        <w:t> </w:t>
      </w:r>
      <w:r>
        <w:rPr>
          <w:vertAlign w:val="baseline"/>
        </w:rPr>
        <w:t>hyperplasia, a</w:t>
      </w:r>
      <w:r>
        <w:rPr>
          <w:spacing w:val="-1"/>
          <w:vertAlign w:val="baseline"/>
        </w:rPr>
        <w:t> </w:t>
      </w:r>
      <w:r>
        <w:rPr>
          <w:vertAlign w:val="baseline"/>
        </w:rPr>
        <w:t>prostate</w:t>
      </w:r>
      <w:r>
        <w:rPr>
          <w:spacing w:val="-2"/>
          <w:vertAlign w:val="baseline"/>
        </w:rPr>
        <w:t> </w:t>
      </w:r>
      <w:r>
        <w:rPr>
          <w:vertAlign w:val="baseline"/>
        </w:rPr>
        <w:t>gland enlargement</w:t>
      </w:r>
      <w:r>
        <w:rPr>
          <w:spacing w:val="-1"/>
          <w:vertAlign w:val="baseline"/>
        </w:rPr>
        <w:t> </w:t>
      </w:r>
      <w:r>
        <w:rPr>
          <w:vertAlign w:val="baseline"/>
        </w:rPr>
        <w:t>condition.</w:t>
      </w:r>
    </w:p>
    <w:p>
      <w:pPr>
        <w:pStyle w:val="Heading3"/>
        <w:spacing w:before="181"/>
        <w:rPr>
          <w:i/>
        </w:rPr>
      </w:pPr>
      <w:r>
        <w:rPr>
          <w:i/>
        </w:rPr>
        <w:t>Liquidity</w:t>
      </w:r>
    </w:p>
    <w:p>
      <w:pPr>
        <w:pStyle w:val="BodyText"/>
        <w:spacing w:line="249" w:lineRule="auto" w:before="193"/>
        <w:ind w:right="212"/>
      </w:pPr>
      <w:r>
        <w:rPr/>
        <w:t>As of September 30, 2021 and December 31, 2020, the Company had cash and cash equivalents of $320.5</w:t>
      </w:r>
      <w:r>
        <w:rPr>
          <w:spacing w:val="1"/>
        </w:rPr>
        <w:t> </w:t>
      </w:r>
      <w:r>
        <w:rPr/>
        <w:t>million and $100.1 million, respectively, and an accumulated deficit of $243.2 million and $201.7 million,</w:t>
      </w:r>
      <w:r>
        <w:rPr>
          <w:spacing w:val="1"/>
        </w:rPr>
        <w:t> </w:t>
      </w:r>
      <w:r>
        <w:rPr/>
        <w:t>respectively. In September 2021, the Company completed its initial public offering (“IPO”) for net proceeds of</w:t>
      </w:r>
      <w:r>
        <w:rPr>
          <w:spacing w:val="1"/>
        </w:rPr>
        <w:t> </w:t>
      </w:r>
      <w:r>
        <w:rPr/>
        <w:t>approximately $172.4 million, after deducting underwriting discounts and commissions, and offering expenses.</w:t>
      </w:r>
      <w:r>
        <w:rPr>
          <w:spacing w:val="1"/>
        </w:rPr>
        <w:t> </w:t>
      </w:r>
      <w:r>
        <w:rPr/>
        <w:t>Since its inception, the Company has financed its operations with a combination of debt and equity financing</w:t>
      </w:r>
      <w:r>
        <w:rPr>
          <w:spacing w:val="1"/>
        </w:rPr>
        <w:t> </w:t>
      </w:r>
      <w:r>
        <w:rPr/>
        <w:t>arrangements. The Company expects its cash and cash equivalents, revenue and available debt financing</w:t>
      </w:r>
      <w:r>
        <w:rPr>
          <w:spacing w:val="1"/>
        </w:rPr>
        <w:t> </w:t>
      </w:r>
      <w:r>
        <w:rPr/>
        <w:t>arrangements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sufficient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fund</w:t>
      </w:r>
      <w:r>
        <w:rPr>
          <w:spacing w:val="-2"/>
        </w:rPr>
        <w:t> </w:t>
      </w:r>
      <w:r>
        <w:rPr/>
        <w:t>its</w:t>
      </w:r>
      <w:r>
        <w:rPr>
          <w:spacing w:val="-3"/>
        </w:rPr>
        <w:t> </w:t>
      </w:r>
      <w:r>
        <w:rPr/>
        <w:t>operations</w:t>
      </w:r>
      <w:r>
        <w:rPr>
          <w:spacing w:val="-4"/>
        </w:rPr>
        <w:t> </w:t>
      </w:r>
      <w:r>
        <w:rPr/>
        <w:t>through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least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next</w:t>
      </w:r>
      <w:r>
        <w:rPr>
          <w:spacing w:val="-3"/>
        </w:rPr>
        <w:t> </w:t>
      </w:r>
      <w:r>
        <w:rPr/>
        <w:t>twelve</w:t>
      </w:r>
      <w:r>
        <w:rPr>
          <w:spacing w:val="-3"/>
        </w:rPr>
        <w:t> </w:t>
      </w:r>
      <w:r>
        <w:rPr/>
        <w:t>months</w:t>
      </w:r>
      <w:r>
        <w:rPr>
          <w:spacing w:val="-3"/>
        </w:rPr>
        <w:t> </w:t>
      </w:r>
      <w:r>
        <w:rPr/>
        <w:t>from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issuance</w:t>
      </w:r>
      <w:r>
        <w:rPr>
          <w:spacing w:val="-3"/>
        </w:rPr>
        <w:t> </w:t>
      </w:r>
      <w:r>
        <w:rPr/>
        <w:t>date</w:t>
      </w:r>
      <w:r>
        <w:rPr>
          <w:spacing w:val="-47"/>
        </w:rPr>
        <w:t> </w:t>
      </w:r>
      <w:r>
        <w:rPr/>
        <w:t>of these financial statements. The Company has not achieved positive cashflow from operations to date and expects</w:t>
      </w:r>
      <w:r>
        <w:rPr>
          <w:spacing w:val="-47"/>
        </w:rPr>
        <w:t> </w:t>
      </w:r>
      <w:r>
        <w:rPr/>
        <w:t>to</w:t>
      </w:r>
      <w:r>
        <w:rPr>
          <w:spacing w:val="-1"/>
        </w:rPr>
        <w:t> </w:t>
      </w:r>
      <w:r>
        <w:rPr/>
        <w:t>continue</w:t>
      </w:r>
      <w:r>
        <w:rPr>
          <w:spacing w:val="-2"/>
        </w:rPr>
        <w:t> </w:t>
      </w:r>
      <w:r>
        <w:rPr/>
        <w:t>incurring losses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foreseeable</w:t>
      </w:r>
      <w:r>
        <w:rPr>
          <w:spacing w:val="-2"/>
        </w:rPr>
        <w:t> </w:t>
      </w:r>
      <w:r>
        <w:rPr/>
        <w:t>future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it</w:t>
      </w:r>
      <w:r>
        <w:rPr>
          <w:spacing w:val="-1"/>
        </w:rPr>
        <w:t> </w:t>
      </w:r>
      <w:r>
        <w:rPr/>
        <w:t>focuses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growing its</w:t>
      </w:r>
      <w:r>
        <w:rPr>
          <w:spacing w:val="-2"/>
        </w:rPr>
        <w:t> </w:t>
      </w:r>
      <w:r>
        <w:rPr/>
        <w:t>business.</w:t>
      </w:r>
    </w:p>
    <w:p>
      <w:pPr>
        <w:pStyle w:val="BodyText"/>
        <w:spacing w:line="249" w:lineRule="auto" w:before="187"/>
        <w:ind w:right="138"/>
      </w:pPr>
      <w:r>
        <w:rPr/>
        <w:t>The</w:t>
      </w:r>
      <w:r>
        <w:rPr>
          <w:spacing w:val="-4"/>
        </w:rPr>
        <w:t> </w:t>
      </w:r>
      <w:r>
        <w:rPr/>
        <w:t>COVID-19</w:t>
      </w:r>
      <w:r>
        <w:rPr>
          <w:spacing w:val="-3"/>
        </w:rPr>
        <w:t> </w:t>
      </w:r>
      <w:r>
        <w:rPr/>
        <w:t>pandemic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resulting</w:t>
      </w:r>
      <w:r>
        <w:rPr>
          <w:spacing w:val="-3"/>
        </w:rPr>
        <w:t> </w:t>
      </w:r>
      <w:r>
        <w:rPr/>
        <w:t>economic</w:t>
      </w:r>
      <w:r>
        <w:rPr>
          <w:spacing w:val="-4"/>
        </w:rPr>
        <w:t> </w:t>
      </w:r>
      <w:r>
        <w:rPr/>
        <w:t>downturn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affecting</w:t>
      </w:r>
      <w:r>
        <w:rPr>
          <w:spacing w:val="-3"/>
        </w:rPr>
        <w:t> </w:t>
      </w:r>
      <w:r>
        <w:rPr/>
        <w:t>business</w:t>
      </w:r>
      <w:r>
        <w:rPr>
          <w:spacing w:val="-4"/>
        </w:rPr>
        <w:t> </w:t>
      </w:r>
      <w:r>
        <w:rPr/>
        <w:t>conditions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industry</w:t>
      </w:r>
      <w:r>
        <w:rPr>
          <w:spacing w:val="-47"/>
        </w:rPr>
        <w:t> </w:t>
      </w:r>
      <w:r>
        <w:rPr/>
        <w:t>in which the Company operates. In response to the pandemic, many state and local governments in the United States</w:t>
      </w:r>
      <w:r>
        <w:rPr>
          <w:spacing w:val="-47"/>
        </w:rPr>
        <w:t> </w:t>
      </w:r>
      <w:r>
        <w:rPr/>
        <w:t>issued orders that temporarily precluded elective medical procedures in order to conserve scarce health system</w:t>
      </w:r>
      <w:r>
        <w:rPr>
          <w:spacing w:val="1"/>
        </w:rPr>
        <w:t> </w:t>
      </w:r>
      <w:r>
        <w:rPr/>
        <w:t>resources. The Company has taken necessary precautions to safeguard its employees, patients, customers, and other</w:t>
      </w:r>
      <w:r>
        <w:rPr>
          <w:spacing w:val="1"/>
        </w:rPr>
        <w:t> </w:t>
      </w:r>
      <w:r>
        <w:rPr/>
        <w:t>stakeholders from the COVID-19 pandemic, while maintaining business continuity to support its patients, customers</w:t>
      </w:r>
      <w:r>
        <w:rPr>
          <w:spacing w:val="-47"/>
        </w:rPr>
        <w:t> </w:t>
      </w:r>
      <w:r>
        <w:rPr/>
        <w:t>and employees.</w:t>
      </w:r>
      <w:r>
        <w:rPr>
          <w:spacing w:val="1"/>
        </w:rPr>
        <w:t> </w:t>
      </w:r>
      <w:r>
        <w:rPr/>
        <w:t>The timing,</w:t>
      </w:r>
      <w:r>
        <w:rPr>
          <w:spacing w:val="1"/>
        </w:rPr>
        <w:t> </w:t>
      </w:r>
      <w:r>
        <w:rPr/>
        <w:t>extent and</w:t>
      </w:r>
      <w:r>
        <w:rPr>
          <w:spacing w:val="1"/>
        </w:rPr>
        <w:t> </w:t>
      </w:r>
      <w:r>
        <w:rPr/>
        <w:t>continuation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increase in</w:t>
      </w:r>
      <w:r>
        <w:rPr>
          <w:spacing w:val="1"/>
        </w:rPr>
        <w:t> </w:t>
      </w:r>
      <w:r>
        <w:rPr/>
        <w:t>procedures,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corresponding</w:t>
      </w:r>
      <w:r>
        <w:rPr>
          <w:spacing w:val="1"/>
        </w:rPr>
        <w:t> </w:t>
      </w:r>
      <w:r>
        <w:rPr/>
        <w:t>increase</w:t>
      </w:r>
      <w:r>
        <w:rPr>
          <w:spacing w:val="1"/>
        </w:rPr>
        <w:t> </w:t>
      </w:r>
      <w:r>
        <w:rPr/>
        <w:t>in sales of the Company’s products, and whether there could be a future decrease in the current level of procedures</w:t>
      </w:r>
      <w:r>
        <w:rPr>
          <w:spacing w:val="1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result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COVID-19</w:t>
      </w:r>
      <w:r>
        <w:rPr>
          <w:spacing w:val="-1"/>
        </w:rPr>
        <w:t> </w:t>
      </w:r>
      <w:r>
        <w:rPr/>
        <w:t>pandemic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otherwise,</w:t>
      </w:r>
      <w:r>
        <w:rPr>
          <w:spacing w:val="-1"/>
        </w:rPr>
        <w:t> </w:t>
      </w:r>
      <w:r>
        <w:rPr/>
        <w:t>remain</w:t>
      </w:r>
      <w:r>
        <w:rPr>
          <w:spacing w:val="-1"/>
        </w:rPr>
        <w:t> </w:t>
      </w:r>
      <w:r>
        <w:rPr/>
        <w:t>uncertain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subject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variety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factors.</w:t>
      </w:r>
    </w:p>
    <w:p>
      <w:pPr>
        <w:pStyle w:val="Heading2"/>
        <w:numPr>
          <w:ilvl w:val="0"/>
          <w:numId w:val="2"/>
        </w:numPr>
        <w:tabs>
          <w:tab w:pos="819" w:val="left" w:leader="none"/>
          <w:tab w:pos="820" w:val="left" w:leader="none"/>
        </w:tabs>
        <w:spacing w:line="240" w:lineRule="auto" w:before="184" w:after="0"/>
        <w:ind w:left="820" w:right="0" w:hanging="720"/>
        <w:jc w:val="left"/>
      </w:pPr>
      <w:bookmarkStart w:name="2. Summary of Significant Accounting Pol" w:id="20"/>
      <w:bookmarkEnd w:id="20"/>
      <w:r>
        <w:rPr>
          <w:b w:val="0"/>
        </w:rPr>
      </w:r>
      <w:bookmarkStart w:name="2. Summary of Significant Accounting Pol" w:id="21"/>
      <w:bookmarkEnd w:id="21"/>
      <w:r>
        <w:rPr/>
        <w:t>S</w:t>
      </w:r>
      <w:r>
        <w:rPr/>
        <w:t>ummary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Significant</w:t>
      </w:r>
      <w:r>
        <w:rPr>
          <w:spacing w:val="-6"/>
        </w:rPr>
        <w:t> </w:t>
      </w:r>
      <w:r>
        <w:rPr/>
        <w:t>Accounting</w:t>
      </w:r>
      <w:r>
        <w:rPr>
          <w:spacing w:val="-5"/>
        </w:rPr>
        <w:t> </w:t>
      </w:r>
      <w:r>
        <w:rPr/>
        <w:t>Policies</w:t>
      </w:r>
    </w:p>
    <w:p>
      <w:pPr>
        <w:pStyle w:val="Heading3"/>
        <w:spacing w:before="190"/>
        <w:rPr>
          <w:i/>
        </w:rPr>
      </w:pPr>
      <w:r>
        <w:rPr>
          <w:i/>
        </w:rPr>
        <w:t>Basis</w:t>
      </w:r>
      <w:r>
        <w:rPr>
          <w:i/>
          <w:spacing w:val="-4"/>
        </w:rPr>
        <w:t> </w:t>
      </w:r>
      <w:r>
        <w:rPr>
          <w:i/>
        </w:rPr>
        <w:t>of</w:t>
      </w:r>
      <w:r>
        <w:rPr>
          <w:i/>
          <w:spacing w:val="-3"/>
        </w:rPr>
        <w:t> </w:t>
      </w:r>
      <w:r>
        <w:rPr>
          <w:i/>
        </w:rPr>
        <w:t>Preparation</w:t>
      </w:r>
    </w:p>
    <w:p>
      <w:pPr>
        <w:pStyle w:val="BodyText"/>
        <w:spacing w:line="249" w:lineRule="auto" w:before="193"/>
        <w:ind w:right="212"/>
      </w:pPr>
      <w:r>
        <w:rPr/>
        <w:t>The condensed consolidated financial statements have been prepared in accordance with U.S. generally</w:t>
      </w:r>
      <w:r>
        <w:rPr>
          <w:spacing w:val="1"/>
        </w:rPr>
        <w:t> </w:t>
      </w:r>
      <w:r>
        <w:rPr/>
        <w:t>accepted accounting principles (“U.S. GAAP”) and pursuant to the rules and regulations of the United States</w:t>
      </w:r>
      <w:r>
        <w:rPr>
          <w:spacing w:val="1"/>
        </w:rPr>
        <w:t> </w:t>
      </w:r>
      <w:r>
        <w:rPr/>
        <w:t>Securities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Exchange</w:t>
      </w:r>
      <w:r>
        <w:rPr>
          <w:spacing w:val="-5"/>
        </w:rPr>
        <w:t> </w:t>
      </w:r>
      <w:r>
        <w:rPr/>
        <w:t>Commission</w:t>
      </w:r>
      <w:r>
        <w:rPr>
          <w:spacing w:val="-4"/>
        </w:rPr>
        <w:t> </w:t>
      </w:r>
      <w:r>
        <w:rPr/>
        <w:t>(“SEC”).</w:t>
      </w:r>
      <w:r>
        <w:rPr>
          <w:spacing w:val="-4"/>
        </w:rPr>
        <w:t> </w:t>
      </w:r>
      <w:r>
        <w:rPr/>
        <w:t>These</w:t>
      </w:r>
      <w:r>
        <w:rPr>
          <w:spacing w:val="-5"/>
        </w:rPr>
        <w:t> </w:t>
      </w:r>
      <w:r>
        <w:rPr/>
        <w:t>consolidated</w:t>
      </w:r>
      <w:r>
        <w:rPr>
          <w:spacing w:val="-4"/>
        </w:rPr>
        <w:t> </w:t>
      </w:r>
      <w:r>
        <w:rPr/>
        <w:t>financial</w:t>
      </w:r>
      <w:r>
        <w:rPr>
          <w:spacing w:val="-5"/>
        </w:rPr>
        <w:t> </w:t>
      </w:r>
      <w:r>
        <w:rPr/>
        <w:t>statements</w:t>
      </w:r>
      <w:r>
        <w:rPr>
          <w:spacing w:val="-5"/>
        </w:rPr>
        <w:t> </w:t>
      </w:r>
      <w:r>
        <w:rPr/>
        <w:t>include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accounts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1"/>
        </w:rPr>
        <w:t> </w:t>
      </w:r>
      <w:r>
        <w:rPr/>
        <w:t>Company and its consolidated subsidiaries. All intercompany balances and transactions have been eliminated upon</w:t>
      </w:r>
      <w:r>
        <w:rPr>
          <w:spacing w:val="-47"/>
        </w:rPr>
        <w:t> </w:t>
      </w:r>
      <w:r>
        <w:rPr/>
        <w:t>consolidation.</w:t>
      </w:r>
    </w:p>
    <w:p>
      <w:pPr>
        <w:pStyle w:val="Heading3"/>
        <w:spacing w:before="181"/>
        <w:rPr>
          <w:i/>
        </w:rPr>
      </w:pPr>
      <w:r>
        <w:rPr>
          <w:i/>
        </w:rPr>
        <w:t>Use</w:t>
      </w:r>
      <w:r>
        <w:rPr>
          <w:i/>
          <w:spacing w:val="-4"/>
        </w:rPr>
        <w:t> </w:t>
      </w:r>
      <w:r>
        <w:rPr>
          <w:i/>
        </w:rPr>
        <w:t>of</w:t>
      </w:r>
      <w:r>
        <w:rPr>
          <w:i/>
          <w:spacing w:val="-3"/>
        </w:rPr>
        <w:t> </w:t>
      </w:r>
      <w:r>
        <w:rPr>
          <w:i/>
        </w:rPr>
        <w:t>Estimates</w:t>
      </w:r>
    </w:p>
    <w:p>
      <w:pPr>
        <w:pStyle w:val="BodyText"/>
        <w:spacing w:line="249" w:lineRule="auto" w:before="193"/>
        <w:ind w:right="122"/>
      </w:pPr>
      <w:r>
        <w:rPr/>
        <w:t>The preparation of consolidated financial statements in conformity with U.S. GAAP requires management to</w:t>
      </w:r>
      <w:r>
        <w:rPr>
          <w:spacing w:val="1"/>
        </w:rPr>
        <w:t> </w:t>
      </w:r>
      <w:r>
        <w:rPr/>
        <w:t>make estimates and assumptions that affect the amounts and disclosures reported in the consolidated financial</w:t>
      </w:r>
      <w:r>
        <w:rPr>
          <w:spacing w:val="1"/>
        </w:rPr>
        <w:t> </w:t>
      </w:r>
      <w:r>
        <w:rPr/>
        <w:t>statements. Management uses significant judgment when making estimates related to its common stock valuation in</w:t>
      </w:r>
      <w:r>
        <w:rPr>
          <w:spacing w:val="1"/>
        </w:rPr>
        <w:t> </w:t>
      </w:r>
      <w:r>
        <w:rPr/>
        <w:t>periods before the Company’s IPO and related stock-based compensation, right-of-use lease asset, lease liability, the</w:t>
      </w:r>
      <w:r>
        <w:rPr>
          <w:spacing w:val="-47"/>
        </w:rPr>
        <w:t> </w:t>
      </w:r>
      <w:r>
        <w:rPr/>
        <w:t>valuations</w:t>
      </w:r>
      <w:r>
        <w:rPr>
          <w:spacing w:val="1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redeemable</w:t>
      </w:r>
      <w:r>
        <w:rPr>
          <w:spacing w:val="2"/>
        </w:rPr>
        <w:t> </w:t>
      </w:r>
      <w:r>
        <w:rPr/>
        <w:t>convertible</w:t>
      </w:r>
      <w:r>
        <w:rPr>
          <w:spacing w:val="2"/>
        </w:rPr>
        <w:t> </w:t>
      </w:r>
      <w:r>
        <w:rPr/>
        <w:t>preferred</w:t>
      </w:r>
      <w:r>
        <w:rPr>
          <w:spacing w:val="3"/>
        </w:rPr>
        <w:t> </w:t>
      </w:r>
      <w:r>
        <w:rPr/>
        <w:t>stock</w:t>
      </w:r>
      <w:r>
        <w:rPr>
          <w:spacing w:val="2"/>
        </w:rPr>
        <w:t> </w:t>
      </w:r>
      <w:r>
        <w:rPr/>
        <w:t>warrant</w:t>
      </w:r>
      <w:r>
        <w:rPr>
          <w:spacing w:val="2"/>
        </w:rPr>
        <w:t> </w:t>
      </w:r>
      <w:r>
        <w:rPr/>
        <w:t>liability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/>
        <w:t>loan</w:t>
      </w:r>
      <w:r>
        <w:rPr>
          <w:spacing w:val="3"/>
        </w:rPr>
        <w:t> </w:t>
      </w:r>
      <w:r>
        <w:rPr/>
        <w:t>facility</w:t>
      </w:r>
      <w:r>
        <w:rPr>
          <w:spacing w:val="3"/>
        </w:rPr>
        <w:t> </w:t>
      </w:r>
      <w:r>
        <w:rPr/>
        <w:t>derivative</w:t>
      </w:r>
      <w:r>
        <w:rPr>
          <w:spacing w:val="1"/>
        </w:rPr>
        <w:t> </w:t>
      </w:r>
      <w:r>
        <w:rPr/>
        <w:t>liability,</w:t>
      </w:r>
      <w:r>
        <w:rPr>
          <w:spacing w:val="3"/>
        </w:rPr>
        <w:t> </w:t>
      </w:r>
      <w:r>
        <w:rPr/>
        <w:t>as</w:t>
      </w:r>
      <w:r>
        <w:rPr>
          <w:spacing w:val="1"/>
        </w:rPr>
        <w:t> </w:t>
      </w:r>
      <w:r>
        <w:rPr/>
        <w:t>well as certain accrued liabilities. Management bases its estimates on historical experience and on various other</w:t>
      </w:r>
      <w:r>
        <w:rPr>
          <w:spacing w:val="1"/>
        </w:rPr>
        <w:t> </w:t>
      </w:r>
      <w:r>
        <w:rPr/>
        <w:t>assumptions that are believed to be reasonable under the circumstances, the results of which form the basis for</w:t>
      </w:r>
      <w:r>
        <w:rPr>
          <w:spacing w:val="1"/>
        </w:rPr>
        <w:t> </w:t>
      </w:r>
      <w:r>
        <w:rPr/>
        <w:t>making</w:t>
      </w:r>
      <w:r>
        <w:rPr>
          <w:spacing w:val="-4"/>
        </w:rPr>
        <w:t> </w:t>
      </w:r>
      <w:r>
        <w:rPr/>
        <w:t>judgments</w:t>
      </w:r>
      <w:r>
        <w:rPr>
          <w:spacing w:val="-4"/>
        </w:rPr>
        <w:t> </w:t>
      </w:r>
      <w:r>
        <w:rPr/>
        <w:t>about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carrying</w:t>
      </w:r>
      <w:r>
        <w:rPr>
          <w:spacing w:val="-3"/>
        </w:rPr>
        <w:t> </w:t>
      </w:r>
      <w:r>
        <w:rPr/>
        <w:t>values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assets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liabilities.</w:t>
      </w:r>
      <w:r>
        <w:rPr>
          <w:spacing w:val="-3"/>
        </w:rPr>
        <w:t> </w:t>
      </w:r>
      <w:r>
        <w:rPr/>
        <w:t>Actual</w:t>
      </w:r>
      <w:r>
        <w:rPr>
          <w:spacing w:val="-4"/>
        </w:rPr>
        <w:t> </w:t>
      </w:r>
      <w:r>
        <w:rPr/>
        <w:t>results</w:t>
      </w:r>
      <w:r>
        <w:rPr>
          <w:spacing w:val="-4"/>
        </w:rPr>
        <w:t> </w:t>
      </w:r>
      <w:r>
        <w:rPr/>
        <w:t>could</w:t>
      </w:r>
      <w:r>
        <w:rPr>
          <w:spacing w:val="-3"/>
        </w:rPr>
        <w:t> </w:t>
      </w:r>
      <w:r>
        <w:rPr/>
        <w:t>differ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those</w:t>
      </w:r>
      <w:r>
        <w:rPr>
          <w:spacing w:val="-4"/>
        </w:rPr>
        <w:t> </w:t>
      </w:r>
      <w:r>
        <w:rPr/>
        <w:t>estimates.</w:t>
      </w:r>
    </w:p>
    <w:p>
      <w:pPr>
        <w:spacing w:after="0" w:line="249" w:lineRule="auto"/>
        <w:sectPr>
          <w:pgSz w:w="12240" w:h="15840"/>
          <w:pgMar w:header="0" w:footer="471" w:top="1320" w:bottom="660" w:left="1340" w:right="1320"/>
        </w:sectPr>
      </w:pPr>
    </w:p>
    <w:p>
      <w:pPr>
        <w:pStyle w:val="Heading3"/>
        <w:spacing w:before="68"/>
        <w:rPr>
          <w:i/>
        </w:rPr>
      </w:pPr>
      <w:r>
        <w:rPr>
          <w:i/>
        </w:rPr>
        <w:t>Reverse</w:t>
      </w:r>
      <w:r>
        <w:rPr>
          <w:i/>
          <w:spacing w:val="-5"/>
        </w:rPr>
        <w:t> </w:t>
      </w:r>
      <w:r>
        <w:rPr>
          <w:i/>
        </w:rPr>
        <w:t>Stock</w:t>
      </w:r>
      <w:r>
        <w:rPr>
          <w:i/>
          <w:spacing w:val="-4"/>
        </w:rPr>
        <w:t> </w:t>
      </w:r>
      <w:r>
        <w:rPr>
          <w:i/>
        </w:rPr>
        <w:t>Split</w:t>
      </w:r>
    </w:p>
    <w:p>
      <w:pPr>
        <w:pStyle w:val="BodyText"/>
        <w:spacing w:line="249" w:lineRule="auto" w:before="194"/>
        <w:ind w:right="148"/>
      </w:pPr>
      <w:r>
        <w:rPr/>
        <w:t>In</w:t>
      </w:r>
      <w:r>
        <w:rPr>
          <w:spacing w:val="-3"/>
        </w:rPr>
        <w:t> </w:t>
      </w:r>
      <w:r>
        <w:rPr/>
        <w:t>September</w:t>
      </w:r>
      <w:r>
        <w:rPr>
          <w:spacing w:val="-2"/>
        </w:rPr>
        <w:t> </w:t>
      </w:r>
      <w:r>
        <w:rPr/>
        <w:t>2021,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Board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Directors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stockholders</w:t>
      </w:r>
      <w:r>
        <w:rPr>
          <w:spacing w:val="-3"/>
        </w:rPr>
        <w:t> </w:t>
      </w:r>
      <w:r>
        <w:rPr/>
        <w:t>approved,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Company</w:t>
      </w:r>
      <w:r>
        <w:rPr>
          <w:spacing w:val="-2"/>
        </w:rPr>
        <w:t> </w:t>
      </w:r>
      <w:r>
        <w:rPr/>
        <w:t>filed,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amended</w:t>
      </w:r>
      <w:r>
        <w:rPr>
          <w:spacing w:val="-2"/>
        </w:rPr>
        <w:t> </w:t>
      </w:r>
      <w:r>
        <w:rPr/>
        <w:t>and</w:t>
      </w:r>
      <w:r>
        <w:rPr>
          <w:spacing w:val="-47"/>
        </w:rPr>
        <w:t> </w:t>
      </w:r>
      <w:r>
        <w:rPr/>
        <w:t>restated certificate of incorporation effecting a 1-for-4.75 reverse stock split of common stock and all redeemable</w:t>
      </w:r>
      <w:r>
        <w:rPr>
          <w:spacing w:val="1"/>
        </w:rPr>
        <w:t> </w:t>
      </w:r>
      <w:r>
        <w:rPr/>
        <w:t>convertible preferred stock. The par value of the common and redeemable convertible preferred stock was not</w:t>
      </w:r>
      <w:r>
        <w:rPr>
          <w:spacing w:val="1"/>
        </w:rPr>
        <w:t> </w:t>
      </w:r>
      <w:r>
        <w:rPr/>
        <w:t>adjusted as a result of the reverse stock split. All authorized, issued and outstanding common stock, redeemable</w:t>
      </w:r>
      <w:r>
        <w:rPr>
          <w:spacing w:val="1"/>
        </w:rPr>
        <w:t> </w:t>
      </w:r>
      <w:r>
        <w:rPr/>
        <w:t>convertible preferred stock, warrants for preferred stock, stock options and per share amounts contained in the</w:t>
      </w:r>
      <w:r>
        <w:rPr>
          <w:spacing w:val="1"/>
        </w:rPr>
        <w:t> </w:t>
      </w:r>
      <w:r>
        <w:rPr/>
        <w:t>financial</w:t>
      </w:r>
      <w:r>
        <w:rPr>
          <w:spacing w:val="-4"/>
        </w:rPr>
        <w:t> </w:t>
      </w:r>
      <w:r>
        <w:rPr/>
        <w:t>statements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been</w:t>
      </w:r>
      <w:r>
        <w:rPr>
          <w:spacing w:val="-2"/>
        </w:rPr>
        <w:t> </w:t>
      </w:r>
      <w:r>
        <w:rPr/>
        <w:t>retroactively</w:t>
      </w:r>
      <w:r>
        <w:rPr>
          <w:spacing w:val="-2"/>
        </w:rPr>
        <w:t> </w:t>
      </w:r>
      <w:r>
        <w:rPr/>
        <w:t>adjusted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reflect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reverse</w:t>
      </w:r>
      <w:r>
        <w:rPr>
          <w:spacing w:val="-3"/>
        </w:rPr>
        <w:t> </w:t>
      </w:r>
      <w:r>
        <w:rPr/>
        <w:t>stock</w:t>
      </w:r>
      <w:r>
        <w:rPr>
          <w:spacing w:val="-2"/>
        </w:rPr>
        <w:t> </w:t>
      </w:r>
      <w:r>
        <w:rPr/>
        <w:t>split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periods</w:t>
      </w:r>
      <w:r>
        <w:rPr>
          <w:spacing w:val="-3"/>
        </w:rPr>
        <w:t> </w:t>
      </w:r>
      <w:r>
        <w:rPr/>
        <w:t>presented.</w:t>
      </w:r>
    </w:p>
    <w:p>
      <w:pPr>
        <w:pStyle w:val="Heading3"/>
        <w:spacing w:before="181"/>
        <w:rPr>
          <w:i/>
        </w:rPr>
      </w:pPr>
      <w:r>
        <w:rPr>
          <w:i/>
        </w:rPr>
        <w:t>Initial</w:t>
      </w:r>
      <w:r>
        <w:rPr>
          <w:i/>
          <w:spacing w:val="-6"/>
        </w:rPr>
        <w:t> </w:t>
      </w:r>
      <w:r>
        <w:rPr>
          <w:i/>
        </w:rPr>
        <w:t>Public</w:t>
      </w:r>
      <w:r>
        <w:rPr>
          <w:i/>
          <w:spacing w:val="-5"/>
        </w:rPr>
        <w:t> </w:t>
      </w:r>
      <w:r>
        <w:rPr>
          <w:i/>
        </w:rPr>
        <w:t>Offering</w:t>
      </w:r>
    </w:p>
    <w:p>
      <w:pPr>
        <w:pStyle w:val="BodyText"/>
        <w:spacing w:line="249" w:lineRule="auto" w:before="194"/>
        <w:ind w:right="148"/>
      </w:pPr>
      <w:r>
        <w:rPr/>
        <w:t>In September 2021, the Company completed its IPO by issuing 6,556,000 shares of common stock, and the</w:t>
      </w:r>
      <w:r>
        <w:rPr>
          <w:spacing w:val="1"/>
        </w:rPr>
        <w:t> </w:t>
      </w:r>
      <w:r>
        <w:rPr/>
        <w:t>exercise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underwriters</w:t>
      </w:r>
      <w:r>
        <w:rPr>
          <w:spacing w:val="-2"/>
        </w:rPr>
        <w:t> </w:t>
      </w:r>
      <w:r>
        <w:rPr/>
        <w:t>option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983,400</w:t>
      </w:r>
      <w:r>
        <w:rPr>
          <w:spacing w:val="-2"/>
        </w:rPr>
        <w:t> </w:t>
      </w:r>
      <w:r>
        <w:rPr/>
        <w:t>shares,</w:t>
      </w:r>
      <w:r>
        <w:rPr>
          <w:spacing w:val="-1"/>
        </w:rPr>
        <w:t> </w:t>
      </w:r>
      <w:r>
        <w:rPr/>
        <w:t>at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offering</w:t>
      </w:r>
      <w:r>
        <w:rPr>
          <w:spacing w:val="-1"/>
        </w:rPr>
        <w:t> </w:t>
      </w:r>
      <w:r>
        <w:rPr/>
        <w:t>price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$25.00</w:t>
      </w:r>
      <w:r>
        <w:rPr>
          <w:spacing w:val="-2"/>
        </w:rPr>
        <w:t> </w:t>
      </w:r>
      <w:r>
        <w:rPr/>
        <w:t>per</w:t>
      </w:r>
      <w:r>
        <w:rPr>
          <w:spacing w:val="-1"/>
        </w:rPr>
        <w:t> </w:t>
      </w:r>
      <w:r>
        <w:rPr/>
        <w:t>share,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total</w:t>
      </w:r>
      <w:r>
        <w:rPr>
          <w:spacing w:val="-2"/>
        </w:rPr>
        <w:t> </w:t>
      </w:r>
      <w:r>
        <w:rPr/>
        <w:t>net</w:t>
      </w:r>
      <w:r>
        <w:rPr>
          <w:spacing w:val="-3"/>
        </w:rPr>
        <w:t> </w:t>
      </w:r>
      <w:r>
        <w:rPr/>
        <w:t>proceeds</w:t>
      </w:r>
      <w:r>
        <w:rPr>
          <w:spacing w:val="-47"/>
        </w:rPr>
        <w:t> </w:t>
      </w:r>
      <w:r>
        <w:rPr/>
        <w:t>of approximately $172.4 million, after deducting underwriting discounts and commissions of $13.2 million and</w:t>
      </w:r>
      <w:r>
        <w:rPr>
          <w:spacing w:val="1"/>
        </w:rPr>
        <w:t> </w:t>
      </w:r>
      <w:r>
        <w:rPr/>
        <w:t>offering expenses of $2.9 million. Offering costs are capitalized, and consist of fees and expenses incurred in</w:t>
      </w:r>
      <w:r>
        <w:rPr>
          <w:spacing w:val="1"/>
        </w:rPr>
        <w:t> </w:t>
      </w:r>
      <w:r>
        <w:rPr/>
        <w:t>connection with the sale of common stock in its IPO, including legal, accounting, printing and other IPO-related</w:t>
      </w:r>
      <w:r>
        <w:rPr>
          <w:spacing w:val="1"/>
        </w:rPr>
        <w:t> </w:t>
      </w:r>
      <w:r>
        <w:rPr/>
        <w:t>costs. Upon completion of its IPO, these deferred offering costs were reclassified to stockholders’ equity and</w:t>
      </w:r>
      <w:r>
        <w:rPr>
          <w:spacing w:val="1"/>
        </w:rPr>
        <w:t> </w:t>
      </w:r>
      <w:r>
        <w:rPr/>
        <w:t>recorded against the proceeds from the offering. In addition, all 29,912,264 shares of its then-outstanding</w:t>
      </w:r>
      <w:r>
        <w:rPr>
          <w:spacing w:val="1"/>
        </w:rPr>
        <w:t> </w:t>
      </w:r>
      <w:r>
        <w:rPr/>
        <w:t>redeemable convertible preferred stock automatically converted into 29,912,264 shares of common stock and it</w:t>
      </w:r>
      <w:r>
        <w:rPr>
          <w:spacing w:val="1"/>
        </w:rPr>
        <w:t> </w:t>
      </w:r>
      <w:r>
        <w:rPr/>
        <w:t>reclassified $329.5 million of redeemable convertible preferred stock to additional paid-in capital on its condensed</w:t>
      </w:r>
      <w:r>
        <w:rPr>
          <w:spacing w:val="1"/>
        </w:rPr>
        <w:t> </w:t>
      </w:r>
      <w:r>
        <w:rPr/>
        <w:t>consolidated</w:t>
      </w:r>
      <w:r>
        <w:rPr>
          <w:spacing w:val="-1"/>
        </w:rPr>
        <w:t> </w:t>
      </w:r>
      <w:r>
        <w:rPr/>
        <w:t>balance</w:t>
      </w:r>
      <w:r>
        <w:rPr>
          <w:spacing w:val="-1"/>
        </w:rPr>
        <w:t> </w:t>
      </w:r>
      <w:r>
        <w:rPr/>
        <w:t>sheet.</w:t>
      </w:r>
    </w:p>
    <w:p>
      <w:pPr>
        <w:pStyle w:val="Heading3"/>
        <w:spacing w:before="185"/>
        <w:rPr>
          <w:i/>
        </w:rPr>
      </w:pPr>
      <w:r>
        <w:rPr>
          <w:i/>
        </w:rPr>
        <w:t>Unaudited</w:t>
      </w:r>
      <w:r>
        <w:rPr>
          <w:i/>
          <w:spacing w:val="-7"/>
        </w:rPr>
        <w:t> </w:t>
      </w:r>
      <w:r>
        <w:rPr>
          <w:i/>
        </w:rPr>
        <w:t>Interim</w:t>
      </w:r>
      <w:r>
        <w:rPr>
          <w:i/>
          <w:spacing w:val="-6"/>
        </w:rPr>
        <w:t> </w:t>
      </w:r>
      <w:r>
        <w:rPr>
          <w:i/>
        </w:rPr>
        <w:t>Financial</w:t>
      </w:r>
      <w:r>
        <w:rPr>
          <w:i/>
          <w:spacing w:val="-7"/>
        </w:rPr>
        <w:t> </w:t>
      </w:r>
      <w:r>
        <w:rPr>
          <w:i/>
        </w:rPr>
        <w:t>Statements</w:t>
      </w:r>
    </w:p>
    <w:p>
      <w:pPr>
        <w:pStyle w:val="BodyText"/>
        <w:spacing w:line="249" w:lineRule="auto" w:before="193"/>
        <w:ind w:right="180"/>
      </w:pPr>
      <w:r>
        <w:rPr/>
        <w:t>The accompanying balance sheet as of September 30, 2021, the statements of operations and comprehensive</w:t>
      </w:r>
      <w:r>
        <w:rPr>
          <w:spacing w:val="1"/>
        </w:rPr>
        <w:t> </w:t>
      </w:r>
      <w:r>
        <w:rPr/>
        <w:t>loss for the three and nine months ended September 30, 2021 and 2020, cash flows for the nine months ended</w:t>
      </w:r>
      <w:r>
        <w:rPr>
          <w:spacing w:val="1"/>
        </w:rPr>
        <w:t> </w:t>
      </w:r>
      <w:r>
        <w:rPr/>
        <w:t>September 30, 2021 and 2020, and the statements of redeemable convertible preferred stock and stockholders’</w:t>
      </w:r>
      <w:r>
        <w:rPr>
          <w:spacing w:val="1"/>
        </w:rPr>
        <w:t> </w:t>
      </w:r>
      <w:r>
        <w:rPr/>
        <w:t>equity (deficit) as of September 30, 2021 and 2020, are unaudited. The financial data and other information</w:t>
      </w:r>
      <w:r>
        <w:rPr>
          <w:spacing w:val="1"/>
        </w:rPr>
        <w:t> </w:t>
      </w:r>
      <w:r>
        <w:rPr/>
        <w:t>disclosed in these notes to the financial statements related to September 30, 2021, and the three and nine months</w:t>
      </w:r>
      <w:r>
        <w:rPr>
          <w:spacing w:val="1"/>
        </w:rPr>
        <w:t> </w:t>
      </w:r>
      <w:r>
        <w:rPr/>
        <w:t>ended</w:t>
      </w:r>
      <w:r>
        <w:rPr>
          <w:spacing w:val="-3"/>
        </w:rPr>
        <w:t> </w:t>
      </w:r>
      <w:r>
        <w:rPr/>
        <w:t>September</w:t>
      </w:r>
      <w:r>
        <w:rPr>
          <w:spacing w:val="-2"/>
        </w:rPr>
        <w:t> </w:t>
      </w:r>
      <w:r>
        <w:rPr/>
        <w:t>30,</w:t>
      </w:r>
      <w:r>
        <w:rPr>
          <w:spacing w:val="-2"/>
        </w:rPr>
        <w:t> </w:t>
      </w:r>
      <w:r>
        <w:rPr/>
        <w:t>2021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2020,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also</w:t>
      </w:r>
      <w:r>
        <w:rPr>
          <w:spacing w:val="-3"/>
        </w:rPr>
        <w:t> </w:t>
      </w:r>
      <w:r>
        <w:rPr/>
        <w:t>unaudited.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accompanying</w:t>
      </w:r>
      <w:r>
        <w:rPr>
          <w:spacing w:val="-2"/>
        </w:rPr>
        <w:t> </w:t>
      </w:r>
      <w:r>
        <w:rPr/>
        <w:t>balance</w:t>
      </w:r>
      <w:r>
        <w:rPr>
          <w:spacing w:val="-3"/>
        </w:rPr>
        <w:t> </w:t>
      </w:r>
      <w:r>
        <w:rPr/>
        <w:t>sheet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December</w:t>
      </w:r>
      <w:r>
        <w:rPr>
          <w:spacing w:val="-2"/>
        </w:rPr>
        <w:t> </w:t>
      </w:r>
      <w:r>
        <w:rPr/>
        <w:t>31,</w:t>
      </w:r>
      <w:r>
        <w:rPr>
          <w:spacing w:val="-2"/>
        </w:rPr>
        <w:t> </w:t>
      </w:r>
      <w:r>
        <w:rPr/>
        <w:t>2020</w:t>
      </w:r>
      <w:r>
        <w:rPr>
          <w:spacing w:val="-47"/>
        </w:rPr>
        <w:t> </w:t>
      </w:r>
      <w:r>
        <w:rPr/>
        <w:t>has been derived from the audited consolidated financial statements included in the Company’s Registration</w:t>
      </w:r>
      <w:r>
        <w:rPr>
          <w:spacing w:val="1"/>
        </w:rPr>
        <w:t> </w:t>
      </w:r>
      <w:r>
        <w:rPr/>
        <w:t>Statement</w:t>
      </w:r>
      <w:r>
        <w:rPr>
          <w:spacing w:val="-2"/>
        </w:rPr>
        <w:t> </w:t>
      </w:r>
      <w:r>
        <w:rPr/>
        <w:t>on Form</w:t>
      </w:r>
      <w:r>
        <w:rPr>
          <w:spacing w:val="-2"/>
        </w:rPr>
        <w:t> </w:t>
      </w:r>
      <w:r>
        <w:rPr/>
        <w:t>S-1 filed</w:t>
      </w:r>
      <w:r>
        <w:rPr>
          <w:spacing w:val="-1"/>
        </w:rPr>
        <w:t> </w:t>
      </w:r>
      <w:r>
        <w:rPr/>
        <w:t>with the</w:t>
      </w:r>
      <w:r>
        <w:rPr>
          <w:spacing w:val="-2"/>
        </w:rPr>
        <w:t> </w:t>
      </w:r>
      <w:r>
        <w:rPr/>
        <w:t>Securities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Exchange</w:t>
      </w:r>
      <w:r>
        <w:rPr>
          <w:spacing w:val="-1"/>
        </w:rPr>
        <w:t> </w:t>
      </w:r>
      <w:r>
        <w:rPr/>
        <w:t>Commission.</w:t>
      </w:r>
    </w:p>
    <w:p>
      <w:pPr>
        <w:pStyle w:val="BodyText"/>
        <w:spacing w:line="249" w:lineRule="auto" w:before="186"/>
        <w:ind w:right="127"/>
      </w:pPr>
      <w:r>
        <w:rPr/>
        <w:t>The unaudited interim financial statements have been prepared on the same basis as the annual financial</w:t>
      </w:r>
      <w:r>
        <w:rPr>
          <w:spacing w:val="1"/>
        </w:rPr>
        <w:t> </w:t>
      </w:r>
      <w:r>
        <w:rPr/>
        <w:t>statements and, in the opinion of management, reflect all adjustments, which include only normal recurring</w:t>
      </w:r>
      <w:r>
        <w:rPr>
          <w:spacing w:val="1"/>
        </w:rPr>
        <w:t> </w:t>
      </w:r>
      <w:r>
        <w:rPr/>
        <w:t>adjustments, necessary to a fair statement of the Company’s financial position as of September 30, 2021, and the</w:t>
      </w:r>
      <w:r>
        <w:rPr>
          <w:spacing w:val="1"/>
        </w:rPr>
        <w:t> </w:t>
      </w:r>
      <w:r>
        <w:rPr/>
        <w:t>results of its operations for the three and nine months ended September 30, 2021 and 2020, and cash flows for the</w:t>
      </w:r>
      <w:r>
        <w:rPr>
          <w:spacing w:val="1"/>
        </w:rPr>
        <w:t> </w:t>
      </w:r>
      <w:r>
        <w:rPr/>
        <w:t>nine months ended September 30, 2021 and 2020. The results for the three and nine months ended September 30,</w:t>
      </w:r>
      <w:r>
        <w:rPr>
          <w:spacing w:val="1"/>
        </w:rPr>
        <w:t> </w:t>
      </w:r>
      <w:r>
        <w:rPr/>
        <w:t>2021,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necessarily</w:t>
      </w:r>
      <w:r>
        <w:rPr>
          <w:spacing w:val="-2"/>
        </w:rPr>
        <w:t> </w:t>
      </w:r>
      <w:r>
        <w:rPr/>
        <w:t>indicative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results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expected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year</w:t>
      </w:r>
      <w:r>
        <w:rPr>
          <w:spacing w:val="-2"/>
        </w:rPr>
        <w:t> </w:t>
      </w:r>
      <w:r>
        <w:rPr/>
        <w:t>ending</w:t>
      </w:r>
      <w:r>
        <w:rPr>
          <w:spacing w:val="-2"/>
        </w:rPr>
        <w:t> </w:t>
      </w:r>
      <w:r>
        <w:rPr/>
        <w:t>December</w:t>
      </w:r>
      <w:r>
        <w:rPr>
          <w:spacing w:val="-2"/>
        </w:rPr>
        <w:t> </w:t>
      </w:r>
      <w:r>
        <w:rPr/>
        <w:t>31,</w:t>
      </w:r>
      <w:r>
        <w:rPr>
          <w:spacing w:val="-1"/>
        </w:rPr>
        <w:t> </w:t>
      </w:r>
      <w:r>
        <w:rPr/>
        <w:t>2021,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other</w:t>
      </w:r>
      <w:r>
        <w:rPr>
          <w:spacing w:val="-47"/>
        </w:rPr>
        <w:t> </w:t>
      </w:r>
      <w:r>
        <w:rPr/>
        <w:t>interim period or for any future year and should be read in conjunction with the annual consolidated financial</w:t>
      </w:r>
      <w:r>
        <w:rPr>
          <w:spacing w:val="1"/>
        </w:rPr>
        <w:t> </w:t>
      </w:r>
      <w:r>
        <w:rPr/>
        <w:t>statements</w:t>
      </w:r>
      <w:r>
        <w:rPr>
          <w:spacing w:val="-2"/>
        </w:rPr>
        <w:t> </w:t>
      </w:r>
      <w:r>
        <w:rPr/>
        <w:t>included 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Company’s</w:t>
      </w:r>
      <w:r>
        <w:rPr>
          <w:spacing w:val="-2"/>
        </w:rPr>
        <w:t> </w:t>
      </w:r>
      <w:r>
        <w:rPr/>
        <w:t>Registration Statement</w:t>
      </w:r>
      <w:r>
        <w:rPr>
          <w:spacing w:val="-2"/>
        </w:rPr>
        <w:t> </w:t>
      </w:r>
      <w:r>
        <w:rPr/>
        <w:t>on Form</w:t>
      </w:r>
      <w:r>
        <w:rPr>
          <w:spacing w:val="-1"/>
        </w:rPr>
        <w:t> </w:t>
      </w:r>
      <w:r>
        <w:rPr/>
        <w:t>S-1.</w:t>
      </w:r>
    </w:p>
    <w:p>
      <w:pPr>
        <w:pStyle w:val="Heading3"/>
        <w:spacing w:before="184"/>
        <w:rPr>
          <w:i/>
        </w:rPr>
      </w:pPr>
      <w:r>
        <w:rPr>
          <w:i/>
        </w:rPr>
        <w:t>Par</w:t>
      </w:r>
      <w:r>
        <w:rPr>
          <w:i/>
          <w:spacing w:val="-5"/>
        </w:rPr>
        <w:t> </w:t>
      </w:r>
      <w:r>
        <w:rPr>
          <w:i/>
        </w:rPr>
        <w:t>Value</w:t>
      </w:r>
      <w:r>
        <w:rPr>
          <w:i/>
          <w:spacing w:val="-4"/>
        </w:rPr>
        <w:t> </w:t>
      </w:r>
      <w:r>
        <w:rPr>
          <w:i/>
        </w:rPr>
        <w:t>and</w:t>
      </w:r>
      <w:r>
        <w:rPr>
          <w:i/>
          <w:spacing w:val="-3"/>
        </w:rPr>
        <w:t> </w:t>
      </w:r>
      <w:r>
        <w:rPr>
          <w:i/>
        </w:rPr>
        <w:t>Shares</w:t>
      </w:r>
      <w:r>
        <w:rPr>
          <w:i/>
          <w:spacing w:val="-4"/>
        </w:rPr>
        <w:t> </w:t>
      </w:r>
      <w:r>
        <w:rPr>
          <w:i/>
        </w:rPr>
        <w:t>Authorized</w:t>
      </w:r>
      <w:r>
        <w:rPr>
          <w:i/>
          <w:spacing w:val="-3"/>
        </w:rPr>
        <w:t> </w:t>
      </w:r>
      <w:r>
        <w:rPr>
          <w:i/>
        </w:rPr>
        <w:t>Change</w:t>
      </w:r>
    </w:p>
    <w:p>
      <w:pPr>
        <w:pStyle w:val="BodyText"/>
        <w:spacing w:line="249" w:lineRule="auto" w:before="193"/>
        <w:ind w:right="212"/>
      </w:pPr>
      <w:r>
        <w:rPr/>
        <w:t>In June 2021, the Board of Directors and stockholders approved, and the Company filed, an amended and</w:t>
      </w:r>
      <w:r>
        <w:rPr>
          <w:spacing w:val="1"/>
        </w:rPr>
        <w:t> </w:t>
      </w:r>
      <w:r>
        <w:rPr/>
        <w:t>restated</w:t>
      </w:r>
      <w:r>
        <w:rPr>
          <w:spacing w:val="-3"/>
        </w:rPr>
        <w:t> </w:t>
      </w:r>
      <w:r>
        <w:rPr/>
        <w:t>certificate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incorporation</w:t>
      </w:r>
      <w:r>
        <w:rPr>
          <w:spacing w:val="-2"/>
        </w:rPr>
        <w:t> </w:t>
      </w:r>
      <w:r>
        <w:rPr/>
        <w:t>effecting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change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par</w:t>
      </w:r>
      <w:r>
        <w:rPr>
          <w:spacing w:val="-2"/>
        </w:rPr>
        <w:t> </w:t>
      </w:r>
      <w:r>
        <w:rPr/>
        <w:t>value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$0.001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$0.00001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share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common</w:t>
      </w:r>
      <w:r>
        <w:rPr>
          <w:spacing w:val="-47"/>
        </w:rPr>
        <w:t> </w:t>
      </w:r>
      <w:r>
        <w:rPr/>
        <w:t>stock and all redeemable convertible preferred stock. All issued and outstanding common stock and redeemable</w:t>
      </w:r>
      <w:r>
        <w:rPr>
          <w:spacing w:val="1"/>
        </w:rPr>
        <w:t> </w:t>
      </w:r>
      <w:r>
        <w:rPr/>
        <w:t>convertible preferred stock contained in the financial statements have been retroactively corrected to reflect this</w:t>
      </w:r>
      <w:r>
        <w:rPr>
          <w:spacing w:val="1"/>
        </w:rPr>
        <w:t> </w:t>
      </w:r>
      <w:r>
        <w:rPr/>
        <w:t>immaterial</w:t>
      </w:r>
      <w:r>
        <w:rPr>
          <w:spacing w:val="-2"/>
        </w:rPr>
        <w:t> </w:t>
      </w:r>
      <w:r>
        <w:rPr/>
        <w:t>change</w:t>
      </w:r>
      <w:r>
        <w:rPr>
          <w:spacing w:val="-1"/>
        </w:rPr>
        <w:t> </w:t>
      </w:r>
      <w:r>
        <w:rPr/>
        <w:t>in par value</w:t>
      </w:r>
      <w:r>
        <w:rPr>
          <w:spacing w:val="-2"/>
        </w:rPr>
        <w:t> </w:t>
      </w:r>
      <w:r>
        <w:rPr/>
        <w:t>for all</w:t>
      </w:r>
      <w:r>
        <w:rPr>
          <w:spacing w:val="-1"/>
        </w:rPr>
        <w:t> </w:t>
      </w:r>
      <w:r>
        <w:rPr/>
        <w:t>periods</w:t>
      </w:r>
      <w:r>
        <w:rPr>
          <w:spacing w:val="-1"/>
        </w:rPr>
        <w:t> </w:t>
      </w:r>
      <w:r>
        <w:rPr/>
        <w:t>presented.</w:t>
      </w:r>
    </w:p>
    <w:p>
      <w:pPr>
        <w:pStyle w:val="BodyText"/>
        <w:spacing w:line="249" w:lineRule="auto" w:before="184"/>
      </w:pPr>
      <w:r>
        <w:rPr/>
        <w:t>In</w:t>
      </w:r>
      <w:r>
        <w:rPr>
          <w:spacing w:val="-3"/>
        </w:rPr>
        <w:t> </w:t>
      </w:r>
      <w:r>
        <w:rPr/>
        <w:t>September</w:t>
      </w:r>
      <w:r>
        <w:rPr>
          <w:spacing w:val="-2"/>
        </w:rPr>
        <w:t> </w:t>
      </w:r>
      <w:r>
        <w:rPr/>
        <w:t>2021,</w:t>
      </w:r>
      <w:r>
        <w:rPr>
          <w:spacing w:val="-2"/>
        </w:rPr>
        <w:t> </w:t>
      </w:r>
      <w:r>
        <w:rPr/>
        <w:t>10.0</w:t>
      </w:r>
      <w:r>
        <w:rPr>
          <w:spacing w:val="-3"/>
        </w:rPr>
        <w:t> </w:t>
      </w:r>
      <w:r>
        <w:rPr/>
        <w:t>million</w:t>
      </w:r>
      <w:r>
        <w:rPr>
          <w:spacing w:val="-2"/>
        </w:rPr>
        <w:t> </w:t>
      </w:r>
      <w:r>
        <w:rPr/>
        <w:t>shares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preferred</w:t>
      </w:r>
      <w:r>
        <w:rPr>
          <w:spacing w:val="-3"/>
        </w:rPr>
        <w:t> </w:t>
      </w:r>
      <w:r>
        <w:rPr/>
        <w:t>stock</w:t>
      </w:r>
      <w:r>
        <w:rPr>
          <w:spacing w:val="-2"/>
        </w:rPr>
        <w:t> </w:t>
      </w:r>
      <w:r>
        <w:rPr/>
        <w:t>was</w:t>
      </w:r>
      <w:r>
        <w:rPr>
          <w:spacing w:val="-3"/>
        </w:rPr>
        <w:t> </w:t>
      </w:r>
      <w:r>
        <w:rPr/>
        <w:t>authorized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shares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common</w:t>
      </w:r>
      <w:r>
        <w:rPr>
          <w:spacing w:val="-3"/>
        </w:rPr>
        <w:t> </w:t>
      </w:r>
      <w:r>
        <w:rPr/>
        <w:t>stock</w:t>
      </w:r>
      <w:r>
        <w:rPr>
          <w:spacing w:val="-47"/>
        </w:rPr>
        <w:t> </w:t>
      </w:r>
      <w:r>
        <w:rPr/>
        <w:t>authorized</w:t>
      </w:r>
      <w:r>
        <w:rPr>
          <w:spacing w:val="-1"/>
        </w:rPr>
        <w:t> </w:t>
      </w:r>
      <w:r>
        <w:rPr/>
        <w:t>was</w:t>
      </w:r>
      <w:r>
        <w:rPr>
          <w:spacing w:val="-2"/>
        </w:rPr>
        <w:t> </w:t>
      </w:r>
      <w:r>
        <w:rPr/>
        <w:t>increased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300.0</w:t>
      </w:r>
      <w:r>
        <w:rPr>
          <w:spacing w:val="-1"/>
        </w:rPr>
        <w:t> </w:t>
      </w:r>
      <w:r>
        <w:rPr/>
        <w:t>million</w:t>
      </w:r>
      <w:r>
        <w:rPr>
          <w:spacing w:val="-1"/>
        </w:rPr>
        <w:t> </w:t>
      </w:r>
      <w:r>
        <w:rPr/>
        <w:t>shares, both</w:t>
      </w:r>
      <w:r>
        <w:rPr>
          <w:spacing w:val="-1"/>
        </w:rPr>
        <w:t> </w:t>
      </w:r>
      <w:r>
        <w:rPr/>
        <w:t>having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par</w:t>
      </w:r>
      <w:r>
        <w:rPr>
          <w:spacing w:val="-1"/>
        </w:rPr>
        <w:t> </w:t>
      </w:r>
      <w:r>
        <w:rPr/>
        <w:t>value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$0.00001 per</w:t>
      </w:r>
      <w:r>
        <w:rPr>
          <w:spacing w:val="-1"/>
        </w:rPr>
        <w:t> </w:t>
      </w:r>
      <w:r>
        <w:rPr/>
        <w:t>share.</w:t>
      </w:r>
    </w:p>
    <w:p>
      <w:pPr>
        <w:pStyle w:val="Heading3"/>
        <w:spacing w:before="178"/>
        <w:rPr>
          <w:i/>
        </w:rPr>
      </w:pPr>
      <w:r>
        <w:rPr>
          <w:i/>
        </w:rPr>
        <w:t>Cash,</w:t>
      </w:r>
      <w:r>
        <w:rPr>
          <w:i/>
          <w:spacing w:val="-4"/>
        </w:rPr>
        <w:t> </w:t>
      </w:r>
      <w:r>
        <w:rPr>
          <w:i/>
        </w:rPr>
        <w:t>Cash</w:t>
      </w:r>
      <w:r>
        <w:rPr>
          <w:i/>
          <w:spacing w:val="-5"/>
        </w:rPr>
        <w:t> </w:t>
      </w:r>
      <w:r>
        <w:rPr>
          <w:i/>
        </w:rPr>
        <w:t>Equivalents</w:t>
      </w:r>
      <w:r>
        <w:rPr>
          <w:i/>
          <w:spacing w:val="-5"/>
        </w:rPr>
        <w:t> </w:t>
      </w:r>
      <w:r>
        <w:rPr>
          <w:i/>
        </w:rPr>
        <w:t>and</w:t>
      </w:r>
      <w:r>
        <w:rPr>
          <w:i/>
          <w:spacing w:val="-4"/>
        </w:rPr>
        <w:t> </w:t>
      </w:r>
      <w:r>
        <w:rPr>
          <w:i/>
        </w:rPr>
        <w:t>Restricted</w:t>
      </w:r>
      <w:r>
        <w:rPr>
          <w:i/>
          <w:spacing w:val="-4"/>
        </w:rPr>
        <w:t> </w:t>
      </w:r>
      <w:r>
        <w:rPr>
          <w:i/>
        </w:rPr>
        <w:t>Cash</w:t>
      </w:r>
    </w:p>
    <w:p>
      <w:pPr>
        <w:spacing w:after="0"/>
        <w:sectPr>
          <w:footerReference w:type="default" r:id="rId10"/>
          <w:pgSz w:w="12240" w:h="15840"/>
          <w:pgMar w:footer="741" w:header="0" w:top="1320" w:bottom="940" w:left="1340" w:right="1320"/>
        </w:sectPr>
      </w:pPr>
    </w:p>
    <w:p>
      <w:pPr>
        <w:pStyle w:val="BodyText"/>
        <w:spacing w:line="249" w:lineRule="auto" w:before="72"/>
      </w:pPr>
      <w:r>
        <w:rPr/>
        <w:t>Cash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cash</w:t>
      </w:r>
      <w:r>
        <w:rPr>
          <w:spacing w:val="-3"/>
        </w:rPr>
        <w:t> </w:t>
      </w:r>
      <w:r>
        <w:rPr/>
        <w:t>equivalents</w:t>
      </w:r>
      <w:r>
        <w:rPr>
          <w:spacing w:val="-4"/>
        </w:rPr>
        <w:t> </w:t>
      </w:r>
      <w:r>
        <w:rPr/>
        <w:t>consist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cash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banks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highly</w:t>
      </w:r>
      <w:r>
        <w:rPr>
          <w:spacing w:val="-3"/>
        </w:rPr>
        <w:t> </w:t>
      </w:r>
      <w:r>
        <w:rPr/>
        <w:t>liquid</w:t>
      </w:r>
      <w:r>
        <w:rPr>
          <w:spacing w:val="-3"/>
        </w:rPr>
        <w:t> </w:t>
      </w:r>
      <w:r>
        <w:rPr/>
        <w:t>securities,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readily</w:t>
      </w:r>
      <w:r>
        <w:rPr>
          <w:spacing w:val="-3"/>
        </w:rPr>
        <w:t> </w:t>
      </w:r>
      <w:r>
        <w:rPr/>
        <w:t>convertible</w:t>
      </w:r>
      <w:r>
        <w:rPr>
          <w:spacing w:val="-4"/>
        </w:rPr>
        <w:t> </w:t>
      </w:r>
      <w:r>
        <w:rPr/>
        <w:t>to</w:t>
      </w:r>
      <w:r>
        <w:rPr>
          <w:spacing w:val="-47"/>
        </w:rPr>
        <w:t> </w:t>
      </w:r>
      <w:r>
        <w:rPr/>
        <w:t>cash, that mature within 90 days or less from the original date of purchase, to be cash equivalents, which include</w:t>
      </w:r>
      <w:r>
        <w:rPr>
          <w:spacing w:val="1"/>
        </w:rPr>
        <w:t> </w:t>
      </w:r>
      <w:r>
        <w:rPr/>
        <w:t>money</w:t>
      </w:r>
      <w:r>
        <w:rPr>
          <w:spacing w:val="-1"/>
        </w:rPr>
        <w:t> </w:t>
      </w:r>
      <w:r>
        <w:rPr/>
        <w:t>market</w:t>
      </w:r>
      <w:r>
        <w:rPr>
          <w:spacing w:val="-1"/>
        </w:rPr>
        <w:t> </w:t>
      </w:r>
      <w:r>
        <w:rPr/>
        <w:t>funds.</w:t>
      </w:r>
    </w:p>
    <w:p>
      <w:pPr>
        <w:pStyle w:val="BodyText"/>
        <w:spacing w:line="249" w:lineRule="auto" w:before="182"/>
        <w:ind w:right="169"/>
      </w:pPr>
      <w:r>
        <w:rPr/>
        <w:t>Cash</w:t>
      </w:r>
      <w:r>
        <w:rPr>
          <w:spacing w:val="-4"/>
        </w:rPr>
        <w:t> </w:t>
      </w:r>
      <w:r>
        <w:rPr/>
        <w:t>equivalents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considered</w:t>
      </w:r>
      <w:r>
        <w:rPr>
          <w:spacing w:val="-3"/>
        </w:rPr>
        <w:t> </w:t>
      </w:r>
      <w:r>
        <w:rPr/>
        <w:t>available-for-sale</w:t>
      </w:r>
      <w:r>
        <w:rPr>
          <w:spacing w:val="-5"/>
        </w:rPr>
        <w:t> </w:t>
      </w:r>
      <w:r>
        <w:rPr/>
        <w:t>marketable</w:t>
      </w:r>
      <w:r>
        <w:rPr>
          <w:spacing w:val="-4"/>
        </w:rPr>
        <w:t> </w:t>
      </w:r>
      <w:r>
        <w:rPr/>
        <w:t>securities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recorded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fair</w:t>
      </w:r>
      <w:r>
        <w:rPr>
          <w:spacing w:val="-4"/>
        </w:rPr>
        <w:t> </w:t>
      </w:r>
      <w:r>
        <w:rPr/>
        <w:t>value,</w:t>
      </w:r>
      <w:r>
        <w:rPr>
          <w:spacing w:val="-3"/>
        </w:rPr>
        <w:t> </w:t>
      </w:r>
      <w:r>
        <w:rPr/>
        <w:t>based</w:t>
      </w:r>
      <w:r>
        <w:rPr>
          <w:spacing w:val="-4"/>
        </w:rPr>
        <w:t> </w:t>
      </w:r>
      <w:r>
        <w:rPr/>
        <w:t>on</w:t>
      </w:r>
      <w:r>
        <w:rPr>
          <w:spacing w:val="-47"/>
        </w:rPr>
        <w:t> </w:t>
      </w:r>
      <w:r>
        <w:rPr/>
        <w:t>quoted market prices. Unrealized gains and losses are recorded in other comprehensive income (loss) and included</w:t>
      </w:r>
      <w:r>
        <w:rPr>
          <w:spacing w:val="1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separate</w:t>
      </w:r>
      <w:r>
        <w:rPr>
          <w:spacing w:val="-1"/>
        </w:rPr>
        <w:t> </w:t>
      </w:r>
      <w:r>
        <w:rPr/>
        <w:t>component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stockholders’ equity (deficit).</w:t>
      </w:r>
    </w:p>
    <w:p>
      <w:pPr>
        <w:pStyle w:val="BodyText"/>
        <w:spacing w:before="183"/>
        <w:ind w:left="460" w:firstLine="0"/>
      </w:pPr>
      <w:r>
        <w:rPr/>
        <w:t>Restricted</w:t>
      </w:r>
      <w:r>
        <w:rPr>
          <w:spacing w:val="-3"/>
        </w:rPr>
        <w:t> </w:t>
      </w:r>
      <w:r>
        <w:rPr/>
        <w:t>cash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related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Company’s</w:t>
      </w:r>
      <w:r>
        <w:rPr>
          <w:spacing w:val="-4"/>
        </w:rPr>
        <w:t> </w:t>
      </w:r>
      <w:r>
        <w:rPr/>
        <w:t>letter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credit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lease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its</w:t>
      </w:r>
      <w:r>
        <w:rPr>
          <w:spacing w:val="-3"/>
        </w:rPr>
        <w:t> </w:t>
      </w:r>
      <w:r>
        <w:rPr/>
        <w:t>corporate</w:t>
      </w:r>
      <w:r>
        <w:rPr>
          <w:spacing w:val="-4"/>
        </w:rPr>
        <w:t> </w:t>
      </w:r>
      <w:r>
        <w:rPr/>
        <w:t>headquarters.</w:t>
      </w:r>
    </w:p>
    <w:p>
      <w:pPr>
        <w:pStyle w:val="Heading3"/>
        <w:spacing w:before="186"/>
        <w:rPr>
          <w:i/>
        </w:rPr>
      </w:pPr>
      <w:r>
        <w:rPr>
          <w:i/>
        </w:rPr>
        <w:t>Fair</w:t>
      </w:r>
      <w:r>
        <w:rPr>
          <w:i/>
          <w:spacing w:val="-5"/>
        </w:rPr>
        <w:t> </w:t>
      </w:r>
      <w:r>
        <w:rPr>
          <w:i/>
        </w:rPr>
        <w:t>Value</w:t>
      </w:r>
      <w:r>
        <w:rPr>
          <w:i/>
          <w:spacing w:val="-5"/>
        </w:rPr>
        <w:t> </w:t>
      </w:r>
      <w:r>
        <w:rPr>
          <w:i/>
        </w:rPr>
        <w:t>of</w:t>
      </w:r>
      <w:r>
        <w:rPr>
          <w:i/>
          <w:spacing w:val="-4"/>
        </w:rPr>
        <w:t> </w:t>
      </w:r>
      <w:r>
        <w:rPr>
          <w:i/>
        </w:rPr>
        <w:t>Financial</w:t>
      </w:r>
      <w:r>
        <w:rPr>
          <w:i/>
          <w:spacing w:val="-5"/>
        </w:rPr>
        <w:t> </w:t>
      </w:r>
      <w:r>
        <w:rPr>
          <w:i/>
        </w:rPr>
        <w:t>Instruments</w:t>
      </w:r>
    </w:p>
    <w:p>
      <w:pPr>
        <w:pStyle w:val="BodyText"/>
        <w:spacing w:line="249" w:lineRule="auto" w:before="194"/>
        <w:ind w:right="169"/>
      </w:pPr>
      <w:r>
        <w:rPr/>
        <w:t>The Company measures certain financial assets and liabilities at fair value on a recurring basis, including cash</w:t>
      </w:r>
      <w:r>
        <w:rPr>
          <w:spacing w:val="1"/>
        </w:rPr>
        <w:t> </w:t>
      </w:r>
      <w:r>
        <w:rPr/>
        <w:t>and cash equivalents, and accounts receivable, accounts payable and accrued liabilities, which approximate fair</w:t>
      </w:r>
      <w:r>
        <w:rPr>
          <w:spacing w:val="1"/>
        </w:rPr>
        <w:t> </w:t>
      </w:r>
      <w:r>
        <w:rPr/>
        <w:t>value due to their relatively short maturities as well as the redeemable convertible preferred stock warrant liability</w:t>
      </w:r>
      <w:r>
        <w:rPr>
          <w:spacing w:val="1"/>
        </w:rPr>
        <w:t> </w:t>
      </w:r>
      <w:r>
        <w:rPr/>
        <w:t>and loan facility derivative liability. Fair value is an exit price, representing the amount that would be received to</w:t>
      </w:r>
      <w:r>
        <w:rPr>
          <w:spacing w:val="1"/>
        </w:rPr>
        <w:t> </w:t>
      </w:r>
      <w:r>
        <w:rPr/>
        <w:t>sell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/>
        <w:t>asset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paid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transfer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liability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an</w:t>
      </w:r>
      <w:r>
        <w:rPr>
          <w:spacing w:val="-3"/>
        </w:rPr>
        <w:t> </w:t>
      </w:r>
      <w:r>
        <w:rPr/>
        <w:t>orderly</w:t>
      </w:r>
      <w:r>
        <w:rPr>
          <w:spacing w:val="-3"/>
        </w:rPr>
        <w:t> </w:t>
      </w:r>
      <w:r>
        <w:rPr/>
        <w:t>transaction</w:t>
      </w:r>
      <w:r>
        <w:rPr>
          <w:spacing w:val="-3"/>
        </w:rPr>
        <w:t> </w:t>
      </w:r>
      <w:r>
        <w:rPr/>
        <w:t>between</w:t>
      </w:r>
      <w:r>
        <w:rPr>
          <w:spacing w:val="-2"/>
        </w:rPr>
        <w:t> </w:t>
      </w:r>
      <w:r>
        <w:rPr/>
        <w:t>market</w:t>
      </w:r>
      <w:r>
        <w:rPr>
          <w:spacing w:val="-4"/>
        </w:rPr>
        <w:t> </w:t>
      </w:r>
      <w:r>
        <w:rPr/>
        <w:t>participants.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such,</w:t>
      </w:r>
      <w:r>
        <w:rPr>
          <w:spacing w:val="-3"/>
        </w:rPr>
        <w:t> </w:t>
      </w:r>
      <w:r>
        <w:rPr/>
        <w:t>fair</w:t>
      </w:r>
      <w:r>
        <w:rPr>
          <w:spacing w:val="-3"/>
        </w:rPr>
        <w:t> </w:t>
      </w:r>
      <w:r>
        <w:rPr/>
        <w:t>value</w:t>
      </w:r>
      <w:r>
        <w:rPr>
          <w:spacing w:val="-3"/>
        </w:rPr>
        <w:t> </w:t>
      </w:r>
      <w:r>
        <w:rPr/>
        <w:t>is</w:t>
      </w:r>
      <w:r>
        <w:rPr>
          <w:spacing w:val="1"/>
        </w:rPr>
        <w:t> </w:t>
      </w:r>
      <w:r>
        <w:rPr/>
        <w:t>a market-based measurement that should be determined based on assumptions that market participants would use in</w:t>
      </w:r>
      <w:r>
        <w:rPr>
          <w:spacing w:val="1"/>
        </w:rPr>
        <w:t> </w:t>
      </w:r>
      <w:r>
        <w:rPr/>
        <w:t>pricing an asset or a liability. A three-tier fair value hierarchy is established as a basis for considering such</w:t>
      </w:r>
      <w:r>
        <w:rPr>
          <w:spacing w:val="1"/>
        </w:rPr>
        <w:t> </w:t>
      </w:r>
      <w:r>
        <w:rPr/>
        <w:t>assumptions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for inputs</w:t>
      </w:r>
      <w:r>
        <w:rPr>
          <w:spacing w:val="-2"/>
        </w:rPr>
        <w:t> </w:t>
      </w:r>
      <w:r>
        <w:rPr/>
        <w:t>used 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valuation methodologies</w:t>
      </w:r>
      <w:r>
        <w:rPr>
          <w:spacing w:val="-2"/>
        </w:rPr>
        <w:t> </w:t>
      </w:r>
      <w:r>
        <w:rPr/>
        <w:t>in measuring</w:t>
      </w:r>
      <w:r>
        <w:rPr>
          <w:spacing w:val="-1"/>
        </w:rPr>
        <w:t> </w:t>
      </w:r>
      <w:r>
        <w:rPr/>
        <w:t>fair</w:t>
      </w:r>
      <w:r>
        <w:rPr>
          <w:spacing w:val="-1"/>
        </w:rPr>
        <w:t> </w:t>
      </w:r>
      <w:r>
        <w:rPr/>
        <w:t>value:</w:t>
      </w:r>
    </w:p>
    <w:p>
      <w:pPr>
        <w:pStyle w:val="BodyText"/>
        <w:tabs>
          <w:tab w:pos="1539" w:val="left" w:leader="none"/>
        </w:tabs>
        <w:spacing w:line="249" w:lineRule="auto" w:before="186"/>
        <w:ind w:left="1540" w:right="508" w:hanging="1080"/>
      </w:pPr>
      <w:r>
        <w:rPr/>
        <w:t>Level</w:t>
      </w:r>
      <w:r>
        <w:rPr>
          <w:spacing w:val="-2"/>
        </w:rPr>
        <w:t> </w:t>
      </w:r>
      <w:r>
        <w:rPr/>
        <w:t>1-</w:t>
        <w:tab/>
        <w:t>Observable</w:t>
      </w:r>
      <w:r>
        <w:rPr>
          <w:spacing w:val="-5"/>
        </w:rPr>
        <w:t> </w:t>
      </w:r>
      <w:r>
        <w:rPr/>
        <w:t>inputs</w:t>
      </w:r>
      <w:r>
        <w:rPr>
          <w:spacing w:val="-4"/>
        </w:rPr>
        <w:t> </w:t>
      </w:r>
      <w:r>
        <w:rPr/>
        <w:t>such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quoted</w:t>
      </w:r>
      <w:r>
        <w:rPr>
          <w:spacing w:val="-3"/>
        </w:rPr>
        <w:t> </w:t>
      </w:r>
      <w:r>
        <w:rPr/>
        <w:t>prices</w:t>
      </w:r>
      <w:r>
        <w:rPr>
          <w:spacing w:val="-5"/>
        </w:rPr>
        <w:t> </w:t>
      </w:r>
      <w:r>
        <w:rPr/>
        <w:t>(unadjusted)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identical</w:t>
      </w:r>
      <w:r>
        <w:rPr>
          <w:spacing w:val="-4"/>
        </w:rPr>
        <w:t> </w:t>
      </w:r>
      <w:r>
        <w:rPr/>
        <w:t>assets</w:t>
      </w:r>
      <w:r>
        <w:rPr>
          <w:spacing w:val="-5"/>
        </w:rPr>
        <w:t> </w:t>
      </w:r>
      <w:r>
        <w:rPr/>
        <w:t>or</w:t>
      </w:r>
      <w:r>
        <w:rPr>
          <w:spacing w:val="-3"/>
        </w:rPr>
        <w:t> </w:t>
      </w:r>
      <w:r>
        <w:rPr/>
        <w:t>liabilities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active</w:t>
      </w:r>
      <w:r>
        <w:rPr>
          <w:spacing w:val="-47"/>
        </w:rPr>
        <w:t> </w:t>
      </w:r>
      <w:r>
        <w:rPr/>
        <w:t>markets.</w:t>
      </w:r>
    </w:p>
    <w:p>
      <w:pPr>
        <w:pStyle w:val="BodyText"/>
        <w:tabs>
          <w:tab w:pos="1539" w:val="left" w:leader="none"/>
        </w:tabs>
        <w:spacing w:line="249" w:lineRule="auto" w:before="182"/>
        <w:ind w:left="1540" w:right="175" w:hanging="1080"/>
      </w:pPr>
      <w:r>
        <w:rPr/>
        <w:t>Level</w:t>
      </w:r>
      <w:r>
        <w:rPr>
          <w:spacing w:val="-2"/>
        </w:rPr>
        <w:t> </w:t>
      </w:r>
      <w:r>
        <w:rPr/>
        <w:t>2-</w:t>
        <w:tab/>
        <w:t>Other inputs that are based upon quoted prices for similar instruments in active markets, quoted</w:t>
      </w:r>
      <w:r>
        <w:rPr>
          <w:spacing w:val="1"/>
        </w:rPr>
        <w:t> </w:t>
      </w:r>
      <w:r>
        <w:rPr/>
        <w:t>prices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identical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similar</w:t>
      </w:r>
      <w:r>
        <w:rPr>
          <w:spacing w:val="-3"/>
        </w:rPr>
        <w:t> </w:t>
      </w:r>
      <w:r>
        <w:rPr/>
        <w:t>instruments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markets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active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model-based</w:t>
      </w:r>
      <w:r>
        <w:rPr>
          <w:spacing w:val="-3"/>
        </w:rPr>
        <w:t> </w:t>
      </w:r>
      <w:r>
        <w:rPr/>
        <w:t>valuation</w:t>
      </w:r>
      <w:r>
        <w:rPr>
          <w:spacing w:val="-47"/>
        </w:rPr>
        <w:t> </w:t>
      </w:r>
      <w:r>
        <w:rPr/>
        <w:t>techniques for which all significant inputs are observable in the market or can be derived from</w:t>
      </w:r>
      <w:r>
        <w:rPr>
          <w:spacing w:val="1"/>
        </w:rPr>
        <w:t> </w:t>
      </w:r>
      <w:r>
        <w:rPr/>
        <w:t>observable</w:t>
      </w:r>
      <w:r>
        <w:rPr>
          <w:spacing w:val="-2"/>
        </w:rPr>
        <w:t> </w:t>
      </w:r>
      <w:r>
        <w:rPr/>
        <w:t>market</w:t>
      </w:r>
      <w:r>
        <w:rPr>
          <w:spacing w:val="-1"/>
        </w:rPr>
        <w:t> </w:t>
      </w:r>
      <w:r>
        <w:rPr/>
        <w:t>data.</w:t>
      </w:r>
    </w:p>
    <w:p>
      <w:pPr>
        <w:pStyle w:val="BodyText"/>
        <w:tabs>
          <w:tab w:pos="1539" w:val="left" w:leader="none"/>
        </w:tabs>
        <w:spacing w:line="249" w:lineRule="auto" w:before="183"/>
        <w:ind w:left="1540" w:right="352" w:hanging="1080"/>
      </w:pPr>
      <w:r>
        <w:rPr/>
        <w:t>Level</w:t>
      </w:r>
      <w:r>
        <w:rPr>
          <w:spacing w:val="-2"/>
        </w:rPr>
        <w:t> </w:t>
      </w:r>
      <w:r>
        <w:rPr/>
        <w:t>3-</w:t>
        <w:tab/>
        <w:t>Unobservable</w:t>
      </w:r>
      <w:r>
        <w:rPr>
          <w:spacing w:val="-4"/>
        </w:rPr>
        <w:t> </w:t>
      </w:r>
      <w:r>
        <w:rPr/>
        <w:t>inputs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supported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little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market</w:t>
      </w:r>
      <w:r>
        <w:rPr>
          <w:spacing w:val="-4"/>
        </w:rPr>
        <w:t> </w:t>
      </w:r>
      <w:r>
        <w:rPr/>
        <w:t>activities,</w:t>
      </w:r>
      <w:r>
        <w:rPr>
          <w:spacing w:val="-3"/>
        </w:rPr>
        <w:t> </w:t>
      </w:r>
      <w:r>
        <w:rPr/>
        <w:t>which</w:t>
      </w:r>
      <w:r>
        <w:rPr>
          <w:spacing w:val="-2"/>
        </w:rPr>
        <w:t> </w:t>
      </w:r>
      <w:r>
        <w:rPr/>
        <w:t>would</w:t>
      </w:r>
      <w:r>
        <w:rPr>
          <w:spacing w:val="-3"/>
        </w:rPr>
        <w:t> </w:t>
      </w:r>
      <w:r>
        <w:rPr/>
        <w:t>require</w:t>
      </w:r>
      <w:r>
        <w:rPr>
          <w:spacing w:val="-3"/>
        </w:rPr>
        <w:t> </w:t>
      </w:r>
      <w:r>
        <w:rPr/>
        <w:t>the</w:t>
      </w:r>
      <w:r>
        <w:rPr>
          <w:spacing w:val="-47"/>
        </w:rPr>
        <w:t> </w:t>
      </w:r>
      <w:r>
        <w:rPr/>
        <w:t>Company</w:t>
      </w:r>
      <w:r>
        <w:rPr>
          <w:spacing w:val="-1"/>
        </w:rPr>
        <w:t> </w:t>
      </w:r>
      <w:r>
        <w:rPr/>
        <w:t>to develop its</w:t>
      </w:r>
      <w:r>
        <w:rPr>
          <w:spacing w:val="-1"/>
        </w:rPr>
        <w:t> </w:t>
      </w:r>
      <w:r>
        <w:rPr/>
        <w:t>own assumptions.</w:t>
      </w:r>
    </w:p>
    <w:p>
      <w:pPr>
        <w:pStyle w:val="BodyText"/>
        <w:spacing w:line="249" w:lineRule="auto" w:before="182"/>
        <w:ind w:right="212"/>
      </w:pPr>
      <w:r>
        <w:rPr/>
        <w:t>The</w:t>
      </w:r>
      <w:r>
        <w:rPr>
          <w:spacing w:val="-4"/>
        </w:rPr>
        <w:t> </w:t>
      </w:r>
      <w:r>
        <w:rPr/>
        <w:t>fair</w:t>
      </w:r>
      <w:r>
        <w:rPr>
          <w:spacing w:val="-2"/>
        </w:rPr>
        <w:t> </w:t>
      </w:r>
      <w:r>
        <w:rPr/>
        <w:t>value</w:t>
      </w:r>
      <w:r>
        <w:rPr>
          <w:spacing w:val="-3"/>
        </w:rPr>
        <w:t> </w:t>
      </w:r>
      <w:r>
        <w:rPr/>
        <w:t>hierarchy</w:t>
      </w:r>
      <w:r>
        <w:rPr>
          <w:spacing w:val="-3"/>
        </w:rPr>
        <w:t> </w:t>
      </w:r>
      <w:r>
        <w:rPr/>
        <w:t>also</w:t>
      </w:r>
      <w:r>
        <w:rPr>
          <w:spacing w:val="-2"/>
        </w:rPr>
        <w:t> </w:t>
      </w:r>
      <w:r>
        <w:rPr/>
        <w:t>requires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entity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maximize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use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observable</w:t>
      </w:r>
      <w:r>
        <w:rPr>
          <w:spacing w:val="-3"/>
        </w:rPr>
        <w:t> </w:t>
      </w:r>
      <w:r>
        <w:rPr/>
        <w:t>inputs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minimize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use</w:t>
      </w:r>
      <w:r>
        <w:rPr>
          <w:spacing w:val="-47"/>
        </w:rPr>
        <w:t> </w:t>
      </w:r>
      <w:r>
        <w:rPr/>
        <w:t>of</w:t>
      </w:r>
      <w:r>
        <w:rPr>
          <w:spacing w:val="-1"/>
        </w:rPr>
        <w:t> </w:t>
      </w:r>
      <w:r>
        <w:rPr/>
        <w:t>unobservable</w:t>
      </w:r>
      <w:r>
        <w:rPr>
          <w:spacing w:val="-1"/>
        </w:rPr>
        <w:t> </w:t>
      </w:r>
      <w:r>
        <w:rPr/>
        <w:t>inputs</w:t>
      </w:r>
      <w:r>
        <w:rPr>
          <w:spacing w:val="-1"/>
        </w:rPr>
        <w:t> </w:t>
      </w:r>
      <w:r>
        <w:rPr/>
        <w:t>when measuring fair value.</w:t>
      </w:r>
    </w:p>
    <w:p>
      <w:pPr>
        <w:pStyle w:val="BodyText"/>
        <w:spacing w:before="181"/>
        <w:ind w:left="460" w:firstLine="0"/>
      </w:pP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summary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assets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liabilities</w:t>
      </w:r>
      <w:r>
        <w:rPr>
          <w:spacing w:val="-3"/>
        </w:rPr>
        <w:t> </w:t>
      </w:r>
      <w:r>
        <w:rPr/>
        <w:t>measured</w:t>
      </w:r>
      <w:r>
        <w:rPr>
          <w:spacing w:val="-2"/>
        </w:rPr>
        <w:t> </w:t>
      </w:r>
      <w:r>
        <w:rPr/>
        <w:t>at</w:t>
      </w:r>
      <w:r>
        <w:rPr>
          <w:spacing w:val="-4"/>
        </w:rPr>
        <w:t> </w:t>
      </w:r>
      <w:r>
        <w:rPr/>
        <w:t>fair</w:t>
      </w:r>
      <w:r>
        <w:rPr>
          <w:spacing w:val="-2"/>
        </w:rPr>
        <w:t> </w:t>
      </w:r>
      <w:r>
        <w:rPr/>
        <w:t>value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recurring</w:t>
      </w:r>
      <w:r>
        <w:rPr>
          <w:spacing w:val="-3"/>
        </w:rPr>
        <w:t> </w:t>
      </w:r>
      <w:r>
        <w:rPr/>
        <w:t>basis</w:t>
      </w:r>
      <w:r>
        <w:rPr>
          <w:spacing w:val="-3"/>
        </w:rPr>
        <w:t> </w:t>
      </w:r>
      <w:r>
        <w:rPr/>
        <w:t>(in</w:t>
      </w:r>
      <w:r>
        <w:rPr>
          <w:spacing w:val="-2"/>
        </w:rPr>
        <w:t> </w:t>
      </w:r>
      <w:r>
        <w:rPr/>
        <w:t>thousands):</w:t>
      </w:r>
    </w:p>
    <w:p>
      <w:pPr>
        <w:pStyle w:val="BodyText"/>
        <w:spacing w:before="6"/>
        <w:ind w:left="0" w:firstLine="0"/>
        <w:rPr>
          <w:sz w:val="15"/>
        </w:rPr>
      </w:pPr>
    </w:p>
    <w:p>
      <w:pPr>
        <w:tabs>
          <w:tab w:pos="6339" w:val="left" w:leader="none"/>
        </w:tabs>
        <w:spacing w:before="94"/>
        <w:ind w:left="3260" w:right="0" w:firstLine="0"/>
        <w:jc w:val="center"/>
        <w:rPr>
          <w:b/>
          <w:sz w:val="14"/>
        </w:rPr>
      </w:pPr>
      <w:r>
        <w:rPr>
          <w:b/>
          <w:sz w:val="14"/>
        </w:rPr>
        <w:t>September</w:t>
      </w:r>
      <w:r>
        <w:rPr>
          <w:b/>
          <w:spacing w:val="-3"/>
          <w:sz w:val="14"/>
        </w:rPr>
        <w:t> </w:t>
      </w:r>
      <w:r>
        <w:rPr>
          <w:b/>
          <w:sz w:val="14"/>
        </w:rPr>
        <w:t>30,</w:t>
        <w:tab/>
        <w:t>December</w:t>
      </w:r>
      <w:r>
        <w:rPr>
          <w:b/>
          <w:spacing w:val="-4"/>
          <w:sz w:val="14"/>
        </w:rPr>
        <w:t> </w:t>
      </w:r>
      <w:r>
        <w:rPr>
          <w:b/>
          <w:sz w:val="14"/>
        </w:rPr>
        <w:t>31,</w:t>
      </w:r>
    </w:p>
    <w:p>
      <w:pPr>
        <w:tabs>
          <w:tab w:pos="6339" w:val="left" w:leader="none"/>
        </w:tabs>
        <w:spacing w:before="64"/>
        <w:ind w:left="3280" w:right="0" w:firstLine="0"/>
        <w:jc w:val="center"/>
        <w:rPr>
          <w:b/>
          <w:sz w:val="14"/>
        </w:rPr>
      </w:pPr>
      <w:r>
        <w:rPr/>
        <w:pict>
          <v:group style="position:absolute;margin-left:237pt;margin-top:12.245166pt;width:303pt;height:1pt;mso-position-horizontal-relative:page;mso-position-vertical-relative:paragraph;z-index:-15717888;mso-wrap-distance-left:0;mso-wrap-distance-right:0" id="docshapegroup60" coordorigin="4740,245" coordsize="6060,20">
            <v:shape style="position:absolute;left:4740;top:254;width:3000;height:2" id="docshape61" coordorigin="4740,255" coordsize="3000,0" path="m7740,255l4740,255e" filled="true" fillcolor="#000000" stroked="false">
              <v:path arrowok="t"/>
              <v:fill opacity="0f" type="solid"/>
            </v:shape>
            <v:line style="position:absolute" from="4740,255" to="7740,255" stroked="true" strokeweight="1pt" strokecolor="#000000">
              <v:stroke dashstyle="solid"/>
            </v:line>
            <v:shape style="position:absolute;left:7800;top:254;width:3000;height:2" id="docshape62" coordorigin="7800,255" coordsize="3000,0" path="m10800,255l7800,255e" filled="true" fillcolor="#000000" stroked="false">
              <v:path arrowok="t"/>
              <v:fill opacity="0f" type="solid"/>
            </v:shape>
            <v:line style="position:absolute" from="7800,255" to="10800,255" stroked="true" strokeweight="1pt" strokecolor="#000000">
              <v:stroke dashstyle="solid"/>
            </v:line>
            <w10:wrap type="topAndBottom"/>
          </v:group>
        </w:pict>
      </w:r>
      <w:r>
        <w:rPr>
          <w:b/>
          <w:sz w:val="14"/>
        </w:rPr>
        <w:t>2021</w:t>
        <w:tab/>
        <w:t>2020</w:t>
      </w:r>
    </w:p>
    <w:p>
      <w:pPr>
        <w:tabs>
          <w:tab w:pos="3988" w:val="left" w:leader="none"/>
          <w:tab w:pos="4753" w:val="left" w:leader="none"/>
          <w:tab w:pos="5575" w:val="left" w:leader="none"/>
          <w:tab w:pos="6283" w:val="left" w:leader="none"/>
          <w:tab w:pos="7048" w:val="left" w:leader="none"/>
          <w:tab w:pos="7813" w:val="left" w:leader="none"/>
          <w:tab w:pos="8635" w:val="left" w:leader="none"/>
        </w:tabs>
        <w:spacing w:before="24" w:after="30"/>
        <w:ind w:left="3223" w:right="0" w:firstLine="0"/>
        <w:jc w:val="center"/>
        <w:rPr>
          <w:b/>
          <w:sz w:val="14"/>
        </w:rPr>
      </w:pPr>
      <w:r>
        <w:rPr>
          <w:b/>
          <w:sz w:val="14"/>
        </w:rPr>
        <w:t>Level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1</w:t>
        <w:tab/>
        <w:t>Level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2</w:t>
        <w:tab/>
        <w:t>Level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</w:t>
        <w:tab/>
        <w:t>Total</w:t>
        <w:tab/>
        <w:t>Level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1</w:t>
        <w:tab/>
        <w:t>Level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2</w:t>
        <w:tab/>
        <w:t>Level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</w:t>
        <w:tab/>
        <w:t>Total</w:t>
      </w: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1"/>
        <w:gridCol w:w="1530"/>
        <w:gridCol w:w="765"/>
        <w:gridCol w:w="765"/>
        <w:gridCol w:w="1530"/>
        <w:gridCol w:w="739"/>
      </w:tblGrid>
      <w:tr>
        <w:trPr>
          <w:trHeight w:val="215" w:hRule="atLeast"/>
        </w:trPr>
        <w:tc>
          <w:tcPr>
            <w:tcW w:w="4031" w:type="dxa"/>
            <w:shd w:val="clear" w:color="auto" w:fill="CCEDFF"/>
          </w:tcPr>
          <w:p>
            <w:pPr>
              <w:pStyle w:val="TableParagraph"/>
              <w:spacing w:before="12"/>
              <w:ind w:left="52"/>
              <w:jc w:val="left"/>
              <w:rPr>
                <w:sz w:val="15"/>
              </w:rPr>
            </w:pPr>
            <w:r>
              <w:rPr>
                <w:sz w:val="15"/>
              </w:rPr>
              <w:t>Cash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cash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equivalents:</w:t>
            </w:r>
          </w:p>
        </w:tc>
        <w:tc>
          <w:tcPr>
            <w:tcW w:w="5329" w:type="dxa"/>
            <w:gridSpan w:val="5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4031" w:type="dxa"/>
          </w:tcPr>
          <w:p>
            <w:pPr>
              <w:pStyle w:val="TableParagraph"/>
              <w:tabs>
                <w:tab w:pos="3059" w:val="left" w:leader="dot"/>
              </w:tabs>
              <w:spacing w:before="24"/>
              <w:ind w:right="85"/>
              <w:rPr>
                <w:sz w:val="14"/>
              </w:rPr>
            </w:pPr>
            <w:r>
              <w:rPr>
                <w:sz w:val="15"/>
              </w:rPr>
              <w:t>Cash</w:t>
              <w:tab/>
            </w:r>
            <w:r>
              <w:rPr>
                <w:sz w:val="14"/>
              </w:rPr>
              <w:t>$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179,797</w:t>
            </w:r>
          </w:p>
        </w:tc>
        <w:tc>
          <w:tcPr>
            <w:tcW w:w="1530" w:type="dxa"/>
          </w:tcPr>
          <w:p>
            <w:pPr>
              <w:pStyle w:val="TableParagraph"/>
              <w:tabs>
                <w:tab w:pos="450" w:val="left" w:leader="none"/>
                <w:tab w:pos="1215" w:val="left" w:leader="none"/>
              </w:tabs>
              <w:spacing w:before="34"/>
              <w:ind w:right="85"/>
              <w:rPr>
                <w:sz w:val="14"/>
              </w:rPr>
            </w:pPr>
            <w:r>
              <w:rPr>
                <w:sz w:val="14"/>
              </w:rPr>
              <w:t>$</w:t>
              <w:tab/>
              <w:t>—   </w:t>
            </w:r>
            <w:r>
              <w:rPr>
                <w:spacing w:val="34"/>
                <w:sz w:val="14"/>
              </w:rPr>
              <w:t> </w:t>
            </w:r>
            <w:r>
              <w:rPr>
                <w:sz w:val="14"/>
              </w:rPr>
              <w:t>$</w:t>
              <w:tab/>
              <w:t>—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right="85"/>
              <w:rPr>
                <w:sz w:val="14"/>
              </w:rPr>
            </w:pPr>
            <w:r>
              <w:rPr>
                <w:sz w:val="14"/>
              </w:rPr>
              <w:t>$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179,797</w:t>
            </w:r>
          </w:p>
        </w:tc>
        <w:tc>
          <w:tcPr>
            <w:tcW w:w="765" w:type="dxa"/>
          </w:tcPr>
          <w:p>
            <w:pPr>
              <w:pStyle w:val="TableParagraph"/>
              <w:tabs>
                <w:tab w:pos="275" w:val="left" w:leader="none"/>
              </w:tabs>
              <w:spacing w:before="34"/>
              <w:ind w:right="85"/>
              <w:rPr>
                <w:sz w:val="14"/>
              </w:rPr>
            </w:pPr>
            <w:r>
              <w:rPr>
                <w:sz w:val="14"/>
              </w:rPr>
              <w:t>$</w:t>
              <w:tab/>
              <w:t>1,502</w:t>
            </w:r>
          </w:p>
        </w:tc>
        <w:tc>
          <w:tcPr>
            <w:tcW w:w="1530" w:type="dxa"/>
          </w:tcPr>
          <w:p>
            <w:pPr>
              <w:pStyle w:val="TableParagraph"/>
              <w:tabs>
                <w:tab w:pos="450" w:val="left" w:leader="none"/>
                <w:tab w:pos="1215" w:val="left" w:leader="none"/>
              </w:tabs>
              <w:spacing w:before="34"/>
              <w:ind w:right="85"/>
              <w:rPr>
                <w:sz w:val="14"/>
              </w:rPr>
            </w:pPr>
            <w:r>
              <w:rPr>
                <w:sz w:val="14"/>
              </w:rPr>
              <w:t>$</w:t>
              <w:tab/>
              <w:t>—   </w:t>
            </w:r>
            <w:r>
              <w:rPr>
                <w:spacing w:val="34"/>
                <w:sz w:val="14"/>
              </w:rPr>
              <w:t> </w:t>
            </w:r>
            <w:r>
              <w:rPr>
                <w:sz w:val="14"/>
              </w:rPr>
              <w:t>$</w:t>
              <w:tab/>
              <w:t>—</w:t>
            </w:r>
          </w:p>
        </w:tc>
        <w:tc>
          <w:tcPr>
            <w:tcW w:w="739" w:type="dxa"/>
          </w:tcPr>
          <w:p>
            <w:pPr>
              <w:pStyle w:val="TableParagraph"/>
              <w:tabs>
                <w:tab w:pos="275" w:val="left" w:leader="none"/>
              </w:tabs>
              <w:spacing w:before="34"/>
              <w:ind w:right="59"/>
              <w:rPr>
                <w:sz w:val="14"/>
              </w:rPr>
            </w:pPr>
            <w:r>
              <w:rPr>
                <w:sz w:val="14"/>
              </w:rPr>
              <w:t>$</w:t>
              <w:tab/>
              <w:t>1,502</w:t>
            </w:r>
          </w:p>
        </w:tc>
      </w:tr>
      <w:tr>
        <w:trPr>
          <w:trHeight w:val="215" w:hRule="atLeast"/>
        </w:trPr>
        <w:tc>
          <w:tcPr>
            <w:tcW w:w="4031" w:type="dxa"/>
            <w:shd w:val="clear" w:color="auto" w:fill="CCEDFF"/>
          </w:tcPr>
          <w:p>
            <w:pPr>
              <w:pStyle w:val="TableParagraph"/>
              <w:tabs>
                <w:tab w:pos="3195" w:val="left" w:leader="dot"/>
              </w:tabs>
              <w:spacing w:before="14"/>
              <w:ind w:right="85"/>
              <w:rPr>
                <w:sz w:val="14"/>
              </w:rPr>
            </w:pPr>
            <w:r>
              <w:rPr>
                <w:position w:val="1"/>
                <w:sz w:val="15"/>
              </w:rPr>
              <w:t>Cash</w:t>
            </w:r>
            <w:r>
              <w:rPr>
                <w:spacing w:val="-2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equivalents</w:t>
              <w:tab/>
            </w:r>
            <w:r>
              <w:rPr>
                <w:sz w:val="14"/>
              </w:rPr>
              <w:t>140,687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764" w:val="left" w:leader="none"/>
              </w:tabs>
              <w:spacing w:before="34"/>
              <w:ind w:right="85"/>
              <w:rPr>
                <w:sz w:val="14"/>
              </w:rPr>
            </w:pPr>
            <w:r>
              <w:rPr>
                <w:sz w:val="14"/>
              </w:rPr>
              <w:t>—</w:t>
              <w:tab/>
              <w:t>—</w:t>
            </w:r>
          </w:p>
        </w:tc>
        <w:tc>
          <w:tcPr>
            <w:tcW w:w="765" w:type="dxa"/>
            <w:tcBorders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34"/>
              <w:ind w:right="85"/>
              <w:rPr>
                <w:sz w:val="14"/>
              </w:rPr>
            </w:pPr>
            <w:r>
              <w:rPr>
                <w:sz w:val="14"/>
              </w:rPr>
              <w:t>140,687</w:t>
            </w:r>
          </w:p>
        </w:tc>
        <w:tc>
          <w:tcPr>
            <w:tcW w:w="765" w:type="dxa"/>
            <w:tcBorders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34"/>
              <w:ind w:right="85"/>
              <w:rPr>
                <w:sz w:val="14"/>
              </w:rPr>
            </w:pPr>
            <w:r>
              <w:rPr>
                <w:sz w:val="14"/>
              </w:rPr>
              <w:t>98,628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764" w:val="left" w:leader="none"/>
              </w:tabs>
              <w:spacing w:before="34"/>
              <w:ind w:right="85"/>
              <w:rPr>
                <w:sz w:val="14"/>
              </w:rPr>
            </w:pPr>
            <w:r>
              <w:rPr>
                <w:sz w:val="14"/>
              </w:rPr>
              <w:t>—</w:t>
              <w:tab/>
              <w:t>—</w:t>
            </w:r>
          </w:p>
        </w:tc>
        <w:tc>
          <w:tcPr>
            <w:tcW w:w="739" w:type="dxa"/>
            <w:tcBorders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34"/>
              <w:ind w:right="59"/>
              <w:rPr>
                <w:sz w:val="14"/>
              </w:rPr>
            </w:pPr>
            <w:r>
              <w:rPr>
                <w:sz w:val="14"/>
              </w:rPr>
              <w:t>98,628</w:t>
            </w:r>
          </w:p>
        </w:tc>
      </w:tr>
    </w:tbl>
    <w:p>
      <w:pPr>
        <w:tabs>
          <w:tab w:pos="4275" w:val="left" w:leader="none"/>
          <w:tab w:pos="5040" w:val="left" w:leader="none"/>
          <w:tab w:pos="7335" w:val="left" w:leader="none"/>
          <w:tab w:pos="8100" w:val="left" w:leader="none"/>
        </w:tabs>
        <w:spacing w:before="4"/>
        <w:ind w:left="0" w:right="179" w:firstLine="0"/>
        <w:jc w:val="right"/>
        <w:rPr>
          <w:sz w:val="14"/>
        </w:rPr>
      </w:pPr>
      <w:r>
        <w:rPr/>
        <w:pict>
          <v:group style="position:absolute;margin-left:72pt;margin-top:10.211963pt;width:468pt;height:11.25pt;mso-position-horizontal-relative:page;mso-position-vertical-relative:paragraph;z-index:-15717376;mso-wrap-distance-left:0;mso-wrap-distance-right:0" id="docshapegroup63" coordorigin="1440,204" coordsize="9360,225">
            <v:rect style="position:absolute;left:1440;top:204;width:9360;height:225" id="docshape64" filled="true" fillcolor="#ccedff" stroked="false">
              <v:fill type="solid"/>
            </v:rect>
            <v:shape style="position:absolute;left:4740;top:224;width:6060;height:2" id="docshape65" coordorigin="4740,224" coordsize="6060,0" path="m4740,224l5445,224m5505,224l6210,224m6270,224l6975,224m7035,224l7740,224m7800,224l8505,224m8565,224l9270,224m9330,224l10035,224m10095,224l10800,224e" filled="false" stroked="true" strokeweight="1pt" strokecolor="#000000">
              <v:path arrowok="t"/>
              <v:stroke dashstyle="solid"/>
            </v:shape>
            <w10:wrap type="topAndBottom"/>
          </v:group>
        </w:pict>
      </w:r>
      <w:r>
        <w:rPr>
          <w:sz w:val="15"/>
        </w:rPr>
        <w:t>Total</w:t>
      </w:r>
      <w:r>
        <w:rPr>
          <w:spacing w:val="-1"/>
          <w:sz w:val="15"/>
        </w:rPr>
        <w:t> </w:t>
      </w:r>
      <w:r>
        <w:rPr>
          <w:sz w:val="15"/>
        </w:rPr>
        <w:t>cash and</w:t>
      </w:r>
      <w:r>
        <w:rPr>
          <w:spacing w:val="-1"/>
          <w:sz w:val="15"/>
        </w:rPr>
        <w:t> </w:t>
      </w:r>
      <w:r>
        <w:rPr>
          <w:sz w:val="15"/>
        </w:rPr>
        <w:t>cash equivalents</w:t>
      </w:r>
      <w:r>
        <w:rPr>
          <w:spacing w:val="7"/>
          <w:sz w:val="15"/>
        </w:rPr>
        <w:t> </w:t>
      </w:r>
      <w:r>
        <w:rPr>
          <w:color w:val="B3B3B3"/>
          <w:sz w:val="15"/>
        </w:rPr>
        <w:t>.</w:t>
      </w:r>
      <w:r>
        <w:rPr>
          <w:color w:val="B3B3B3"/>
          <w:spacing w:val="-1"/>
          <w:sz w:val="15"/>
        </w:rPr>
        <w:t> </w:t>
      </w:r>
      <w:r>
        <w:rPr>
          <w:color w:val="B3B3B3"/>
          <w:sz w:val="15"/>
        </w:rPr>
        <w:t>. . .</w:t>
      </w:r>
      <w:r>
        <w:rPr>
          <w:color w:val="B3B3B3"/>
          <w:spacing w:val="-1"/>
          <w:sz w:val="15"/>
        </w:rPr>
        <w:t> </w:t>
      </w:r>
      <w:r>
        <w:rPr>
          <w:color w:val="B3B3B3"/>
          <w:sz w:val="15"/>
        </w:rPr>
        <w:t>. .</w:t>
      </w:r>
      <w:r>
        <w:rPr>
          <w:color w:val="B3B3B3"/>
          <w:spacing w:val="-1"/>
          <w:sz w:val="15"/>
        </w:rPr>
        <w:t> </w:t>
      </w:r>
      <w:r>
        <w:rPr>
          <w:color w:val="B3B3B3"/>
          <w:sz w:val="15"/>
        </w:rPr>
        <w:t>. .</w:t>
      </w:r>
      <w:r>
        <w:rPr>
          <w:color w:val="B3B3B3"/>
          <w:spacing w:val="-1"/>
          <w:sz w:val="15"/>
        </w:rPr>
        <w:t> </w:t>
      </w:r>
      <w:r>
        <w:rPr>
          <w:color w:val="B3B3B3"/>
          <w:sz w:val="15"/>
        </w:rPr>
        <w:t>. .</w:t>
      </w:r>
      <w:r>
        <w:rPr>
          <w:color w:val="B3B3B3"/>
          <w:spacing w:val="-1"/>
          <w:sz w:val="15"/>
        </w:rPr>
        <w:t> </w:t>
      </w:r>
      <w:r>
        <w:rPr>
          <w:color w:val="B3B3B3"/>
          <w:sz w:val="15"/>
        </w:rPr>
        <w:t>. .</w:t>
      </w:r>
      <w:r>
        <w:rPr>
          <w:color w:val="B3B3B3"/>
          <w:spacing w:val="-1"/>
          <w:sz w:val="15"/>
        </w:rPr>
        <w:t> </w:t>
      </w:r>
      <w:r>
        <w:rPr>
          <w:color w:val="B3B3B3"/>
          <w:sz w:val="15"/>
        </w:rPr>
        <w:t>. .</w:t>
      </w:r>
      <w:r>
        <w:rPr>
          <w:spacing w:val="63"/>
          <w:sz w:val="15"/>
          <w:u w:val="single"/>
        </w:rPr>
        <w:t> </w:t>
      </w:r>
      <w:r>
        <w:rPr>
          <w:sz w:val="14"/>
          <w:u w:val="single"/>
        </w:rPr>
        <w:t>$</w:t>
      </w:r>
      <w:r>
        <w:rPr>
          <w:spacing w:val="30"/>
          <w:sz w:val="14"/>
          <w:u w:val="single"/>
        </w:rPr>
        <w:t> </w:t>
      </w:r>
      <w:r>
        <w:rPr>
          <w:sz w:val="14"/>
          <w:u w:val="single"/>
        </w:rPr>
        <w:t>320,484   </w:t>
      </w:r>
      <w:r>
        <w:rPr>
          <w:spacing w:val="34"/>
          <w:sz w:val="14"/>
          <w:u w:val="single"/>
        </w:rPr>
        <w:t> </w:t>
      </w:r>
      <w:r>
        <w:rPr>
          <w:sz w:val="14"/>
          <w:u w:val="single"/>
        </w:rPr>
        <w:t>$</w:t>
        <w:tab/>
        <w:t>—   </w:t>
      </w:r>
      <w:r>
        <w:rPr>
          <w:spacing w:val="34"/>
          <w:sz w:val="14"/>
          <w:u w:val="single"/>
        </w:rPr>
        <w:t> </w:t>
      </w:r>
      <w:r>
        <w:rPr>
          <w:sz w:val="14"/>
          <w:u w:val="single"/>
        </w:rPr>
        <w:t>$</w:t>
        <w:tab/>
        <w:t>—   </w:t>
      </w:r>
      <w:r>
        <w:rPr>
          <w:spacing w:val="34"/>
          <w:sz w:val="14"/>
          <w:u w:val="single"/>
        </w:rPr>
        <w:t> </w:t>
      </w:r>
      <w:r>
        <w:rPr>
          <w:sz w:val="14"/>
          <w:u w:val="single"/>
        </w:rPr>
        <w:t>$</w:t>
      </w:r>
      <w:r>
        <w:rPr>
          <w:spacing w:val="30"/>
          <w:sz w:val="14"/>
          <w:u w:val="single"/>
        </w:rPr>
        <w:t> </w:t>
      </w:r>
      <w:r>
        <w:rPr>
          <w:sz w:val="14"/>
          <w:u w:val="single"/>
        </w:rPr>
        <w:t>320,484   </w:t>
      </w:r>
      <w:r>
        <w:rPr>
          <w:spacing w:val="34"/>
          <w:sz w:val="14"/>
          <w:u w:val="single"/>
        </w:rPr>
        <w:t> </w:t>
      </w:r>
      <w:r>
        <w:rPr>
          <w:sz w:val="14"/>
          <w:u w:val="single"/>
        </w:rPr>
        <w:t>$</w:t>
      </w:r>
      <w:r>
        <w:rPr>
          <w:spacing w:val="30"/>
          <w:sz w:val="14"/>
          <w:u w:val="single"/>
        </w:rPr>
        <w:t> </w:t>
      </w:r>
      <w:r>
        <w:rPr>
          <w:sz w:val="14"/>
          <w:u w:val="single"/>
        </w:rPr>
        <w:t>100,130   </w:t>
      </w:r>
      <w:r>
        <w:rPr>
          <w:spacing w:val="34"/>
          <w:sz w:val="14"/>
          <w:u w:val="single"/>
        </w:rPr>
        <w:t> </w:t>
      </w:r>
      <w:r>
        <w:rPr>
          <w:sz w:val="14"/>
          <w:u w:val="single"/>
        </w:rPr>
        <w:t>$</w:t>
        <w:tab/>
        <w:t>—   </w:t>
      </w:r>
      <w:r>
        <w:rPr>
          <w:spacing w:val="34"/>
          <w:sz w:val="14"/>
          <w:u w:val="single"/>
        </w:rPr>
        <w:t> </w:t>
      </w:r>
      <w:r>
        <w:rPr>
          <w:sz w:val="14"/>
          <w:u w:val="single"/>
        </w:rPr>
        <w:t>$</w:t>
        <w:tab/>
        <w:t>—   </w:t>
      </w:r>
      <w:r>
        <w:rPr>
          <w:spacing w:val="34"/>
          <w:sz w:val="14"/>
          <w:u w:val="single"/>
        </w:rPr>
        <w:t> </w:t>
      </w:r>
      <w:r>
        <w:rPr>
          <w:sz w:val="14"/>
          <w:u w:val="single"/>
        </w:rPr>
        <w:t>$</w:t>
      </w:r>
      <w:r>
        <w:rPr>
          <w:spacing w:val="30"/>
          <w:sz w:val="14"/>
          <w:u w:val="single"/>
        </w:rPr>
        <w:t> </w:t>
      </w:r>
      <w:r>
        <w:rPr>
          <w:sz w:val="14"/>
          <w:u w:val="single"/>
        </w:rPr>
        <w:t>100,130</w:t>
      </w:r>
    </w:p>
    <w:p>
      <w:pPr>
        <w:tabs>
          <w:tab w:pos="3750" w:val="left" w:leader="none"/>
          <w:tab w:pos="4515" w:val="left" w:leader="none"/>
          <w:tab w:pos="5280" w:val="left" w:leader="none"/>
          <w:tab w:pos="6045" w:val="left" w:leader="none"/>
          <w:tab w:pos="6810" w:val="left" w:leader="none"/>
          <w:tab w:pos="7575" w:val="left" w:leader="none"/>
          <w:tab w:pos="8270" w:val="left" w:leader="none"/>
          <w:tab w:pos="9035" w:val="left" w:leader="none"/>
        </w:tabs>
        <w:spacing w:before="24" w:after="29"/>
        <w:ind w:left="0" w:right="179" w:firstLine="0"/>
        <w:jc w:val="right"/>
        <w:rPr>
          <w:sz w:val="14"/>
        </w:rPr>
      </w:pPr>
      <w:r>
        <w:rPr>
          <w:sz w:val="15"/>
        </w:rPr>
        <w:t>Preferred</w:t>
      </w:r>
      <w:r>
        <w:rPr>
          <w:spacing w:val="-1"/>
          <w:sz w:val="15"/>
        </w:rPr>
        <w:t> </w:t>
      </w:r>
      <w:r>
        <w:rPr>
          <w:sz w:val="15"/>
        </w:rPr>
        <w:t>stock</w:t>
      </w:r>
      <w:r>
        <w:rPr>
          <w:spacing w:val="-1"/>
          <w:sz w:val="15"/>
        </w:rPr>
        <w:t> </w:t>
      </w:r>
      <w:r>
        <w:rPr>
          <w:sz w:val="15"/>
        </w:rPr>
        <w:t>warrant liability</w:t>
      </w:r>
      <w:r>
        <w:rPr>
          <w:spacing w:val="11"/>
          <w:sz w:val="15"/>
        </w:rPr>
        <w:t> </w:t>
      </w:r>
      <w:r>
        <w:rPr>
          <w:color w:val="B3B3B3"/>
          <w:sz w:val="15"/>
        </w:rPr>
        <w:t>.</w:t>
      </w:r>
      <w:r>
        <w:rPr>
          <w:color w:val="B3B3B3"/>
          <w:spacing w:val="-1"/>
          <w:sz w:val="15"/>
        </w:rPr>
        <w:t> </w:t>
      </w:r>
      <w:r>
        <w:rPr>
          <w:color w:val="B3B3B3"/>
          <w:sz w:val="15"/>
        </w:rPr>
        <w:t>. .</w:t>
      </w:r>
      <w:r>
        <w:rPr>
          <w:color w:val="B3B3B3"/>
          <w:spacing w:val="-1"/>
          <w:sz w:val="15"/>
        </w:rPr>
        <w:t> </w:t>
      </w:r>
      <w:r>
        <w:rPr>
          <w:color w:val="B3B3B3"/>
          <w:sz w:val="15"/>
        </w:rPr>
        <w:t>.</w:t>
      </w:r>
      <w:r>
        <w:rPr>
          <w:color w:val="B3B3B3"/>
          <w:spacing w:val="-1"/>
          <w:sz w:val="15"/>
        </w:rPr>
        <w:t> </w:t>
      </w:r>
      <w:r>
        <w:rPr>
          <w:color w:val="B3B3B3"/>
          <w:sz w:val="15"/>
        </w:rPr>
        <w:t>. .</w:t>
      </w:r>
      <w:r>
        <w:rPr>
          <w:color w:val="B3B3B3"/>
          <w:spacing w:val="-1"/>
          <w:sz w:val="15"/>
        </w:rPr>
        <w:t> </w:t>
      </w:r>
      <w:r>
        <w:rPr>
          <w:color w:val="B3B3B3"/>
          <w:sz w:val="15"/>
        </w:rPr>
        <w:t>.</w:t>
      </w:r>
      <w:r>
        <w:rPr>
          <w:color w:val="B3B3B3"/>
          <w:spacing w:val="-1"/>
          <w:sz w:val="15"/>
        </w:rPr>
        <w:t> </w:t>
      </w:r>
      <w:r>
        <w:rPr>
          <w:color w:val="B3B3B3"/>
          <w:sz w:val="15"/>
        </w:rPr>
        <w:t>. .</w:t>
      </w:r>
      <w:r>
        <w:rPr>
          <w:color w:val="B3B3B3"/>
          <w:spacing w:val="-1"/>
          <w:sz w:val="15"/>
        </w:rPr>
        <w:t> </w:t>
      </w:r>
      <w:r>
        <w:rPr>
          <w:color w:val="B3B3B3"/>
          <w:sz w:val="15"/>
        </w:rPr>
        <w:t>.</w:t>
      </w:r>
      <w:r>
        <w:rPr>
          <w:color w:val="B3B3B3"/>
          <w:spacing w:val="-1"/>
          <w:sz w:val="15"/>
        </w:rPr>
        <w:t> </w:t>
      </w:r>
      <w:r>
        <w:rPr>
          <w:color w:val="B3B3B3"/>
          <w:sz w:val="15"/>
        </w:rPr>
        <w:t>. .</w:t>
      </w:r>
      <w:r>
        <w:rPr>
          <w:color w:val="B3B3B3"/>
          <w:spacing w:val="-1"/>
          <w:sz w:val="15"/>
        </w:rPr>
        <w:t> </w:t>
      </w:r>
      <w:r>
        <w:rPr>
          <w:color w:val="B3B3B3"/>
          <w:sz w:val="15"/>
        </w:rPr>
        <w:t>. .</w:t>
      </w:r>
      <w:r>
        <w:rPr>
          <w:color w:val="B3B3B3"/>
          <w:spacing w:val="-1"/>
          <w:sz w:val="15"/>
        </w:rPr>
        <w:t> </w:t>
      </w:r>
      <w:r>
        <w:rPr>
          <w:color w:val="B3B3B3"/>
          <w:sz w:val="15"/>
        </w:rPr>
        <w:t>.</w:t>
      </w:r>
      <w:r>
        <w:rPr>
          <w:color w:val="B3B3B3"/>
          <w:spacing w:val="-1"/>
          <w:sz w:val="15"/>
        </w:rPr>
        <w:t> </w:t>
      </w:r>
      <w:r>
        <w:rPr>
          <w:color w:val="B3B3B3"/>
          <w:sz w:val="15"/>
        </w:rPr>
        <w:t>. .</w:t>
      </w:r>
      <w:r>
        <w:rPr>
          <w:spacing w:val="62"/>
          <w:sz w:val="15"/>
          <w:u w:val="single"/>
        </w:rPr>
        <w:t> </w:t>
      </w:r>
      <w:r>
        <w:rPr>
          <w:sz w:val="14"/>
          <w:u w:val="single"/>
        </w:rPr>
        <w:t>$</w:t>
        <w:tab/>
        <w:t>—   </w:t>
      </w:r>
      <w:r>
        <w:rPr>
          <w:spacing w:val="34"/>
          <w:sz w:val="14"/>
          <w:u w:val="single"/>
        </w:rPr>
        <w:t> </w:t>
      </w:r>
      <w:r>
        <w:rPr>
          <w:sz w:val="14"/>
          <w:u w:val="single"/>
        </w:rPr>
        <w:t>$</w:t>
        <w:tab/>
        <w:t>—   </w:t>
      </w:r>
      <w:r>
        <w:rPr>
          <w:spacing w:val="34"/>
          <w:sz w:val="14"/>
          <w:u w:val="single"/>
        </w:rPr>
        <w:t> </w:t>
      </w:r>
      <w:r>
        <w:rPr>
          <w:sz w:val="14"/>
          <w:u w:val="single"/>
        </w:rPr>
        <w:t>$</w:t>
        <w:tab/>
        <w:t>—   </w:t>
      </w:r>
      <w:r>
        <w:rPr>
          <w:spacing w:val="34"/>
          <w:sz w:val="14"/>
          <w:u w:val="single"/>
        </w:rPr>
        <w:t> </w:t>
      </w:r>
      <w:r>
        <w:rPr>
          <w:sz w:val="14"/>
          <w:u w:val="single"/>
        </w:rPr>
        <w:t>$</w:t>
        <w:tab/>
        <w:t>—   </w:t>
      </w:r>
      <w:r>
        <w:rPr>
          <w:spacing w:val="34"/>
          <w:sz w:val="14"/>
          <w:u w:val="single"/>
        </w:rPr>
        <w:t> </w:t>
      </w:r>
      <w:r>
        <w:rPr>
          <w:sz w:val="14"/>
          <w:u w:val="single"/>
        </w:rPr>
        <w:t>$</w:t>
        <w:tab/>
        <w:t>—   </w:t>
      </w:r>
      <w:r>
        <w:rPr>
          <w:spacing w:val="34"/>
          <w:sz w:val="14"/>
          <w:u w:val="single"/>
        </w:rPr>
        <w:t> </w:t>
      </w:r>
      <w:r>
        <w:rPr>
          <w:sz w:val="14"/>
          <w:u w:val="single"/>
        </w:rPr>
        <w:t>$</w:t>
        <w:tab/>
        <w:t>—   </w:t>
      </w:r>
      <w:r>
        <w:rPr>
          <w:spacing w:val="34"/>
          <w:sz w:val="14"/>
          <w:u w:val="single"/>
        </w:rPr>
        <w:t> </w:t>
      </w:r>
      <w:r>
        <w:rPr>
          <w:sz w:val="14"/>
          <w:u w:val="single"/>
        </w:rPr>
        <w:t>$</w:t>
        <w:tab/>
        <w:t>177   </w:t>
      </w:r>
      <w:r>
        <w:rPr>
          <w:spacing w:val="34"/>
          <w:sz w:val="14"/>
          <w:u w:val="single"/>
        </w:rPr>
        <w:t> </w:t>
      </w:r>
      <w:r>
        <w:rPr>
          <w:sz w:val="14"/>
          <w:u w:val="single"/>
        </w:rPr>
        <w:t>$</w:t>
        <w:tab/>
        <w:t>177</w:t>
      </w:r>
    </w:p>
    <w:p>
      <w:pPr>
        <w:pStyle w:val="BodyText"/>
        <w:spacing w:before="0"/>
        <w:ind w:firstLine="0"/>
      </w:pPr>
      <w:r>
        <w:rPr/>
        <w:pict>
          <v:group style="width:468pt;height:12.75pt;mso-position-horizontal-relative:char;mso-position-vertical-relative:line" id="docshapegroup66" coordorigin="0,0" coordsize="9360,255">
            <v:rect style="position:absolute;left:0;top:0;width:9360;height:225" id="docshape67" filled="true" fillcolor="#ccedff" stroked="false">
              <v:fill type="solid"/>
            </v:rect>
            <v:shape style="position:absolute;left:3300;top:20;width:6060;height:225" id="docshape68" coordorigin="3300,20" coordsize="6060,225" path="m3300,20l4005,20m4065,20l4770,20m4830,20l5535,20m5595,20l6300,20m6360,20l7065,20m7125,20l7830,20m7890,20l8595,20m8655,20l9360,20m3300,245l4005,245m4065,245l4770,245m4830,245l5535,245m5595,245l6300,245m6360,245l7065,245m7125,245l7830,245m7890,245l8595,245m8655,245l9360,245e" filled="false" stroked="true" strokeweight="1pt" strokecolor="#000000">
              <v:path arrowok="t"/>
              <v:stroke dashstyle="solid"/>
            </v:shape>
            <v:shape style="position:absolute;left:0;top:20;width:9360;height:225" type="#_x0000_t202" id="docshape69" filled="false" stroked="false">
              <v:textbox inset="0,0,0,0">
                <w:txbxContent>
                  <w:p>
                    <w:pPr>
                      <w:tabs>
                        <w:tab w:pos="3803" w:val="left" w:leader="none"/>
                        <w:tab w:pos="4568" w:val="left" w:leader="none"/>
                        <w:tab w:pos="5158" w:val="left" w:leader="none"/>
                        <w:tab w:pos="5923" w:val="left" w:leader="none"/>
                        <w:tab w:pos="6863" w:val="left" w:leader="none"/>
                        <w:tab w:pos="7628" w:val="left" w:leader="none"/>
                        <w:tab w:pos="8218" w:val="left" w:leader="none"/>
                        <w:tab w:pos="8983" w:val="left" w:leader="none"/>
                      </w:tabs>
                      <w:spacing w:before="4"/>
                      <w:ind w:left="5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5"/>
                      </w:rPr>
                      <w:t>Loan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facility derivative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liability</w:t>
                    </w:r>
                    <w:r>
                      <w:rPr>
                        <w:spacing w:val="10"/>
                        <w:sz w:val="15"/>
                      </w:rPr>
                      <w:t> </w:t>
                    </w:r>
                    <w:r>
                      <w:rPr>
                        <w:color w:val="B3B3B3"/>
                        <w:sz w:val="15"/>
                      </w:rPr>
                      <w:t>. . .</w:t>
                    </w:r>
                    <w:r>
                      <w:rPr>
                        <w:color w:val="B3B3B3"/>
                        <w:spacing w:val="-1"/>
                        <w:sz w:val="15"/>
                      </w:rPr>
                      <w:t> </w:t>
                    </w:r>
                    <w:r>
                      <w:rPr>
                        <w:color w:val="B3B3B3"/>
                        <w:sz w:val="15"/>
                      </w:rPr>
                      <w:t>. . .</w:t>
                    </w:r>
                    <w:r>
                      <w:rPr>
                        <w:color w:val="B3B3B3"/>
                        <w:spacing w:val="-1"/>
                        <w:sz w:val="15"/>
                      </w:rPr>
                      <w:t> </w:t>
                    </w:r>
                    <w:r>
                      <w:rPr>
                        <w:color w:val="B3B3B3"/>
                        <w:sz w:val="15"/>
                      </w:rPr>
                      <w:t>. . .</w:t>
                    </w:r>
                    <w:r>
                      <w:rPr>
                        <w:color w:val="B3B3B3"/>
                        <w:spacing w:val="-1"/>
                        <w:sz w:val="15"/>
                      </w:rPr>
                      <w:t> </w:t>
                    </w:r>
                    <w:r>
                      <w:rPr>
                        <w:color w:val="B3B3B3"/>
                        <w:sz w:val="15"/>
                      </w:rPr>
                      <w:t>. . .</w:t>
                    </w:r>
                    <w:r>
                      <w:rPr>
                        <w:color w:val="B3B3B3"/>
                        <w:spacing w:val="-1"/>
                        <w:sz w:val="15"/>
                      </w:rPr>
                      <w:t> </w:t>
                    </w:r>
                    <w:r>
                      <w:rPr>
                        <w:color w:val="B3B3B3"/>
                        <w:sz w:val="15"/>
                      </w:rPr>
                      <w:t>. . .</w:t>
                    </w:r>
                    <w:r>
                      <w:rPr>
                        <w:color w:val="B3B3B3"/>
                        <w:spacing w:val="-1"/>
                        <w:sz w:val="15"/>
                      </w:rPr>
                      <w:t> </w:t>
                    </w:r>
                    <w:r>
                      <w:rPr>
                        <w:color w:val="B3B3B3"/>
                        <w:sz w:val="15"/>
                      </w:rPr>
                      <w:t>. .</w:t>
                    </w:r>
                    <w:r>
                      <w:rPr>
                        <w:spacing w:val="63"/>
                        <w:sz w:val="15"/>
                        <w:u w:val="single"/>
                      </w:rPr>
                      <w:t> </w:t>
                    </w:r>
                    <w:r>
                      <w:rPr>
                        <w:sz w:val="14"/>
                        <w:u w:val="single"/>
                      </w:rPr>
                      <w:t>$</w:t>
                      <w:tab/>
                      <w:t>—   </w:t>
                    </w:r>
                    <w:r>
                      <w:rPr>
                        <w:spacing w:val="34"/>
                        <w:sz w:val="14"/>
                        <w:u w:val="single"/>
                      </w:rPr>
                      <w:t> </w:t>
                    </w:r>
                    <w:r>
                      <w:rPr>
                        <w:sz w:val="14"/>
                        <w:u w:val="single"/>
                      </w:rPr>
                      <w:t>$</w:t>
                      <w:tab/>
                      <w:t>—   </w:t>
                    </w:r>
                    <w:r>
                      <w:rPr>
                        <w:spacing w:val="34"/>
                        <w:sz w:val="14"/>
                        <w:u w:val="single"/>
                      </w:rPr>
                      <w:t> </w:t>
                    </w:r>
                    <w:r>
                      <w:rPr>
                        <w:sz w:val="14"/>
                        <w:u w:val="single"/>
                      </w:rPr>
                      <w:t>$</w:t>
                      <w:tab/>
                      <w:t>1,610   </w:t>
                    </w:r>
                    <w:r>
                      <w:rPr>
                        <w:spacing w:val="34"/>
                        <w:sz w:val="14"/>
                        <w:u w:val="single"/>
                      </w:rPr>
                      <w:t> </w:t>
                    </w:r>
                    <w:r>
                      <w:rPr>
                        <w:sz w:val="14"/>
                        <w:u w:val="single"/>
                      </w:rPr>
                      <w:t>$</w:t>
                      <w:tab/>
                      <w:t>1,610   </w:t>
                    </w:r>
                    <w:r>
                      <w:rPr>
                        <w:spacing w:val="34"/>
                        <w:sz w:val="14"/>
                        <w:u w:val="single"/>
                      </w:rPr>
                      <w:t> </w:t>
                    </w:r>
                    <w:r>
                      <w:rPr>
                        <w:sz w:val="14"/>
                        <w:u w:val="single"/>
                      </w:rPr>
                      <w:t>$</w:t>
                      <w:tab/>
                      <w:t>—   </w:t>
                    </w:r>
                    <w:r>
                      <w:rPr>
                        <w:spacing w:val="34"/>
                        <w:sz w:val="14"/>
                        <w:u w:val="single"/>
                      </w:rPr>
                      <w:t> </w:t>
                    </w:r>
                    <w:r>
                      <w:rPr>
                        <w:sz w:val="14"/>
                        <w:u w:val="single"/>
                      </w:rPr>
                      <w:t>$</w:t>
                      <w:tab/>
                      <w:t>—   </w:t>
                    </w:r>
                    <w:r>
                      <w:rPr>
                        <w:spacing w:val="34"/>
                        <w:sz w:val="14"/>
                        <w:u w:val="single"/>
                      </w:rPr>
                      <w:t> </w:t>
                    </w:r>
                    <w:r>
                      <w:rPr>
                        <w:sz w:val="14"/>
                        <w:u w:val="single"/>
                      </w:rPr>
                      <w:t>$</w:t>
                      <w:tab/>
                      <w:t>1,782   </w:t>
                    </w:r>
                    <w:r>
                      <w:rPr>
                        <w:spacing w:val="34"/>
                        <w:sz w:val="14"/>
                        <w:u w:val="single"/>
                      </w:rPr>
                      <w:t> </w:t>
                    </w:r>
                    <w:r>
                      <w:rPr>
                        <w:sz w:val="14"/>
                        <w:u w:val="single"/>
                      </w:rPr>
                      <w:t>$</w:t>
                      <w:tab/>
                      <w:t>1,782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3"/>
        <w:ind w:left="0" w:firstLine="0"/>
        <w:rPr>
          <w:sz w:val="8"/>
        </w:rPr>
      </w:pPr>
    </w:p>
    <w:p>
      <w:pPr>
        <w:pStyle w:val="BodyText"/>
        <w:spacing w:before="92"/>
        <w:ind w:left="460" w:firstLine="0"/>
      </w:pPr>
      <w:r>
        <w:rPr/>
        <w:t>Cash</w:t>
      </w:r>
      <w:r>
        <w:rPr>
          <w:spacing w:val="-3"/>
        </w:rPr>
        <w:t> </w:t>
      </w:r>
      <w:r>
        <w:rPr/>
        <w:t>equivalents</w:t>
      </w:r>
      <w:r>
        <w:rPr>
          <w:spacing w:val="-4"/>
        </w:rPr>
        <w:t> </w:t>
      </w:r>
      <w:r>
        <w:rPr/>
        <w:t>consist</w:t>
      </w:r>
      <w:r>
        <w:rPr>
          <w:spacing w:val="-4"/>
        </w:rPr>
        <w:t> </w:t>
      </w:r>
      <w:r>
        <w:rPr/>
        <w:t>primarily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money</w:t>
      </w:r>
      <w:r>
        <w:rPr>
          <w:spacing w:val="-3"/>
        </w:rPr>
        <w:t> </w:t>
      </w:r>
      <w:r>
        <w:rPr/>
        <w:t>market</w:t>
      </w:r>
      <w:r>
        <w:rPr>
          <w:spacing w:val="-4"/>
        </w:rPr>
        <w:t> </w:t>
      </w:r>
      <w:r>
        <w:rPr/>
        <w:t>funds.</w:t>
      </w:r>
    </w:p>
    <w:p>
      <w:pPr>
        <w:pStyle w:val="BodyText"/>
        <w:spacing w:line="249" w:lineRule="auto"/>
      </w:pPr>
      <w:r>
        <w:rPr/>
        <w:t>There</w:t>
      </w:r>
      <w:r>
        <w:rPr>
          <w:spacing w:val="-3"/>
        </w:rPr>
        <w:t> </w:t>
      </w:r>
      <w:r>
        <w:rPr/>
        <w:t>were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transfers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out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Level</w:t>
      </w:r>
      <w:r>
        <w:rPr>
          <w:spacing w:val="-3"/>
        </w:rPr>
        <w:t> </w:t>
      </w:r>
      <w:r>
        <w:rPr/>
        <w:t>3</w:t>
      </w:r>
      <w:r>
        <w:rPr>
          <w:spacing w:val="-1"/>
        </w:rPr>
        <w:t> </w:t>
      </w:r>
      <w:r>
        <w:rPr/>
        <w:t>during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nine</w:t>
      </w:r>
      <w:r>
        <w:rPr>
          <w:spacing w:val="-3"/>
        </w:rPr>
        <w:t> </w:t>
      </w:r>
      <w:r>
        <w:rPr/>
        <w:t>months</w:t>
      </w:r>
      <w:r>
        <w:rPr>
          <w:spacing w:val="-2"/>
        </w:rPr>
        <w:t> </w:t>
      </w:r>
      <w:r>
        <w:rPr/>
        <w:t>ended</w:t>
      </w:r>
      <w:r>
        <w:rPr>
          <w:spacing w:val="-2"/>
        </w:rPr>
        <w:t> </w:t>
      </w:r>
      <w:r>
        <w:rPr/>
        <w:t>September</w:t>
      </w:r>
      <w:r>
        <w:rPr>
          <w:spacing w:val="-1"/>
        </w:rPr>
        <w:t> </w:t>
      </w:r>
      <w:r>
        <w:rPr/>
        <w:t>30,</w:t>
      </w:r>
      <w:r>
        <w:rPr>
          <w:spacing w:val="-2"/>
        </w:rPr>
        <w:t> </w:t>
      </w:r>
      <w:r>
        <w:rPr/>
        <w:t>2021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year</w:t>
      </w:r>
      <w:r>
        <w:rPr>
          <w:spacing w:val="-1"/>
        </w:rPr>
        <w:t> </w:t>
      </w:r>
      <w:r>
        <w:rPr/>
        <w:t>ended</w:t>
      </w:r>
      <w:r>
        <w:rPr>
          <w:spacing w:val="-47"/>
        </w:rPr>
        <w:t> </w:t>
      </w:r>
      <w:r>
        <w:rPr/>
        <w:t>December</w:t>
      </w:r>
      <w:r>
        <w:rPr>
          <w:spacing w:val="-1"/>
        </w:rPr>
        <w:t> </w:t>
      </w:r>
      <w:r>
        <w:rPr/>
        <w:t>31, 2020.</w:t>
      </w:r>
    </w:p>
    <w:p>
      <w:pPr>
        <w:spacing w:before="181"/>
        <w:ind w:left="460" w:right="0" w:firstLine="0"/>
        <w:jc w:val="left"/>
        <w:rPr>
          <w:i/>
          <w:sz w:val="20"/>
        </w:rPr>
      </w:pPr>
      <w:r>
        <w:rPr>
          <w:i/>
          <w:sz w:val="20"/>
        </w:rPr>
        <w:t>Redeemable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Convertible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Preferred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Warrants</w:t>
      </w:r>
    </w:p>
    <w:p>
      <w:pPr>
        <w:pStyle w:val="BodyText"/>
        <w:spacing w:line="249" w:lineRule="auto"/>
        <w:ind w:right="148"/>
      </w:pPr>
      <w:r>
        <w:rPr/>
        <w:t>The following table sets forth a summary of the changes in the estimated fair value of the Company’s</w:t>
      </w:r>
      <w:r>
        <w:rPr>
          <w:spacing w:val="1"/>
        </w:rPr>
        <w:t> </w:t>
      </w:r>
      <w:r>
        <w:rPr/>
        <w:t>redeemable</w:t>
      </w:r>
      <w:r>
        <w:rPr>
          <w:spacing w:val="-6"/>
        </w:rPr>
        <w:t> </w:t>
      </w:r>
      <w:r>
        <w:rPr/>
        <w:t>convertible</w:t>
      </w:r>
      <w:r>
        <w:rPr>
          <w:spacing w:val="-5"/>
        </w:rPr>
        <w:t> </w:t>
      </w:r>
      <w:r>
        <w:rPr/>
        <w:t>preferred</w:t>
      </w:r>
      <w:r>
        <w:rPr>
          <w:spacing w:val="-5"/>
        </w:rPr>
        <w:t> </w:t>
      </w:r>
      <w:r>
        <w:rPr/>
        <w:t>stock</w:t>
      </w:r>
      <w:r>
        <w:rPr>
          <w:spacing w:val="-4"/>
        </w:rPr>
        <w:t> </w:t>
      </w:r>
      <w:r>
        <w:rPr/>
        <w:t>warrants,</w:t>
      </w:r>
      <w:r>
        <w:rPr>
          <w:spacing w:val="-5"/>
        </w:rPr>
        <w:t> </w:t>
      </w:r>
      <w:r>
        <w:rPr/>
        <w:t>which</w:t>
      </w:r>
      <w:r>
        <w:rPr>
          <w:spacing w:val="-4"/>
        </w:rPr>
        <w:t> </w:t>
      </w:r>
      <w:r>
        <w:rPr/>
        <w:t>represents</w:t>
      </w:r>
      <w:r>
        <w:rPr>
          <w:spacing w:val="-5"/>
        </w:rPr>
        <w:t> </w:t>
      </w:r>
      <w:r>
        <w:rPr/>
        <w:t>financial</w:t>
      </w:r>
      <w:r>
        <w:rPr>
          <w:spacing w:val="-6"/>
        </w:rPr>
        <w:t> </w:t>
      </w:r>
      <w:r>
        <w:rPr/>
        <w:t>instruments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valuations</w:t>
      </w:r>
      <w:r>
        <w:rPr>
          <w:spacing w:val="-5"/>
        </w:rPr>
        <w:t> </w:t>
      </w:r>
      <w:r>
        <w:rPr/>
        <w:t>classified</w:t>
      </w:r>
      <w:r>
        <w:rPr>
          <w:spacing w:val="-4"/>
        </w:rPr>
        <w:t> </w:t>
      </w:r>
      <w:r>
        <w:rPr/>
        <w:t>as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  <w:ind w:firstLine="0"/>
      </w:pPr>
      <w:r>
        <w:rPr/>
        <w:t>Level 3. When a determination is made to classify a financial instrument within Level 3, the determination is based</w:t>
      </w:r>
      <w:r>
        <w:rPr>
          <w:spacing w:val="-47"/>
        </w:rPr>
        <w:t> </w:t>
      </w:r>
      <w:r>
        <w:rPr/>
        <w:t>upon the significance of the unobservable inputs to the overall fair value measurement. However, Level 3 financial</w:t>
      </w:r>
      <w:r>
        <w:rPr>
          <w:spacing w:val="1"/>
        </w:rPr>
        <w:t> </w:t>
      </w:r>
      <w:r>
        <w:rPr/>
        <w:t>instruments</w:t>
      </w:r>
      <w:r>
        <w:rPr>
          <w:spacing w:val="-4"/>
        </w:rPr>
        <w:t> </w:t>
      </w:r>
      <w:r>
        <w:rPr/>
        <w:t>typically</w:t>
      </w:r>
      <w:r>
        <w:rPr>
          <w:spacing w:val="-3"/>
        </w:rPr>
        <w:t> </w:t>
      </w:r>
      <w:r>
        <w:rPr/>
        <w:t>include,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addition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unobservable</w:t>
      </w:r>
      <w:r>
        <w:rPr>
          <w:spacing w:val="-4"/>
        </w:rPr>
        <w:t> </w:t>
      </w:r>
      <w:r>
        <w:rPr/>
        <w:t>inputs,</w:t>
      </w:r>
      <w:r>
        <w:rPr>
          <w:spacing w:val="-3"/>
        </w:rPr>
        <w:t> </w:t>
      </w:r>
      <w:r>
        <w:rPr/>
        <w:t>observable</w:t>
      </w:r>
      <w:r>
        <w:rPr>
          <w:spacing w:val="-4"/>
        </w:rPr>
        <w:t> </w:t>
      </w:r>
      <w:r>
        <w:rPr/>
        <w:t>inputs</w:t>
      </w:r>
      <w:r>
        <w:rPr>
          <w:spacing w:val="-4"/>
        </w:rPr>
        <w:t> </w:t>
      </w:r>
      <w:r>
        <w:rPr/>
        <w:t>(that</w:t>
      </w:r>
      <w:r>
        <w:rPr>
          <w:spacing w:val="-4"/>
        </w:rPr>
        <w:t> </w:t>
      </w:r>
      <w:r>
        <w:rPr/>
        <w:t>is,</w:t>
      </w:r>
      <w:r>
        <w:rPr>
          <w:spacing w:val="-3"/>
        </w:rPr>
        <w:t> </w:t>
      </w:r>
      <w:r>
        <w:rPr/>
        <w:t>components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are</w:t>
      </w:r>
      <w:r>
        <w:rPr>
          <w:spacing w:val="-47"/>
        </w:rPr>
        <w:t> </w:t>
      </w:r>
      <w:r>
        <w:rPr/>
        <w:t>actively quoted and can be validated to external sources). Accordingly, the gain or loss in the table below includes</w:t>
      </w:r>
      <w:r>
        <w:rPr>
          <w:spacing w:val="1"/>
        </w:rPr>
        <w:t> </w:t>
      </w:r>
      <w:r>
        <w:rPr/>
        <w:t>changes in fair value due in part to observable factors that are part of the Level 3 methodology recognized in the</w:t>
      </w:r>
      <w:r>
        <w:rPr>
          <w:spacing w:val="1"/>
        </w:rPr>
        <w:t> </w:t>
      </w:r>
      <w:r>
        <w:rPr/>
        <w:t>statement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operations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component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interest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other</w:t>
      </w:r>
      <w:r>
        <w:rPr>
          <w:spacing w:val="-1"/>
        </w:rPr>
        <w:t> </w:t>
      </w:r>
      <w:r>
        <w:rPr/>
        <w:t>income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expense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appropriate</w:t>
      </w:r>
      <w:r>
        <w:rPr>
          <w:spacing w:val="-3"/>
        </w:rPr>
        <w:t> </w:t>
      </w:r>
      <w:r>
        <w:rPr/>
        <w:t>(in</w:t>
      </w:r>
      <w:r>
        <w:rPr>
          <w:spacing w:val="-1"/>
        </w:rPr>
        <w:t> </w:t>
      </w:r>
      <w:r>
        <w:rPr/>
        <w:t>thousands):</w:t>
      </w:r>
    </w:p>
    <w:p>
      <w:pPr>
        <w:pStyle w:val="BodyText"/>
        <w:spacing w:before="1"/>
        <w:ind w:left="0" w:firstLine="0"/>
        <w:rPr>
          <w:sz w:val="13"/>
        </w:rPr>
      </w:pPr>
    </w:p>
    <w:p>
      <w:pPr>
        <w:tabs>
          <w:tab w:pos="6932" w:val="left" w:leader="none"/>
        </w:tabs>
        <w:spacing w:before="94" w:after="44"/>
        <w:ind w:left="4158" w:right="0" w:firstLine="0"/>
        <w:jc w:val="left"/>
        <w:rPr>
          <w:b/>
          <w:sz w:val="16"/>
        </w:rPr>
      </w:pPr>
      <w:r>
        <w:rPr>
          <w:b/>
          <w:sz w:val="16"/>
        </w:rPr>
        <w:t>Three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Months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Ended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September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30,</w:t>
        <w:tab/>
        <w:t>Nine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Months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Ended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September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30,</w:t>
      </w: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0"/>
        <w:gridCol w:w="835"/>
        <w:gridCol w:w="520"/>
        <w:gridCol w:w="847"/>
        <w:gridCol w:w="520"/>
        <w:gridCol w:w="847"/>
        <w:gridCol w:w="520"/>
        <w:gridCol w:w="847"/>
        <w:gridCol w:w="472"/>
      </w:tblGrid>
      <w:tr>
        <w:trPr>
          <w:trHeight w:val="220" w:hRule="atLeast"/>
        </w:trPr>
        <w:tc>
          <w:tcPr>
            <w:tcW w:w="3960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left="4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</w:p>
        </w:tc>
        <w:tc>
          <w:tcPr>
            <w:tcW w:w="52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4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left="50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</w:p>
        </w:tc>
        <w:tc>
          <w:tcPr>
            <w:tcW w:w="52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4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left="5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</w:p>
        </w:tc>
        <w:tc>
          <w:tcPr>
            <w:tcW w:w="52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4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left="4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</w:p>
        </w:tc>
        <w:tc>
          <w:tcPr>
            <w:tcW w:w="47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260" w:hRule="atLeast"/>
        </w:trPr>
        <w:tc>
          <w:tcPr>
            <w:tcW w:w="3960" w:type="dxa"/>
            <w:shd w:val="clear" w:color="auto" w:fill="CCEDFF"/>
          </w:tcPr>
          <w:p>
            <w:pPr>
              <w:pStyle w:val="TableParagraph"/>
              <w:spacing w:line="224" w:lineRule="exact"/>
              <w:ind w:right="55"/>
              <w:rPr>
                <w:sz w:val="20"/>
              </w:rPr>
            </w:pPr>
            <w:r>
              <w:rPr>
                <w:sz w:val="20"/>
              </w:rPr>
              <w:t>Beginning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period</w:t>
            </w:r>
            <w:r>
              <w:rPr>
                <w:spacing w:val="45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</w:p>
        </w:tc>
        <w:tc>
          <w:tcPr>
            <w:tcW w:w="835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224" w:lineRule="exact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520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224" w:lineRule="exact"/>
              <w:ind w:left="88"/>
              <w:jc w:val="left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847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224" w:lineRule="exact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520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224" w:lineRule="exact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749</w:t>
            </w:r>
          </w:p>
        </w:tc>
        <w:tc>
          <w:tcPr>
            <w:tcW w:w="847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224" w:lineRule="exact"/>
              <w:ind w:left="60"/>
              <w:jc w:val="left"/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520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224" w:lineRule="exact"/>
              <w:ind w:left="84"/>
              <w:jc w:val="left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847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224" w:lineRule="exact"/>
              <w:ind w:left="58"/>
              <w:jc w:val="left"/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72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224" w:lineRule="exact"/>
              <w:ind w:right="5"/>
              <w:jc w:val="center"/>
              <w:rPr>
                <w:sz w:val="20"/>
              </w:rPr>
            </w:pPr>
            <w:r>
              <w:rPr>
                <w:sz w:val="20"/>
              </w:rPr>
              <w:t>870</w:t>
            </w:r>
          </w:p>
        </w:tc>
      </w:tr>
      <w:tr>
        <w:trPr>
          <w:trHeight w:val="270" w:hRule="atLeast"/>
        </w:trPr>
        <w:tc>
          <w:tcPr>
            <w:tcW w:w="3960" w:type="dxa"/>
          </w:tcPr>
          <w:p>
            <w:pPr>
              <w:pStyle w:val="TableParagraph"/>
              <w:spacing w:before="4"/>
              <w:ind w:right="54"/>
              <w:rPr>
                <w:sz w:val="20"/>
              </w:rPr>
            </w:pPr>
            <w:r>
              <w:rPr>
                <w:sz w:val="20"/>
              </w:rPr>
              <w:t>Exercised</w:t>
            </w:r>
            <w:r>
              <w:rPr>
                <w:spacing w:val="23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</w:p>
        </w:tc>
        <w:tc>
          <w:tcPr>
            <w:tcW w:w="835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spacing w:before="4"/>
              <w:ind w:right="64"/>
              <w:rPr>
                <w:sz w:val="20"/>
              </w:rPr>
            </w:pPr>
            <w:r>
              <w:rPr>
                <w:sz w:val="20"/>
              </w:rPr>
              <w:t>(112)</w:t>
            </w:r>
          </w:p>
        </w:tc>
        <w:tc>
          <w:tcPr>
            <w:tcW w:w="847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spacing w:before="4"/>
              <w:ind w:right="66"/>
              <w:rPr>
                <w:sz w:val="20"/>
              </w:rPr>
            </w:pPr>
            <w:r>
              <w:rPr>
                <w:sz w:val="20"/>
              </w:rPr>
              <w:t>(532)</w:t>
            </w:r>
          </w:p>
        </w:tc>
        <w:tc>
          <w:tcPr>
            <w:tcW w:w="847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20" w:type="dxa"/>
          </w:tcPr>
          <w:p>
            <w:pPr>
              <w:pStyle w:val="TableParagraph"/>
              <w:spacing w:before="4"/>
              <w:ind w:right="68"/>
              <w:rPr>
                <w:sz w:val="20"/>
              </w:rPr>
            </w:pPr>
            <w:r>
              <w:rPr>
                <w:sz w:val="20"/>
              </w:rPr>
              <w:t>(113)</w:t>
            </w:r>
          </w:p>
        </w:tc>
        <w:tc>
          <w:tcPr>
            <w:tcW w:w="847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72" w:type="dxa"/>
          </w:tcPr>
          <w:p>
            <w:pPr>
              <w:pStyle w:val="TableParagraph"/>
              <w:spacing w:before="4"/>
              <w:ind w:right="5"/>
              <w:jc w:val="center"/>
              <w:rPr>
                <w:sz w:val="20"/>
              </w:rPr>
            </w:pPr>
            <w:r>
              <w:rPr>
                <w:sz w:val="20"/>
              </w:rPr>
              <w:t>(653)</w:t>
            </w:r>
          </w:p>
        </w:tc>
      </w:tr>
      <w:tr>
        <w:trPr>
          <w:trHeight w:val="270" w:hRule="atLeast"/>
        </w:trPr>
        <w:tc>
          <w:tcPr>
            <w:tcW w:w="3960" w:type="dxa"/>
            <w:shd w:val="clear" w:color="auto" w:fill="CCEDFF"/>
          </w:tcPr>
          <w:p>
            <w:pPr>
              <w:pStyle w:val="TableParagraph"/>
              <w:spacing w:before="4"/>
              <w:ind w:right="53"/>
              <w:rPr>
                <w:sz w:val="20"/>
              </w:rPr>
            </w:pPr>
            <w:r>
              <w:rPr>
                <w:sz w:val="20"/>
              </w:rPr>
              <w:t>Cancelled</w:t>
            </w:r>
            <w:r>
              <w:rPr>
                <w:spacing w:val="14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</w:p>
        </w:tc>
        <w:tc>
          <w:tcPr>
            <w:tcW w:w="835" w:type="dxa"/>
            <w:shd w:val="clear" w:color="auto" w:fill="CCEDFF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20" w:type="dxa"/>
            <w:shd w:val="clear" w:color="auto" w:fill="CCEDFF"/>
          </w:tcPr>
          <w:p>
            <w:pPr>
              <w:pStyle w:val="TableParagraph"/>
              <w:spacing w:before="4"/>
              <w:ind w:right="64"/>
              <w:rPr>
                <w:sz w:val="20"/>
              </w:rPr>
            </w:pPr>
            <w:r>
              <w:rPr>
                <w:sz w:val="20"/>
              </w:rPr>
              <w:t>(16)</w:t>
            </w:r>
          </w:p>
        </w:tc>
        <w:tc>
          <w:tcPr>
            <w:tcW w:w="847" w:type="dxa"/>
            <w:shd w:val="clear" w:color="auto" w:fill="CCEDFF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20" w:type="dxa"/>
            <w:shd w:val="clear" w:color="auto" w:fill="CCEDFF"/>
          </w:tcPr>
          <w:p>
            <w:pPr>
              <w:pStyle w:val="TableParagraph"/>
              <w:spacing w:before="4"/>
              <w:ind w:right="66"/>
              <w:rPr>
                <w:sz w:val="20"/>
              </w:rPr>
            </w:pPr>
            <w:r>
              <w:rPr>
                <w:sz w:val="20"/>
              </w:rPr>
              <w:t>(22)</w:t>
            </w:r>
          </w:p>
        </w:tc>
        <w:tc>
          <w:tcPr>
            <w:tcW w:w="847" w:type="dxa"/>
            <w:shd w:val="clear" w:color="auto" w:fill="CCEDFF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20" w:type="dxa"/>
            <w:shd w:val="clear" w:color="auto" w:fill="CCEDFF"/>
          </w:tcPr>
          <w:p>
            <w:pPr>
              <w:pStyle w:val="TableParagraph"/>
              <w:spacing w:before="4"/>
              <w:ind w:right="68"/>
              <w:rPr>
                <w:sz w:val="20"/>
              </w:rPr>
            </w:pPr>
            <w:r>
              <w:rPr>
                <w:sz w:val="20"/>
              </w:rPr>
              <w:t>(16)</w:t>
            </w:r>
          </w:p>
        </w:tc>
        <w:tc>
          <w:tcPr>
            <w:tcW w:w="847" w:type="dxa"/>
            <w:shd w:val="clear" w:color="auto" w:fill="CCEDFF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72" w:type="dxa"/>
            <w:shd w:val="clear" w:color="auto" w:fill="CCEDFF"/>
          </w:tcPr>
          <w:p>
            <w:pPr>
              <w:pStyle w:val="TableParagraph"/>
              <w:spacing w:before="4"/>
              <w:ind w:left="95" w:right="3"/>
              <w:jc w:val="center"/>
              <w:rPr>
                <w:sz w:val="20"/>
              </w:rPr>
            </w:pPr>
            <w:r>
              <w:rPr>
                <w:sz w:val="20"/>
              </w:rPr>
              <w:t>(22)</w:t>
            </w:r>
          </w:p>
        </w:tc>
      </w:tr>
      <w:tr>
        <w:trPr>
          <w:trHeight w:val="260" w:hRule="atLeast"/>
        </w:trPr>
        <w:tc>
          <w:tcPr>
            <w:tcW w:w="3960" w:type="dxa"/>
          </w:tcPr>
          <w:p>
            <w:pPr>
              <w:pStyle w:val="TableParagraph"/>
              <w:spacing w:before="4"/>
              <w:ind w:right="58"/>
              <w:rPr>
                <w:sz w:val="20"/>
              </w:rPr>
            </w:pPr>
            <w:r>
              <w:rPr>
                <w:sz w:val="20"/>
              </w:rPr>
              <w:t>Change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 fair value</w:t>
            </w:r>
            <w:r>
              <w:rPr>
                <w:spacing w:val="30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</w:p>
        </w:tc>
        <w:tc>
          <w:tcPr>
            <w:tcW w:w="835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2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ind w:right="64"/>
              <w:rPr>
                <w:sz w:val="20"/>
              </w:rPr>
            </w:pPr>
            <w:r>
              <w:rPr>
                <w:sz w:val="20"/>
              </w:rPr>
              <w:t>(1)</w:t>
            </w:r>
          </w:p>
        </w:tc>
        <w:tc>
          <w:tcPr>
            <w:tcW w:w="847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2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ind w:right="66"/>
              <w:rPr>
                <w:sz w:val="20"/>
              </w:rPr>
            </w:pPr>
            <w:r>
              <w:rPr>
                <w:sz w:val="20"/>
              </w:rPr>
              <w:t>(67)</w:t>
            </w:r>
          </w:p>
        </w:tc>
        <w:tc>
          <w:tcPr>
            <w:tcW w:w="847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2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ind w:right="68"/>
              <w:rPr>
                <w:sz w:val="20"/>
              </w:rPr>
            </w:pPr>
            <w:r>
              <w:rPr>
                <w:sz w:val="20"/>
              </w:rPr>
              <w:t>(48)</w:t>
            </w:r>
          </w:p>
        </w:tc>
        <w:tc>
          <w:tcPr>
            <w:tcW w:w="847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95" w:right="3"/>
              <w:jc w:val="center"/>
              <w:rPr>
                <w:sz w:val="20"/>
              </w:rPr>
            </w:pPr>
            <w:r>
              <w:rPr>
                <w:sz w:val="20"/>
              </w:rPr>
              <w:t>(67)</w:t>
            </w:r>
          </w:p>
        </w:tc>
      </w:tr>
      <w:tr>
        <w:trPr>
          <w:trHeight w:val="210" w:hRule="atLeast"/>
        </w:trPr>
        <w:tc>
          <w:tcPr>
            <w:tcW w:w="3960" w:type="dxa"/>
            <w:shd w:val="clear" w:color="auto" w:fill="CCEDFF"/>
          </w:tcPr>
          <w:p>
            <w:pPr>
              <w:pStyle w:val="TableParagraph"/>
              <w:spacing w:line="190" w:lineRule="exact"/>
              <w:ind w:right="56"/>
              <w:rPr>
                <w:sz w:val="20"/>
              </w:rPr>
            </w:pPr>
            <w:r>
              <w:rPr>
                <w:sz w:val="20"/>
              </w:rPr>
              <w:t>End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period</w:t>
            </w:r>
            <w:r>
              <w:rPr>
                <w:spacing w:val="6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</w:p>
        </w:tc>
        <w:tc>
          <w:tcPr>
            <w:tcW w:w="835" w:type="dxa"/>
            <w:tcBorders>
              <w:top w:val="single" w:sz="8" w:space="0" w:color="000000"/>
              <w:bottom w:val="double" w:sz="8" w:space="0" w:color="000000"/>
            </w:tcBorders>
            <w:shd w:val="clear" w:color="auto" w:fill="CCEDFF"/>
          </w:tcPr>
          <w:p>
            <w:pPr>
              <w:pStyle w:val="TableParagraph"/>
              <w:spacing w:line="190" w:lineRule="exact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520" w:type="dxa"/>
            <w:tcBorders>
              <w:top w:val="single" w:sz="8" w:space="0" w:color="000000"/>
              <w:bottom w:val="double" w:sz="8" w:space="0" w:color="000000"/>
            </w:tcBorders>
            <w:shd w:val="clear" w:color="auto" w:fill="CCEDFF"/>
          </w:tcPr>
          <w:p>
            <w:pPr>
              <w:pStyle w:val="TableParagraph"/>
              <w:spacing w:line="190" w:lineRule="exact"/>
              <w:ind w:left="188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847" w:type="dxa"/>
            <w:tcBorders>
              <w:top w:val="single" w:sz="8" w:space="0" w:color="000000"/>
              <w:bottom w:val="double" w:sz="8" w:space="0" w:color="000000"/>
            </w:tcBorders>
            <w:shd w:val="clear" w:color="auto" w:fill="CCEDFF"/>
          </w:tcPr>
          <w:p>
            <w:pPr>
              <w:pStyle w:val="TableParagraph"/>
              <w:spacing w:line="190" w:lineRule="exact"/>
              <w:ind w:left="62"/>
              <w:jc w:val="left"/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520" w:type="dxa"/>
            <w:tcBorders>
              <w:top w:val="single" w:sz="8" w:space="0" w:color="000000"/>
              <w:bottom w:val="double" w:sz="8" w:space="0" w:color="000000"/>
            </w:tcBorders>
            <w:shd w:val="clear" w:color="auto" w:fill="CCEDFF"/>
          </w:tcPr>
          <w:p>
            <w:pPr>
              <w:pStyle w:val="TableParagraph"/>
              <w:spacing w:line="190" w:lineRule="exact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847" w:type="dxa"/>
            <w:tcBorders>
              <w:top w:val="single" w:sz="8" w:space="0" w:color="000000"/>
              <w:bottom w:val="double" w:sz="8" w:space="0" w:color="000000"/>
            </w:tcBorders>
            <w:shd w:val="clear" w:color="auto" w:fill="CCEDFF"/>
          </w:tcPr>
          <w:p>
            <w:pPr>
              <w:pStyle w:val="TableParagraph"/>
              <w:spacing w:line="190" w:lineRule="exact"/>
              <w:ind w:left="60"/>
              <w:jc w:val="left"/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520" w:type="dxa"/>
            <w:tcBorders>
              <w:top w:val="single" w:sz="8" w:space="0" w:color="000000"/>
              <w:bottom w:val="double" w:sz="8" w:space="0" w:color="000000"/>
            </w:tcBorders>
            <w:shd w:val="clear" w:color="auto" w:fill="CCEDFF"/>
          </w:tcPr>
          <w:p>
            <w:pPr>
              <w:pStyle w:val="TableParagraph"/>
              <w:spacing w:line="190" w:lineRule="exact"/>
              <w:ind w:left="184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847" w:type="dxa"/>
            <w:tcBorders>
              <w:top w:val="single" w:sz="8" w:space="0" w:color="000000"/>
              <w:bottom w:val="double" w:sz="8" w:space="0" w:color="000000"/>
            </w:tcBorders>
            <w:shd w:val="clear" w:color="auto" w:fill="CCEDFF"/>
          </w:tcPr>
          <w:p>
            <w:pPr>
              <w:pStyle w:val="TableParagraph"/>
              <w:spacing w:line="190" w:lineRule="exact"/>
              <w:ind w:left="58"/>
              <w:jc w:val="left"/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72" w:type="dxa"/>
            <w:tcBorders>
              <w:top w:val="single" w:sz="8" w:space="0" w:color="000000"/>
              <w:bottom w:val="double" w:sz="8" w:space="0" w:color="000000"/>
            </w:tcBorders>
            <w:shd w:val="clear" w:color="auto" w:fill="CCEDFF"/>
          </w:tcPr>
          <w:p>
            <w:pPr>
              <w:pStyle w:val="TableParagraph"/>
              <w:spacing w:line="190" w:lineRule="exact"/>
              <w:ind w:right="5"/>
              <w:jc w:val="center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</w:tr>
    </w:tbl>
    <w:p>
      <w:pPr>
        <w:pStyle w:val="BodyText"/>
        <w:spacing w:before="4"/>
        <w:ind w:left="0" w:firstLine="0"/>
        <w:rPr>
          <w:b/>
          <w:sz w:val="18"/>
        </w:rPr>
      </w:pPr>
    </w:p>
    <w:p>
      <w:pPr>
        <w:pStyle w:val="BodyText"/>
        <w:spacing w:line="249" w:lineRule="auto" w:before="1"/>
      </w:pPr>
      <w:r>
        <w:rPr/>
        <w:t>Upon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completion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Company’s</w:t>
      </w:r>
      <w:r>
        <w:rPr>
          <w:spacing w:val="-4"/>
        </w:rPr>
        <w:t> </w:t>
      </w:r>
      <w:r>
        <w:rPr/>
        <w:t>IPO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September</w:t>
      </w:r>
      <w:r>
        <w:rPr>
          <w:spacing w:val="-2"/>
        </w:rPr>
        <w:t> </w:t>
      </w:r>
      <w:r>
        <w:rPr/>
        <w:t>2021,</w:t>
      </w:r>
      <w:r>
        <w:rPr>
          <w:spacing w:val="-3"/>
        </w:rPr>
        <w:t> </w:t>
      </w:r>
      <w:r>
        <w:rPr/>
        <w:t>warrants</w:t>
      </w:r>
      <w:r>
        <w:rPr>
          <w:spacing w:val="-4"/>
        </w:rPr>
        <w:t> </w:t>
      </w:r>
      <w:r>
        <w:rPr/>
        <w:t>exercised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redeemable</w:t>
      </w:r>
      <w:r>
        <w:rPr>
          <w:spacing w:val="-4"/>
        </w:rPr>
        <w:t> </w:t>
      </w:r>
      <w:r>
        <w:rPr/>
        <w:t>convertible</w:t>
      </w:r>
      <w:r>
        <w:rPr>
          <w:spacing w:val="-47"/>
        </w:rPr>
        <w:t> </w:t>
      </w:r>
      <w:r>
        <w:rPr/>
        <w:t>preferred stock were automatically converted into 62,454 shares of common stock and the remaining unexercised</w:t>
      </w:r>
      <w:r>
        <w:rPr>
          <w:spacing w:val="1"/>
        </w:rPr>
        <w:t> </w:t>
      </w:r>
      <w:r>
        <w:rPr/>
        <w:t>warrants</w:t>
      </w:r>
      <w:r>
        <w:rPr>
          <w:spacing w:val="-2"/>
        </w:rPr>
        <w:t> </w:t>
      </w:r>
      <w:r>
        <w:rPr/>
        <w:t>expired, therefore</w:t>
      </w:r>
      <w:r>
        <w:rPr>
          <w:spacing w:val="-2"/>
        </w:rPr>
        <w:t> </w:t>
      </w:r>
      <w:r>
        <w:rPr/>
        <w:t>no warrants</w:t>
      </w:r>
      <w:r>
        <w:rPr>
          <w:spacing w:val="-1"/>
        </w:rPr>
        <w:t> </w:t>
      </w:r>
      <w:r>
        <w:rPr/>
        <w:t>outstanding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September 30,</w:t>
      </w:r>
      <w:r>
        <w:rPr>
          <w:spacing w:val="-1"/>
        </w:rPr>
        <w:t> </w:t>
      </w:r>
      <w:r>
        <w:rPr/>
        <w:t>2021.</w:t>
      </w:r>
    </w:p>
    <w:p>
      <w:pPr>
        <w:pStyle w:val="BodyText"/>
        <w:spacing w:line="249" w:lineRule="auto" w:before="182"/>
      </w:pPr>
      <w:r>
        <w:rPr/>
        <w:t>The</w:t>
      </w:r>
      <w:r>
        <w:rPr>
          <w:spacing w:val="-4"/>
        </w:rPr>
        <w:t> </w:t>
      </w:r>
      <w:r>
        <w:rPr/>
        <w:t>fair</w:t>
      </w:r>
      <w:r>
        <w:rPr>
          <w:spacing w:val="-3"/>
        </w:rPr>
        <w:t> </w:t>
      </w:r>
      <w:r>
        <w:rPr/>
        <w:t>value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redeemable</w:t>
      </w:r>
      <w:r>
        <w:rPr>
          <w:spacing w:val="-4"/>
        </w:rPr>
        <w:t> </w:t>
      </w:r>
      <w:r>
        <w:rPr/>
        <w:t>convertible</w:t>
      </w:r>
      <w:r>
        <w:rPr>
          <w:spacing w:val="-4"/>
        </w:rPr>
        <w:t> </w:t>
      </w:r>
      <w:r>
        <w:rPr/>
        <w:t>preferred</w:t>
      </w:r>
      <w:r>
        <w:rPr>
          <w:spacing w:val="-3"/>
        </w:rPr>
        <w:t> </w:t>
      </w:r>
      <w:r>
        <w:rPr/>
        <w:t>stock</w:t>
      </w:r>
      <w:r>
        <w:rPr>
          <w:spacing w:val="-3"/>
        </w:rPr>
        <w:t> </w:t>
      </w:r>
      <w:r>
        <w:rPr/>
        <w:t>warrant</w:t>
      </w:r>
      <w:r>
        <w:rPr>
          <w:spacing w:val="-4"/>
        </w:rPr>
        <w:t> </w:t>
      </w:r>
      <w:r>
        <w:rPr/>
        <w:t>liability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determined</w:t>
      </w:r>
      <w:r>
        <w:rPr>
          <w:spacing w:val="-3"/>
        </w:rPr>
        <w:t> </w:t>
      </w:r>
      <w:r>
        <w:rPr/>
        <w:t>using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Black-</w:t>
      </w:r>
      <w:r>
        <w:rPr>
          <w:spacing w:val="-47"/>
        </w:rPr>
        <w:t> </w:t>
      </w:r>
      <w:r>
        <w:rPr/>
        <w:t>Scholes</w:t>
      </w:r>
      <w:r>
        <w:rPr>
          <w:spacing w:val="-2"/>
        </w:rPr>
        <w:t> </w:t>
      </w:r>
      <w:r>
        <w:rPr/>
        <w:t>option pricing model</w:t>
      </w:r>
      <w:r>
        <w:rPr>
          <w:spacing w:val="-2"/>
        </w:rPr>
        <w:t> </w:t>
      </w:r>
      <w:r>
        <w:rPr/>
        <w:t>using the</w:t>
      </w:r>
      <w:r>
        <w:rPr>
          <w:spacing w:val="-1"/>
        </w:rPr>
        <w:t> </w:t>
      </w:r>
      <w:r>
        <w:rPr/>
        <w:t>following assumptions:</w:t>
      </w:r>
    </w:p>
    <w:p>
      <w:pPr>
        <w:pStyle w:val="BodyText"/>
        <w:spacing w:before="2"/>
        <w:ind w:left="0" w:firstLine="0"/>
        <w:rPr>
          <w:sz w:val="14"/>
        </w:rPr>
      </w:pPr>
    </w:p>
    <w:p>
      <w:pPr>
        <w:spacing w:before="93"/>
        <w:ind w:left="8321" w:right="286" w:firstLine="0"/>
        <w:jc w:val="center"/>
        <w:rPr>
          <w:b/>
          <w:sz w:val="16"/>
        </w:rPr>
      </w:pPr>
      <w:r>
        <w:rPr>
          <w:b/>
          <w:sz w:val="16"/>
        </w:rPr>
        <w:t>December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31,</w:t>
      </w:r>
    </w:p>
    <w:p>
      <w:pPr>
        <w:spacing w:before="41" w:after="45"/>
        <w:ind w:left="8320" w:right="286" w:firstLine="0"/>
        <w:jc w:val="center"/>
        <w:rPr>
          <w:b/>
          <w:sz w:val="16"/>
        </w:rPr>
      </w:pPr>
      <w:r>
        <w:rPr>
          <w:b/>
          <w:sz w:val="16"/>
        </w:rPr>
        <w:t>2020</w:t>
      </w: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32"/>
        <w:gridCol w:w="928"/>
      </w:tblGrid>
      <w:tr>
        <w:trPr>
          <w:trHeight w:val="260" w:hRule="atLeast"/>
        </w:trPr>
        <w:tc>
          <w:tcPr>
            <w:tcW w:w="8432" w:type="dxa"/>
            <w:shd w:val="clear" w:color="auto" w:fill="CCEDFF"/>
          </w:tcPr>
          <w:p>
            <w:pPr>
              <w:pStyle w:val="TableParagraph"/>
              <w:spacing w:line="224" w:lineRule="exact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Expected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life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(years)</w:t>
            </w:r>
            <w:r>
              <w:rPr>
                <w:spacing w:val="28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</w:p>
        </w:tc>
        <w:tc>
          <w:tcPr>
            <w:tcW w:w="928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224" w:lineRule="exact"/>
              <w:ind w:right="50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</w:tr>
      <w:tr>
        <w:trPr>
          <w:trHeight w:val="270" w:hRule="atLeast"/>
        </w:trPr>
        <w:tc>
          <w:tcPr>
            <w:tcW w:w="8432" w:type="dxa"/>
          </w:tcPr>
          <w:p>
            <w:pPr>
              <w:pStyle w:val="TableParagraph"/>
              <w:spacing w:before="4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Expected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volatility</w:t>
            </w:r>
            <w:r>
              <w:rPr>
                <w:spacing w:val="32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</w:p>
        </w:tc>
        <w:tc>
          <w:tcPr>
            <w:tcW w:w="928" w:type="dxa"/>
          </w:tcPr>
          <w:p>
            <w:pPr>
              <w:pStyle w:val="TableParagraph"/>
              <w:spacing w:before="4"/>
              <w:ind w:right="14"/>
              <w:rPr>
                <w:sz w:val="20"/>
              </w:rPr>
            </w:pPr>
            <w:r>
              <w:rPr>
                <w:sz w:val="20"/>
              </w:rPr>
              <w:t>80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270" w:hRule="atLeast"/>
        </w:trPr>
        <w:tc>
          <w:tcPr>
            <w:tcW w:w="8432" w:type="dxa"/>
            <w:shd w:val="clear" w:color="auto" w:fill="CCEDFF"/>
          </w:tcPr>
          <w:p>
            <w:pPr>
              <w:pStyle w:val="TableParagraph"/>
              <w:spacing w:before="4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Risk-free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interest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rate</w:t>
            </w:r>
            <w:r>
              <w:rPr>
                <w:spacing w:val="17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</w:p>
        </w:tc>
        <w:tc>
          <w:tcPr>
            <w:tcW w:w="928" w:type="dxa"/>
            <w:shd w:val="clear" w:color="auto" w:fill="CCEDFF"/>
          </w:tcPr>
          <w:p>
            <w:pPr>
              <w:pStyle w:val="TableParagraph"/>
              <w:spacing w:before="4"/>
              <w:ind w:right="14"/>
              <w:rPr>
                <w:sz w:val="20"/>
              </w:rPr>
            </w:pPr>
            <w:r>
              <w:rPr>
                <w:sz w:val="20"/>
              </w:rPr>
              <w:t>0.1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234" w:hRule="atLeast"/>
        </w:trPr>
        <w:tc>
          <w:tcPr>
            <w:tcW w:w="8432" w:type="dxa"/>
          </w:tcPr>
          <w:p>
            <w:pPr>
              <w:pStyle w:val="TableParagraph"/>
              <w:spacing w:line="210" w:lineRule="exact" w:before="4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Expected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dividend rate</w:t>
            </w:r>
            <w:r>
              <w:rPr>
                <w:spacing w:val="7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</w:t>
            </w:r>
          </w:p>
        </w:tc>
        <w:tc>
          <w:tcPr>
            <w:tcW w:w="928" w:type="dxa"/>
          </w:tcPr>
          <w:p>
            <w:pPr>
              <w:pStyle w:val="TableParagraph"/>
              <w:spacing w:line="210" w:lineRule="exact" w:before="4"/>
              <w:ind w:right="14"/>
              <w:rPr>
                <w:sz w:val="20"/>
              </w:rPr>
            </w:pPr>
            <w:r>
              <w:rPr>
                <w:sz w:val="20"/>
              </w:rPr>
              <w:t>—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</w:tbl>
    <w:p>
      <w:pPr>
        <w:pStyle w:val="BodyText"/>
        <w:spacing w:before="5"/>
        <w:ind w:left="0" w:firstLine="0"/>
        <w:rPr>
          <w:b/>
          <w:sz w:val="22"/>
        </w:rPr>
      </w:pPr>
    </w:p>
    <w:p>
      <w:pPr>
        <w:spacing w:before="0"/>
        <w:ind w:left="460" w:right="0" w:firstLine="0"/>
        <w:jc w:val="left"/>
        <w:rPr>
          <w:i/>
          <w:sz w:val="20"/>
        </w:rPr>
      </w:pPr>
      <w:r>
        <w:rPr>
          <w:i/>
          <w:sz w:val="20"/>
        </w:rPr>
        <w:t>Loan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facility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derivative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liability</w:t>
      </w:r>
    </w:p>
    <w:p>
      <w:pPr>
        <w:pStyle w:val="BodyText"/>
        <w:spacing w:line="249" w:lineRule="auto"/>
        <w:ind w:right="129"/>
      </w:pPr>
      <w:r>
        <w:rPr/>
        <w:t>In connection with the Company’s loan facility, the Company is obligated to pay a fee upon the earlier</w:t>
      </w:r>
      <w:r>
        <w:rPr>
          <w:spacing w:val="1"/>
        </w:rPr>
        <w:t> </w:t>
      </w:r>
      <w:r>
        <w:rPr/>
        <w:t>occurrence of a defined liquidity event, including but not limited to, a merger or sale of our assets or voting stock, or</w:t>
      </w:r>
      <w:r>
        <w:rPr>
          <w:spacing w:val="-47"/>
        </w:rPr>
        <w:t> </w:t>
      </w:r>
      <w:r>
        <w:rPr/>
        <w:t>achieving a $200.0 million trailing twelve months revenue target, in each case, by September 2029</w:t>
      </w:r>
      <w:r>
        <w:rPr>
          <w:b/>
        </w:rPr>
        <w:t>. </w:t>
      </w:r>
      <w:r>
        <w:rPr/>
        <w:t>The fee is</w:t>
      </w:r>
      <w:r>
        <w:rPr>
          <w:spacing w:val="1"/>
        </w:rPr>
        <w:t> </w:t>
      </w:r>
      <w:r>
        <w:rPr/>
        <w:t>calculated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time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liquidity</w:t>
      </w:r>
      <w:r>
        <w:rPr>
          <w:spacing w:val="-3"/>
        </w:rPr>
        <w:t> </w:t>
      </w:r>
      <w:r>
        <w:rPr/>
        <w:t>event</w:t>
      </w:r>
      <w:r>
        <w:rPr>
          <w:spacing w:val="-3"/>
        </w:rPr>
        <w:t> </w:t>
      </w:r>
      <w:r>
        <w:rPr/>
        <w:t>occurrence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$1.0</w:t>
      </w:r>
      <w:r>
        <w:rPr>
          <w:spacing w:val="-3"/>
        </w:rPr>
        <w:t> </w:t>
      </w:r>
      <w:r>
        <w:rPr/>
        <w:t>million</w:t>
      </w:r>
      <w:r>
        <w:rPr>
          <w:spacing w:val="-2"/>
        </w:rPr>
        <w:t> </w:t>
      </w:r>
      <w:r>
        <w:rPr/>
        <w:t>if</w:t>
      </w:r>
      <w:r>
        <w:rPr>
          <w:spacing w:val="-3"/>
        </w:rPr>
        <w:t> </w:t>
      </w:r>
      <w:r>
        <w:rPr/>
        <w:t>only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first</w:t>
      </w:r>
      <w:r>
        <w:rPr>
          <w:spacing w:val="-3"/>
        </w:rPr>
        <w:t> </w:t>
      </w:r>
      <w:r>
        <w:rPr/>
        <w:t>installment</w:t>
      </w:r>
      <w:r>
        <w:rPr>
          <w:spacing w:val="-4"/>
        </w:rPr>
        <w:t> </w:t>
      </w:r>
      <w:r>
        <w:rPr/>
        <w:t>has</w:t>
      </w:r>
      <w:r>
        <w:rPr>
          <w:spacing w:val="-3"/>
        </w:rPr>
        <w:t> </w:t>
      </w:r>
      <w:r>
        <w:rPr/>
        <w:t>been</w:t>
      </w:r>
      <w:r>
        <w:rPr>
          <w:spacing w:val="-2"/>
        </w:rPr>
        <w:t> </w:t>
      </w:r>
      <w:r>
        <w:rPr/>
        <w:t>drawn,</w:t>
      </w:r>
    </w:p>
    <w:p>
      <w:pPr>
        <w:pStyle w:val="BodyText"/>
        <w:spacing w:line="249" w:lineRule="auto" w:before="3"/>
        <w:ind w:right="127" w:firstLine="0"/>
      </w:pPr>
      <w:r>
        <w:rPr/>
        <w:t>$2.0 million if the first two installments have been drawn, $2.4 million if the first three installments have been</w:t>
      </w:r>
      <w:r>
        <w:rPr>
          <w:spacing w:val="1"/>
        </w:rPr>
        <w:t> </w:t>
      </w:r>
      <w:r>
        <w:rPr/>
        <w:t>drawn, or $3.0 million if all four installments have been drawn, in each case, upon the occurrence of the liquidity</w:t>
      </w:r>
      <w:r>
        <w:rPr>
          <w:spacing w:val="1"/>
        </w:rPr>
        <w:t> </w:t>
      </w:r>
      <w:r>
        <w:rPr/>
        <w:t>event. The Company has determined this fee is a freestanding derivative instrument. The $1.4 million fair value of</w:t>
      </w:r>
      <w:r>
        <w:rPr>
          <w:spacing w:val="1"/>
        </w:rPr>
        <w:t> </w:t>
      </w:r>
      <w:r>
        <w:rPr/>
        <w:t>this loan facility derivative was recorded as a debt discount and liability on the date of issuance in connection with</w:t>
      </w:r>
      <w:r>
        <w:rPr>
          <w:spacing w:val="1"/>
        </w:rPr>
        <w:t> </w:t>
      </w:r>
      <w:r>
        <w:rPr/>
        <w:t>obtaining additional financing as applicable and will be revalued every reporting period until the earlier occurrence</w:t>
      </w:r>
      <w:r>
        <w:rPr>
          <w:spacing w:val="1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defined</w:t>
      </w:r>
      <w:r>
        <w:rPr>
          <w:spacing w:val="-2"/>
        </w:rPr>
        <w:t> </w:t>
      </w:r>
      <w:r>
        <w:rPr/>
        <w:t>liquidity</w:t>
      </w:r>
      <w:r>
        <w:rPr>
          <w:spacing w:val="-3"/>
        </w:rPr>
        <w:t> </w:t>
      </w:r>
      <w:r>
        <w:rPr/>
        <w:t>event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achieving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revenue</w:t>
      </w:r>
      <w:r>
        <w:rPr>
          <w:spacing w:val="-3"/>
        </w:rPr>
        <w:t> </w:t>
      </w:r>
      <w:r>
        <w:rPr/>
        <w:t>target</w:t>
      </w:r>
      <w:r>
        <w:rPr>
          <w:spacing w:val="-4"/>
        </w:rPr>
        <w:t> </w:t>
      </w:r>
      <w:r>
        <w:rPr/>
        <w:t>by</w:t>
      </w:r>
      <w:r>
        <w:rPr>
          <w:spacing w:val="-2"/>
        </w:rPr>
        <w:t> </w:t>
      </w:r>
      <w:r>
        <w:rPr/>
        <w:t>September</w:t>
      </w:r>
      <w:r>
        <w:rPr>
          <w:spacing w:val="-2"/>
        </w:rPr>
        <w:t> </w:t>
      </w:r>
      <w:r>
        <w:rPr/>
        <w:t>2029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termination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such</w:t>
      </w:r>
      <w:r>
        <w:rPr>
          <w:spacing w:val="-2"/>
        </w:rPr>
        <w:t> </w:t>
      </w:r>
      <w:r>
        <w:rPr/>
        <w:t>fee</w:t>
      </w:r>
      <w:r>
        <w:rPr>
          <w:spacing w:val="-3"/>
        </w:rPr>
        <w:t> </w:t>
      </w:r>
      <w:r>
        <w:rPr/>
        <w:t>arrangement.</w:t>
      </w:r>
    </w:p>
    <w:p>
      <w:pPr>
        <w:pStyle w:val="BodyText"/>
        <w:spacing w:line="249" w:lineRule="auto" w:before="185"/>
        <w:ind w:right="212"/>
      </w:pP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table</w:t>
      </w:r>
      <w:r>
        <w:rPr>
          <w:spacing w:val="-3"/>
        </w:rPr>
        <w:t> </w:t>
      </w:r>
      <w:r>
        <w:rPr/>
        <w:t>sets</w:t>
      </w:r>
      <w:r>
        <w:rPr>
          <w:spacing w:val="-3"/>
        </w:rPr>
        <w:t> </w:t>
      </w:r>
      <w:r>
        <w:rPr/>
        <w:t>forth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summary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changes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estimated</w:t>
      </w:r>
      <w:r>
        <w:rPr>
          <w:spacing w:val="-2"/>
        </w:rPr>
        <w:t> </w:t>
      </w:r>
      <w:r>
        <w:rPr/>
        <w:t>fair</w:t>
      </w:r>
      <w:r>
        <w:rPr>
          <w:spacing w:val="-2"/>
        </w:rPr>
        <w:t> </w:t>
      </w:r>
      <w:r>
        <w:rPr/>
        <w:t>value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Company’s</w:t>
      </w:r>
      <w:r>
        <w:rPr>
          <w:spacing w:val="-4"/>
        </w:rPr>
        <w:t> </w:t>
      </w:r>
      <w:r>
        <w:rPr/>
        <w:t>loan</w:t>
      </w:r>
      <w:r>
        <w:rPr>
          <w:spacing w:val="-47"/>
        </w:rPr>
        <w:t> </w:t>
      </w:r>
      <w:r>
        <w:rPr/>
        <w:t>facility</w:t>
      </w:r>
      <w:r>
        <w:rPr>
          <w:spacing w:val="-1"/>
        </w:rPr>
        <w:t> </w:t>
      </w:r>
      <w:r>
        <w:rPr/>
        <w:t>derivative</w:t>
      </w:r>
      <w:r>
        <w:rPr>
          <w:spacing w:val="-1"/>
        </w:rPr>
        <w:t> </w:t>
      </w:r>
      <w:r>
        <w:rPr/>
        <w:t>liability,</w:t>
      </w:r>
      <w:r>
        <w:rPr>
          <w:spacing w:val="-1"/>
        </w:rPr>
        <w:t> </w:t>
      </w:r>
      <w:r>
        <w:rPr/>
        <w:t>classified as</w:t>
      </w:r>
      <w:r>
        <w:rPr>
          <w:spacing w:val="-2"/>
        </w:rPr>
        <w:t> </w:t>
      </w:r>
      <w:r>
        <w:rPr/>
        <w:t>Level</w:t>
      </w:r>
      <w:r>
        <w:rPr>
          <w:spacing w:val="-1"/>
        </w:rPr>
        <w:t> </w:t>
      </w:r>
      <w:r>
        <w:rPr/>
        <w:t>3 (in</w:t>
      </w:r>
      <w:r>
        <w:rPr>
          <w:spacing w:val="-1"/>
        </w:rPr>
        <w:t> </w:t>
      </w:r>
      <w:r>
        <w:rPr/>
        <w:t>thousands):</w:t>
      </w:r>
    </w:p>
    <w:p>
      <w:pPr>
        <w:pStyle w:val="BodyText"/>
        <w:spacing w:before="10"/>
        <w:ind w:left="0" w:firstLine="0"/>
        <w:rPr>
          <w:sz w:val="12"/>
        </w:rPr>
      </w:pPr>
    </w:p>
    <w:p>
      <w:pPr>
        <w:tabs>
          <w:tab w:pos="6932" w:val="left" w:leader="none"/>
        </w:tabs>
        <w:spacing w:before="93" w:after="45"/>
        <w:ind w:left="4158" w:right="0" w:firstLine="0"/>
        <w:jc w:val="left"/>
        <w:rPr>
          <w:b/>
          <w:sz w:val="16"/>
        </w:rPr>
      </w:pPr>
      <w:r>
        <w:rPr>
          <w:b/>
          <w:sz w:val="16"/>
        </w:rPr>
        <w:t>Three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Months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Ended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September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30,</w:t>
        <w:tab/>
        <w:t>Nine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Months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Ended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September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30,</w:t>
      </w: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0"/>
        <w:gridCol w:w="1354"/>
        <w:gridCol w:w="1365"/>
        <w:gridCol w:w="1365"/>
        <w:gridCol w:w="1316"/>
      </w:tblGrid>
      <w:tr>
        <w:trPr>
          <w:trHeight w:val="220" w:hRule="atLeast"/>
        </w:trPr>
        <w:tc>
          <w:tcPr>
            <w:tcW w:w="3960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5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left="145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</w:p>
        </w:tc>
        <w:tc>
          <w:tcPr>
            <w:tcW w:w="136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left="484" w:right="5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</w:p>
        </w:tc>
        <w:tc>
          <w:tcPr>
            <w:tcW w:w="136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left="484" w:right="5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</w:p>
        </w:tc>
        <w:tc>
          <w:tcPr>
            <w:tcW w:w="131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left="176" w:right="1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</w:p>
        </w:tc>
      </w:tr>
      <w:tr>
        <w:trPr>
          <w:trHeight w:val="260" w:hRule="atLeast"/>
        </w:trPr>
        <w:tc>
          <w:tcPr>
            <w:tcW w:w="3960" w:type="dxa"/>
            <w:shd w:val="clear" w:color="auto" w:fill="CCEDFF"/>
          </w:tcPr>
          <w:p>
            <w:pPr>
              <w:pStyle w:val="TableParagraph"/>
              <w:ind w:right="55"/>
              <w:rPr>
                <w:sz w:val="20"/>
              </w:rPr>
            </w:pPr>
            <w:r>
              <w:rPr>
                <w:sz w:val="20"/>
              </w:rPr>
              <w:t>Beginning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period</w:t>
            </w:r>
            <w:r>
              <w:rPr>
                <w:spacing w:val="45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</w:p>
        </w:tc>
        <w:tc>
          <w:tcPr>
            <w:tcW w:w="1354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773" w:val="left" w:leader="none"/>
              </w:tabs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$</w:t>
              <w:tab/>
              <w:t>1,787</w:t>
            </w:r>
          </w:p>
        </w:tc>
        <w:tc>
          <w:tcPr>
            <w:tcW w:w="1365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784" w:val="left" w:leader="none"/>
              </w:tabs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$</w:t>
              <w:tab/>
              <w:t>1,698</w:t>
            </w:r>
          </w:p>
        </w:tc>
        <w:tc>
          <w:tcPr>
            <w:tcW w:w="1365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784" w:val="left" w:leader="none"/>
              </w:tabs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$</w:t>
              <w:tab/>
              <w:t>1,782</w:t>
            </w:r>
          </w:p>
        </w:tc>
        <w:tc>
          <w:tcPr>
            <w:tcW w:w="1316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720" w:val="left" w:leader="none"/>
              </w:tabs>
              <w:ind w:right="79"/>
              <w:rPr>
                <w:sz w:val="20"/>
              </w:rPr>
            </w:pPr>
            <w:r>
              <w:rPr>
                <w:sz w:val="20"/>
              </w:rPr>
              <w:t>$</w:t>
              <w:tab/>
              <w:t>1,482</w:t>
            </w:r>
          </w:p>
        </w:tc>
      </w:tr>
      <w:tr>
        <w:trPr>
          <w:trHeight w:val="270" w:hRule="atLeast"/>
        </w:trPr>
        <w:tc>
          <w:tcPr>
            <w:tcW w:w="3960" w:type="dxa"/>
          </w:tcPr>
          <w:p>
            <w:pPr>
              <w:pStyle w:val="TableParagraph"/>
              <w:spacing w:before="10"/>
              <w:ind w:right="50"/>
              <w:rPr>
                <w:sz w:val="20"/>
              </w:rPr>
            </w:pPr>
            <w:r>
              <w:rPr>
                <w:sz w:val="20"/>
              </w:rPr>
              <w:t>Issued</w:t>
            </w:r>
            <w:r>
              <w:rPr>
                <w:spacing w:val="2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</w:t>
            </w:r>
          </w:p>
        </w:tc>
        <w:tc>
          <w:tcPr>
            <w:tcW w:w="1354" w:type="dxa"/>
          </w:tcPr>
          <w:p>
            <w:pPr>
              <w:pStyle w:val="TableParagraph"/>
              <w:spacing w:before="10"/>
              <w:ind w:right="12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365" w:type="dxa"/>
          </w:tcPr>
          <w:p>
            <w:pPr>
              <w:pStyle w:val="TableParagraph"/>
              <w:spacing w:before="10"/>
              <w:ind w:right="12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365" w:type="dxa"/>
          </w:tcPr>
          <w:p>
            <w:pPr>
              <w:pStyle w:val="TableParagraph"/>
              <w:spacing w:before="10"/>
              <w:ind w:right="12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316" w:type="dxa"/>
          </w:tcPr>
          <w:p>
            <w:pPr>
              <w:pStyle w:val="TableParagraph"/>
              <w:spacing w:before="10"/>
              <w:ind w:right="7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70" w:hRule="atLeast"/>
        </w:trPr>
        <w:tc>
          <w:tcPr>
            <w:tcW w:w="3960" w:type="dxa"/>
            <w:shd w:val="clear" w:color="auto" w:fill="CCEDFF"/>
          </w:tcPr>
          <w:p>
            <w:pPr>
              <w:pStyle w:val="TableParagraph"/>
              <w:spacing w:before="10"/>
              <w:ind w:right="58"/>
              <w:rPr>
                <w:sz w:val="20"/>
              </w:rPr>
            </w:pPr>
            <w:r>
              <w:rPr>
                <w:sz w:val="20"/>
              </w:rPr>
              <w:t>Change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 fair value</w:t>
            </w:r>
            <w:r>
              <w:rPr>
                <w:spacing w:val="30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</w:p>
        </w:tc>
        <w:tc>
          <w:tcPr>
            <w:tcW w:w="1354" w:type="dxa"/>
            <w:shd w:val="clear" w:color="auto" w:fill="CCEDFF"/>
          </w:tcPr>
          <w:p>
            <w:pPr>
              <w:pStyle w:val="TableParagraph"/>
              <w:spacing w:before="10"/>
              <w:ind w:right="63"/>
              <w:rPr>
                <w:sz w:val="20"/>
              </w:rPr>
            </w:pPr>
            <w:r>
              <w:rPr>
                <w:sz w:val="20"/>
              </w:rPr>
              <w:t>(177)</w:t>
            </w:r>
          </w:p>
        </w:tc>
        <w:tc>
          <w:tcPr>
            <w:tcW w:w="1365" w:type="dxa"/>
            <w:shd w:val="clear" w:color="auto" w:fill="CCEDFF"/>
          </w:tcPr>
          <w:p>
            <w:pPr>
              <w:pStyle w:val="TableParagraph"/>
              <w:spacing w:before="10"/>
              <w:ind w:right="63"/>
              <w:rPr>
                <w:sz w:val="20"/>
              </w:rPr>
            </w:pPr>
            <w:r>
              <w:rPr>
                <w:sz w:val="20"/>
              </w:rPr>
              <w:t>(175)</w:t>
            </w:r>
          </w:p>
        </w:tc>
        <w:tc>
          <w:tcPr>
            <w:tcW w:w="1365" w:type="dxa"/>
            <w:shd w:val="clear" w:color="auto" w:fill="CCEDFF"/>
          </w:tcPr>
          <w:p>
            <w:pPr>
              <w:pStyle w:val="TableParagraph"/>
              <w:spacing w:before="10"/>
              <w:ind w:right="63"/>
              <w:rPr>
                <w:sz w:val="20"/>
              </w:rPr>
            </w:pPr>
            <w:r>
              <w:rPr>
                <w:sz w:val="20"/>
              </w:rPr>
              <w:t>(172)</w:t>
            </w:r>
          </w:p>
        </w:tc>
        <w:tc>
          <w:tcPr>
            <w:tcW w:w="1316" w:type="dxa"/>
            <w:shd w:val="clear" w:color="auto" w:fill="CCEDFF"/>
          </w:tcPr>
          <w:p>
            <w:pPr>
              <w:pStyle w:val="TableParagraph"/>
              <w:spacing w:before="10"/>
              <w:ind w:right="79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3960" w:type="dxa"/>
          </w:tcPr>
          <w:p>
            <w:pPr>
              <w:pStyle w:val="TableParagraph"/>
              <w:spacing w:line="230" w:lineRule="exact" w:before="10"/>
              <w:ind w:right="55"/>
              <w:rPr>
                <w:sz w:val="20"/>
              </w:rPr>
            </w:pPr>
            <w:r>
              <w:rPr>
                <w:sz w:val="20"/>
              </w:rPr>
              <w:t>Payment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 success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fee</w:t>
            </w:r>
            <w:r>
              <w:rPr>
                <w:spacing w:val="49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</w:p>
        </w:tc>
        <w:tc>
          <w:tcPr>
            <w:tcW w:w="13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10"/>
              <w:ind w:right="12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3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10"/>
              <w:ind w:right="12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3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10"/>
              <w:ind w:right="12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3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10"/>
              <w:ind w:right="7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70" w:hRule="atLeast"/>
        </w:trPr>
        <w:tc>
          <w:tcPr>
            <w:tcW w:w="3960" w:type="dxa"/>
            <w:shd w:val="clear" w:color="auto" w:fill="CCEDFF"/>
          </w:tcPr>
          <w:p>
            <w:pPr>
              <w:pStyle w:val="TableParagraph"/>
              <w:spacing w:line="210" w:lineRule="exact"/>
              <w:ind w:right="56"/>
              <w:rPr>
                <w:sz w:val="20"/>
              </w:rPr>
            </w:pPr>
            <w:r>
              <w:rPr>
                <w:sz w:val="20"/>
              </w:rPr>
              <w:t>End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period</w:t>
            </w:r>
            <w:r>
              <w:rPr>
                <w:spacing w:val="6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</w:p>
        </w:tc>
        <w:tc>
          <w:tcPr>
            <w:tcW w:w="135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773" w:val="left" w:leader="none"/>
              </w:tabs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$</w:t>
              <w:tab/>
              <w:t>1,610</w:t>
            </w:r>
          </w:p>
        </w:tc>
        <w:tc>
          <w:tcPr>
            <w:tcW w:w="136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784" w:val="left" w:leader="none"/>
              </w:tabs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$</w:t>
              <w:tab/>
              <w:t>1,523</w:t>
            </w:r>
          </w:p>
        </w:tc>
        <w:tc>
          <w:tcPr>
            <w:tcW w:w="136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784" w:val="left" w:leader="none"/>
              </w:tabs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$</w:t>
              <w:tab/>
              <w:t>1,610</w:t>
            </w:r>
          </w:p>
        </w:tc>
        <w:tc>
          <w:tcPr>
            <w:tcW w:w="13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720" w:val="left" w:leader="none"/>
              </w:tabs>
              <w:ind w:right="79"/>
              <w:rPr>
                <w:sz w:val="20"/>
              </w:rPr>
            </w:pPr>
            <w:r>
              <w:rPr>
                <w:sz w:val="20"/>
              </w:rPr>
              <w:t>$</w:t>
              <w:tab/>
              <w:t>1,523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</w:pPr>
      <w:r>
        <w:rPr/>
        <w:t>The</w:t>
      </w:r>
      <w:r>
        <w:rPr>
          <w:spacing w:val="-5"/>
        </w:rPr>
        <w:t> </w:t>
      </w:r>
      <w:r>
        <w:rPr/>
        <w:t>fair</w:t>
      </w:r>
      <w:r>
        <w:rPr>
          <w:spacing w:val="-3"/>
        </w:rPr>
        <w:t> </w:t>
      </w:r>
      <w:r>
        <w:rPr/>
        <w:t>value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loan</w:t>
      </w:r>
      <w:r>
        <w:rPr>
          <w:spacing w:val="-3"/>
        </w:rPr>
        <w:t> </w:t>
      </w:r>
      <w:r>
        <w:rPr/>
        <w:t>facility</w:t>
      </w:r>
      <w:r>
        <w:rPr>
          <w:spacing w:val="-3"/>
        </w:rPr>
        <w:t> </w:t>
      </w:r>
      <w:r>
        <w:rPr/>
        <w:t>derivative</w:t>
      </w:r>
      <w:r>
        <w:rPr>
          <w:spacing w:val="-4"/>
        </w:rPr>
        <w:t> </w:t>
      </w:r>
      <w:r>
        <w:rPr/>
        <w:t>liability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determined</w:t>
      </w:r>
      <w:r>
        <w:rPr>
          <w:spacing w:val="-4"/>
        </w:rPr>
        <w:t> </w:t>
      </w:r>
      <w:r>
        <w:rPr/>
        <w:t>using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discounted</w:t>
      </w:r>
      <w:r>
        <w:rPr>
          <w:spacing w:val="-3"/>
        </w:rPr>
        <w:t> </w:t>
      </w:r>
      <w:r>
        <w:rPr/>
        <w:t>cash</w:t>
      </w:r>
      <w:r>
        <w:rPr>
          <w:spacing w:val="-3"/>
        </w:rPr>
        <w:t> </w:t>
      </w:r>
      <w:r>
        <w:rPr/>
        <w:t>flow</w:t>
      </w:r>
      <w:r>
        <w:rPr>
          <w:spacing w:val="-4"/>
        </w:rPr>
        <w:t> </w:t>
      </w:r>
      <w:r>
        <w:rPr/>
        <w:t>calculation</w:t>
      </w:r>
      <w:r>
        <w:rPr>
          <w:spacing w:val="1"/>
        </w:rPr>
        <w:t> </w:t>
      </w:r>
      <w:r>
        <w:rPr/>
        <w:t>discounted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10%.</w:t>
      </w:r>
    </w:p>
    <w:p>
      <w:pPr>
        <w:pStyle w:val="Heading3"/>
        <w:spacing w:before="178"/>
        <w:rPr>
          <w:i/>
        </w:rPr>
      </w:pPr>
      <w:r>
        <w:rPr>
          <w:i/>
        </w:rPr>
        <w:t>Concentration</w:t>
      </w:r>
      <w:r>
        <w:rPr>
          <w:i/>
          <w:spacing w:val="-5"/>
        </w:rPr>
        <w:t> </w:t>
      </w:r>
      <w:r>
        <w:rPr>
          <w:i/>
        </w:rPr>
        <w:t>of</w:t>
      </w:r>
      <w:r>
        <w:rPr>
          <w:i/>
          <w:spacing w:val="-4"/>
        </w:rPr>
        <w:t> </w:t>
      </w:r>
      <w:r>
        <w:rPr>
          <w:i/>
        </w:rPr>
        <w:t>Credit</w:t>
      </w:r>
      <w:r>
        <w:rPr>
          <w:i/>
          <w:spacing w:val="-5"/>
        </w:rPr>
        <w:t> </w:t>
      </w:r>
      <w:r>
        <w:rPr>
          <w:i/>
        </w:rPr>
        <w:t>Risk</w:t>
      </w:r>
    </w:p>
    <w:p>
      <w:pPr>
        <w:pStyle w:val="BodyText"/>
        <w:spacing w:line="249" w:lineRule="auto" w:before="193"/>
        <w:ind w:right="180"/>
      </w:pPr>
      <w:r>
        <w:rPr/>
        <w:t>Financial instruments, which potentially subject the Company to concentrations of credit risk, consist</w:t>
      </w:r>
      <w:r>
        <w:rPr>
          <w:spacing w:val="1"/>
        </w:rPr>
        <w:t> </w:t>
      </w:r>
      <w:r>
        <w:rPr/>
        <w:t>principally of cash, cash equivalents and, to a lesser extent, accounts receivable. The Company believes that credit</w:t>
      </w:r>
      <w:r>
        <w:rPr>
          <w:spacing w:val="1"/>
        </w:rPr>
        <w:t> </w:t>
      </w:r>
      <w:r>
        <w:rPr/>
        <w:t>risk in its accounts receivable is mitigated by its credit evaluation process, relatively short collection terms and</w:t>
      </w:r>
      <w:r>
        <w:rPr>
          <w:spacing w:val="1"/>
        </w:rPr>
        <w:t> </w:t>
      </w:r>
      <w:r>
        <w:rPr/>
        <w:t>diversity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its</w:t>
      </w:r>
      <w:r>
        <w:rPr>
          <w:spacing w:val="-4"/>
        </w:rPr>
        <w:t> </w:t>
      </w:r>
      <w:r>
        <w:rPr/>
        <w:t>customer</w:t>
      </w:r>
      <w:r>
        <w:rPr>
          <w:spacing w:val="-3"/>
        </w:rPr>
        <w:t> </w:t>
      </w:r>
      <w:r>
        <w:rPr/>
        <w:t>base.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Company</w:t>
      </w:r>
      <w:r>
        <w:rPr>
          <w:spacing w:val="-3"/>
        </w:rPr>
        <w:t> </w:t>
      </w:r>
      <w:r>
        <w:rPr/>
        <w:t>generally</w:t>
      </w:r>
      <w:r>
        <w:rPr>
          <w:spacing w:val="-3"/>
        </w:rPr>
        <w:t> </w:t>
      </w:r>
      <w:r>
        <w:rPr/>
        <w:t>does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require</w:t>
      </w:r>
      <w:r>
        <w:rPr>
          <w:spacing w:val="-4"/>
        </w:rPr>
        <w:t> </w:t>
      </w:r>
      <w:r>
        <w:rPr/>
        <w:t>collateral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losses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accounts</w:t>
      </w:r>
      <w:r>
        <w:rPr>
          <w:spacing w:val="-4"/>
        </w:rPr>
        <w:t> </w:t>
      </w:r>
      <w:r>
        <w:rPr/>
        <w:t>receivable</w:t>
      </w:r>
      <w:r>
        <w:rPr>
          <w:spacing w:val="-47"/>
        </w:rPr>
        <w:t> </w:t>
      </w:r>
      <w:r>
        <w:rPr/>
        <w:t>have</w:t>
      </w:r>
      <w:r>
        <w:rPr>
          <w:spacing w:val="-2"/>
        </w:rPr>
        <w:t> </w:t>
      </w:r>
      <w:r>
        <w:rPr/>
        <w:t>historically been within</w:t>
      </w:r>
      <w:r>
        <w:rPr>
          <w:spacing w:val="-1"/>
        </w:rPr>
        <w:t> </w:t>
      </w:r>
      <w:r>
        <w:rPr/>
        <w:t>management’s</w:t>
      </w:r>
      <w:r>
        <w:rPr>
          <w:spacing w:val="-1"/>
        </w:rPr>
        <w:t> </w:t>
      </w:r>
      <w:r>
        <w:rPr/>
        <w:t>expectations.</w:t>
      </w:r>
    </w:p>
    <w:p>
      <w:pPr>
        <w:pStyle w:val="BodyText"/>
        <w:spacing w:line="249" w:lineRule="auto" w:before="184"/>
        <w:ind w:right="212"/>
      </w:pPr>
      <w:r>
        <w:rPr/>
        <w:t>The Company’s investment policy limits investments to certain types of debt securities issued by the U.S.</w:t>
      </w:r>
      <w:r>
        <w:rPr>
          <w:spacing w:val="1"/>
        </w:rPr>
        <w:t> </w:t>
      </w:r>
      <w:r>
        <w:rPr/>
        <w:t>government, its agencies, and institutions with investment-grade credit ratings, as well as corporate debt or</w:t>
      </w:r>
      <w:r>
        <w:rPr>
          <w:spacing w:val="1"/>
        </w:rPr>
        <w:t> </w:t>
      </w:r>
      <w:r>
        <w:rPr/>
        <w:t>commercial paper issued by the highest quality financial and non-financial companies, and places restrictions on</w:t>
      </w:r>
      <w:r>
        <w:rPr>
          <w:spacing w:val="1"/>
        </w:rPr>
        <w:t> </w:t>
      </w:r>
      <w:r>
        <w:rPr/>
        <w:t>maturities and concentration by type and issuer. The Company is exposed to credit risk in the event of a default by</w:t>
      </w:r>
      <w:r>
        <w:rPr>
          <w:spacing w:val="1"/>
        </w:rPr>
        <w:t> </w:t>
      </w:r>
      <w:r>
        <w:rPr/>
        <w:t>the financial institutions holding its cash and cash equivalents and issuers of investments to the extent recorded on</w:t>
      </w:r>
      <w:r>
        <w:rPr>
          <w:spacing w:val="1"/>
        </w:rPr>
        <w:t> </w:t>
      </w:r>
      <w:r>
        <w:rPr/>
        <w:t>the</w:t>
      </w:r>
      <w:r>
        <w:rPr>
          <w:spacing w:val="-4"/>
        </w:rPr>
        <w:t> </w:t>
      </w:r>
      <w:r>
        <w:rPr/>
        <w:t>balance</w:t>
      </w:r>
      <w:r>
        <w:rPr>
          <w:spacing w:val="-4"/>
        </w:rPr>
        <w:t> </w:t>
      </w:r>
      <w:r>
        <w:rPr/>
        <w:t>sheets.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Company</w:t>
      </w:r>
      <w:r>
        <w:rPr>
          <w:spacing w:val="-3"/>
        </w:rPr>
        <w:t> </w:t>
      </w:r>
      <w:r>
        <w:rPr/>
        <w:t>has</w:t>
      </w:r>
      <w:r>
        <w:rPr>
          <w:spacing w:val="-4"/>
        </w:rPr>
        <w:t> </w:t>
      </w:r>
      <w:r>
        <w:rPr/>
        <w:t>limited</w:t>
      </w:r>
      <w:r>
        <w:rPr>
          <w:spacing w:val="-3"/>
        </w:rPr>
        <w:t> </w:t>
      </w:r>
      <w:r>
        <w:rPr/>
        <w:t>its</w:t>
      </w:r>
      <w:r>
        <w:rPr>
          <w:spacing w:val="-4"/>
        </w:rPr>
        <w:t> </w:t>
      </w:r>
      <w:r>
        <w:rPr/>
        <w:t>credit</w:t>
      </w:r>
      <w:r>
        <w:rPr>
          <w:spacing w:val="-4"/>
        </w:rPr>
        <w:t> </w:t>
      </w:r>
      <w:r>
        <w:rPr/>
        <w:t>risk</w:t>
      </w:r>
      <w:r>
        <w:rPr>
          <w:spacing w:val="-3"/>
        </w:rPr>
        <w:t> </w:t>
      </w:r>
      <w:r>
        <w:rPr/>
        <w:t>associated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cash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cash</w:t>
      </w:r>
      <w:r>
        <w:rPr>
          <w:spacing w:val="-3"/>
        </w:rPr>
        <w:t> </w:t>
      </w:r>
      <w:r>
        <w:rPr/>
        <w:t>equivalents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placing</w:t>
      </w:r>
      <w:r>
        <w:rPr>
          <w:spacing w:val="-3"/>
        </w:rPr>
        <w:t> </w:t>
      </w:r>
      <w:r>
        <w:rPr/>
        <w:t>its</w:t>
      </w:r>
      <w:r>
        <w:rPr>
          <w:spacing w:val="1"/>
        </w:rPr>
        <w:t> </w:t>
      </w:r>
      <w:r>
        <w:rPr/>
        <w:t>investments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banks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believes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highly</w:t>
      </w:r>
      <w:r>
        <w:rPr>
          <w:spacing w:val="-1"/>
        </w:rPr>
        <w:t> </w:t>
      </w:r>
      <w:r>
        <w:rPr/>
        <w:t>creditworthy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with highly</w:t>
      </w:r>
      <w:r>
        <w:rPr>
          <w:spacing w:val="-1"/>
        </w:rPr>
        <w:t> </w:t>
      </w:r>
      <w:r>
        <w:rPr/>
        <w:t>rated</w:t>
      </w:r>
      <w:r>
        <w:rPr>
          <w:spacing w:val="-1"/>
        </w:rPr>
        <w:t> </w:t>
      </w:r>
      <w:r>
        <w:rPr/>
        <w:t>investments.</w:t>
      </w:r>
    </w:p>
    <w:p>
      <w:pPr>
        <w:pStyle w:val="Heading3"/>
        <w:spacing w:before="183"/>
        <w:rPr>
          <w:i/>
        </w:rPr>
      </w:pPr>
      <w:r>
        <w:rPr>
          <w:i/>
        </w:rPr>
        <w:t>Allowance</w:t>
      </w:r>
      <w:r>
        <w:rPr>
          <w:i/>
          <w:spacing w:val="-5"/>
        </w:rPr>
        <w:t> </w:t>
      </w:r>
      <w:r>
        <w:rPr>
          <w:i/>
        </w:rPr>
        <w:t>for</w:t>
      </w:r>
      <w:r>
        <w:rPr>
          <w:i/>
          <w:spacing w:val="-5"/>
        </w:rPr>
        <w:t> </w:t>
      </w:r>
      <w:r>
        <w:rPr>
          <w:i/>
        </w:rPr>
        <w:t>Doubtful</w:t>
      </w:r>
      <w:r>
        <w:rPr>
          <w:i/>
          <w:spacing w:val="-4"/>
        </w:rPr>
        <w:t> </w:t>
      </w:r>
      <w:r>
        <w:rPr>
          <w:i/>
        </w:rPr>
        <w:t>Accounts</w:t>
      </w:r>
    </w:p>
    <w:p>
      <w:pPr>
        <w:pStyle w:val="BodyText"/>
        <w:spacing w:line="249" w:lineRule="auto" w:before="193"/>
        <w:ind w:right="180"/>
      </w:pPr>
      <w:r>
        <w:rPr/>
        <w:t>The</w:t>
      </w:r>
      <w:r>
        <w:rPr>
          <w:spacing w:val="-4"/>
        </w:rPr>
        <w:t> </w:t>
      </w:r>
      <w:r>
        <w:rPr/>
        <w:t>Company</w:t>
      </w:r>
      <w:r>
        <w:rPr>
          <w:spacing w:val="-3"/>
        </w:rPr>
        <w:t> </w:t>
      </w:r>
      <w:r>
        <w:rPr/>
        <w:t>provides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uncollectible</w:t>
      </w:r>
      <w:r>
        <w:rPr>
          <w:spacing w:val="-4"/>
        </w:rPr>
        <w:t> </w:t>
      </w:r>
      <w:r>
        <w:rPr/>
        <w:t>accounts</w:t>
      </w:r>
      <w:r>
        <w:rPr>
          <w:spacing w:val="-3"/>
        </w:rPr>
        <w:t> </w:t>
      </w:r>
      <w:r>
        <w:rPr/>
        <w:t>receivable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recording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allowance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doubtful</w:t>
      </w:r>
      <w:r>
        <w:rPr>
          <w:spacing w:val="-4"/>
        </w:rPr>
        <w:t> </w:t>
      </w:r>
      <w:r>
        <w:rPr/>
        <w:t>accounts</w:t>
      </w:r>
      <w:r>
        <w:rPr>
          <w:spacing w:val="-47"/>
        </w:rPr>
        <w:t> </w:t>
      </w:r>
      <w:r>
        <w:rPr/>
        <w:t>for balances deemed uncollectible. The Company evaluates the collectability of its accounts receivable based on</w:t>
      </w:r>
      <w:r>
        <w:rPr>
          <w:spacing w:val="1"/>
        </w:rPr>
        <w:t> </w:t>
      </w:r>
      <w:r>
        <w:rPr/>
        <w:t>known collection risks and historical experience. In circumstances where the Company is aware of a specific</w:t>
      </w:r>
      <w:r>
        <w:rPr>
          <w:spacing w:val="1"/>
        </w:rPr>
        <w:t> </w:t>
      </w:r>
      <w:r>
        <w:rPr/>
        <w:t>customer’s inability to meet its financial obligations to the Company (e.g., bankruptcy filings, substantial</w:t>
      </w:r>
      <w:r>
        <w:rPr>
          <w:spacing w:val="1"/>
        </w:rPr>
        <w:t> </w:t>
      </w:r>
      <w:r>
        <w:rPr/>
        <w:t>downgrading of credit ratings), the Company records a specific allowance for bad debts against amounts due to</w:t>
      </w:r>
      <w:r>
        <w:rPr>
          <w:spacing w:val="1"/>
        </w:rPr>
        <w:t> </w:t>
      </w:r>
      <w:r>
        <w:rPr/>
        <w:t>reduce the carrying amount of accounts receivable to the amount it reasonably believes will be collected. The</w:t>
      </w:r>
      <w:r>
        <w:rPr>
          <w:spacing w:val="1"/>
        </w:rPr>
        <w:t> </w:t>
      </w:r>
      <w:r>
        <w:rPr/>
        <w:t>Company</w:t>
      </w:r>
      <w:r>
        <w:rPr>
          <w:spacing w:val="-1"/>
        </w:rPr>
        <w:t> </w:t>
      </w:r>
      <w:r>
        <w:rPr/>
        <w:t>has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experienced</w:t>
      </w:r>
      <w:r>
        <w:rPr>
          <w:spacing w:val="-1"/>
        </w:rPr>
        <w:t> </w:t>
      </w:r>
      <w:r>
        <w:rPr/>
        <w:t>any significant</w:t>
      </w:r>
      <w:r>
        <w:rPr>
          <w:spacing w:val="-1"/>
        </w:rPr>
        <w:t> </w:t>
      </w:r>
      <w:r>
        <w:rPr/>
        <w:t>collection</w:t>
      </w:r>
      <w:r>
        <w:rPr>
          <w:spacing w:val="-1"/>
        </w:rPr>
        <w:t> </w:t>
      </w:r>
      <w:r>
        <w:rPr/>
        <w:t>issues.</w:t>
      </w:r>
    </w:p>
    <w:p>
      <w:pPr>
        <w:pStyle w:val="Heading3"/>
        <w:spacing w:before="183"/>
        <w:rPr>
          <w:i/>
        </w:rPr>
      </w:pPr>
      <w:r>
        <w:rPr>
          <w:i/>
        </w:rPr>
        <w:t>Inventory</w:t>
      </w:r>
    </w:p>
    <w:p>
      <w:pPr>
        <w:pStyle w:val="BodyText"/>
        <w:spacing w:line="249" w:lineRule="auto" w:before="193"/>
        <w:ind w:right="212"/>
      </w:pPr>
      <w:r>
        <w:rPr/>
        <w:t>Inventories are valued at the lower of cost, computed on a first-in, first-out basis, or net realizable value. The</w:t>
      </w:r>
      <w:r>
        <w:rPr>
          <w:spacing w:val="1"/>
        </w:rPr>
        <w:t> </w:t>
      </w:r>
      <w:r>
        <w:rPr/>
        <w:t>allocation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production</w:t>
      </w:r>
      <w:r>
        <w:rPr>
          <w:spacing w:val="-2"/>
        </w:rPr>
        <w:t> </w:t>
      </w:r>
      <w:r>
        <w:rPr/>
        <w:t>overhead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inventory</w:t>
      </w:r>
      <w:r>
        <w:rPr>
          <w:spacing w:val="-2"/>
        </w:rPr>
        <w:t> </w:t>
      </w:r>
      <w:r>
        <w:rPr/>
        <w:t>costs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based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normal</w:t>
      </w:r>
      <w:r>
        <w:rPr>
          <w:spacing w:val="-4"/>
        </w:rPr>
        <w:t> </w:t>
      </w:r>
      <w:r>
        <w:rPr/>
        <w:t>production</w:t>
      </w:r>
      <w:r>
        <w:rPr>
          <w:spacing w:val="-3"/>
        </w:rPr>
        <w:t> </w:t>
      </w:r>
      <w:r>
        <w:rPr/>
        <w:t>capacity.</w:t>
      </w:r>
      <w:r>
        <w:rPr>
          <w:spacing w:val="-2"/>
        </w:rPr>
        <w:t> </w:t>
      </w:r>
      <w:r>
        <w:rPr/>
        <w:t>Abnormal</w:t>
      </w:r>
      <w:r>
        <w:rPr>
          <w:spacing w:val="-4"/>
        </w:rPr>
        <w:t> </w:t>
      </w:r>
      <w:r>
        <w:rPr/>
        <w:t>amounts</w:t>
      </w:r>
      <w:r>
        <w:rPr>
          <w:spacing w:val="-3"/>
        </w:rPr>
        <w:t> </w:t>
      </w:r>
      <w:r>
        <w:rPr/>
        <w:t>of</w:t>
      </w:r>
      <w:r>
        <w:rPr>
          <w:spacing w:val="-47"/>
        </w:rPr>
        <w:t> </w:t>
      </w:r>
      <w:r>
        <w:rPr/>
        <w:t>idle facility expense, freight, handling costs, and consumption are expensed as incurred, and not included in</w:t>
      </w:r>
      <w:r>
        <w:rPr>
          <w:spacing w:val="1"/>
        </w:rPr>
        <w:t> </w:t>
      </w:r>
      <w:r>
        <w:rPr/>
        <w:t>overhead. The Company maintains provisions for excess and obsolete inventory based on management’s estimates</w:t>
      </w:r>
      <w:r>
        <w:rPr>
          <w:spacing w:val="-47"/>
        </w:rPr>
        <w:t> </w:t>
      </w:r>
      <w:r>
        <w:rPr/>
        <w:t>of forecasted demand and, where applicable, product expiration. The Company has initiated voluntary recalls for a</w:t>
      </w:r>
      <w:r>
        <w:rPr>
          <w:spacing w:val="1"/>
        </w:rPr>
        <w:t> </w:t>
      </w:r>
      <w:r>
        <w:rPr/>
        <w:t>limited number of handpieces due to certain issues related to supply chain and manufacturing processes, of which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provision recognized was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material.</w:t>
      </w:r>
    </w:p>
    <w:p>
      <w:pPr>
        <w:pStyle w:val="Heading3"/>
        <w:spacing w:before="182"/>
        <w:rPr>
          <w:i/>
        </w:rPr>
      </w:pPr>
      <w:r>
        <w:rPr>
          <w:i/>
        </w:rPr>
        <w:t>Property</w:t>
      </w:r>
      <w:r>
        <w:rPr>
          <w:i/>
          <w:spacing w:val="-5"/>
        </w:rPr>
        <w:t> </w:t>
      </w:r>
      <w:r>
        <w:rPr>
          <w:i/>
        </w:rPr>
        <w:t>and</w:t>
      </w:r>
      <w:r>
        <w:rPr>
          <w:i/>
          <w:spacing w:val="-4"/>
        </w:rPr>
        <w:t> </w:t>
      </w:r>
      <w:r>
        <w:rPr>
          <w:i/>
        </w:rPr>
        <w:t>Equipment</w:t>
      </w:r>
      <w:r>
        <w:rPr>
          <w:i/>
          <w:spacing w:val="-5"/>
        </w:rPr>
        <w:t> </w:t>
      </w:r>
      <w:r>
        <w:rPr>
          <w:i/>
        </w:rPr>
        <w:t>and</w:t>
      </w:r>
      <w:r>
        <w:rPr>
          <w:i/>
          <w:spacing w:val="-4"/>
        </w:rPr>
        <w:t> </w:t>
      </w:r>
      <w:r>
        <w:rPr>
          <w:i/>
        </w:rPr>
        <w:t>Intangible</w:t>
      </w:r>
      <w:r>
        <w:rPr>
          <w:i/>
          <w:spacing w:val="-4"/>
        </w:rPr>
        <w:t> </w:t>
      </w:r>
      <w:r>
        <w:rPr>
          <w:i/>
        </w:rPr>
        <w:t>Assets</w:t>
      </w:r>
    </w:p>
    <w:p>
      <w:pPr>
        <w:pStyle w:val="BodyText"/>
        <w:spacing w:line="249" w:lineRule="auto" w:before="194"/>
        <w:ind w:right="265"/>
      </w:pPr>
      <w:r>
        <w:rPr/>
        <w:t>Property and equipment and Intangible Assets are stated at cost, less accumulated depreciation and</w:t>
      </w:r>
      <w:r>
        <w:rPr>
          <w:spacing w:val="1"/>
        </w:rPr>
        <w:t> </w:t>
      </w:r>
      <w:r>
        <w:rPr/>
        <w:t>amortization. Depreciation and amortization for property and equipment are determined using the straight-line</w:t>
      </w:r>
      <w:r>
        <w:rPr>
          <w:spacing w:val="1"/>
        </w:rPr>
        <w:t> </w:t>
      </w:r>
      <w:r>
        <w:rPr/>
        <w:t>method over the estimated useful lives of the respective assets, generally 3 to 5 years. The Company reclassifies</w:t>
      </w:r>
      <w:r>
        <w:rPr>
          <w:spacing w:val="1"/>
        </w:rPr>
        <w:t> </w:t>
      </w:r>
      <w:r>
        <w:rPr/>
        <w:t>inventory</w:t>
      </w:r>
      <w:r>
        <w:rPr>
          <w:spacing w:val="-3"/>
        </w:rPr>
        <w:t> </w:t>
      </w:r>
      <w:r>
        <w:rPr/>
        <w:t>used</w:t>
      </w:r>
      <w:r>
        <w:rPr>
          <w:spacing w:val="-2"/>
        </w:rPr>
        <w:t> </w:t>
      </w:r>
      <w:r>
        <w:rPr/>
        <w:t>at</w:t>
      </w:r>
      <w:r>
        <w:rPr>
          <w:spacing w:val="-4"/>
        </w:rPr>
        <w:t> </w:t>
      </w:r>
      <w:r>
        <w:rPr/>
        <w:t>customer</w:t>
      </w:r>
      <w:r>
        <w:rPr>
          <w:spacing w:val="-2"/>
        </w:rPr>
        <w:t> </w:t>
      </w:r>
      <w:r>
        <w:rPr/>
        <w:t>sites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evaluation</w:t>
      </w:r>
      <w:r>
        <w:rPr>
          <w:spacing w:val="-2"/>
        </w:rPr>
        <w:t> </w:t>
      </w:r>
      <w:r>
        <w:rPr/>
        <w:t>purposes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property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equipment</w:t>
      </w:r>
      <w:r>
        <w:rPr>
          <w:spacing w:val="-3"/>
        </w:rPr>
        <w:t> </w:t>
      </w:r>
      <w:r>
        <w:rPr/>
        <w:t>due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limited</w:t>
      </w:r>
      <w:r>
        <w:rPr>
          <w:spacing w:val="-3"/>
        </w:rPr>
        <w:t> </w:t>
      </w:r>
      <w:r>
        <w:rPr/>
        <w:t>history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sales</w:t>
      </w:r>
      <w:r>
        <w:rPr>
          <w:spacing w:val="-47"/>
        </w:rPr>
        <w:t> </w:t>
      </w:r>
      <w:r>
        <w:rPr/>
        <w:t>of evaluation units. Amortization of intangible assets are determined using the straight-line method over the</w:t>
      </w:r>
      <w:r>
        <w:rPr>
          <w:spacing w:val="1"/>
        </w:rPr>
        <w:t> </w:t>
      </w:r>
      <w:r>
        <w:rPr/>
        <w:t>estimated useful lives, generally through the patent expiration date. Leasehold improvements are amortized on a</w:t>
      </w:r>
      <w:r>
        <w:rPr>
          <w:spacing w:val="1"/>
        </w:rPr>
        <w:t> </w:t>
      </w:r>
      <w:r>
        <w:rPr/>
        <w:t>straight-line basis over the shorter of their estimated useful lives or the term of the lease. Maintenance and repairs</w:t>
      </w:r>
      <w:r>
        <w:rPr>
          <w:spacing w:val="1"/>
        </w:rPr>
        <w:t> </w:t>
      </w:r>
      <w:r>
        <w:rPr/>
        <w:t>are</w:t>
      </w:r>
      <w:r>
        <w:rPr>
          <w:spacing w:val="-2"/>
        </w:rPr>
        <w:t> </w:t>
      </w:r>
      <w:r>
        <w:rPr/>
        <w:t>charged to operating expenses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incurred.</w:t>
      </w:r>
    </w:p>
    <w:p>
      <w:pPr>
        <w:pStyle w:val="Heading3"/>
        <w:spacing w:before="183"/>
        <w:rPr>
          <w:i/>
        </w:rPr>
      </w:pPr>
      <w:r>
        <w:rPr>
          <w:i/>
        </w:rPr>
        <w:t>Impairment</w:t>
      </w:r>
      <w:r>
        <w:rPr>
          <w:i/>
          <w:spacing w:val="-6"/>
        </w:rPr>
        <w:t> </w:t>
      </w:r>
      <w:r>
        <w:rPr>
          <w:i/>
        </w:rPr>
        <w:t>of</w:t>
      </w:r>
      <w:r>
        <w:rPr>
          <w:i/>
          <w:spacing w:val="-4"/>
        </w:rPr>
        <w:t> </w:t>
      </w:r>
      <w:r>
        <w:rPr>
          <w:i/>
        </w:rPr>
        <w:t>Long-Lived</w:t>
      </w:r>
      <w:r>
        <w:rPr>
          <w:i/>
          <w:spacing w:val="-4"/>
        </w:rPr>
        <w:t> </w:t>
      </w:r>
      <w:r>
        <w:rPr>
          <w:i/>
        </w:rPr>
        <w:t>Assets</w:t>
      </w:r>
    </w:p>
    <w:p>
      <w:pPr>
        <w:pStyle w:val="BodyText"/>
        <w:spacing w:line="249" w:lineRule="auto" w:before="193"/>
        <w:ind w:right="180"/>
      </w:pPr>
      <w:r>
        <w:rPr/>
        <w:t>Long-lived</w:t>
      </w:r>
      <w:r>
        <w:rPr>
          <w:spacing w:val="-3"/>
        </w:rPr>
        <w:t> </w:t>
      </w:r>
      <w:r>
        <w:rPr/>
        <w:t>assets</w:t>
      </w:r>
      <w:r>
        <w:rPr>
          <w:spacing w:val="-4"/>
        </w:rPr>
        <w:t> </w:t>
      </w:r>
      <w:r>
        <w:rPr/>
        <w:t>consist</w:t>
      </w:r>
      <w:r>
        <w:rPr>
          <w:spacing w:val="-4"/>
        </w:rPr>
        <w:t> </w:t>
      </w:r>
      <w:r>
        <w:rPr/>
        <w:t>primarily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property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equipment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intangible</w:t>
      </w:r>
      <w:r>
        <w:rPr>
          <w:spacing w:val="-4"/>
        </w:rPr>
        <w:t> </w:t>
      </w:r>
      <w:r>
        <w:rPr/>
        <w:t>assets,</w:t>
      </w:r>
      <w:r>
        <w:rPr>
          <w:spacing w:val="-3"/>
        </w:rPr>
        <w:t> </w:t>
      </w:r>
      <w:r>
        <w:rPr/>
        <w:t>net,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reviewed</w:t>
      </w:r>
      <w:r>
        <w:rPr>
          <w:spacing w:val="-3"/>
        </w:rPr>
        <w:t> </w:t>
      </w:r>
      <w:r>
        <w:rPr/>
        <w:t>for</w:t>
      </w:r>
      <w:r>
        <w:rPr>
          <w:spacing w:val="-47"/>
        </w:rPr>
        <w:t> </w:t>
      </w:r>
      <w:r>
        <w:rPr/>
        <w:t>impairment</w:t>
      </w:r>
      <w:r>
        <w:rPr>
          <w:spacing w:val="-4"/>
        </w:rPr>
        <w:t> </w:t>
      </w:r>
      <w:r>
        <w:rPr/>
        <w:t>whenever</w:t>
      </w:r>
      <w:r>
        <w:rPr>
          <w:spacing w:val="-3"/>
        </w:rPr>
        <w:t> </w:t>
      </w:r>
      <w:r>
        <w:rPr/>
        <w:t>events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changes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circumstances</w:t>
      </w:r>
      <w:r>
        <w:rPr>
          <w:spacing w:val="-3"/>
        </w:rPr>
        <w:t> </w:t>
      </w:r>
      <w:r>
        <w:rPr/>
        <w:t>indicate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carrying</w:t>
      </w:r>
      <w:r>
        <w:rPr>
          <w:spacing w:val="-2"/>
        </w:rPr>
        <w:t> </w:t>
      </w:r>
      <w:r>
        <w:rPr/>
        <w:t>amount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an</w:t>
      </w:r>
      <w:r>
        <w:rPr>
          <w:spacing w:val="-3"/>
        </w:rPr>
        <w:t> </w:t>
      </w:r>
      <w:r>
        <w:rPr/>
        <w:t>asset</w:t>
      </w:r>
      <w:r>
        <w:rPr>
          <w:spacing w:val="-4"/>
        </w:rPr>
        <w:t> </w:t>
      </w:r>
      <w:r>
        <w:rPr/>
        <w:t>may</w:t>
      </w:r>
      <w:r>
        <w:rPr>
          <w:spacing w:val="-2"/>
        </w:rPr>
        <w:t> </w:t>
      </w:r>
      <w:r>
        <w:rPr/>
        <w:t>not</w:t>
      </w:r>
      <w:r>
        <w:rPr>
          <w:spacing w:val="-4"/>
        </w:rPr>
        <w:t> </w:t>
      </w:r>
      <w:r>
        <w:rPr/>
        <w:t>be</w:t>
      </w:r>
      <w:r>
        <w:rPr>
          <w:spacing w:val="1"/>
        </w:rPr>
        <w:t> </w:t>
      </w:r>
      <w:r>
        <w:rPr/>
        <w:t>recoverable. If circumstances require that a long-lived asset be tested for possible impairment, the Company</w:t>
      </w:r>
      <w:r>
        <w:rPr>
          <w:spacing w:val="1"/>
        </w:rPr>
        <w:t> </w:t>
      </w:r>
      <w:r>
        <w:rPr/>
        <w:t>compares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undiscounted</w:t>
      </w:r>
      <w:r>
        <w:rPr>
          <w:spacing w:val="-2"/>
        </w:rPr>
        <w:t> </w:t>
      </w:r>
      <w:r>
        <w:rPr/>
        <w:t>cash</w:t>
      </w:r>
      <w:r>
        <w:rPr>
          <w:spacing w:val="-2"/>
        </w:rPr>
        <w:t> </w:t>
      </w:r>
      <w:r>
        <w:rPr/>
        <w:t>flows</w:t>
      </w:r>
      <w:r>
        <w:rPr>
          <w:spacing w:val="-2"/>
        </w:rPr>
        <w:t> </w:t>
      </w:r>
      <w:r>
        <w:rPr/>
        <w:t>expected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generated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asset</w:t>
      </w:r>
      <w:r>
        <w:rPr>
          <w:spacing w:val="-3"/>
        </w:rPr>
        <w:t> </w:t>
      </w:r>
      <w:r>
        <w:rPr/>
        <w:t>group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carrying</w:t>
      </w:r>
      <w:r>
        <w:rPr>
          <w:spacing w:val="-2"/>
        </w:rPr>
        <w:t> </w:t>
      </w:r>
      <w:r>
        <w:rPr/>
        <w:t>amount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  <w:ind w:right="180" w:firstLine="0"/>
      </w:pPr>
      <w:r>
        <w:rPr/>
        <w:t>asset group. If the carrying amount of the long-lived asset is not recoverable on an undiscounted cash flow basis, an</w:t>
      </w:r>
      <w:r>
        <w:rPr>
          <w:spacing w:val="-47"/>
        </w:rPr>
        <w:t> </w:t>
      </w:r>
      <w:r>
        <w:rPr/>
        <w:t>impairment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recognized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extent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carrying</w:t>
      </w:r>
      <w:r>
        <w:rPr>
          <w:spacing w:val="-2"/>
        </w:rPr>
        <w:t> </w:t>
      </w:r>
      <w:r>
        <w:rPr/>
        <w:t>amount</w:t>
      </w:r>
      <w:r>
        <w:rPr>
          <w:spacing w:val="-4"/>
        </w:rPr>
        <w:t> </w:t>
      </w:r>
      <w:r>
        <w:rPr/>
        <w:t>exceeds</w:t>
      </w:r>
      <w:r>
        <w:rPr>
          <w:spacing w:val="-4"/>
        </w:rPr>
        <w:t> </w:t>
      </w:r>
      <w:r>
        <w:rPr/>
        <w:t>its</w:t>
      </w:r>
      <w:r>
        <w:rPr>
          <w:spacing w:val="-3"/>
        </w:rPr>
        <w:t> </w:t>
      </w:r>
      <w:r>
        <w:rPr/>
        <w:t>fair</w:t>
      </w:r>
      <w:r>
        <w:rPr>
          <w:spacing w:val="-3"/>
        </w:rPr>
        <w:t> </w:t>
      </w:r>
      <w:r>
        <w:rPr/>
        <w:t>value.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Company</w:t>
      </w:r>
      <w:r>
        <w:rPr>
          <w:spacing w:val="-3"/>
        </w:rPr>
        <w:t> </w:t>
      </w:r>
      <w:r>
        <w:rPr/>
        <w:t>determines</w:t>
      </w:r>
      <w:r>
        <w:rPr>
          <w:spacing w:val="-4"/>
        </w:rPr>
        <w:t> </w:t>
      </w:r>
      <w:r>
        <w:rPr/>
        <w:t>fair</w:t>
      </w:r>
      <w:r>
        <w:rPr>
          <w:spacing w:val="1"/>
        </w:rPr>
        <w:t> </w:t>
      </w:r>
      <w:r>
        <w:rPr/>
        <w:t>value using the income approach based on the present value of expected future cash flows or other appropriate</w:t>
      </w:r>
      <w:r>
        <w:rPr>
          <w:spacing w:val="1"/>
        </w:rPr>
        <w:t> </w:t>
      </w:r>
      <w:r>
        <w:rPr/>
        <w:t>measures of estimated fair value. The Company’s cash flow assumptions consider historical and forecasted revenue</w:t>
      </w:r>
      <w:r>
        <w:rPr>
          <w:spacing w:val="1"/>
        </w:rPr>
        <w:t> </w:t>
      </w:r>
      <w:r>
        <w:rPr/>
        <w:t>and operating costs and other relevant factors. Since inception, the Company has not recorded impairment charges</w:t>
      </w:r>
      <w:r>
        <w:rPr>
          <w:spacing w:val="1"/>
        </w:rPr>
        <w:t> </w:t>
      </w:r>
      <w:r>
        <w:rPr/>
        <w:t>on</w:t>
      </w:r>
      <w:r>
        <w:rPr>
          <w:spacing w:val="-1"/>
        </w:rPr>
        <w:t> </w:t>
      </w:r>
      <w:r>
        <w:rPr/>
        <w:t>its</w:t>
      </w:r>
      <w:r>
        <w:rPr>
          <w:spacing w:val="-1"/>
        </w:rPr>
        <w:t> </w:t>
      </w:r>
      <w:r>
        <w:rPr/>
        <w:t>long-lived assets.</w:t>
      </w:r>
    </w:p>
    <w:p>
      <w:pPr>
        <w:pStyle w:val="Heading3"/>
        <w:spacing w:before="181"/>
        <w:rPr>
          <w:i/>
        </w:rPr>
      </w:pPr>
      <w:r>
        <w:rPr>
          <w:i/>
        </w:rPr>
        <w:t>Deferred</w:t>
      </w:r>
      <w:r>
        <w:rPr>
          <w:i/>
          <w:spacing w:val="-5"/>
        </w:rPr>
        <w:t> </w:t>
      </w:r>
      <w:r>
        <w:rPr>
          <w:i/>
        </w:rPr>
        <w:t>Offering</w:t>
      </w:r>
      <w:r>
        <w:rPr>
          <w:i/>
          <w:spacing w:val="-4"/>
        </w:rPr>
        <w:t> </w:t>
      </w:r>
      <w:r>
        <w:rPr>
          <w:i/>
        </w:rPr>
        <w:t>Costs</w:t>
      </w:r>
    </w:p>
    <w:p>
      <w:pPr>
        <w:pStyle w:val="BodyText"/>
        <w:spacing w:line="249" w:lineRule="auto" w:before="194"/>
        <w:ind w:right="129"/>
      </w:pPr>
      <w:r>
        <w:rPr/>
        <w:t>The Company capitalizes, within other assets, certain legal, accounting and other third-party fees that are</w:t>
      </w:r>
      <w:r>
        <w:rPr>
          <w:spacing w:val="1"/>
        </w:rPr>
        <w:t> </w:t>
      </w:r>
      <w:r>
        <w:rPr/>
        <w:t>directly related to the Company’s in-process equity financings, including its recent initial public offering, until such</w:t>
      </w:r>
      <w:r>
        <w:rPr>
          <w:spacing w:val="1"/>
        </w:rPr>
        <w:t> </w:t>
      </w:r>
      <w:r>
        <w:rPr/>
        <w:t>financings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consummated.</w:t>
      </w:r>
      <w:r>
        <w:rPr>
          <w:spacing w:val="-3"/>
        </w:rPr>
        <w:t> </w:t>
      </w:r>
      <w:r>
        <w:rPr/>
        <w:t>After</w:t>
      </w:r>
      <w:r>
        <w:rPr>
          <w:spacing w:val="-3"/>
        </w:rPr>
        <w:t> </w:t>
      </w:r>
      <w:r>
        <w:rPr/>
        <w:t>consummation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equity</w:t>
      </w:r>
      <w:r>
        <w:rPr>
          <w:spacing w:val="-3"/>
        </w:rPr>
        <w:t> </w:t>
      </w:r>
      <w:r>
        <w:rPr/>
        <w:t>financing,</w:t>
      </w:r>
      <w:r>
        <w:rPr>
          <w:spacing w:val="-3"/>
        </w:rPr>
        <w:t> </w:t>
      </w:r>
      <w:r>
        <w:rPr/>
        <w:t>these</w:t>
      </w:r>
      <w:r>
        <w:rPr>
          <w:spacing w:val="-4"/>
        </w:rPr>
        <w:t> </w:t>
      </w:r>
      <w:r>
        <w:rPr/>
        <w:t>costs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recorded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additional</w:t>
      </w:r>
      <w:r>
        <w:rPr>
          <w:spacing w:val="-4"/>
        </w:rPr>
        <w:t> </w:t>
      </w:r>
      <w:r>
        <w:rPr/>
        <w:t>paid</w:t>
      </w:r>
      <w:r>
        <w:rPr>
          <w:spacing w:val="-47"/>
        </w:rPr>
        <w:t> </w:t>
      </w:r>
      <w:r>
        <w:rPr/>
        <w:t>in capital as a reduction of the proceeds received as a result of the offering. Should a planned equity financing be</w:t>
      </w:r>
      <w:r>
        <w:rPr>
          <w:spacing w:val="1"/>
        </w:rPr>
        <w:t> </w:t>
      </w:r>
      <w:r>
        <w:rPr/>
        <w:t>abandoned, terminated or significantly delayed, the deferred offering costs are immediately written off to operating</w:t>
      </w:r>
      <w:r>
        <w:rPr>
          <w:spacing w:val="1"/>
        </w:rPr>
        <w:t> </w:t>
      </w:r>
      <w:r>
        <w:rPr/>
        <w:t>expenses. There were no deferred offering costs as of September 30, 2021 and December 31, 2020. Upon the</w:t>
      </w:r>
      <w:r>
        <w:rPr>
          <w:spacing w:val="1"/>
        </w:rPr>
        <w:t> </w:t>
      </w:r>
      <w:r>
        <w:rPr/>
        <w:t>completion of</w:t>
      </w:r>
      <w:r>
        <w:rPr>
          <w:spacing w:val="1"/>
        </w:rPr>
        <w:t> </w:t>
      </w:r>
      <w:r>
        <w:rPr/>
        <w:t>the Company’s</w:t>
      </w:r>
      <w:r>
        <w:rPr>
          <w:spacing w:val="-1"/>
        </w:rPr>
        <w:t> </w:t>
      </w:r>
      <w:r>
        <w:rPr/>
        <w:t>IPO in</w:t>
      </w:r>
      <w:r>
        <w:rPr>
          <w:spacing w:val="1"/>
        </w:rPr>
        <w:t> </w:t>
      </w:r>
      <w:r>
        <w:rPr/>
        <w:t>September</w:t>
      </w:r>
      <w:r>
        <w:rPr>
          <w:spacing w:val="1"/>
        </w:rPr>
        <w:t> </w:t>
      </w:r>
      <w:r>
        <w:rPr/>
        <w:t>2021, all deferred</w:t>
      </w:r>
      <w:r>
        <w:rPr>
          <w:spacing w:val="1"/>
        </w:rPr>
        <w:t> </w:t>
      </w:r>
      <w:r>
        <w:rPr/>
        <w:t>offering</w:t>
      </w:r>
      <w:r>
        <w:rPr>
          <w:spacing w:val="1"/>
        </w:rPr>
        <w:t> </w:t>
      </w:r>
      <w:r>
        <w:rPr/>
        <w:t>costs</w:t>
      </w:r>
      <w:r>
        <w:rPr>
          <w:spacing w:val="-1"/>
        </w:rPr>
        <w:t> </w:t>
      </w:r>
      <w:r>
        <w:rPr/>
        <w:t>were reclassified</w:t>
      </w:r>
      <w:r>
        <w:rPr>
          <w:spacing w:val="1"/>
        </w:rPr>
        <w:t> </w:t>
      </w:r>
      <w:r>
        <w:rPr/>
        <w:t>to cost of</w:t>
      </w:r>
      <w:r>
        <w:rPr>
          <w:spacing w:val="1"/>
        </w:rPr>
        <w:t> </w:t>
      </w:r>
      <w:r>
        <w:rPr/>
        <w:t>issuance</w:t>
      </w:r>
      <w:r>
        <w:rPr>
          <w:spacing w:val="-2"/>
        </w:rPr>
        <w:t> </w:t>
      </w:r>
      <w:r>
        <w:rPr/>
        <w:t>in additional</w:t>
      </w:r>
      <w:r>
        <w:rPr>
          <w:spacing w:val="-1"/>
        </w:rPr>
        <w:t> </w:t>
      </w:r>
      <w:r>
        <w:rPr/>
        <w:t>paid in capital.</w:t>
      </w:r>
    </w:p>
    <w:p>
      <w:pPr>
        <w:pStyle w:val="Heading3"/>
        <w:spacing w:before="183"/>
        <w:rPr>
          <w:i/>
        </w:rPr>
      </w:pPr>
      <w:r>
        <w:rPr>
          <w:i/>
        </w:rPr>
        <w:t>Deferred</w:t>
      </w:r>
      <w:r>
        <w:rPr>
          <w:i/>
          <w:spacing w:val="-6"/>
        </w:rPr>
        <w:t> </w:t>
      </w:r>
      <w:r>
        <w:rPr>
          <w:i/>
        </w:rPr>
        <w:t>Revenue</w:t>
      </w:r>
    </w:p>
    <w:p>
      <w:pPr>
        <w:pStyle w:val="BodyText"/>
        <w:spacing w:line="249" w:lineRule="auto" w:before="193"/>
        <w:ind w:right="196"/>
      </w:pPr>
      <w:r>
        <w:rPr/>
        <w:t>The timing of revenue recognition may differ from the timing of invoicing to customers. The Company records</w:t>
      </w:r>
      <w:r>
        <w:rPr>
          <w:spacing w:val="-47"/>
        </w:rPr>
        <w:t> </w:t>
      </w:r>
      <w:r>
        <w:rPr/>
        <w:t>deferred revenue when revenue will be recognized subsequent to invoicing. Service agreements are generally</w:t>
      </w:r>
      <w:r>
        <w:rPr>
          <w:spacing w:val="1"/>
        </w:rPr>
        <w:t> </w:t>
      </w:r>
      <w:r>
        <w:rPr/>
        <w:t>invoiced annually at the beginning of each coverage period and recorded as deferred revenue and recognized as</w:t>
      </w:r>
      <w:r>
        <w:rPr>
          <w:spacing w:val="1"/>
        </w:rPr>
        <w:t> </w:t>
      </w:r>
      <w:r>
        <w:rPr/>
        <w:t>revenue ratably over the coverage period. Deferred revenue that will be recognized during the twelve months</w:t>
      </w:r>
      <w:r>
        <w:rPr>
          <w:spacing w:val="1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balance</w:t>
      </w:r>
      <w:r>
        <w:rPr>
          <w:spacing w:val="-3"/>
        </w:rPr>
        <w:t> </w:t>
      </w:r>
      <w:r>
        <w:rPr/>
        <w:t>sheet</w:t>
      </w:r>
      <w:r>
        <w:rPr>
          <w:spacing w:val="-3"/>
        </w:rPr>
        <w:t> </w:t>
      </w:r>
      <w:r>
        <w:rPr/>
        <w:t>date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recorded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current</w:t>
      </w:r>
      <w:r>
        <w:rPr>
          <w:spacing w:val="-4"/>
        </w:rPr>
        <w:t> </w:t>
      </w:r>
      <w:r>
        <w:rPr/>
        <w:t>portion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deferred</w:t>
      </w:r>
      <w:r>
        <w:rPr>
          <w:spacing w:val="-2"/>
        </w:rPr>
        <w:t> </w:t>
      </w:r>
      <w:r>
        <w:rPr/>
        <w:t>revenue,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remaining</w:t>
      </w:r>
      <w:r>
        <w:rPr>
          <w:spacing w:val="-2"/>
        </w:rPr>
        <w:t> </w:t>
      </w:r>
      <w:r>
        <w:rPr/>
        <w:t>portion,</w:t>
      </w:r>
      <w:r>
        <w:rPr>
          <w:spacing w:val="-3"/>
        </w:rPr>
        <w:t> </w:t>
      </w:r>
      <w:r>
        <w:rPr/>
        <w:t>if</w:t>
      </w:r>
      <w:r>
        <w:rPr>
          <w:spacing w:val="-47"/>
        </w:rPr>
        <w:t> </w:t>
      </w:r>
      <w:r>
        <w:rPr/>
        <w:t>any,</w:t>
      </w:r>
      <w:r>
        <w:rPr>
          <w:spacing w:val="-1"/>
        </w:rPr>
        <w:t> </w:t>
      </w:r>
      <w:r>
        <w:rPr/>
        <w:t>would be</w:t>
      </w:r>
      <w:r>
        <w:rPr>
          <w:spacing w:val="-1"/>
        </w:rPr>
        <w:t> </w:t>
      </w:r>
      <w:r>
        <w:rPr/>
        <w:t>recorded as</w:t>
      </w:r>
      <w:r>
        <w:rPr>
          <w:spacing w:val="-1"/>
        </w:rPr>
        <w:t> </w:t>
      </w:r>
      <w:r>
        <w:rPr/>
        <w:t>non-current.</w:t>
      </w:r>
    </w:p>
    <w:p>
      <w:pPr>
        <w:pStyle w:val="Heading3"/>
        <w:spacing w:before="182"/>
        <w:rPr>
          <w:i/>
        </w:rPr>
      </w:pPr>
      <w:r>
        <w:rPr>
          <w:i/>
        </w:rPr>
        <w:t>Redeemable</w:t>
      </w:r>
      <w:r>
        <w:rPr>
          <w:i/>
          <w:spacing w:val="-7"/>
        </w:rPr>
        <w:t> </w:t>
      </w:r>
      <w:r>
        <w:rPr>
          <w:i/>
        </w:rPr>
        <w:t>Convertible</w:t>
      </w:r>
      <w:r>
        <w:rPr>
          <w:i/>
          <w:spacing w:val="-6"/>
        </w:rPr>
        <w:t> </w:t>
      </w:r>
      <w:r>
        <w:rPr>
          <w:i/>
        </w:rPr>
        <w:t>Preferred</w:t>
      </w:r>
      <w:r>
        <w:rPr>
          <w:i/>
          <w:spacing w:val="-6"/>
        </w:rPr>
        <w:t> </w:t>
      </w:r>
      <w:r>
        <w:rPr>
          <w:i/>
        </w:rPr>
        <w:t>Stock</w:t>
      </w:r>
    </w:p>
    <w:p>
      <w:pPr>
        <w:pStyle w:val="BodyText"/>
        <w:spacing w:line="249" w:lineRule="auto" w:before="193"/>
        <w:ind w:right="136"/>
      </w:pPr>
      <w:r>
        <w:rPr/>
        <w:t>The Company records redeemable convertible preferred stock at fair value on the date of issuance, net of</w:t>
      </w:r>
      <w:r>
        <w:rPr>
          <w:spacing w:val="1"/>
        </w:rPr>
        <w:t> </w:t>
      </w:r>
      <w:r>
        <w:rPr/>
        <w:t>issuance costs. The redeemable convertible preferred stock is recorded outside of permanent equity because it</w:t>
      </w:r>
      <w:r>
        <w:rPr>
          <w:spacing w:val="1"/>
        </w:rPr>
        <w:t> </w:t>
      </w:r>
      <w:r>
        <w:rPr/>
        <w:t>contains liquidation features that are not solely within the Company’s control. The Company determined that the</w:t>
      </w:r>
      <w:r>
        <w:rPr>
          <w:spacing w:val="1"/>
        </w:rPr>
        <w:t> </w:t>
      </w:r>
      <w:r>
        <w:rPr/>
        <w:t>carrying values of the redeemable convertible preferred stock should not be adjusted to the liquidation preferences</w:t>
      </w:r>
      <w:r>
        <w:rPr>
          <w:spacing w:val="1"/>
        </w:rPr>
        <w:t> </w:t>
      </w:r>
      <w:r>
        <w:rPr/>
        <w:t>because it is uncertain whether or when an event would occur that would obligate the Company to pay the</w:t>
      </w:r>
      <w:r>
        <w:rPr>
          <w:spacing w:val="1"/>
        </w:rPr>
        <w:t> </w:t>
      </w:r>
      <w:r>
        <w:rPr/>
        <w:t>liquidation</w:t>
      </w:r>
      <w:r>
        <w:rPr>
          <w:spacing w:val="2"/>
        </w:rPr>
        <w:t> </w:t>
      </w:r>
      <w:r>
        <w:rPr/>
        <w:t>preferences</w:t>
      </w:r>
      <w:r>
        <w:rPr>
          <w:spacing w:val="2"/>
        </w:rPr>
        <w:t> </w:t>
      </w:r>
      <w:r>
        <w:rPr/>
        <w:t>to</w:t>
      </w:r>
      <w:r>
        <w:rPr>
          <w:spacing w:val="3"/>
        </w:rPr>
        <w:t> </w:t>
      </w:r>
      <w:r>
        <w:rPr/>
        <w:t>holders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/>
        <w:t>shares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/>
        <w:t>redeemable</w:t>
      </w:r>
      <w:r>
        <w:rPr>
          <w:spacing w:val="2"/>
        </w:rPr>
        <w:t> </w:t>
      </w:r>
      <w:r>
        <w:rPr/>
        <w:t>convertible</w:t>
      </w:r>
      <w:r>
        <w:rPr>
          <w:spacing w:val="2"/>
        </w:rPr>
        <w:t> </w:t>
      </w:r>
      <w:r>
        <w:rPr/>
        <w:t>preferred</w:t>
      </w:r>
      <w:r>
        <w:rPr>
          <w:spacing w:val="3"/>
        </w:rPr>
        <w:t> </w:t>
      </w:r>
      <w:r>
        <w:rPr/>
        <w:t>stock.</w:t>
      </w:r>
      <w:r>
        <w:rPr>
          <w:spacing w:val="3"/>
        </w:rPr>
        <w:t> </w:t>
      </w:r>
      <w:r>
        <w:rPr/>
        <w:t>Subsequent</w:t>
      </w:r>
      <w:r>
        <w:rPr>
          <w:spacing w:val="2"/>
        </w:rPr>
        <w:t> </w:t>
      </w:r>
      <w:r>
        <w:rPr/>
        <w:t>adjustments</w:t>
      </w:r>
      <w:r>
        <w:rPr>
          <w:spacing w:val="2"/>
        </w:rPr>
        <w:t> </w:t>
      </w:r>
      <w:r>
        <w:rPr/>
        <w:t>to</w:t>
      </w:r>
      <w:r>
        <w:rPr>
          <w:spacing w:val="1"/>
        </w:rPr>
        <w:t> </w:t>
      </w:r>
      <w:r>
        <w:rPr/>
        <w:t>the carrying values of the redeemable convertible preferred stock to the liquidation preferences will be made only</w:t>
      </w:r>
      <w:r>
        <w:rPr>
          <w:spacing w:val="1"/>
        </w:rPr>
        <w:t> </w:t>
      </w:r>
      <w:r>
        <w:rPr/>
        <w:t>when</w:t>
      </w:r>
      <w:r>
        <w:rPr>
          <w:spacing w:val="-3"/>
        </w:rPr>
        <w:t> </w:t>
      </w:r>
      <w:r>
        <w:rPr/>
        <w:t>it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probable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redeemable</w:t>
      </w:r>
      <w:r>
        <w:rPr>
          <w:spacing w:val="-4"/>
        </w:rPr>
        <w:t> </w:t>
      </w:r>
      <w:r>
        <w:rPr/>
        <w:t>convertible</w:t>
      </w:r>
      <w:r>
        <w:rPr>
          <w:spacing w:val="-3"/>
        </w:rPr>
        <w:t> </w:t>
      </w:r>
      <w:r>
        <w:rPr/>
        <w:t>preferred</w:t>
      </w:r>
      <w:r>
        <w:rPr>
          <w:spacing w:val="-3"/>
        </w:rPr>
        <w:t> </w:t>
      </w:r>
      <w:r>
        <w:rPr/>
        <w:t>stock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become</w:t>
      </w:r>
      <w:r>
        <w:rPr>
          <w:spacing w:val="-4"/>
        </w:rPr>
        <w:t> </w:t>
      </w:r>
      <w:r>
        <w:rPr/>
        <w:t>redeemable.</w:t>
      </w:r>
      <w:r>
        <w:rPr>
          <w:spacing w:val="-2"/>
        </w:rPr>
        <w:t> </w:t>
      </w:r>
      <w:r>
        <w:rPr/>
        <w:t>Upon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completion</w:t>
      </w:r>
      <w:r>
        <w:rPr>
          <w:spacing w:val="-3"/>
        </w:rPr>
        <w:t> </w:t>
      </w:r>
      <w:r>
        <w:rPr/>
        <w:t>of</w:t>
      </w:r>
      <w:r>
        <w:rPr>
          <w:spacing w:val="-47"/>
        </w:rPr>
        <w:t> </w:t>
      </w:r>
      <w:r>
        <w:rPr/>
        <w:t>the Company’s IPO in September 2021, all 29,912,264 shares of its then-outstanding redeemable convertible</w:t>
      </w:r>
      <w:r>
        <w:rPr>
          <w:spacing w:val="1"/>
        </w:rPr>
        <w:t> </w:t>
      </w:r>
      <w:r>
        <w:rPr/>
        <w:t>preferred</w:t>
      </w:r>
      <w:r>
        <w:rPr>
          <w:spacing w:val="1"/>
        </w:rPr>
        <w:t> </w:t>
      </w:r>
      <w:r>
        <w:rPr/>
        <w:t>stock</w:t>
      </w:r>
      <w:r>
        <w:rPr>
          <w:spacing w:val="1"/>
        </w:rPr>
        <w:t> </w:t>
      </w:r>
      <w:r>
        <w:rPr/>
        <w:t>automatically</w:t>
      </w:r>
      <w:r>
        <w:rPr>
          <w:spacing w:val="1"/>
        </w:rPr>
        <w:t> </w:t>
      </w:r>
      <w:r>
        <w:rPr/>
        <w:t>converted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29,912,264</w:t>
      </w:r>
      <w:r>
        <w:rPr>
          <w:spacing w:val="2"/>
        </w:rPr>
        <w:t> </w:t>
      </w:r>
      <w:r>
        <w:rPr/>
        <w:t>shares of</w:t>
      </w:r>
      <w:r>
        <w:rPr>
          <w:spacing w:val="1"/>
        </w:rPr>
        <w:t> </w:t>
      </w:r>
      <w:r>
        <w:rPr/>
        <w:t>common</w:t>
      </w:r>
      <w:r>
        <w:rPr>
          <w:spacing w:val="1"/>
        </w:rPr>
        <w:t> </w:t>
      </w:r>
      <w:r>
        <w:rPr/>
        <w:t>stock</w:t>
      </w:r>
      <w:r>
        <w:rPr>
          <w:spacing w:val="1"/>
        </w:rPr>
        <w:t> </w:t>
      </w:r>
      <w:r>
        <w:rPr/>
        <w:t>and</w:t>
      </w:r>
      <w:r>
        <w:rPr>
          <w:spacing w:val="2"/>
        </w:rPr>
        <w:t> </w:t>
      </w:r>
      <w:r>
        <w:rPr/>
        <w:t>it reclassified</w:t>
      </w:r>
      <w:r>
        <w:rPr>
          <w:spacing w:val="1"/>
        </w:rPr>
        <w:t> </w:t>
      </w:r>
      <w:r>
        <w:rPr/>
        <w:t>$329.5</w:t>
      </w:r>
      <w:r>
        <w:rPr>
          <w:spacing w:val="1"/>
        </w:rPr>
        <w:t> </w:t>
      </w:r>
      <w:r>
        <w:rPr/>
        <w:t>million</w:t>
      </w:r>
      <w:r>
        <w:rPr>
          <w:spacing w:val="1"/>
        </w:rPr>
        <w:t> </w:t>
      </w:r>
      <w:r>
        <w:rPr/>
        <w:t>of</w:t>
      </w:r>
      <w:r>
        <w:rPr>
          <w:spacing w:val="-3"/>
        </w:rPr>
        <w:t> </w:t>
      </w:r>
      <w:r>
        <w:rPr/>
        <w:t>redeemable</w:t>
      </w:r>
      <w:r>
        <w:rPr>
          <w:spacing w:val="-4"/>
        </w:rPr>
        <w:t> </w:t>
      </w:r>
      <w:r>
        <w:rPr/>
        <w:t>convertible</w:t>
      </w:r>
      <w:r>
        <w:rPr>
          <w:spacing w:val="-4"/>
        </w:rPr>
        <w:t> </w:t>
      </w:r>
      <w:r>
        <w:rPr/>
        <w:t>preferred</w:t>
      </w:r>
      <w:r>
        <w:rPr>
          <w:spacing w:val="-3"/>
        </w:rPr>
        <w:t> </w:t>
      </w:r>
      <w:r>
        <w:rPr/>
        <w:t>stock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additional</w:t>
      </w:r>
      <w:r>
        <w:rPr>
          <w:spacing w:val="-4"/>
        </w:rPr>
        <w:t> </w:t>
      </w:r>
      <w:r>
        <w:rPr/>
        <w:t>paid-in</w:t>
      </w:r>
      <w:r>
        <w:rPr>
          <w:spacing w:val="-3"/>
        </w:rPr>
        <w:t> </w:t>
      </w:r>
      <w:r>
        <w:rPr/>
        <w:t>capital</w:t>
      </w:r>
      <w:r>
        <w:rPr>
          <w:spacing w:val="-4"/>
        </w:rPr>
        <w:t> </w:t>
      </w:r>
      <w:r>
        <w:rPr/>
        <w:t>on</w:t>
      </w:r>
      <w:r>
        <w:rPr>
          <w:spacing w:val="-2"/>
        </w:rPr>
        <w:t> </w:t>
      </w:r>
      <w:r>
        <w:rPr/>
        <w:t>its</w:t>
      </w:r>
      <w:r>
        <w:rPr>
          <w:spacing w:val="-4"/>
        </w:rPr>
        <w:t> </w:t>
      </w:r>
      <w:r>
        <w:rPr/>
        <w:t>condensed</w:t>
      </w:r>
      <w:r>
        <w:rPr>
          <w:spacing w:val="-3"/>
        </w:rPr>
        <w:t> </w:t>
      </w:r>
      <w:r>
        <w:rPr/>
        <w:t>consolidated</w:t>
      </w:r>
      <w:r>
        <w:rPr>
          <w:spacing w:val="-3"/>
        </w:rPr>
        <w:t> </w:t>
      </w:r>
      <w:r>
        <w:rPr/>
        <w:t>balance</w:t>
      </w:r>
      <w:r>
        <w:rPr>
          <w:spacing w:val="-4"/>
        </w:rPr>
        <w:t> </w:t>
      </w:r>
      <w:r>
        <w:rPr/>
        <w:t>sheet.</w:t>
      </w:r>
    </w:p>
    <w:p>
      <w:pPr>
        <w:pStyle w:val="Heading3"/>
        <w:spacing w:before="186"/>
        <w:rPr>
          <w:i/>
        </w:rPr>
      </w:pPr>
      <w:r>
        <w:rPr>
          <w:i/>
        </w:rPr>
        <w:t>Redeemable</w:t>
      </w:r>
      <w:r>
        <w:rPr>
          <w:i/>
          <w:spacing w:val="-7"/>
        </w:rPr>
        <w:t> </w:t>
      </w:r>
      <w:r>
        <w:rPr>
          <w:i/>
        </w:rPr>
        <w:t>Convertible</w:t>
      </w:r>
      <w:r>
        <w:rPr>
          <w:i/>
          <w:spacing w:val="-6"/>
        </w:rPr>
        <w:t> </w:t>
      </w:r>
      <w:r>
        <w:rPr>
          <w:i/>
        </w:rPr>
        <w:t>Preferred</w:t>
      </w:r>
      <w:r>
        <w:rPr>
          <w:i/>
          <w:spacing w:val="-6"/>
        </w:rPr>
        <w:t> </w:t>
      </w:r>
      <w:r>
        <w:rPr>
          <w:i/>
        </w:rPr>
        <w:t>Stock</w:t>
      </w:r>
      <w:r>
        <w:rPr>
          <w:i/>
          <w:spacing w:val="-5"/>
        </w:rPr>
        <w:t> </w:t>
      </w:r>
      <w:r>
        <w:rPr>
          <w:i/>
        </w:rPr>
        <w:t>Warrant</w:t>
      </w:r>
      <w:r>
        <w:rPr>
          <w:i/>
          <w:spacing w:val="-6"/>
        </w:rPr>
        <w:t> </w:t>
      </w:r>
      <w:r>
        <w:rPr>
          <w:i/>
        </w:rPr>
        <w:t>Liability</w:t>
      </w:r>
    </w:p>
    <w:p>
      <w:pPr>
        <w:pStyle w:val="BodyText"/>
        <w:spacing w:line="249" w:lineRule="auto" w:before="193"/>
        <w:ind w:right="113"/>
      </w:pPr>
      <w:r>
        <w:rPr/>
        <w:t>The Company has issued freestanding warrants to purchase shares of redeemable convertible preferred stock to</w:t>
      </w:r>
      <w:r>
        <w:rPr>
          <w:spacing w:val="1"/>
        </w:rPr>
        <w:t> </w:t>
      </w:r>
      <w:r>
        <w:rPr/>
        <w:t>investors in connection with sales of certain of its redeemable convertible preferred stock. The Company classified</w:t>
      </w:r>
      <w:r>
        <w:rPr>
          <w:spacing w:val="1"/>
        </w:rPr>
        <w:t> </w:t>
      </w:r>
      <w:r>
        <w:rPr/>
        <w:t>these warrants as a derivative liability because they create a conditional obligation for the Company to repurchase its</w:t>
      </w:r>
      <w:r>
        <w:rPr>
          <w:spacing w:val="-47"/>
        </w:rPr>
        <w:t> </w:t>
      </w:r>
      <w:r>
        <w:rPr/>
        <w:t>own shares for cash or other assets. The fair value of the warrants are recorded on the consolidated balance sheets at</w:t>
      </w:r>
      <w:r>
        <w:rPr>
          <w:spacing w:val="1"/>
        </w:rPr>
        <w:t> </w:t>
      </w:r>
      <w:r>
        <w:rPr/>
        <w:t>the issuance of the warrants and remeasured to fair value at each financial reporting date. The changes in the fair</w:t>
      </w:r>
      <w:r>
        <w:rPr>
          <w:spacing w:val="1"/>
        </w:rPr>
        <w:t> </w:t>
      </w:r>
      <w:r>
        <w:rPr/>
        <w:t>value of the warrants are recorded in the statement of operations as a component of interest and other income or</w:t>
      </w:r>
      <w:r>
        <w:rPr>
          <w:spacing w:val="1"/>
        </w:rPr>
        <w:t> </w:t>
      </w:r>
      <w:r>
        <w:rPr/>
        <w:t>expense as appropriate. The Company will continue to adjust the carrying value of the redeemable convertible</w:t>
      </w:r>
      <w:r>
        <w:rPr>
          <w:spacing w:val="1"/>
        </w:rPr>
        <w:t> </w:t>
      </w:r>
      <w:r>
        <w:rPr/>
        <w:t>preferred stock warrant liability for changes in the fair value of the warrants until the earlier of: the exercise of the</w:t>
      </w:r>
      <w:r>
        <w:rPr>
          <w:spacing w:val="1"/>
        </w:rPr>
        <w:t> </w:t>
      </w:r>
      <w:r>
        <w:rPr/>
        <w:t>warrants,</w:t>
      </w:r>
      <w:r>
        <w:rPr>
          <w:spacing w:val="-3"/>
        </w:rPr>
        <w:t> </w:t>
      </w:r>
      <w:r>
        <w:rPr/>
        <w:t>at</w:t>
      </w:r>
      <w:r>
        <w:rPr>
          <w:spacing w:val="-4"/>
        </w:rPr>
        <w:t> </w:t>
      </w:r>
      <w:r>
        <w:rPr/>
        <w:t>which</w:t>
      </w:r>
      <w:r>
        <w:rPr>
          <w:spacing w:val="-3"/>
        </w:rPr>
        <w:t> </w:t>
      </w:r>
      <w:r>
        <w:rPr/>
        <w:t>time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liability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reclassified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temporary</w:t>
      </w:r>
      <w:r>
        <w:rPr>
          <w:spacing w:val="-3"/>
        </w:rPr>
        <w:t> </w:t>
      </w:r>
      <w:r>
        <w:rPr/>
        <w:t>equity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expiration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warrant,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which</w:t>
      </w:r>
      <w:r>
        <w:rPr>
          <w:spacing w:val="1"/>
        </w:rPr>
        <w:t> </w:t>
      </w:r>
      <w:r>
        <w:rPr/>
        <w:t>time the entire amount would be reversed and reflected in the consolidated statements of operations and</w:t>
      </w:r>
      <w:r>
        <w:rPr>
          <w:spacing w:val="1"/>
        </w:rPr>
        <w:t> </w:t>
      </w:r>
      <w:r>
        <w:rPr/>
        <w:t>comprehensive loss. Upon the completion of the Company’s IPO in September 2021, warrants exercised for</w:t>
      </w:r>
      <w:r>
        <w:rPr>
          <w:spacing w:val="1"/>
        </w:rPr>
        <w:t> </w:t>
      </w:r>
      <w:r>
        <w:rPr/>
        <w:t>redeemable convertible preferred stock were automatically converted into 62,454 shares of common stock and the</w:t>
      </w:r>
      <w:r>
        <w:rPr>
          <w:spacing w:val="1"/>
        </w:rPr>
        <w:t> </w:t>
      </w:r>
      <w:r>
        <w:rPr/>
        <w:t>remaining</w:t>
      </w:r>
      <w:r>
        <w:rPr>
          <w:spacing w:val="-1"/>
        </w:rPr>
        <w:t> </w:t>
      </w:r>
      <w:r>
        <w:rPr/>
        <w:t>unexercised warrants</w:t>
      </w:r>
      <w:r>
        <w:rPr>
          <w:spacing w:val="-1"/>
        </w:rPr>
        <w:t> </w:t>
      </w:r>
      <w:r>
        <w:rPr/>
        <w:t>expired.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Heading3"/>
        <w:spacing w:before="68"/>
        <w:rPr>
          <w:i/>
        </w:rPr>
      </w:pPr>
      <w:r>
        <w:rPr>
          <w:i/>
        </w:rPr>
        <w:t>Loan</w:t>
      </w:r>
      <w:r>
        <w:rPr>
          <w:i/>
          <w:spacing w:val="-6"/>
        </w:rPr>
        <w:t> </w:t>
      </w:r>
      <w:r>
        <w:rPr>
          <w:i/>
        </w:rPr>
        <w:t>Facility</w:t>
      </w:r>
      <w:r>
        <w:rPr>
          <w:i/>
          <w:spacing w:val="-6"/>
        </w:rPr>
        <w:t> </w:t>
      </w:r>
      <w:r>
        <w:rPr>
          <w:i/>
        </w:rPr>
        <w:t>Derivative</w:t>
      </w:r>
      <w:r>
        <w:rPr>
          <w:i/>
          <w:spacing w:val="-6"/>
        </w:rPr>
        <w:t> </w:t>
      </w:r>
      <w:r>
        <w:rPr>
          <w:i/>
        </w:rPr>
        <w:t>Liability</w:t>
      </w:r>
    </w:p>
    <w:p>
      <w:pPr>
        <w:pStyle w:val="BodyText"/>
        <w:spacing w:line="249" w:lineRule="auto" w:before="194"/>
        <w:ind w:right="201"/>
      </w:pPr>
      <w:r>
        <w:rPr/>
        <w:t>The Company has determined that its obligation to pay success fees to a lender upon a successful liquidation</w:t>
      </w:r>
      <w:r>
        <w:rPr>
          <w:spacing w:val="1"/>
        </w:rPr>
        <w:t> </w:t>
      </w:r>
      <w:r>
        <w:rPr/>
        <w:t>event</w:t>
      </w:r>
      <w:r>
        <w:rPr>
          <w:spacing w:val="-5"/>
        </w:rPr>
        <w:t> </w:t>
      </w:r>
      <w:r>
        <w:rPr/>
        <w:t>or</w:t>
      </w:r>
      <w:r>
        <w:rPr>
          <w:spacing w:val="-3"/>
        </w:rPr>
        <w:t> </w:t>
      </w:r>
      <w:r>
        <w:rPr/>
        <w:t>achieving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revenue</w:t>
      </w:r>
      <w:r>
        <w:rPr>
          <w:spacing w:val="-5"/>
        </w:rPr>
        <w:t> </w:t>
      </w:r>
      <w:r>
        <w:rPr/>
        <w:t>target</w:t>
      </w:r>
      <w:r>
        <w:rPr>
          <w:spacing w:val="-4"/>
        </w:rPr>
        <w:t> </w:t>
      </w:r>
      <w:r>
        <w:rPr/>
        <w:t>represents</w:t>
      </w:r>
      <w:r>
        <w:rPr>
          <w:spacing w:val="-4"/>
        </w:rPr>
        <w:t> </w:t>
      </w:r>
      <w:r>
        <w:rPr/>
        <w:t>freestanding</w:t>
      </w:r>
      <w:r>
        <w:rPr>
          <w:spacing w:val="-3"/>
        </w:rPr>
        <w:t> </w:t>
      </w:r>
      <w:r>
        <w:rPr/>
        <w:t>financial</w:t>
      </w:r>
      <w:r>
        <w:rPr>
          <w:spacing w:val="-5"/>
        </w:rPr>
        <w:t> </w:t>
      </w:r>
      <w:r>
        <w:rPr/>
        <w:t>instruments.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instruments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classified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a</w:t>
      </w:r>
      <w:r>
        <w:rPr>
          <w:spacing w:val="1"/>
        </w:rPr>
        <w:t> </w:t>
      </w:r>
      <w:r>
        <w:rPr/>
        <w:t>non-current liability in the consolidated balance sheets and are subject to remeasurement at each financial reporting</w:t>
      </w:r>
      <w:r>
        <w:rPr>
          <w:spacing w:val="-47"/>
        </w:rPr>
        <w:t> </w:t>
      </w:r>
      <w:r>
        <w:rPr/>
        <w:t>date. Any change in fair value was recognized through other income (expense) in the condensed consolidated</w:t>
      </w:r>
      <w:r>
        <w:rPr>
          <w:spacing w:val="1"/>
        </w:rPr>
        <w:t> </w:t>
      </w:r>
      <w:r>
        <w:rPr/>
        <w:t>statements</w:t>
      </w:r>
      <w:r>
        <w:rPr>
          <w:spacing w:val="-2"/>
        </w:rPr>
        <w:t> </w:t>
      </w:r>
      <w:r>
        <w:rPr/>
        <w:t>of operations</w:t>
      </w:r>
      <w:r>
        <w:rPr>
          <w:spacing w:val="-1"/>
        </w:rPr>
        <w:t> </w:t>
      </w:r>
      <w:r>
        <w:rPr/>
        <w:t>and comprehensive</w:t>
      </w:r>
      <w:r>
        <w:rPr>
          <w:spacing w:val="-1"/>
        </w:rPr>
        <w:t> </w:t>
      </w:r>
      <w:r>
        <w:rPr/>
        <w:t>loss.</w:t>
      </w:r>
    </w:p>
    <w:p>
      <w:pPr>
        <w:pStyle w:val="Heading3"/>
        <w:spacing w:before="181"/>
        <w:rPr>
          <w:i/>
        </w:rPr>
      </w:pPr>
      <w:r>
        <w:rPr>
          <w:i/>
        </w:rPr>
        <w:t>Leases</w:t>
      </w:r>
    </w:p>
    <w:p>
      <w:pPr>
        <w:pStyle w:val="BodyText"/>
        <w:spacing w:line="249" w:lineRule="auto" w:before="193"/>
        <w:ind w:right="127"/>
      </w:pPr>
      <w:r>
        <w:rPr/>
        <w:t>For agreements with a term of more than twelve months, the Company determines if an agreement contains a</w:t>
      </w:r>
      <w:r>
        <w:rPr>
          <w:spacing w:val="1"/>
        </w:rPr>
        <w:t> </w:t>
      </w:r>
      <w:r>
        <w:rPr/>
        <w:t>lease at inception. Operating lease liabilities represent an obligation to make lease payments arising from the lease</w:t>
      </w:r>
      <w:r>
        <w:rPr>
          <w:spacing w:val="1"/>
        </w:rPr>
        <w:t> </w:t>
      </w:r>
      <w:r>
        <w:rPr/>
        <w:t>agreement. Operating lease liabilities are recognized at the lease commencement date based on the present value of</w:t>
      </w:r>
      <w:r>
        <w:rPr>
          <w:spacing w:val="1"/>
        </w:rPr>
        <w:t> </w:t>
      </w:r>
      <w:r>
        <w:rPr/>
        <w:t>lease payments over the remaining lease term. In determining the present value of lease payments, the Company</w:t>
      </w:r>
      <w:r>
        <w:rPr>
          <w:spacing w:val="1"/>
        </w:rPr>
        <w:t> </w:t>
      </w:r>
      <w:r>
        <w:rPr/>
        <w:t>estimates its incremental borrowing rate as the rate of interest that the Company would have to pay to borrow on a</w:t>
      </w:r>
      <w:r>
        <w:rPr>
          <w:spacing w:val="1"/>
        </w:rPr>
        <w:t> </w:t>
      </w:r>
      <w:r>
        <w:rPr/>
        <w:t>collateralized</w:t>
      </w:r>
      <w:r>
        <w:rPr>
          <w:spacing w:val="1"/>
        </w:rPr>
        <w:t> </w:t>
      </w:r>
      <w:r>
        <w:rPr/>
        <w:t>basis</w:t>
      </w:r>
      <w:r>
        <w:rPr>
          <w:spacing w:val="1"/>
        </w:rPr>
        <w:t> </w:t>
      </w:r>
      <w:r>
        <w:rPr/>
        <w:t>over</w:t>
      </w:r>
      <w:r>
        <w:rPr>
          <w:spacing w:val="2"/>
        </w:rPr>
        <w:t> </w:t>
      </w:r>
      <w:r>
        <w:rPr/>
        <w:t>a similar</w:t>
      </w:r>
      <w:r>
        <w:rPr>
          <w:spacing w:val="2"/>
        </w:rPr>
        <w:t> </w:t>
      </w:r>
      <w:r>
        <w:rPr/>
        <w:t>term,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an</w:t>
      </w:r>
      <w:r>
        <w:rPr>
          <w:spacing w:val="1"/>
        </w:rPr>
        <w:t> </w:t>
      </w:r>
      <w:r>
        <w:rPr/>
        <w:t>amount</w:t>
      </w:r>
      <w:r>
        <w:rPr>
          <w:spacing w:val="1"/>
        </w:rPr>
        <w:t> </w:t>
      </w:r>
      <w:r>
        <w:rPr/>
        <w:t>equal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lease</w:t>
      </w:r>
      <w:r>
        <w:rPr>
          <w:spacing w:val="1"/>
        </w:rPr>
        <w:t> </w:t>
      </w:r>
      <w:r>
        <w:rPr/>
        <w:t>payments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similar</w:t>
      </w:r>
      <w:r>
        <w:rPr>
          <w:spacing w:val="2"/>
        </w:rPr>
        <w:t> </w:t>
      </w:r>
      <w:r>
        <w:rPr/>
        <w:t>economic</w:t>
      </w:r>
      <w:r>
        <w:rPr>
          <w:spacing w:val="1"/>
        </w:rPr>
        <w:t> </w:t>
      </w:r>
      <w:r>
        <w:rPr/>
        <w:t>environment. Operating lease liabilities are included in the Company’s consolidated balance sheet. Right-of-use</w:t>
      </w:r>
      <w:r>
        <w:rPr>
          <w:spacing w:val="1"/>
        </w:rPr>
        <w:t> </w:t>
      </w:r>
      <w:r>
        <w:rPr/>
        <w:t>assets represent our right to use an underlying asset for the lease term and are classified as non-current assets. Lease</w:t>
      </w:r>
      <w:r>
        <w:rPr>
          <w:spacing w:val="1"/>
        </w:rPr>
        <w:t> </w:t>
      </w:r>
      <w:r>
        <w:rPr/>
        <w:t>expense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recognized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straight-line</w:t>
      </w:r>
      <w:r>
        <w:rPr>
          <w:spacing w:val="-4"/>
        </w:rPr>
        <w:t> </w:t>
      </w:r>
      <w:r>
        <w:rPr/>
        <w:t>basis</w:t>
      </w:r>
      <w:r>
        <w:rPr>
          <w:spacing w:val="-4"/>
        </w:rPr>
        <w:t> </w:t>
      </w:r>
      <w:r>
        <w:rPr/>
        <w:t>over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expected</w:t>
      </w:r>
      <w:r>
        <w:rPr>
          <w:spacing w:val="-3"/>
        </w:rPr>
        <w:t> </w:t>
      </w:r>
      <w:r>
        <w:rPr/>
        <w:t>lease</w:t>
      </w:r>
      <w:r>
        <w:rPr>
          <w:spacing w:val="-4"/>
        </w:rPr>
        <w:t> </w:t>
      </w:r>
      <w:r>
        <w:rPr/>
        <w:t>term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Company’s</w:t>
      </w:r>
      <w:r>
        <w:rPr>
          <w:spacing w:val="-4"/>
        </w:rPr>
        <w:t> </w:t>
      </w:r>
      <w:r>
        <w:rPr/>
        <w:t>consolidated</w:t>
      </w:r>
      <w:r>
        <w:rPr>
          <w:spacing w:val="-3"/>
        </w:rPr>
        <w:t> </w:t>
      </w:r>
      <w:r>
        <w:rPr/>
        <w:t>statements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operations</w:t>
      </w:r>
      <w:r>
        <w:rPr>
          <w:spacing w:val="-1"/>
        </w:rPr>
        <w:t> </w:t>
      </w:r>
      <w:r>
        <w:rPr/>
        <w:t>and comprehensive</w:t>
      </w:r>
      <w:r>
        <w:rPr>
          <w:spacing w:val="-1"/>
        </w:rPr>
        <w:t> </w:t>
      </w:r>
      <w:r>
        <w:rPr/>
        <w:t>loss.</w:t>
      </w:r>
    </w:p>
    <w:p>
      <w:pPr>
        <w:pStyle w:val="BodyText"/>
        <w:spacing w:line="249" w:lineRule="auto" w:before="188"/>
        <w:ind w:right="148"/>
      </w:pPr>
      <w:r>
        <w:rPr/>
        <w:t>Through December 31, 2019, the Company recorded the difference between rent paid and the straight-line rent</w:t>
      </w:r>
      <w:r>
        <w:rPr>
          <w:spacing w:val="1"/>
        </w:rPr>
        <w:t> </w:t>
      </w:r>
      <w:r>
        <w:rPr/>
        <w:t>as a deferred rent liability and leasehold improvements funded by landlord incentives or allowances are recorded as</w:t>
      </w:r>
      <w:r>
        <w:rPr>
          <w:spacing w:val="1"/>
        </w:rPr>
        <w:t> </w:t>
      </w:r>
      <w:r>
        <w:rPr/>
        <w:t>leasehold improvement assets and a corresponding deferred rent liability. Upon adoption of Accounting Standards</w:t>
      </w:r>
      <w:r>
        <w:rPr>
          <w:spacing w:val="1"/>
        </w:rPr>
        <w:t> </w:t>
      </w:r>
      <w:r>
        <w:rPr/>
        <w:t>Codification</w:t>
      </w:r>
      <w:r>
        <w:rPr>
          <w:spacing w:val="-3"/>
        </w:rPr>
        <w:t> </w:t>
      </w:r>
      <w:r>
        <w:rPr/>
        <w:t>(“ASC</w:t>
      </w:r>
      <w:r>
        <w:rPr>
          <w:spacing w:val="-4"/>
        </w:rPr>
        <w:t> </w:t>
      </w:r>
      <w:r>
        <w:rPr/>
        <w:t>842”)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January</w:t>
      </w:r>
      <w:r>
        <w:rPr>
          <w:spacing w:val="-2"/>
        </w:rPr>
        <w:t> </w:t>
      </w:r>
      <w:r>
        <w:rPr/>
        <w:t>1,</w:t>
      </w:r>
      <w:r>
        <w:rPr>
          <w:spacing w:val="-3"/>
        </w:rPr>
        <w:t> </w:t>
      </w:r>
      <w:r>
        <w:rPr/>
        <w:t>2020,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unamortized</w:t>
      </w:r>
      <w:r>
        <w:rPr>
          <w:spacing w:val="-2"/>
        </w:rPr>
        <w:t> </w:t>
      </w:r>
      <w:r>
        <w:rPr/>
        <w:t>deferred</w:t>
      </w:r>
      <w:r>
        <w:rPr>
          <w:spacing w:val="-3"/>
        </w:rPr>
        <w:t> </w:t>
      </w:r>
      <w:r>
        <w:rPr/>
        <w:t>rent</w:t>
      </w:r>
      <w:r>
        <w:rPr>
          <w:spacing w:val="-4"/>
        </w:rPr>
        <w:t> </w:t>
      </w:r>
      <w:r>
        <w:rPr/>
        <w:t>liability</w:t>
      </w:r>
      <w:r>
        <w:rPr>
          <w:spacing w:val="-3"/>
        </w:rPr>
        <w:t> </w:t>
      </w:r>
      <w:r>
        <w:rPr/>
        <w:t>has</w:t>
      </w:r>
      <w:r>
        <w:rPr>
          <w:spacing w:val="-4"/>
        </w:rPr>
        <w:t> </w:t>
      </w:r>
      <w:r>
        <w:rPr/>
        <w:t>been</w:t>
      </w:r>
      <w:r>
        <w:rPr>
          <w:spacing w:val="-2"/>
        </w:rPr>
        <w:t> </w:t>
      </w:r>
      <w:r>
        <w:rPr/>
        <w:t>reclassified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reduce</w:t>
      </w:r>
      <w:r>
        <w:rPr>
          <w:spacing w:val="-47"/>
        </w:rPr>
        <w:t> </w:t>
      </w:r>
      <w:r>
        <w:rPr/>
        <w:t>the</w:t>
      </w:r>
      <w:r>
        <w:rPr>
          <w:spacing w:val="-2"/>
        </w:rPr>
        <w:t> </w:t>
      </w:r>
      <w:r>
        <w:rPr/>
        <w:t>right-of-use</w:t>
      </w:r>
      <w:r>
        <w:rPr>
          <w:spacing w:val="-1"/>
        </w:rPr>
        <w:t> </w:t>
      </w:r>
      <w:r>
        <w:rPr/>
        <w:t>asset.</w:t>
      </w:r>
    </w:p>
    <w:p>
      <w:pPr>
        <w:pStyle w:val="BodyText"/>
        <w:spacing w:line="249" w:lineRule="auto" w:before="184"/>
        <w:ind w:right="240"/>
      </w:pPr>
      <w:r>
        <w:rPr/>
        <w:t>The Company has not elected to separate lease and non-lease components for any leases within its existing</w:t>
      </w:r>
      <w:r>
        <w:rPr>
          <w:spacing w:val="1"/>
        </w:rPr>
        <w:t> </w:t>
      </w:r>
      <w:r>
        <w:rPr/>
        <w:t>classes of assets and, as a result, records a right-of-use asset and lease liability based on the present value of the</w:t>
      </w:r>
      <w:r>
        <w:rPr>
          <w:spacing w:val="1"/>
        </w:rPr>
        <w:t> </w:t>
      </w:r>
      <w:r>
        <w:rPr/>
        <w:t>future minimum lease payments over the term at commencement date. Variable lease payments are expensed as</w:t>
      </w:r>
      <w:r>
        <w:rPr>
          <w:spacing w:val="1"/>
        </w:rPr>
        <w:t> </w:t>
      </w:r>
      <w:r>
        <w:rPr/>
        <w:t>incurred.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Company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also</w:t>
      </w:r>
      <w:r>
        <w:rPr>
          <w:spacing w:val="-3"/>
        </w:rPr>
        <w:t> </w:t>
      </w:r>
      <w:r>
        <w:rPr/>
        <w:t>elected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apply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recognition</w:t>
      </w:r>
      <w:r>
        <w:rPr>
          <w:spacing w:val="-2"/>
        </w:rPr>
        <w:t> </w:t>
      </w:r>
      <w:r>
        <w:rPr/>
        <w:t>requirement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leases</w:t>
      </w:r>
      <w:r>
        <w:rPr>
          <w:spacing w:val="-3"/>
        </w:rPr>
        <w:t> </w:t>
      </w:r>
      <w:r>
        <w:rPr/>
        <w:t>within</w:t>
      </w:r>
      <w:r>
        <w:rPr>
          <w:spacing w:val="-3"/>
        </w:rPr>
        <w:t> </w:t>
      </w:r>
      <w:r>
        <w:rPr/>
        <w:t>its</w:t>
      </w:r>
      <w:r>
        <w:rPr>
          <w:spacing w:val="-4"/>
        </w:rPr>
        <w:t> </w:t>
      </w:r>
      <w:r>
        <w:rPr/>
        <w:t>existing</w:t>
      </w:r>
      <w:r>
        <w:rPr>
          <w:spacing w:val="-47"/>
        </w:rPr>
        <w:t> </w:t>
      </w:r>
      <w:r>
        <w:rPr/>
        <w:t>classes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assets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term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12</w:t>
      </w:r>
      <w:r>
        <w:rPr>
          <w:spacing w:val="-1"/>
        </w:rPr>
        <w:t> </w:t>
      </w:r>
      <w:r>
        <w:rPr/>
        <w:t>months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less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does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include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option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purchase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underlying</w:t>
      </w:r>
      <w:r>
        <w:rPr>
          <w:spacing w:val="-2"/>
        </w:rPr>
        <w:t> </w:t>
      </w:r>
      <w:r>
        <w:rPr/>
        <w:t>asset</w:t>
      </w:r>
      <w:r>
        <w:rPr>
          <w:spacing w:val="-47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Company is</w:t>
      </w:r>
      <w:r>
        <w:rPr>
          <w:spacing w:val="-1"/>
        </w:rPr>
        <w:t> </w:t>
      </w:r>
      <w:r>
        <w:rPr/>
        <w:t>reasonably</w:t>
      </w:r>
      <w:r>
        <w:rPr>
          <w:spacing w:val="-1"/>
        </w:rPr>
        <w:t> </w:t>
      </w:r>
      <w:r>
        <w:rPr/>
        <w:t>certain to exercise.</w:t>
      </w:r>
    </w:p>
    <w:p>
      <w:pPr>
        <w:pStyle w:val="BodyText"/>
        <w:spacing w:line="249" w:lineRule="auto" w:before="185"/>
        <w:ind w:right="180"/>
      </w:pPr>
      <w:r>
        <w:rPr/>
        <w:t>The Company has lessor arrangements with customers for a fixed monthly fee with no non-lease components,</w:t>
      </w:r>
      <w:r>
        <w:rPr>
          <w:spacing w:val="1"/>
        </w:rPr>
        <w:t> </w:t>
      </w:r>
      <w:r>
        <w:rPr/>
        <w:t>typically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3-12</w:t>
      </w:r>
      <w:r>
        <w:rPr>
          <w:spacing w:val="-2"/>
        </w:rPr>
        <w:t> </w:t>
      </w:r>
      <w:r>
        <w:rPr/>
        <w:t>months.</w:t>
      </w:r>
      <w:r>
        <w:rPr>
          <w:spacing w:val="-3"/>
        </w:rPr>
        <w:t> </w:t>
      </w:r>
      <w:r>
        <w:rPr/>
        <w:t>These</w:t>
      </w:r>
      <w:r>
        <w:rPr>
          <w:spacing w:val="-3"/>
        </w:rPr>
        <w:t> </w:t>
      </w:r>
      <w:r>
        <w:rPr/>
        <w:t>arrangements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accounted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as</w:t>
      </w:r>
      <w:r>
        <w:rPr>
          <w:spacing w:val="-4"/>
        </w:rPr>
        <w:t> </w:t>
      </w:r>
      <w:r>
        <w:rPr/>
        <w:t>an</w:t>
      </w:r>
      <w:r>
        <w:rPr>
          <w:spacing w:val="-2"/>
        </w:rPr>
        <w:t> </w:t>
      </w:r>
      <w:r>
        <w:rPr/>
        <w:t>operating</w:t>
      </w:r>
      <w:r>
        <w:rPr>
          <w:spacing w:val="-3"/>
        </w:rPr>
        <w:t> </w:t>
      </w:r>
      <w:r>
        <w:rPr/>
        <w:t>lease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accordance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ASC</w:t>
      </w:r>
      <w:r>
        <w:rPr>
          <w:spacing w:val="-3"/>
        </w:rPr>
        <w:t> </w:t>
      </w:r>
      <w:r>
        <w:rPr/>
        <w:t>842.</w:t>
      </w:r>
      <w:r>
        <w:rPr>
          <w:spacing w:val="-47"/>
        </w:rPr>
        <w:t> </w:t>
      </w:r>
      <w:r>
        <w:rPr/>
        <w:t>These</w:t>
      </w:r>
      <w:r>
        <w:rPr>
          <w:spacing w:val="-2"/>
        </w:rPr>
        <w:t> </w:t>
      </w:r>
      <w:r>
        <w:rPr/>
        <w:t>arrangements</w:t>
      </w:r>
      <w:r>
        <w:rPr>
          <w:spacing w:val="-2"/>
        </w:rPr>
        <w:t> </w:t>
      </w:r>
      <w:r>
        <w:rPr/>
        <w:t>and related</w:t>
      </w:r>
      <w:r>
        <w:rPr>
          <w:spacing w:val="-1"/>
        </w:rPr>
        <w:t> </w:t>
      </w:r>
      <w:r>
        <w:rPr/>
        <w:t>revenue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immaterial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periods</w:t>
      </w:r>
      <w:r>
        <w:rPr>
          <w:spacing w:val="-2"/>
        </w:rPr>
        <w:t> </w:t>
      </w:r>
      <w:r>
        <w:rPr/>
        <w:t>presented.</w:t>
      </w:r>
    </w:p>
    <w:p>
      <w:pPr>
        <w:pStyle w:val="Heading3"/>
        <w:spacing w:before="179"/>
        <w:rPr>
          <w:i/>
        </w:rPr>
      </w:pPr>
      <w:r>
        <w:rPr>
          <w:i/>
        </w:rPr>
        <w:t>Revenue</w:t>
      </w:r>
      <w:r>
        <w:rPr>
          <w:i/>
          <w:spacing w:val="-7"/>
        </w:rPr>
        <w:t> </w:t>
      </w:r>
      <w:r>
        <w:rPr>
          <w:i/>
        </w:rPr>
        <w:t>Recognition</w:t>
      </w:r>
    </w:p>
    <w:p>
      <w:pPr>
        <w:pStyle w:val="BodyText"/>
        <w:spacing w:line="249" w:lineRule="auto" w:before="193"/>
        <w:ind w:right="333"/>
        <w:jc w:val="both"/>
      </w:pPr>
      <w:r>
        <w:rPr/>
        <w:t>Revenue is derived primarily from the sales of the AquaBeam</w:t>
      </w:r>
      <w:r>
        <w:rPr>
          <w:vertAlign w:val="superscript"/>
        </w:rPr>
        <w:t>®</w:t>
      </w:r>
      <w:r>
        <w:rPr>
          <w:vertAlign w:val="baseline"/>
        </w:rPr>
        <w:t> Robotic Systems, and handpieces that are for</w:t>
      </w:r>
      <w:r>
        <w:rPr>
          <w:spacing w:val="1"/>
          <w:vertAlign w:val="baseline"/>
        </w:rPr>
        <w:t> </w:t>
      </w:r>
      <w:r>
        <w:rPr>
          <w:vertAlign w:val="baseline"/>
        </w:rPr>
        <w:t>one-time use during each surgery using the AquaBeam Robotic System. The AquaBeam Robotic System contains</w:t>
      </w:r>
      <w:r>
        <w:rPr>
          <w:spacing w:val="-47"/>
          <w:vertAlign w:val="baseline"/>
        </w:rPr>
        <w:t> </w:t>
      </w:r>
      <w:r>
        <w:rPr>
          <w:vertAlign w:val="baseline"/>
        </w:rPr>
        <w:t>both</w:t>
      </w:r>
      <w:r>
        <w:rPr>
          <w:spacing w:val="-3"/>
          <w:vertAlign w:val="baseline"/>
        </w:rPr>
        <w:t> </w:t>
      </w:r>
      <w:r>
        <w:rPr>
          <w:vertAlign w:val="baseline"/>
        </w:rPr>
        <w:t>software</w:t>
      </w:r>
      <w:r>
        <w:rPr>
          <w:spacing w:val="-3"/>
          <w:vertAlign w:val="baseline"/>
        </w:rPr>
        <w:t> </w:t>
      </w:r>
      <w:r>
        <w:rPr>
          <w:vertAlign w:val="baseline"/>
        </w:rPr>
        <w:t>and</w:t>
      </w:r>
      <w:r>
        <w:rPr>
          <w:spacing w:val="-3"/>
          <w:vertAlign w:val="baseline"/>
        </w:rPr>
        <w:t> </w:t>
      </w:r>
      <w:r>
        <w:rPr>
          <w:vertAlign w:val="baseline"/>
        </w:rPr>
        <w:t>non-software</w:t>
      </w:r>
      <w:r>
        <w:rPr>
          <w:spacing w:val="-3"/>
          <w:vertAlign w:val="baseline"/>
        </w:rPr>
        <w:t> </w:t>
      </w:r>
      <w:r>
        <w:rPr>
          <w:vertAlign w:val="baseline"/>
        </w:rPr>
        <w:t>components</w:t>
      </w:r>
      <w:r>
        <w:rPr>
          <w:spacing w:val="-4"/>
          <w:vertAlign w:val="baseline"/>
        </w:rPr>
        <w:t> </w:t>
      </w:r>
      <w:r>
        <w:rPr>
          <w:vertAlign w:val="baseline"/>
        </w:rPr>
        <w:t>that</w:t>
      </w:r>
      <w:r>
        <w:rPr>
          <w:spacing w:val="-3"/>
          <w:vertAlign w:val="baseline"/>
        </w:rPr>
        <w:t> </w:t>
      </w:r>
      <w:r>
        <w:rPr>
          <w:vertAlign w:val="baseline"/>
        </w:rPr>
        <w:t>are</w:t>
      </w:r>
      <w:r>
        <w:rPr>
          <w:spacing w:val="-3"/>
          <w:vertAlign w:val="baseline"/>
        </w:rPr>
        <w:t> </w:t>
      </w:r>
      <w:r>
        <w:rPr>
          <w:vertAlign w:val="baseline"/>
        </w:rPr>
        <w:t>delivered</w:t>
      </w:r>
      <w:r>
        <w:rPr>
          <w:spacing w:val="-3"/>
          <w:vertAlign w:val="baseline"/>
        </w:rPr>
        <w:t> </w:t>
      </w:r>
      <w:r>
        <w:rPr>
          <w:vertAlign w:val="baseline"/>
        </w:rPr>
        <w:t>together</w:t>
      </w:r>
      <w:r>
        <w:rPr>
          <w:spacing w:val="-2"/>
          <w:vertAlign w:val="baseline"/>
        </w:rPr>
        <w:t> </w:t>
      </w:r>
      <w:r>
        <w:rPr>
          <w:vertAlign w:val="baseline"/>
        </w:rPr>
        <w:t>as</w:t>
      </w:r>
      <w:r>
        <w:rPr>
          <w:spacing w:val="-4"/>
          <w:vertAlign w:val="baseline"/>
        </w:rPr>
        <w:t> </w:t>
      </w:r>
      <w:r>
        <w:rPr>
          <w:vertAlign w:val="baseline"/>
        </w:rPr>
        <w:t>a</w:t>
      </w:r>
      <w:r>
        <w:rPr>
          <w:spacing w:val="-3"/>
          <w:vertAlign w:val="baseline"/>
        </w:rPr>
        <w:t> </w:t>
      </w:r>
      <w:r>
        <w:rPr>
          <w:vertAlign w:val="baseline"/>
        </w:rPr>
        <w:t>single</w:t>
      </w:r>
      <w:r>
        <w:rPr>
          <w:spacing w:val="-4"/>
          <w:vertAlign w:val="baseline"/>
        </w:rPr>
        <w:t> </w:t>
      </w:r>
      <w:r>
        <w:rPr>
          <w:vertAlign w:val="baseline"/>
        </w:rPr>
        <w:t>product</w:t>
      </w:r>
      <w:r>
        <w:rPr>
          <w:spacing w:val="-3"/>
          <w:vertAlign w:val="baseline"/>
        </w:rPr>
        <w:t> </w:t>
      </w:r>
      <w:r>
        <w:rPr>
          <w:vertAlign w:val="baseline"/>
        </w:rPr>
        <w:t>and</w:t>
      </w:r>
      <w:r>
        <w:rPr>
          <w:spacing w:val="-2"/>
          <w:vertAlign w:val="baseline"/>
        </w:rPr>
        <w:t> </w:t>
      </w:r>
      <w:r>
        <w:rPr>
          <w:vertAlign w:val="baseline"/>
        </w:rPr>
        <w:t>generally</w:t>
      </w:r>
      <w:r>
        <w:rPr>
          <w:spacing w:val="-3"/>
          <w:vertAlign w:val="baseline"/>
        </w:rPr>
        <w:t> </w:t>
      </w:r>
      <w:r>
        <w:rPr>
          <w:vertAlign w:val="baseline"/>
        </w:rPr>
        <w:t>contain</w:t>
      </w:r>
      <w:r>
        <w:rPr>
          <w:spacing w:val="-2"/>
          <w:vertAlign w:val="baseline"/>
        </w:rPr>
        <w:t> </w:t>
      </w:r>
      <w:r>
        <w:rPr>
          <w:vertAlign w:val="baseline"/>
        </w:rPr>
        <w:t>a</w:t>
      </w:r>
      <w:r>
        <w:rPr>
          <w:spacing w:val="-48"/>
          <w:vertAlign w:val="baseline"/>
        </w:rPr>
        <w:t> </w:t>
      </w:r>
      <w:r>
        <w:rPr>
          <w:vertAlign w:val="baseline"/>
        </w:rPr>
        <w:t>one-year</w:t>
      </w:r>
      <w:r>
        <w:rPr>
          <w:spacing w:val="-1"/>
          <w:vertAlign w:val="baseline"/>
        </w:rPr>
        <w:t> </w:t>
      </w:r>
      <w:r>
        <w:rPr>
          <w:vertAlign w:val="baseline"/>
        </w:rPr>
        <w:t>warranty.</w:t>
      </w:r>
    </w:p>
    <w:p>
      <w:pPr>
        <w:pStyle w:val="BodyText"/>
        <w:spacing w:line="249" w:lineRule="auto" w:before="184"/>
        <w:ind w:right="180"/>
      </w:pPr>
      <w:r>
        <w:rPr/>
        <w:t>To</w:t>
      </w:r>
      <w:r>
        <w:rPr>
          <w:spacing w:val="-3"/>
        </w:rPr>
        <w:t> </w:t>
      </w:r>
      <w:r>
        <w:rPr/>
        <w:t>determine</w:t>
      </w:r>
      <w:r>
        <w:rPr>
          <w:spacing w:val="-4"/>
        </w:rPr>
        <w:t> </w:t>
      </w:r>
      <w:r>
        <w:rPr/>
        <w:t>revenue</w:t>
      </w:r>
      <w:r>
        <w:rPr>
          <w:spacing w:val="-3"/>
        </w:rPr>
        <w:t> </w:t>
      </w:r>
      <w:r>
        <w:rPr/>
        <w:t>recognition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arrangements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Company</w:t>
      </w:r>
      <w:r>
        <w:rPr>
          <w:spacing w:val="-3"/>
        </w:rPr>
        <w:t> </w:t>
      </w:r>
      <w:r>
        <w:rPr/>
        <w:t>determines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within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scope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ASC</w:t>
      </w:r>
      <w:r>
        <w:rPr>
          <w:spacing w:val="-47"/>
        </w:rPr>
        <w:t> </w:t>
      </w:r>
      <w:r>
        <w:rPr/>
        <w:t>Topic</w:t>
      </w:r>
      <w:r>
        <w:rPr>
          <w:spacing w:val="-4"/>
        </w:rPr>
        <w:t> </w:t>
      </w:r>
      <w:r>
        <w:rPr/>
        <w:t>606,</w:t>
      </w:r>
      <w:r>
        <w:rPr>
          <w:spacing w:val="-3"/>
        </w:rPr>
        <w:t> </w:t>
      </w:r>
      <w:r>
        <w:rPr>
          <w:i/>
        </w:rPr>
        <w:t>Revenue</w:t>
      </w:r>
      <w:r>
        <w:rPr>
          <w:i/>
          <w:spacing w:val="-3"/>
        </w:rPr>
        <w:t> </w:t>
      </w:r>
      <w:r>
        <w:rPr>
          <w:i/>
        </w:rPr>
        <w:t>from</w:t>
      </w:r>
      <w:r>
        <w:rPr>
          <w:i/>
          <w:spacing w:val="-4"/>
        </w:rPr>
        <w:t> </w:t>
      </w:r>
      <w:r>
        <w:rPr>
          <w:i/>
        </w:rPr>
        <w:t>Contracts</w:t>
      </w:r>
      <w:r>
        <w:rPr>
          <w:i/>
          <w:spacing w:val="-4"/>
        </w:rPr>
        <w:t> </w:t>
      </w:r>
      <w:r>
        <w:rPr>
          <w:i/>
        </w:rPr>
        <w:t>with</w:t>
      </w:r>
      <w:r>
        <w:rPr>
          <w:i/>
          <w:spacing w:val="-2"/>
        </w:rPr>
        <w:t> </w:t>
      </w:r>
      <w:r>
        <w:rPr>
          <w:i/>
        </w:rPr>
        <w:t>Customers</w:t>
      </w:r>
      <w:r>
        <w:rPr>
          <w:i/>
          <w:spacing w:val="-4"/>
        </w:rPr>
        <w:t> </w:t>
      </w:r>
      <w:r>
        <w:rPr/>
        <w:t>(“ASC</w:t>
      </w:r>
      <w:r>
        <w:rPr>
          <w:spacing w:val="-3"/>
        </w:rPr>
        <w:t> </w:t>
      </w:r>
      <w:r>
        <w:rPr/>
        <w:t>606”),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Company</w:t>
      </w:r>
      <w:r>
        <w:rPr>
          <w:spacing w:val="-2"/>
        </w:rPr>
        <w:t> </w:t>
      </w:r>
      <w:r>
        <w:rPr/>
        <w:t>performs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five</w:t>
      </w:r>
      <w:r>
        <w:rPr>
          <w:spacing w:val="-4"/>
        </w:rPr>
        <w:t> </w:t>
      </w:r>
      <w:r>
        <w:rPr/>
        <w:t>steps:</w:t>
      </w:r>
    </w:p>
    <w:p>
      <w:pPr>
        <w:pStyle w:val="BodyText"/>
        <w:spacing w:line="249" w:lineRule="auto" w:before="1"/>
        <w:ind w:right="180" w:firstLine="0"/>
      </w:pPr>
      <w:r>
        <w:rPr/>
        <w:t>(i) identify the contract with a customer; (ii) identify the performance obligations in the contract; (iii) determine the</w:t>
      </w:r>
      <w:r>
        <w:rPr>
          <w:spacing w:val="-47"/>
        </w:rPr>
        <w:t> </w:t>
      </w:r>
      <w:r>
        <w:rPr/>
        <w:t>transaction</w:t>
      </w:r>
      <w:r>
        <w:rPr>
          <w:spacing w:val="-3"/>
        </w:rPr>
        <w:t> </w:t>
      </w:r>
      <w:r>
        <w:rPr/>
        <w:t>price;</w:t>
      </w:r>
      <w:r>
        <w:rPr>
          <w:spacing w:val="-4"/>
        </w:rPr>
        <w:t> </w:t>
      </w:r>
      <w:r>
        <w:rPr/>
        <w:t>(iv)</w:t>
      </w:r>
      <w:r>
        <w:rPr>
          <w:spacing w:val="-3"/>
        </w:rPr>
        <w:t> </w:t>
      </w:r>
      <w:r>
        <w:rPr/>
        <w:t>allocate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transaction</w:t>
      </w:r>
      <w:r>
        <w:rPr>
          <w:spacing w:val="-3"/>
        </w:rPr>
        <w:t> </w:t>
      </w:r>
      <w:r>
        <w:rPr/>
        <w:t>price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performance</w:t>
      </w:r>
      <w:r>
        <w:rPr>
          <w:spacing w:val="-4"/>
        </w:rPr>
        <w:t> </w:t>
      </w:r>
      <w:r>
        <w:rPr/>
        <w:t>obligations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contract;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(v)</w:t>
      </w:r>
      <w:r>
        <w:rPr>
          <w:spacing w:val="-3"/>
        </w:rPr>
        <w:t> </w:t>
      </w:r>
      <w:r>
        <w:rPr/>
        <w:t>recognize</w:t>
      </w:r>
      <w:r>
        <w:rPr>
          <w:spacing w:val="-47"/>
        </w:rPr>
        <w:t> </w:t>
      </w:r>
      <w:r>
        <w:rPr/>
        <w:t>revenue when, or as, the Company satisfies the performance obligations. The Company only applies the five-step</w:t>
      </w:r>
      <w:r>
        <w:rPr>
          <w:spacing w:val="1"/>
        </w:rPr>
        <w:t> </w:t>
      </w:r>
      <w:r>
        <w:rPr/>
        <w:t>model to contracts when it is probable that the Company will collect the consideration it is entitled to in exchange</w:t>
      </w:r>
      <w:r>
        <w:rPr>
          <w:spacing w:val="1"/>
        </w:rPr>
        <w:t> </w:t>
      </w:r>
      <w:r>
        <w:rPr/>
        <w:t>for the goods or services it transfers to the customer. At contract inception, once the contract is determined to be</w:t>
      </w:r>
      <w:r>
        <w:rPr>
          <w:spacing w:val="1"/>
        </w:rPr>
        <w:t> </w:t>
      </w:r>
      <w:r>
        <w:rPr/>
        <w:t>within the scope of ASC 606, the Company assesses the goods or services promised within each contract and</w:t>
      </w:r>
      <w:r>
        <w:rPr>
          <w:spacing w:val="1"/>
        </w:rPr>
        <w:t> </w:t>
      </w:r>
      <w:r>
        <w:rPr/>
        <w:t>determines those that are performance obligations and assesses whether each promised good or service is distinct</w:t>
      </w:r>
      <w:r>
        <w:rPr>
          <w:spacing w:val="1"/>
        </w:rPr>
        <w:t> </w:t>
      </w:r>
      <w:r>
        <w:rPr/>
        <w:t>based</w:t>
      </w:r>
      <w:r>
        <w:rPr>
          <w:spacing w:val="-1"/>
        </w:rPr>
        <w:t> </w:t>
      </w:r>
      <w:r>
        <w:rPr/>
        <w:t>on the</w:t>
      </w:r>
      <w:r>
        <w:rPr>
          <w:spacing w:val="-1"/>
        </w:rPr>
        <w:t> </w:t>
      </w:r>
      <w:r>
        <w:rPr/>
        <w:t>contract.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  <w:ind w:right="180"/>
      </w:pPr>
      <w:r>
        <w:rPr/>
        <w:t>The contracts are typically in the form of an agreement and a purchase order from the customer. The</w:t>
      </w:r>
      <w:r>
        <w:rPr>
          <w:spacing w:val="1"/>
        </w:rPr>
        <w:t> </w:t>
      </w:r>
      <w:r>
        <w:rPr/>
        <w:t>Company’s AquaBeam Robotic System sales generally contain multiple products and services and can include a</w:t>
      </w:r>
      <w:r>
        <w:rPr>
          <w:spacing w:val="1"/>
        </w:rPr>
        <w:t> </w:t>
      </w:r>
      <w:r>
        <w:rPr/>
        <w:t>combination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performance</w:t>
      </w:r>
      <w:r>
        <w:rPr>
          <w:spacing w:val="-5"/>
        </w:rPr>
        <w:t> </w:t>
      </w:r>
      <w:r>
        <w:rPr/>
        <w:t>obligations:</w:t>
      </w:r>
      <w:r>
        <w:rPr>
          <w:spacing w:val="-4"/>
        </w:rPr>
        <w:t> </w:t>
      </w:r>
      <w:r>
        <w:rPr/>
        <w:t>robotic</w:t>
      </w:r>
      <w:r>
        <w:rPr>
          <w:spacing w:val="-5"/>
        </w:rPr>
        <w:t> </w:t>
      </w:r>
      <w:r>
        <w:rPr/>
        <w:t>system,</w:t>
      </w:r>
      <w:r>
        <w:rPr>
          <w:spacing w:val="-3"/>
        </w:rPr>
        <w:t> </w:t>
      </w:r>
      <w:r>
        <w:rPr/>
        <w:t>handpieces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consumables,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service.</w:t>
      </w:r>
    </w:p>
    <w:p>
      <w:pPr>
        <w:pStyle w:val="BodyText"/>
        <w:spacing w:line="249" w:lineRule="auto" w:before="182"/>
        <w:ind w:right="212"/>
      </w:pPr>
      <w:r>
        <w:rPr/>
        <w:t>The Company determines the transaction price it expects to be entitled to in exchange for transferring the</w:t>
      </w:r>
      <w:r>
        <w:rPr>
          <w:spacing w:val="1"/>
        </w:rPr>
        <w:t> </w:t>
      </w:r>
      <w:r>
        <w:rPr/>
        <w:t>promised</w:t>
      </w:r>
      <w:r>
        <w:rPr>
          <w:spacing w:val="-2"/>
        </w:rPr>
        <w:t> </w:t>
      </w:r>
      <w:r>
        <w:rPr/>
        <w:t>product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customer,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based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invoiced</w:t>
      </w:r>
      <w:r>
        <w:rPr>
          <w:spacing w:val="-2"/>
        </w:rPr>
        <w:t> </w:t>
      </w:r>
      <w:r>
        <w:rPr/>
        <w:t>price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products.</w:t>
      </w:r>
      <w:r>
        <w:rPr>
          <w:spacing w:val="-2"/>
        </w:rPr>
        <w:t> </w:t>
      </w:r>
      <w:r>
        <w:rPr/>
        <w:t>All</w:t>
      </w:r>
      <w:r>
        <w:rPr>
          <w:spacing w:val="-3"/>
        </w:rPr>
        <w:t> </w:t>
      </w:r>
      <w:r>
        <w:rPr/>
        <w:t>prices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fixed</w:t>
      </w:r>
      <w:r>
        <w:rPr>
          <w:spacing w:val="-47"/>
        </w:rPr>
        <w:t> </w:t>
      </w:r>
      <w:r>
        <w:rPr/>
        <w:t>amounts per the sales agreement with the customer and there are generally no discounts, rebates or other price</w:t>
      </w:r>
      <w:r>
        <w:rPr>
          <w:spacing w:val="-47"/>
        </w:rPr>
        <w:t> </w:t>
      </w:r>
      <w:r>
        <w:rPr/>
        <w:t>concessions</w:t>
      </w:r>
      <w:r>
        <w:rPr>
          <w:spacing w:val="-2"/>
        </w:rPr>
        <w:t> </w:t>
      </w:r>
      <w:r>
        <w:rPr/>
        <w:t>or a</w:t>
      </w:r>
      <w:r>
        <w:rPr>
          <w:spacing w:val="-1"/>
        </w:rPr>
        <w:t> </w:t>
      </w:r>
      <w:r>
        <w:rPr/>
        <w:t>right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return, once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agreement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signed.</w:t>
      </w:r>
    </w:p>
    <w:p>
      <w:pPr>
        <w:pStyle w:val="BodyText"/>
        <w:spacing w:line="249" w:lineRule="auto" w:before="183"/>
        <w:ind w:right="148"/>
      </w:pPr>
      <w:r>
        <w:rPr/>
        <w:t>For multiple-element arrangements, revenue is allocated to each performance obligation based on its relative</w:t>
      </w:r>
      <w:r>
        <w:rPr>
          <w:spacing w:val="1"/>
        </w:rPr>
        <w:t> </w:t>
      </w:r>
      <w:r>
        <w:rPr/>
        <w:t>standalone selling price. Standalone selling prices are based on observable prices at which the Company separately</w:t>
      </w:r>
      <w:r>
        <w:rPr>
          <w:spacing w:val="1"/>
        </w:rPr>
        <w:t> </w:t>
      </w:r>
      <w:r>
        <w:rPr/>
        <w:t>sells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products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services.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standalone</w:t>
      </w:r>
      <w:r>
        <w:rPr>
          <w:spacing w:val="-4"/>
        </w:rPr>
        <w:t> </w:t>
      </w:r>
      <w:r>
        <w:rPr/>
        <w:t>selling</w:t>
      </w:r>
      <w:r>
        <w:rPr>
          <w:spacing w:val="-3"/>
        </w:rPr>
        <w:t> </w:t>
      </w:r>
      <w:r>
        <w:rPr/>
        <w:t>price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directly</w:t>
      </w:r>
      <w:r>
        <w:rPr>
          <w:spacing w:val="-3"/>
        </w:rPr>
        <w:t> </w:t>
      </w:r>
      <w:r>
        <w:rPr/>
        <w:t>observable,</w:t>
      </w:r>
      <w:r>
        <w:rPr>
          <w:spacing w:val="-3"/>
        </w:rPr>
        <w:t> </w:t>
      </w:r>
      <w:r>
        <w:rPr/>
        <w:t>then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Company</w:t>
      </w:r>
      <w:r>
        <w:rPr>
          <w:spacing w:val="-3"/>
        </w:rPr>
        <w:t> </w:t>
      </w:r>
      <w:r>
        <w:rPr/>
        <w:t>estimates</w:t>
      </w:r>
      <w:r>
        <w:rPr>
          <w:spacing w:val="-4"/>
        </w:rPr>
        <w:t> </w:t>
      </w:r>
      <w:r>
        <w:rPr/>
        <w:t>the</w:t>
      </w:r>
      <w:r>
        <w:rPr>
          <w:spacing w:val="1"/>
        </w:rPr>
        <w:t> </w:t>
      </w:r>
      <w:r>
        <w:rPr/>
        <w:t>standalone selling price considering market conditions and entity-specific factors including, but not limited to,</w:t>
      </w:r>
      <w:r>
        <w:rPr>
          <w:spacing w:val="1"/>
        </w:rPr>
        <w:t> </w:t>
      </w:r>
      <w:r>
        <w:rPr/>
        <w:t>features and functionality of the products and services, geographies, and type of customer. The Company regularly</w:t>
      </w:r>
      <w:r>
        <w:rPr>
          <w:spacing w:val="1"/>
        </w:rPr>
        <w:t> </w:t>
      </w:r>
      <w:r>
        <w:rPr/>
        <w:t>reviews</w:t>
      </w:r>
      <w:r>
        <w:rPr>
          <w:spacing w:val="-2"/>
        </w:rPr>
        <w:t> </w:t>
      </w:r>
      <w:r>
        <w:rPr/>
        <w:t>standalone</w:t>
      </w:r>
      <w:r>
        <w:rPr>
          <w:spacing w:val="-1"/>
        </w:rPr>
        <w:t> </w:t>
      </w:r>
      <w:r>
        <w:rPr/>
        <w:t>selling</w:t>
      </w:r>
      <w:r>
        <w:rPr>
          <w:spacing w:val="-1"/>
        </w:rPr>
        <w:t> </w:t>
      </w:r>
      <w:r>
        <w:rPr/>
        <w:t>prices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updates</w:t>
      </w:r>
      <w:r>
        <w:rPr>
          <w:spacing w:val="-2"/>
        </w:rPr>
        <w:t> </w:t>
      </w:r>
      <w:r>
        <w:rPr/>
        <w:t>these</w:t>
      </w:r>
      <w:r>
        <w:rPr>
          <w:spacing w:val="-1"/>
        </w:rPr>
        <w:t> </w:t>
      </w:r>
      <w:r>
        <w:rPr/>
        <w:t>estimates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necessary.</w:t>
      </w:r>
    </w:p>
    <w:p>
      <w:pPr>
        <w:pStyle w:val="BodyText"/>
        <w:spacing w:line="249" w:lineRule="auto" w:before="185"/>
      </w:pPr>
      <w:r>
        <w:rPr/>
        <w:t>The Company recognizes revenue as the performance obligations are satisfied by transferring control of the</w:t>
      </w:r>
      <w:r>
        <w:rPr>
          <w:spacing w:val="1"/>
        </w:rPr>
        <w:t> </w:t>
      </w:r>
      <w:r>
        <w:rPr/>
        <w:t>product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service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customer.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Company</w:t>
      </w:r>
      <w:r>
        <w:rPr>
          <w:spacing w:val="-2"/>
        </w:rPr>
        <w:t> </w:t>
      </w:r>
      <w:r>
        <w:rPr/>
        <w:t>generally</w:t>
      </w:r>
      <w:r>
        <w:rPr>
          <w:spacing w:val="-2"/>
        </w:rPr>
        <w:t> </w:t>
      </w:r>
      <w:r>
        <w:rPr/>
        <w:t>recognizes</w:t>
      </w:r>
      <w:r>
        <w:rPr>
          <w:spacing w:val="-4"/>
        </w:rPr>
        <w:t> </w:t>
      </w:r>
      <w:r>
        <w:rPr/>
        <w:t>revenue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performance</w:t>
      </w:r>
      <w:r>
        <w:rPr>
          <w:spacing w:val="-3"/>
        </w:rPr>
        <w:t> </w:t>
      </w:r>
      <w:r>
        <w:rPr/>
        <w:t>obligations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47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points</w:t>
      </w:r>
      <w:r>
        <w:rPr>
          <w:spacing w:val="-1"/>
        </w:rPr>
        <w:t> </w:t>
      </w:r>
      <w:r>
        <w:rPr/>
        <w:t>in time:</w:t>
      </w:r>
    </w:p>
    <w:p>
      <w:pPr>
        <w:pStyle w:val="BodyText"/>
        <w:spacing w:line="249" w:lineRule="auto" w:before="183"/>
        <w:ind w:right="240"/>
      </w:pPr>
      <w:r>
        <w:rPr>
          <w:i/>
        </w:rPr>
        <w:t>AquaBeam Robotic Systems </w:t>
      </w:r>
      <w:r>
        <w:rPr/>
        <w:t>- For systems (including system components and system accessories) sold directly</w:t>
      </w:r>
      <w:r>
        <w:rPr>
          <w:spacing w:val="-47"/>
        </w:rPr>
        <w:t> </w:t>
      </w:r>
      <w:r>
        <w:rPr/>
        <w:t>to end customers, revenue is recognized when the Company transfers control to the customer, which is generally at</w:t>
      </w:r>
      <w:r>
        <w:rPr>
          <w:spacing w:val="-47"/>
        </w:rPr>
        <w:t> </w:t>
      </w:r>
      <w:r>
        <w:rPr/>
        <w:t>the</w:t>
      </w:r>
      <w:r>
        <w:rPr>
          <w:spacing w:val="-4"/>
        </w:rPr>
        <w:t> </w:t>
      </w:r>
      <w:r>
        <w:rPr/>
        <w:t>time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delivery.</w:t>
      </w:r>
      <w:r>
        <w:rPr>
          <w:spacing w:val="-2"/>
        </w:rPr>
        <w:t> </w:t>
      </w:r>
      <w:r>
        <w:rPr/>
        <w:t>Systems</w:t>
      </w:r>
      <w:r>
        <w:rPr>
          <w:spacing w:val="-4"/>
        </w:rPr>
        <w:t> </w:t>
      </w:r>
      <w:r>
        <w:rPr/>
        <w:t>rented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fixed</w:t>
      </w:r>
      <w:r>
        <w:rPr>
          <w:spacing w:val="-2"/>
        </w:rPr>
        <w:t> </w:t>
      </w:r>
      <w:r>
        <w:rPr/>
        <w:t>monthly</w:t>
      </w:r>
      <w:r>
        <w:rPr>
          <w:spacing w:val="-3"/>
        </w:rPr>
        <w:t> </w:t>
      </w:r>
      <w:r>
        <w:rPr/>
        <w:t>fee</w:t>
      </w:r>
      <w:r>
        <w:rPr>
          <w:spacing w:val="-3"/>
        </w:rPr>
        <w:t> </w:t>
      </w:r>
      <w:r>
        <w:rPr/>
        <w:t>during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evaluation</w:t>
      </w:r>
      <w:r>
        <w:rPr>
          <w:spacing w:val="-3"/>
        </w:rPr>
        <w:t> </w:t>
      </w:r>
      <w:r>
        <w:rPr/>
        <w:t>period,</w:t>
      </w:r>
      <w:r>
        <w:rPr>
          <w:spacing w:val="-2"/>
        </w:rPr>
        <w:t> </w:t>
      </w:r>
      <w:r>
        <w:rPr/>
        <w:t>typically</w:t>
      </w:r>
      <w:r>
        <w:rPr>
          <w:spacing w:val="-2"/>
        </w:rPr>
        <w:t> </w:t>
      </w:r>
      <w:r>
        <w:rPr/>
        <w:t>3-12</w:t>
      </w:r>
      <w:r>
        <w:rPr>
          <w:spacing w:val="-2"/>
        </w:rPr>
        <w:t> </w:t>
      </w:r>
      <w:r>
        <w:rPr/>
        <w:t>months,</w:t>
      </w:r>
      <w:r>
        <w:rPr>
          <w:spacing w:val="-3"/>
        </w:rPr>
        <w:t> </w:t>
      </w:r>
      <w:r>
        <w:rPr/>
        <w:t>are</w:t>
      </w:r>
      <w:r>
        <w:rPr>
          <w:spacing w:val="-47"/>
        </w:rPr>
        <w:t> </w:t>
      </w:r>
      <w:r>
        <w:rPr/>
        <w:t>recognized as revenue straight-line during the lease term, in accordance with ASC 842, and are not material. For</w:t>
      </w:r>
      <w:r>
        <w:rPr>
          <w:spacing w:val="1"/>
        </w:rPr>
        <w:t> </w:t>
      </w:r>
      <w:r>
        <w:rPr/>
        <w:t>systems sold following an evaluation period, revenue is recognized generally once sales terms are mutually agreed</w:t>
      </w:r>
      <w:r>
        <w:rPr>
          <w:spacing w:val="1"/>
        </w:rPr>
        <w:t> </w:t>
      </w:r>
      <w:r>
        <w:rPr/>
        <w:t>(as the system is already install at the customer site). For systems sold through distributors, revenue is recognized</w:t>
      </w:r>
      <w:r>
        <w:rPr>
          <w:spacing w:val="1"/>
        </w:rPr>
        <w:t> </w:t>
      </w:r>
      <w:r>
        <w:rPr/>
        <w:t>generally at the time of delivery. The Company’s system arrangements generally do not provide a right of return.</w:t>
      </w:r>
      <w:r>
        <w:rPr>
          <w:spacing w:val="1"/>
        </w:rPr>
        <w:t> </w:t>
      </w:r>
      <w:r>
        <w:rPr/>
        <w:t>The systems are generally covered by a one-year service agreement. The service agreements have a stand alone</w:t>
      </w:r>
      <w:r>
        <w:rPr>
          <w:spacing w:val="1"/>
        </w:rPr>
        <w:t> </w:t>
      </w:r>
      <w:r>
        <w:rPr/>
        <w:t>selling</w:t>
      </w:r>
      <w:r>
        <w:rPr>
          <w:spacing w:val="-2"/>
        </w:rPr>
        <w:t> </w:t>
      </w:r>
      <w:r>
        <w:rPr/>
        <w:t>price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typically</w:t>
      </w:r>
      <w:r>
        <w:rPr>
          <w:spacing w:val="-2"/>
        </w:rPr>
        <w:t> </w:t>
      </w:r>
      <w:r>
        <w:rPr/>
        <w:t>recognized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deferred</w:t>
      </w:r>
      <w:r>
        <w:rPr>
          <w:spacing w:val="-1"/>
        </w:rPr>
        <w:t> </w:t>
      </w:r>
      <w:r>
        <w:rPr/>
        <w:t>revenue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amortized</w:t>
      </w:r>
      <w:r>
        <w:rPr>
          <w:spacing w:val="-2"/>
        </w:rPr>
        <w:t> </w:t>
      </w:r>
      <w:r>
        <w:rPr/>
        <w:t>over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one-year</w:t>
      </w:r>
      <w:r>
        <w:rPr>
          <w:spacing w:val="-2"/>
        </w:rPr>
        <w:t> </w:t>
      </w:r>
      <w:r>
        <w:rPr/>
        <w:t>service</w:t>
      </w:r>
      <w:r>
        <w:rPr>
          <w:spacing w:val="-3"/>
        </w:rPr>
        <w:t> </w:t>
      </w:r>
      <w:r>
        <w:rPr/>
        <w:t>period.</w:t>
      </w:r>
    </w:p>
    <w:p>
      <w:pPr>
        <w:pStyle w:val="BodyText"/>
        <w:spacing w:line="249" w:lineRule="auto" w:before="187"/>
        <w:ind w:right="332"/>
        <w:jc w:val="both"/>
      </w:pPr>
      <w:r>
        <w:rPr>
          <w:i/>
        </w:rPr>
        <w:t>Hand</w:t>
      </w:r>
      <w:r>
        <w:rPr>
          <w:i/>
          <w:spacing w:val="-3"/>
        </w:rPr>
        <w:t> </w:t>
      </w:r>
      <w:r>
        <w:rPr>
          <w:i/>
        </w:rPr>
        <w:t>pieces</w:t>
      </w:r>
      <w:r>
        <w:rPr>
          <w:i/>
          <w:spacing w:val="-3"/>
        </w:rPr>
        <w:t> </w:t>
      </w:r>
      <w:r>
        <w:rPr>
          <w:i/>
        </w:rPr>
        <w:t>and</w:t>
      </w:r>
      <w:r>
        <w:rPr>
          <w:i/>
          <w:spacing w:val="-3"/>
        </w:rPr>
        <w:t> </w:t>
      </w:r>
      <w:r>
        <w:rPr>
          <w:i/>
        </w:rPr>
        <w:t>other</w:t>
      </w:r>
      <w:r>
        <w:rPr>
          <w:i/>
          <w:spacing w:val="-3"/>
        </w:rPr>
        <w:t> </w:t>
      </w:r>
      <w:r>
        <w:rPr>
          <w:i/>
        </w:rPr>
        <w:t>consumables</w:t>
      </w:r>
      <w:r>
        <w:rPr>
          <w:i/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Revenue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handpieces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other</w:t>
      </w:r>
      <w:r>
        <w:rPr>
          <w:spacing w:val="-2"/>
        </w:rPr>
        <w:t> </w:t>
      </w:r>
      <w:r>
        <w:rPr/>
        <w:t>consumables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recognized</w:t>
      </w:r>
      <w:r>
        <w:rPr>
          <w:spacing w:val="-48"/>
        </w:rPr>
        <w:t> </w:t>
      </w:r>
      <w:r>
        <w:rPr/>
        <w:t>when control is transferred to the customers, which generally occurs at the time of shipment but also occurs at the</w:t>
      </w:r>
      <w:r>
        <w:rPr>
          <w:spacing w:val="1"/>
        </w:rPr>
        <w:t> </w:t>
      </w:r>
      <w:r>
        <w:rPr/>
        <w:t>time</w:t>
      </w:r>
      <w:r>
        <w:rPr>
          <w:spacing w:val="-2"/>
        </w:rPr>
        <w:t> </w:t>
      </w:r>
      <w:r>
        <w:rPr/>
        <w:t>of delivery.</w:t>
      </w:r>
    </w:p>
    <w:p>
      <w:pPr>
        <w:pStyle w:val="BodyText"/>
        <w:spacing w:line="249" w:lineRule="auto" w:before="183"/>
        <w:ind w:right="212"/>
      </w:pPr>
      <w:r>
        <w:rPr>
          <w:i/>
        </w:rPr>
        <w:t>Service</w:t>
      </w:r>
      <w:r>
        <w:rPr>
          <w:i/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Service</w:t>
      </w:r>
      <w:r>
        <w:rPr>
          <w:spacing w:val="-5"/>
        </w:rPr>
        <w:t> </w:t>
      </w:r>
      <w:r>
        <w:rPr/>
        <w:t>revenue,</w:t>
      </w:r>
      <w:r>
        <w:rPr>
          <w:spacing w:val="-3"/>
        </w:rPr>
        <w:t> </w:t>
      </w:r>
      <w:r>
        <w:rPr/>
        <w:t>inclusive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amounts</w:t>
      </w:r>
      <w:r>
        <w:rPr>
          <w:spacing w:val="-4"/>
        </w:rPr>
        <w:t> </w:t>
      </w:r>
      <w:r>
        <w:rPr/>
        <w:t>associated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AquaBeam</w:t>
      </w:r>
      <w:r>
        <w:rPr>
          <w:spacing w:val="-5"/>
        </w:rPr>
        <w:t> </w:t>
      </w:r>
      <w:r>
        <w:rPr/>
        <w:t>Robotic</w:t>
      </w:r>
      <w:r>
        <w:rPr>
          <w:spacing w:val="-4"/>
        </w:rPr>
        <w:t> </w:t>
      </w:r>
      <w:r>
        <w:rPr/>
        <w:t>System</w:t>
      </w:r>
      <w:r>
        <w:rPr>
          <w:spacing w:val="-5"/>
        </w:rPr>
        <w:t> </w:t>
      </w:r>
      <w:r>
        <w:rPr/>
        <w:t>warranties,</w:t>
      </w:r>
      <w:r>
        <w:rPr>
          <w:spacing w:val="1"/>
        </w:rPr>
        <w:t> </w:t>
      </w:r>
      <w:r>
        <w:rPr/>
        <w:t>is recognized over the term of the service period, as the customer benefits from the services throughout the service</w:t>
      </w:r>
      <w:r>
        <w:rPr>
          <w:spacing w:val="1"/>
        </w:rPr>
        <w:t> </w:t>
      </w:r>
      <w:r>
        <w:rPr/>
        <w:t>period.</w:t>
      </w:r>
    </w:p>
    <w:p>
      <w:pPr>
        <w:pStyle w:val="BodyText"/>
        <w:spacing w:line="249" w:lineRule="auto" w:before="182"/>
        <w:ind w:right="247"/>
        <w:jc w:val="both"/>
      </w:pPr>
      <w:r>
        <w:rPr/>
        <w:t>The Company has determined that certain promises in the multiple-element arrangements, such as installation,</w:t>
      </w:r>
      <w:r>
        <w:rPr>
          <w:spacing w:val="-47"/>
        </w:rPr>
        <w:t> </w:t>
      </w:r>
      <w:r>
        <w:rPr/>
        <w:t>training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certain</w:t>
      </w:r>
      <w:r>
        <w:rPr>
          <w:spacing w:val="-3"/>
        </w:rPr>
        <w:t> </w:t>
      </w:r>
      <w:r>
        <w:rPr/>
        <w:t>ancillary</w:t>
      </w:r>
      <w:r>
        <w:rPr>
          <w:spacing w:val="-4"/>
        </w:rPr>
        <w:t> </w:t>
      </w:r>
      <w:r>
        <w:rPr/>
        <w:t>products,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immaterial,</w:t>
      </w:r>
      <w:r>
        <w:rPr>
          <w:spacing w:val="-4"/>
        </w:rPr>
        <w:t> </w:t>
      </w:r>
      <w:r>
        <w:rPr/>
        <w:t>and/or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represent</w:t>
      </w:r>
      <w:r>
        <w:rPr>
          <w:spacing w:val="-5"/>
        </w:rPr>
        <w:t> </w:t>
      </w:r>
      <w:r>
        <w:rPr/>
        <w:t>separate</w:t>
      </w:r>
      <w:r>
        <w:rPr>
          <w:spacing w:val="-4"/>
        </w:rPr>
        <w:t> </w:t>
      </w:r>
      <w:r>
        <w:rPr/>
        <w:t>performance</w:t>
      </w:r>
      <w:r>
        <w:rPr>
          <w:spacing w:val="-4"/>
        </w:rPr>
        <w:t> </w:t>
      </w:r>
      <w:r>
        <w:rPr/>
        <w:t>obligations</w:t>
      </w:r>
      <w:r>
        <w:rPr>
          <w:spacing w:val="-4"/>
        </w:rPr>
        <w:t> </w:t>
      </w:r>
      <w:r>
        <w:rPr/>
        <w:t>for</w:t>
      </w:r>
      <w:r>
        <w:rPr>
          <w:spacing w:val="-48"/>
        </w:rPr>
        <w:t> </w:t>
      </w:r>
      <w:r>
        <w:rPr/>
        <w:t>which</w:t>
      </w:r>
      <w:r>
        <w:rPr>
          <w:spacing w:val="-1"/>
        </w:rPr>
        <w:t> </w:t>
      </w:r>
      <w:r>
        <w:rPr/>
        <w:t>transaction price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allocated.</w:t>
      </w:r>
    </w:p>
    <w:p>
      <w:pPr>
        <w:pStyle w:val="BodyText"/>
        <w:spacing w:line="249" w:lineRule="auto" w:before="182"/>
        <w:ind w:right="212"/>
      </w:pPr>
      <w:r>
        <w:rPr/>
        <w:t>The</w:t>
      </w:r>
      <w:r>
        <w:rPr>
          <w:spacing w:val="-4"/>
        </w:rPr>
        <w:t> </w:t>
      </w:r>
      <w:r>
        <w:rPr/>
        <w:t>timing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revenue</w:t>
      </w:r>
      <w:r>
        <w:rPr>
          <w:spacing w:val="-4"/>
        </w:rPr>
        <w:t> </w:t>
      </w:r>
      <w:r>
        <w:rPr/>
        <w:t>recognition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differ</w:t>
      </w:r>
      <w:r>
        <w:rPr>
          <w:spacing w:val="-2"/>
        </w:rPr>
        <w:t> </w:t>
      </w:r>
      <w:r>
        <w:rPr/>
        <w:t>from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timing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invoicing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customers.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Company</w:t>
      </w:r>
      <w:r>
        <w:rPr>
          <w:spacing w:val="-3"/>
        </w:rPr>
        <w:t> </w:t>
      </w:r>
      <w:r>
        <w:rPr/>
        <w:t>records</w:t>
      </w:r>
      <w:r>
        <w:rPr>
          <w:spacing w:val="-47"/>
        </w:rPr>
        <w:t> </w:t>
      </w:r>
      <w:r>
        <w:rPr/>
        <w:t>deferred revenue when revenue is recognized subsequent to invoicing, such as service contracts, which are</w:t>
      </w:r>
      <w:r>
        <w:rPr>
          <w:spacing w:val="1"/>
        </w:rPr>
        <w:t> </w:t>
      </w:r>
      <w:r>
        <w:rPr/>
        <w:t>recognized</w:t>
      </w:r>
      <w:r>
        <w:rPr>
          <w:spacing w:val="-1"/>
        </w:rPr>
        <w:t> </w:t>
      </w:r>
      <w:r>
        <w:rPr/>
        <w:t>ratably as</w:t>
      </w:r>
      <w:r>
        <w:rPr>
          <w:spacing w:val="-2"/>
        </w:rPr>
        <w:t> </w:t>
      </w:r>
      <w:r>
        <w:rPr/>
        <w:t>revenue</w:t>
      </w:r>
      <w:r>
        <w:rPr>
          <w:spacing w:val="-1"/>
        </w:rPr>
        <w:t> </w:t>
      </w:r>
      <w:r>
        <w:rPr/>
        <w:t>over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performance</w:t>
      </w:r>
      <w:r>
        <w:rPr>
          <w:spacing w:val="-2"/>
        </w:rPr>
        <w:t> </w:t>
      </w:r>
      <w:r>
        <w:rPr/>
        <w:t>period, which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material.</w:t>
      </w:r>
    </w:p>
    <w:p>
      <w:pPr>
        <w:pStyle w:val="BodyText"/>
        <w:spacing w:line="249" w:lineRule="auto" w:before="183"/>
        <w:ind w:right="148"/>
      </w:pPr>
      <w:r>
        <w:rPr/>
        <w:t>The Company’s typical payment terms are between approximately 30 to 90 days. The Company expenses</w:t>
      </w:r>
      <w:r>
        <w:rPr>
          <w:spacing w:val="1"/>
        </w:rPr>
        <w:t> </w:t>
      </w:r>
      <w:r>
        <w:rPr/>
        <w:t>shipping and handling costs as incurred and includes them in the cost of sales. In those cases where shipping and</w:t>
      </w:r>
      <w:r>
        <w:rPr>
          <w:spacing w:val="1"/>
        </w:rPr>
        <w:t> </w:t>
      </w:r>
      <w:r>
        <w:rPr/>
        <w:t>handling costs are billed to customers, the Company classifies the amounts billed as a component of revenue. Taxes</w:t>
      </w:r>
      <w:r>
        <w:rPr>
          <w:spacing w:val="-47"/>
        </w:rPr>
        <w:t> </w:t>
      </w:r>
      <w:r>
        <w:rPr/>
        <w:t>collected from customers and remitted to governmental authorities are excluded from revenue. The Company</w:t>
      </w:r>
      <w:r>
        <w:rPr>
          <w:spacing w:val="1"/>
        </w:rPr>
        <w:t> </w:t>
      </w:r>
      <w:r>
        <w:rPr/>
        <w:t>expenses</w:t>
      </w:r>
      <w:r>
        <w:rPr>
          <w:spacing w:val="-4"/>
        </w:rPr>
        <w:t> </w:t>
      </w:r>
      <w:r>
        <w:rPr/>
        <w:t>any</w:t>
      </w:r>
      <w:r>
        <w:rPr>
          <w:spacing w:val="-3"/>
        </w:rPr>
        <w:t> </w:t>
      </w:r>
      <w:r>
        <w:rPr/>
        <w:t>incremental</w:t>
      </w:r>
      <w:r>
        <w:rPr>
          <w:spacing w:val="-4"/>
        </w:rPr>
        <w:t> </w:t>
      </w:r>
      <w:r>
        <w:rPr/>
        <w:t>costs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obtaining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contract,</w:t>
      </w:r>
      <w:r>
        <w:rPr>
          <w:spacing w:val="-3"/>
        </w:rPr>
        <w:t> </w:t>
      </w:r>
      <w:r>
        <w:rPr/>
        <w:t>including</w:t>
      </w:r>
      <w:r>
        <w:rPr>
          <w:spacing w:val="-3"/>
        </w:rPr>
        <w:t> </w:t>
      </w:r>
      <w:r>
        <w:rPr/>
        <w:t>but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limited</w:t>
      </w:r>
      <w:r>
        <w:rPr>
          <w:spacing w:val="-3"/>
        </w:rPr>
        <w:t> </w:t>
      </w:r>
      <w:r>
        <w:rPr/>
        <w:t>to,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commissions,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when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  <w:ind w:firstLine="0"/>
      </w:pPr>
      <w:r>
        <w:rPr/>
        <w:t>incurred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expected</w:t>
      </w:r>
      <w:r>
        <w:rPr>
          <w:spacing w:val="-2"/>
        </w:rPr>
        <w:t> </w:t>
      </w:r>
      <w:r>
        <w:rPr/>
        <w:t>amortization</w:t>
      </w:r>
      <w:r>
        <w:rPr>
          <w:spacing w:val="-2"/>
        </w:rPr>
        <w:t> </w:t>
      </w:r>
      <w:r>
        <w:rPr/>
        <w:t>period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incremental</w:t>
      </w:r>
      <w:r>
        <w:rPr>
          <w:spacing w:val="-3"/>
        </w:rPr>
        <w:t> </w:t>
      </w:r>
      <w:r>
        <w:rPr/>
        <w:t>costs</w:t>
      </w:r>
      <w:r>
        <w:rPr>
          <w:spacing w:val="-3"/>
        </w:rPr>
        <w:t> </w:t>
      </w:r>
      <w:r>
        <w:rPr/>
        <w:t>would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been</w:t>
      </w:r>
      <w:r>
        <w:rPr>
          <w:spacing w:val="-2"/>
        </w:rPr>
        <w:t> </w:t>
      </w:r>
      <w:r>
        <w:rPr/>
        <w:t>less</w:t>
      </w:r>
      <w:r>
        <w:rPr>
          <w:spacing w:val="-4"/>
        </w:rPr>
        <w:t> </w:t>
      </w:r>
      <w:r>
        <w:rPr/>
        <w:t>than</w:t>
      </w:r>
      <w:r>
        <w:rPr>
          <w:spacing w:val="-2"/>
        </w:rPr>
        <w:t> </w:t>
      </w:r>
      <w:r>
        <w:rPr/>
        <w:t>one</w:t>
      </w:r>
      <w:r>
        <w:rPr>
          <w:spacing w:val="-3"/>
        </w:rPr>
        <w:t> </w:t>
      </w:r>
      <w:r>
        <w:rPr/>
        <w:t>year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are</w:t>
      </w:r>
      <w:r>
        <w:rPr>
          <w:spacing w:val="-47"/>
        </w:rPr>
        <w:t> </w:t>
      </w:r>
      <w:r>
        <w:rPr/>
        <w:t>reported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selling,</w:t>
      </w:r>
      <w:r>
        <w:rPr>
          <w:spacing w:val="-3"/>
        </w:rPr>
        <w:t> </w:t>
      </w:r>
      <w:r>
        <w:rPr/>
        <w:t>general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administrative</w:t>
      </w:r>
      <w:r>
        <w:rPr>
          <w:spacing w:val="-4"/>
        </w:rPr>
        <w:t> </w:t>
      </w:r>
      <w:r>
        <w:rPr/>
        <w:t>expense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statements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operations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comprehensive</w:t>
      </w:r>
      <w:r>
        <w:rPr>
          <w:spacing w:val="-3"/>
        </w:rPr>
        <w:t> </w:t>
      </w:r>
      <w:r>
        <w:rPr/>
        <w:t>loss.</w:t>
      </w:r>
    </w:p>
    <w:p>
      <w:pPr>
        <w:pStyle w:val="BodyText"/>
        <w:spacing w:before="181"/>
        <w:ind w:left="460" w:firstLine="0"/>
      </w:pP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table</w:t>
      </w:r>
      <w:r>
        <w:rPr>
          <w:spacing w:val="-4"/>
        </w:rPr>
        <w:t> </w:t>
      </w:r>
      <w:r>
        <w:rPr/>
        <w:t>presents</w:t>
      </w:r>
      <w:r>
        <w:rPr>
          <w:spacing w:val="-3"/>
        </w:rPr>
        <w:t> </w:t>
      </w:r>
      <w:r>
        <w:rPr/>
        <w:t>revenue</w:t>
      </w:r>
      <w:r>
        <w:rPr>
          <w:spacing w:val="-4"/>
        </w:rPr>
        <w:t> </w:t>
      </w:r>
      <w:r>
        <w:rPr/>
        <w:t>disaggregated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type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geography</w:t>
      </w:r>
      <w:r>
        <w:rPr>
          <w:spacing w:val="-3"/>
        </w:rPr>
        <w:t> </w:t>
      </w:r>
      <w:r>
        <w:rPr/>
        <w:t>(in</w:t>
      </w:r>
      <w:r>
        <w:rPr>
          <w:spacing w:val="-2"/>
        </w:rPr>
        <w:t> </w:t>
      </w:r>
      <w:r>
        <w:rPr/>
        <w:t>thousands):</w:t>
      </w:r>
    </w:p>
    <w:p>
      <w:pPr>
        <w:pStyle w:val="BodyText"/>
        <w:spacing w:before="7"/>
        <w:ind w:left="0" w:firstLine="0"/>
        <w:rPr>
          <w:sz w:val="13"/>
        </w:rPr>
      </w:pPr>
    </w:p>
    <w:p>
      <w:pPr>
        <w:tabs>
          <w:tab w:pos="5917" w:val="left" w:leader="none"/>
          <w:tab w:pos="6932" w:val="left" w:leader="none"/>
          <w:tab w:pos="7282" w:val="left" w:leader="none"/>
          <w:tab w:pos="8967" w:val="right" w:leader="none"/>
        </w:tabs>
        <w:spacing w:line="312" w:lineRule="auto" w:before="93"/>
        <w:ind w:left="4552" w:right="259" w:hanging="394"/>
        <w:jc w:val="left"/>
        <w:rPr>
          <w:b/>
          <w:sz w:val="16"/>
        </w:rPr>
      </w:pPr>
      <w:r>
        <w:rPr/>
        <w:pict>
          <v:group style="position:absolute;margin-left:270pt;margin-top:15.578772pt;width:270pt;height:1pt;mso-position-horizontal-relative:page;mso-position-vertical-relative:paragraph;z-index:-19250688" id="docshapegroup70" coordorigin="5400,312" coordsize="5400,20">
            <v:shape style="position:absolute;left:5400;top:321;width:2670;height:2" id="docshape71" coordorigin="5400,322" coordsize="2670,0" path="m8070,322l5400,322e" filled="true" fillcolor="#000000" stroked="false">
              <v:path arrowok="t"/>
              <v:fill opacity="0f" type="solid"/>
            </v:shape>
            <v:line style="position:absolute" from="5400,322" to="8070,322" stroked="true" strokeweight="1pt" strokecolor="#000000">
              <v:stroke dashstyle="solid"/>
            </v:line>
            <v:shape style="position:absolute;left:8130;top:321;width:2670;height:2" id="docshape72" coordorigin="8130,322" coordsize="2670,0" path="m10800,322l8130,322e" filled="true" fillcolor="#000000" stroked="false">
              <v:path arrowok="t"/>
              <v:fill opacity="0f" type="solid"/>
            </v:shape>
            <v:line style="position:absolute" from="8130,322" to="10800,322" stroked="true" strokeweight="1pt" strokecolor="#000000">
              <v:stroke dashstyle="solid"/>
            </v:line>
            <w10:wrap type="none"/>
          </v:group>
        </w:pict>
      </w:r>
      <w:r>
        <w:rPr>
          <w:b/>
          <w:sz w:val="16"/>
        </w:rPr>
        <w:t>Three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Months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Ended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September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30,</w:t>
        <w:tab/>
        <w:t>Nine Months Ended September 30,</w:t>
      </w:r>
      <w:r>
        <w:rPr>
          <w:b/>
          <w:spacing w:val="-38"/>
          <w:sz w:val="16"/>
        </w:rPr>
        <w:t> </w:t>
      </w:r>
      <w:r>
        <w:rPr>
          <w:b/>
          <w:sz w:val="16"/>
        </w:rPr>
        <w:t>2021</w:t>
        <w:tab/>
        <w:t>2020</w:t>
        <w:tab/>
        <w:tab/>
        <w:t>2021</w:t>
      </w:r>
      <w:r>
        <w:rPr>
          <w:b/>
          <w:sz w:val="16"/>
        </w:rPr>
        <w:tab/>
      </w:r>
      <w:r>
        <w:rPr>
          <w:b/>
          <w:sz w:val="16"/>
        </w:rPr>
        <w:t>2020</w:t>
      </w: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0"/>
        <w:gridCol w:w="1320"/>
        <w:gridCol w:w="1365"/>
        <w:gridCol w:w="1365"/>
        <w:gridCol w:w="1349"/>
      </w:tblGrid>
      <w:tr>
        <w:trPr>
          <w:trHeight w:val="260" w:hRule="atLeast"/>
        </w:trPr>
        <w:tc>
          <w:tcPr>
            <w:tcW w:w="3960" w:type="dxa"/>
            <w:shd w:val="clear" w:color="auto" w:fill="CCEDFF"/>
          </w:tcPr>
          <w:p>
            <w:pPr>
              <w:pStyle w:val="TableParagraph"/>
              <w:spacing w:line="215" w:lineRule="exact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U.S.</w:t>
            </w:r>
          </w:p>
        </w:tc>
        <w:tc>
          <w:tcPr>
            <w:tcW w:w="5399" w:type="dxa"/>
            <w:gridSpan w:val="4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3960" w:type="dxa"/>
          </w:tcPr>
          <w:p>
            <w:pPr>
              <w:pStyle w:val="TableParagraph"/>
              <w:spacing w:line="225" w:lineRule="exact"/>
              <w:ind w:right="57"/>
              <w:rPr>
                <w:sz w:val="20"/>
              </w:rPr>
            </w:pPr>
            <w:r>
              <w:rPr>
                <w:sz w:val="20"/>
              </w:rPr>
              <w:t>System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 rentals</w:t>
            </w:r>
            <w:r>
              <w:rPr>
                <w:spacing w:val="9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</w:p>
        </w:tc>
        <w:tc>
          <w:tcPr>
            <w:tcW w:w="1320" w:type="dxa"/>
          </w:tcPr>
          <w:p>
            <w:pPr>
              <w:pStyle w:val="TableParagraph"/>
              <w:tabs>
                <w:tab w:pos="720" w:val="left" w:leader="none"/>
              </w:tabs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$</w:t>
              <w:tab/>
              <w:t>5,038</w:t>
            </w:r>
          </w:p>
        </w:tc>
        <w:tc>
          <w:tcPr>
            <w:tcW w:w="1365" w:type="dxa"/>
          </w:tcPr>
          <w:p>
            <w:pPr>
              <w:pStyle w:val="TableParagraph"/>
              <w:tabs>
                <w:tab w:pos="870" w:val="left" w:leader="none"/>
              </w:tabs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$</w:t>
              <w:tab/>
              <w:t>646</w:t>
            </w:r>
          </w:p>
        </w:tc>
        <w:tc>
          <w:tcPr>
            <w:tcW w:w="1365" w:type="dxa"/>
          </w:tcPr>
          <w:p>
            <w:pPr>
              <w:pStyle w:val="TableParagraph"/>
              <w:tabs>
                <w:tab w:pos="620" w:val="left" w:leader="none"/>
              </w:tabs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$</w:t>
              <w:tab/>
              <w:t>14,368</w:t>
            </w:r>
          </w:p>
        </w:tc>
        <w:tc>
          <w:tcPr>
            <w:tcW w:w="1349" w:type="dxa"/>
          </w:tcPr>
          <w:p>
            <w:pPr>
              <w:pStyle w:val="TableParagraph"/>
              <w:tabs>
                <w:tab w:pos="720" w:val="left" w:leader="none"/>
              </w:tabs>
              <w:spacing w:before="1"/>
              <w:ind w:right="78"/>
              <w:rPr>
                <w:sz w:val="20"/>
              </w:rPr>
            </w:pPr>
            <w:r>
              <w:rPr>
                <w:sz w:val="20"/>
              </w:rPr>
              <w:t>$</w:t>
              <w:tab/>
              <w:t>1,106</w:t>
            </w:r>
          </w:p>
        </w:tc>
      </w:tr>
      <w:tr>
        <w:trPr>
          <w:trHeight w:val="270" w:hRule="atLeast"/>
        </w:trPr>
        <w:tc>
          <w:tcPr>
            <w:tcW w:w="3960" w:type="dxa"/>
            <w:shd w:val="clear" w:color="auto" w:fill="CCEDFF"/>
          </w:tcPr>
          <w:p>
            <w:pPr>
              <w:pStyle w:val="TableParagraph"/>
              <w:spacing w:line="225" w:lineRule="exact"/>
              <w:ind w:right="50"/>
              <w:rPr>
                <w:sz w:val="20"/>
              </w:rPr>
            </w:pPr>
            <w:r>
              <w:rPr>
                <w:sz w:val="20"/>
              </w:rPr>
              <w:t>Handpieces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consumables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2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2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</w:p>
        </w:tc>
        <w:tc>
          <w:tcPr>
            <w:tcW w:w="1320" w:type="dxa"/>
            <w:shd w:val="clear" w:color="auto" w:fill="CCEDFF"/>
          </w:tcPr>
          <w:p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2,184</w:t>
            </w:r>
          </w:p>
        </w:tc>
        <w:tc>
          <w:tcPr>
            <w:tcW w:w="1365" w:type="dxa"/>
            <w:shd w:val="clear" w:color="auto" w:fill="CCEDFF"/>
          </w:tcPr>
          <w:p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451</w:t>
            </w:r>
          </w:p>
        </w:tc>
        <w:tc>
          <w:tcPr>
            <w:tcW w:w="1365" w:type="dxa"/>
            <w:shd w:val="clear" w:color="auto" w:fill="CCEDFF"/>
          </w:tcPr>
          <w:p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5,458</w:t>
            </w:r>
          </w:p>
        </w:tc>
        <w:tc>
          <w:tcPr>
            <w:tcW w:w="1349" w:type="dxa"/>
            <w:shd w:val="clear" w:color="auto" w:fill="CCEDFF"/>
          </w:tcPr>
          <w:p>
            <w:pPr>
              <w:pStyle w:val="TableParagraph"/>
              <w:spacing w:before="1"/>
              <w:ind w:right="78"/>
              <w:rPr>
                <w:sz w:val="20"/>
              </w:rPr>
            </w:pPr>
            <w:r>
              <w:rPr>
                <w:sz w:val="20"/>
              </w:rPr>
              <w:t>930</w:t>
            </w:r>
          </w:p>
        </w:tc>
      </w:tr>
      <w:tr>
        <w:trPr>
          <w:trHeight w:val="260" w:hRule="atLeast"/>
        </w:trPr>
        <w:tc>
          <w:tcPr>
            <w:tcW w:w="3960" w:type="dxa"/>
          </w:tcPr>
          <w:p>
            <w:pPr>
              <w:pStyle w:val="TableParagraph"/>
              <w:spacing w:line="225" w:lineRule="exact"/>
              <w:ind w:right="51"/>
              <w:rPr>
                <w:sz w:val="20"/>
              </w:rPr>
            </w:pPr>
            <w:r>
              <w:rPr>
                <w:sz w:val="20"/>
              </w:rPr>
              <w:t>Service</w:t>
            </w:r>
            <w:r>
              <w:rPr>
                <w:spacing w:val="13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</w:t>
            </w:r>
          </w:p>
        </w:tc>
        <w:tc>
          <w:tcPr>
            <w:tcW w:w="132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3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3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378</w:t>
            </w:r>
          </w:p>
        </w:tc>
        <w:tc>
          <w:tcPr>
            <w:tcW w:w="134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"/>
              <w:ind w:right="78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3960" w:type="dxa"/>
            <w:shd w:val="clear" w:color="auto" w:fill="CCEDFF"/>
          </w:tcPr>
          <w:p>
            <w:pPr>
              <w:pStyle w:val="TableParagraph"/>
              <w:spacing w:line="215" w:lineRule="exact"/>
              <w:ind w:right="59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U.S. revenue</w:t>
            </w:r>
            <w:r>
              <w:rPr>
                <w:spacing w:val="36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</w:p>
        </w:tc>
        <w:tc>
          <w:tcPr>
            <w:tcW w:w="1320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221" w:lineRule="exact"/>
              <w:ind w:right="94"/>
              <w:rPr>
                <w:sz w:val="20"/>
              </w:rPr>
            </w:pPr>
            <w:r>
              <w:rPr>
                <w:sz w:val="20"/>
              </w:rPr>
              <w:t>7,391</w:t>
            </w:r>
          </w:p>
        </w:tc>
        <w:tc>
          <w:tcPr>
            <w:tcW w:w="1365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221" w:lineRule="exact"/>
              <w:ind w:right="94"/>
              <w:rPr>
                <w:sz w:val="20"/>
              </w:rPr>
            </w:pPr>
            <w:r>
              <w:rPr>
                <w:sz w:val="20"/>
              </w:rPr>
              <w:t>1,113</w:t>
            </w:r>
          </w:p>
        </w:tc>
        <w:tc>
          <w:tcPr>
            <w:tcW w:w="1365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221" w:lineRule="exact"/>
              <w:ind w:right="94"/>
              <w:rPr>
                <w:sz w:val="20"/>
              </w:rPr>
            </w:pPr>
            <w:r>
              <w:rPr>
                <w:sz w:val="20"/>
              </w:rPr>
              <w:t>20,204</w:t>
            </w:r>
          </w:p>
        </w:tc>
        <w:tc>
          <w:tcPr>
            <w:tcW w:w="1349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221" w:lineRule="exact"/>
              <w:ind w:right="78"/>
              <w:rPr>
                <w:sz w:val="20"/>
              </w:rPr>
            </w:pPr>
            <w:r>
              <w:rPr>
                <w:sz w:val="20"/>
              </w:rPr>
              <w:t>2,062</w:t>
            </w:r>
          </w:p>
        </w:tc>
      </w:tr>
      <w:tr>
        <w:trPr>
          <w:trHeight w:val="270" w:hRule="atLeast"/>
        </w:trPr>
        <w:tc>
          <w:tcPr>
            <w:tcW w:w="3960" w:type="dxa"/>
          </w:tcPr>
          <w:p>
            <w:pPr>
              <w:pStyle w:val="TableParagraph"/>
              <w:spacing w:line="225" w:lineRule="exact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Outside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U.S.</w:t>
            </w:r>
          </w:p>
        </w:tc>
        <w:tc>
          <w:tcPr>
            <w:tcW w:w="1320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3960" w:type="dxa"/>
            <w:shd w:val="clear" w:color="auto" w:fill="CCEDFF"/>
          </w:tcPr>
          <w:p>
            <w:pPr>
              <w:pStyle w:val="TableParagraph"/>
              <w:spacing w:line="225" w:lineRule="exact"/>
              <w:ind w:right="57"/>
              <w:rPr>
                <w:sz w:val="20"/>
              </w:rPr>
            </w:pPr>
            <w:r>
              <w:rPr>
                <w:sz w:val="20"/>
              </w:rPr>
              <w:t>System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 rentals</w:t>
            </w:r>
            <w:r>
              <w:rPr>
                <w:spacing w:val="9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</w:p>
        </w:tc>
        <w:tc>
          <w:tcPr>
            <w:tcW w:w="1320" w:type="dxa"/>
            <w:shd w:val="clear" w:color="auto" w:fill="CCEDFF"/>
          </w:tcPr>
          <w:p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481</w:t>
            </w:r>
          </w:p>
        </w:tc>
        <w:tc>
          <w:tcPr>
            <w:tcW w:w="1365" w:type="dxa"/>
            <w:shd w:val="clear" w:color="auto" w:fill="CCEDFF"/>
          </w:tcPr>
          <w:p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369</w:t>
            </w:r>
          </w:p>
        </w:tc>
        <w:tc>
          <w:tcPr>
            <w:tcW w:w="1365" w:type="dxa"/>
            <w:shd w:val="clear" w:color="auto" w:fill="CCEDFF"/>
          </w:tcPr>
          <w:p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1,725</w:t>
            </w:r>
          </w:p>
        </w:tc>
        <w:tc>
          <w:tcPr>
            <w:tcW w:w="1349" w:type="dxa"/>
            <w:shd w:val="clear" w:color="auto" w:fill="CCEDFF"/>
          </w:tcPr>
          <w:p>
            <w:pPr>
              <w:pStyle w:val="TableParagraph"/>
              <w:spacing w:before="1"/>
              <w:ind w:right="78"/>
              <w:rPr>
                <w:sz w:val="20"/>
              </w:rPr>
            </w:pPr>
            <w:r>
              <w:rPr>
                <w:sz w:val="20"/>
              </w:rPr>
              <w:t>1,111</w:t>
            </w:r>
          </w:p>
        </w:tc>
      </w:tr>
      <w:tr>
        <w:trPr>
          <w:trHeight w:val="270" w:hRule="atLeast"/>
        </w:trPr>
        <w:tc>
          <w:tcPr>
            <w:tcW w:w="3960" w:type="dxa"/>
          </w:tcPr>
          <w:p>
            <w:pPr>
              <w:pStyle w:val="TableParagraph"/>
              <w:spacing w:line="225" w:lineRule="exact"/>
              <w:ind w:right="50"/>
              <w:rPr>
                <w:sz w:val="20"/>
              </w:rPr>
            </w:pPr>
            <w:r>
              <w:rPr>
                <w:sz w:val="20"/>
              </w:rPr>
              <w:t>Handpieces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consumables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2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2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</w:p>
        </w:tc>
        <w:tc>
          <w:tcPr>
            <w:tcW w:w="1320" w:type="dxa"/>
          </w:tcPr>
          <w:p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666</w:t>
            </w:r>
          </w:p>
        </w:tc>
        <w:tc>
          <w:tcPr>
            <w:tcW w:w="1365" w:type="dxa"/>
          </w:tcPr>
          <w:p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596</w:t>
            </w:r>
          </w:p>
        </w:tc>
        <w:tc>
          <w:tcPr>
            <w:tcW w:w="1365" w:type="dxa"/>
          </w:tcPr>
          <w:p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2,159</w:t>
            </w:r>
          </w:p>
        </w:tc>
        <w:tc>
          <w:tcPr>
            <w:tcW w:w="1349" w:type="dxa"/>
          </w:tcPr>
          <w:p>
            <w:pPr>
              <w:pStyle w:val="TableParagraph"/>
              <w:spacing w:before="1"/>
              <w:ind w:right="78"/>
              <w:rPr>
                <w:sz w:val="20"/>
              </w:rPr>
            </w:pPr>
            <w:r>
              <w:rPr>
                <w:sz w:val="20"/>
              </w:rPr>
              <w:t>1,278</w:t>
            </w:r>
          </w:p>
        </w:tc>
      </w:tr>
      <w:tr>
        <w:trPr>
          <w:trHeight w:val="260" w:hRule="atLeast"/>
        </w:trPr>
        <w:tc>
          <w:tcPr>
            <w:tcW w:w="3960" w:type="dxa"/>
            <w:shd w:val="clear" w:color="auto" w:fill="CCEDFF"/>
          </w:tcPr>
          <w:p>
            <w:pPr>
              <w:pStyle w:val="TableParagraph"/>
              <w:spacing w:line="225" w:lineRule="exact"/>
              <w:ind w:right="51"/>
              <w:rPr>
                <w:sz w:val="20"/>
              </w:rPr>
            </w:pPr>
            <w:r>
              <w:rPr>
                <w:sz w:val="20"/>
              </w:rPr>
              <w:t>Service</w:t>
            </w:r>
            <w:r>
              <w:rPr>
                <w:spacing w:val="13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</w:t>
            </w:r>
          </w:p>
        </w:tc>
        <w:tc>
          <w:tcPr>
            <w:tcW w:w="1320" w:type="dxa"/>
            <w:tcBorders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365" w:type="dxa"/>
            <w:tcBorders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365" w:type="dxa"/>
            <w:tcBorders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349" w:type="dxa"/>
            <w:tcBorders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1"/>
              <w:ind w:right="78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</w:tr>
      <w:tr>
        <w:trPr>
          <w:trHeight w:val="250" w:hRule="atLeast"/>
        </w:trPr>
        <w:tc>
          <w:tcPr>
            <w:tcW w:w="3960" w:type="dxa"/>
          </w:tcPr>
          <w:p>
            <w:pPr>
              <w:pStyle w:val="TableParagraph"/>
              <w:spacing w:line="215" w:lineRule="exact"/>
              <w:ind w:right="55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outside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 U.S.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revenue</w:t>
            </w:r>
            <w:r>
              <w:rPr>
                <w:spacing w:val="45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1" w:lineRule="exact"/>
              <w:ind w:right="94"/>
              <w:rPr>
                <w:sz w:val="20"/>
              </w:rPr>
            </w:pPr>
            <w:r>
              <w:rPr>
                <w:sz w:val="20"/>
              </w:rPr>
              <w:t>1,277</w:t>
            </w:r>
          </w:p>
        </w:tc>
        <w:tc>
          <w:tcPr>
            <w:tcW w:w="136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1" w:lineRule="exact"/>
              <w:ind w:right="94"/>
              <w:rPr>
                <w:sz w:val="20"/>
              </w:rPr>
            </w:pPr>
            <w:r>
              <w:rPr>
                <w:sz w:val="20"/>
              </w:rPr>
              <w:t>994</w:t>
            </w:r>
          </w:p>
        </w:tc>
        <w:tc>
          <w:tcPr>
            <w:tcW w:w="136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1" w:lineRule="exact"/>
              <w:ind w:right="94"/>
              <w:rPr>
                <w:sz w:val="20"/>
              </w:rPr>
            </w:pPr>
            <w:r>
              <w:rPr>
                <w:sz w:val="20"/>
              </w:rPr>
              <w:t>4,131</w:t>
            </w:r>
          </w:p>
        </w:tc>
        <w:tc>
          <w:tcPr>
            <w:tcW w:w="134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1" w:lineRule="exact"/>
              <w:ind w:right="78"/>
              <w:rPr>
                <w:sz w:val="20"/>
              </w:rPr>
            </w:pPr>
            <w:r>
              <w:rPr>
                <w:sz w:val="20"/>
              </w:rPr>
              <w:t>2,434</w:t>
            </w:r>
          </w:p>
        </w:tc>
      </w:tr>
      <w:tr>
        <w:trPr>
          <w:trHeight w:val="280" w:hRule="atLeast"/>
        </w:trPr>
        <w:tc>
          <w:tcPr>
            <w:tcW w:w="9359" w:type="dxa"/>
            <w:gridSpan w:val="5"/>
            <w:shd w:val="clear" w:color="auto" w:fill="CCEDFF"/>
          </w:tcPr>
          <w:p>
            <w:pPr>
              <w:pStyle w:val="TableParagraph"/>
              <w:tabs>
                <w:tab w:pos="4733" w:val="left" w:leader="none"/>
                <w:tab w:pos="6098" w:val="left" w:leader="none"/>
                <w:tab w:pos="7363" w:val="left" w:leader="none"/>
                <w:tab w:pos="8828" w:val="left" w:leader="none"/>
              </w:tabs>
              <w:spacing w:line="215" w:lineRule="exact"/>
              <w:ind w:left="772"/>
              <w:jc w:val="left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revenue</w:t>
            </w:r>
            <w:r>
              <w:rPr>
                <w:spacing w:val="28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57"/>
                <w:sz w:val="20"/>
              </w:rPr>
              <w:t> </w:t>
            </w:r>
            <w:r>
              <w:rPr>
                <w:sz w:val="20"/>
                <w:u w:val="single"/>
              </w:rPr>
              <w:t>$</w:t>
              <w:tab/>
              <w:t>8,668  </w:t>
            </w:r>
            <w:r>
              <w:rPr>
                <w:spacing w:val="44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$</w:t>
              <w:tab/>
              <w:t>2,107  </w:t>
            </w:r>
            <w:r>
              <w:rPr>
                <w:spacing w:val="44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$</w:t>
              <w:tab/>
              <w:t>24,335  </w:t>
            </w:r>
            <w:r>
              <w:rPr>
                <w:spacing w:val="44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$</w:t>
              <w:tab/>
              <w:t>4,496</w:t>
            </w:r>
          </w:p>
        </w:tc>
      </w:tr>
    </w:tbl>
    <w:p>
      <w:pPr>
        <w:pStyle w:val="BodyText"/>
        <w:spacing w:before="5"/>
        <w:ind w:left="0" w:firstLine="0"/>
        <w:rPr>
          <w:b/>
          <w:sz w:val="16"/>
        </w:rPr>
      </w:pPr>
    </w:p>
    <w:p>
      <w:pPr>
        <w:pStyle w:val="Heading3"/>
        <w:spacing w:before="0"/>
        <w:rPr>
          <w:i/>
        </w:rPr>
      </w:pPr>
      <w:r>
        <w:rPr>
          <w:i/>
        </w:rPr>
        <w:t>Cost</w:t>
      </w:r>
      <w:r>
        <w:rPr>
          <w:i/>
          <w:spacing w:val="-3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</w:rPr>
        <w:t>Sales</w:t>
      </w:r>
    </w:p>
    <w:p>
      <w:pPr>
        <w:pStyle w:val="BodyText"/>
        <w:spacing w:line="249" w:lineRule="auto" w:before="193"/>
        <w:ind w:right="189"/>
      </w:pPr>
      <w:r>
        <w:rPr/>
        <w:t>Cost of sales consists primarily of manufacturing overhead costs, material costs and direct labor, including</w:t>
      </w:r>
      <w:r>
        <w:rPr>
          <w:spacing w:val="1"/>
        </w:rPr>
        <w:t> </w:t>
      </w:r>
      <w:r>
        <w:rPr/>
        <w:t>stock-based compensation. A significant portion of the Company’s cost of sales currently consists of manufacturing</w:t>
      </w:r>
      <w:r>
        <w:rPr>
          <w:spacing w:val="-47"/>
        </w:rPr>
        <w:t> </w:t>
      </w:r>
      <w:r>
        <w:rPr/>
        <w:t>overhead</w:t>
      </w:r>
      <w:r>
        <w:rPr>
          <w:spacing w:val="-4"/>
        </w:rPr>
        <w:t> </w:t>
      </w:r>
      <w:r>
        <w:rPr/>
        <w:t>costs.</w:t>
      </w:r>
      <w:r>
        <w:rPr>
          <w:spacing w:val="-3"/>
        </w:rPr>
        <w:t> </w:t>
      </w:r>
      <w:r>
        <w:rPr/>
        <w:t>These</w:t>
      </w:r>
      <w:r>
        <w:rPr>
          <w:spacing w:val="-4"/>
        </w:rPr>
        <w:t> </w:t>
      </w:r>
      <w:r>
        <w:rPr/>
        <w:t>overhead</w:t>
      </w:r>
      <w:r>
        <w:rPr>
          <w:spacing w:val="-4"/>
        </w:rPr>
        <w:t> </w:t>
      </w:r>
      <w:r>
        <w:rPr/>
        <w:t>costs</w:t>
      </w:r>
      <w:r>
        <w:rPr>
          <w:spacing w:val="-4"/>
        </w:rPr>
        <w:t> </w:t>
      </w:r>
      <w:r>
        <w:rPr/>
        <w:t>include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cost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quality</w:t>
      </w:r>
      <w:r>
        <w:rPr>
          <w:spacing w:val="-3"/>
        </w:rPr>
        <w:t> </w:t>
      </w:r>
      <w:r>
        <w:rPr/>
        <w:t>assurance,</w:t>
      </w:r>
      <w:r>
        <w:rPr>
          <w:spacing w:val="-3"/>
        </w:rPr>
        <w:t> </w:t>
      </w:r>
      <w:r>
        <w:rPr/>
        <w:t>material</w:t>
      </w:r>
      <w:r>
        <w:rPr>
          <w:spacing w:val="-5"/>
        </w:rPr>
        <w:t> </w:t>
      </w:r>
      <w:r>
        <w:rPr/>
        <w:t>procurement,</w:t>
      </w:r>
      <w:r>
        <w:rPr>
          <w:spacing w:val="-3"/>
        </w:rPr>
        <w:t> </w:t>
      </w:r>
      <w:r>
        <w:rPr/>
        <w:t>inventory</w:t>
      </w:r>
      <w:r>
        <w:rPr>
          <w:spacing w:val="-3"/>
        </w:rPr>
        <w:t> </w:t>
      </w:r>
      <w:r>
        <w:rPr/>
        <w:t>control,</w:t>
      </w:r>
      <w:r>
        <w:rPr>
          <w:spacing w:val="-47"/>
        </w:rPr>
        <w:t> </w:t>
      </w:r>
      <w:r>
        <w:rPr/>
        <w:t>facilities, equipment and operations supervision and management. Cost of sales also includes depreciation expense</w:t>
      </w:r>
      <w:r>
        <w:rPr>
          <w:spacing w:val="1"/>
        </w:rPr>
        <w:t> </w:t>
      </w:r>
      <w:r>
        <w:rPr/>
        <w:t>for production equipment, warranty and field service costs, and purchased intangibles and certain direct costs such</w:t>
      </w:r>
      <w:r>
        <w:rPr>
          <w:spacing w:val="1"/>
        </w:rPr>
        <w:t> </w:t>
      </w:r>
      <w:r>
        <w:rPr/>
        <w:t>as</w:t>
      </w:r>
      <w:r>
        <w:rPr>
          <w:spacing w:val="-2"/>
        </w:rPr>
        <w:t> </w:t>
      </w:r>
      <w:r>
        <w:rPr/>
        <w:t>shipping costs.</w:t>
      </w:r>
    </w:p>
    <w:p>
      <w:pPr>
        <w:pStyle w:val="Heading3"/>
        <w:spacing w:before="182"/>
        <w:rPr>
          <w:i/>
        </w:rPr>
      </w:pPr>
      <w:r>
        <w:rPr>
          <w:i/>
        </w:rPr>
        <w:t>Research</w:t>
      </w:r>
      <w:r>
        <w:rPr>
          <w:i/>
          <w:spacing w:val="-6"/>
        </w:rPr>
        <w:t> </w:t>
      </w:r>
      <w:r>
        <w:rPr>
          <w:i/>
        </w:rPr>
        <w:t>and</w:t>
      </w:r>
      <w:r>
        <w:rPr>
          <w:i/>
          <w:spacing w:val="-4"/>
        </w:rPr>
        <w:t> </w:t>
      </w:r>
      <w:r>
        <w:rPr>
          <w:i/>
        </w:rPr>
        <w:t>Development</w:t>
      </w:r>
    </w:p>
    <w:p>
      <w:pPr>
        <w:pStyle w:val="BodyText"/>
        <w:spacing w:line="249" w:lineRule="auto" w:before="193"/>
        <w:ind w:right="128"/>
      </w:pPr>
      <w:r>
        <w:rPr/>
        <w:t>Research and development costs are expensed as incurred. Research and development costs consist primarily of</w:t>
      </w:r>
      <w:r>
        <w:rPr>
          <w:spacing w:val="-47"/>
        </w:rPr>
        <w:t> </w:t>
      </w:r>
      <w:r>
        <w:rPr/>
        <w:t>engineering,</w:t>
      </w:r>
      <w:r>
        <w:rPr>
          <w:spacing w:val="-5"/>
        </w:rPr>
        <w:t> </w:t>
      </w:r>
      <w:r>
        <w:rPr/>
        <w:t>product</w:t>
      </w:r>
      <w:r>
        <w:rPr>
          <w:spacing w:val="-5"/>
        </w:rPr>
        <w:t> </w:t>
      </w:r>
      <w:r>
        <w:rPr/>
        <w:t>development,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regulatory</w:t>
      </w:r>
      <w:r>
        <w:rPr>
          <w:spacing w:val="-4"/>
        </w:rPr>
        <w:t> </w:t>
      </w:r>
      <w:r>
        <w:rPr/>
        <w:t>affairs,</w:t>
      </w:r>
      <w:r>
        <w:rPr>
          <w:spacing w:val="-4"/>
        </w:rPr>
        <w:t> </w:t>
      </w:r>
      <w:r>
        <w:rPr/>
        <w:t>consulting</w:t>
      </w:r>
      <w:r>
        <w:rPr>
          <w:spacing w:val="-4"/>
        </w:rPr>
        <w:t> </w:t>
      </w:r>
      <w:r>
        <w:rPr/>
        <w:t>services,</w:t>
      </w:r>
      <w:r>
        <w:rPr>
          <w:spacing w:val="-4"/>
        </w:rPr>
        <w:t> </w:t>
      </w:r>
      <w:r>
        <w:rPr/>
        <w:t>materials,</w:t>
      </w:r>
      <w:r>
        <w:rPr>
          <w:spacing w:val="-4"/>
        </w:rPr>
        <w:t> </w:t>
      </w:r>
      <w:r>
        <w:rPr/>
        <w:t>depreciation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other</w:t>
      </w:r>
      <w:r>
        <w:rPr>
          <w:spacing w:val="-5"/>
        </w:rPr>
        <w:t> </w:t>
      </w:r>
      <w:r>
        <w:rPr/>
        <w:t>costs</w:t>
      </w:r>
      <w:r>
        <w:rPr>
          <w:spacing w:val="-47"/>
        </w:rPr>
        <w:t> </w:t>
      </w:r>
      <w:r>
        <w:rPr/>
        <w:t>associated with products and technologies being developed, including employee and non-employee compensation,</w:t>
      </w:r>
      <w:r>
        <w:rPr>
          <w:spacing w:val="1"/>
        </w:rPr>
        <w:t> </w:t>
      </w:r>
      <w:r>
        <w:rPr/>
        <w:t>stock-based</w:t>
      </w:r>
      <w:r>
        <w:rPr>
          <w:spacing w:val="-3"/>
        </w:rPr>
        <w:t> </w:t>
      </w:r>
      <w:r>
        <w:rPr/>
        <w:t>compensation,</w:t>
      </w:r>
      <w:r>
        <w:rPr>
          <w:spacing w:val="-3"/>
        </w:rPr>
        <w:t> </w:t>
      </w:r>
      <w:r>
        <w:rPr/>
        <w:t>supplies,</w:t>
      </w:r>
      <w:r>
        <w:rPr>
          <w:spacing w:val="-3"/>
        </w:rPr>
        <w:t> </w:t>
      </w:r>
      <w:r>
        <w:rPr/>
        <w:t>quality</w:t>
      </w:r>
      <w:r>
        <w:rPr>
          <w:spacing w:val="-3"/>
        </w:rPr>
        <w:t> </w:t>
      </w:r>
      <w:r>
        <w:rPr/>
        <w:t>assurance</w:t>
      </w:r>
      <w:r>
        <w:rPr>
          <w:spacing w:val="-4"/>
        </w:rPr>
        <w:t> </w:t>
      </w:r>
      <w:r>
        <w:rPr/>
        <w:t>expenses,</w:t>
      </w:r>
      <w:r>
        <w:rPr>
          <w:spacing w:val="-2"/>
        </w:rPr>
        <w:t> </w:t>
      </w:r>
      <w:r>
        <w:rPr/>
        <w:t>related</w:t>
      </w:r>
      <w:r>
        <w:rPr>
          <w:spacing w:val="-3"/>
        </w:rPr>
        <w:t> </w:t>
      </w:r>
      <w:r>
        <w:rPr/>
        <w:t>travel</w:t>
      </w:r>
      <w:r>
        <w:rPr>
          <w:spacing w:val="-4"/>
        </w:rPr>
        <w:t> </w:t>
      </w:r>
      <w:r>
        <w:rPr/>
        <w:t>expenses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facilities</w:t>
      </w:r>
      <w:r>
        <w:rPr>
          <w:spacing w:val="-3"/>
        </w:rPr>
        <w:t> </w:t>
      </w:r>
      <w:r>
        <w:rPr/>
        <w:t>expenses.</w:t>
      </w:r>
    </w:p>
    <w:p>
      <w:pPr>
        <w:pStyle w:val="Heading3"/>
        <w:rPr>
          <w:i/>
        </w:rPr>
      </w:pPr>
      <w:r>
        <w:rPr>
          <w:i/>
        </w:rPr>
        <w:t>Stock-Based</w:t>
      </w:r>
      <w:r>
        <w:rPr>
          <w:i/>
          <w:spacing w:val="-6"/>
        </w:rPr>
        <w:t> </w:t>
      </w:r>
      <w:r>
        <w:rPr>
          <w:i/>
        </w:rPr>
        <w:t>Compensation</w:t>
      </w:r>
    </w:p>
    <w:p>
      <w:pPr>
        <w:pStyle w:val="BodyText"/>
        <w:spacing w:line="249" w:lineRule="auto" w:before="194"/>
      </w:pPr>
      <w:r>
        <w:rPr/>
        <w:t>The Company maintains a payment equity incentive plan to provide long-term incentives for employees,</w:t>
      </w:r>
      <w:r>
        <w:rPr>
          <w:spacing w:val="1"/>
        </w:rPr>
        <w:t> </w:t>
      </w:r>
      <w:r>
        <w:rPr/>
        <w:t>consultants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members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board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directors.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plan</w:t>
      </w:r>
      <w:r>
        <w:rPr>
          <w:spacing w:val="-2"/>
        </w:rPr>
        <w:t> </w:t>
      </w:r>
      <w:r>
        <w:rPr/>
        <w:t>allows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issuance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non-statutory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incentive</w:t>
      </w:r>
      <w:r>
        <w:rPr>
          <w:spacing w:val="-47"/>
        </w:rPr>
        <w:t> </w:t>
      </w:r>
      <w:r>
        <w:rPr/>
        <w:t>stock</w:t>
      </w:r>
      <w:r>
        <w:rPr>
          <w:spacing w:val="-2"/>
        </w:rPr>
        <w:t> </w:t>
      </w:r>
      <w:r>
        <w:rPr/>
        <w:t>options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employees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non-statutory</w:t>
      </w:r>
      <w:r>
        <w:rPr>
          <w:spacing w:val="-1"/>
        </w:rPr>
        <w:t> </w:t>
      </w:r>
      <w:r>
        <w:rPr/>
        <w:t>stock</w:t>
      </w:r>
      <w:r>
        <w:rPr>
          <w:spacing w:val="-1"/>
        </w:rPr>
        <w:t> </w:t>
      </w:r>
      <w:r>
        <w:rPr/>
        <w:t>options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consultants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non-employee</w:t>
      </w:r>
      <w:r>
        <w:rPr>
          <w:spacing w:val="-2"/>
        </w:rPr>
        <w:t> </w:t>
      </w:r>
      <w:r>
        <w:rPr/>
        <w:t>directors.</w:t>
      </w:r>
    </w:p>
    <w:p>
      <w:pPr>
        <w:pStyle w:val="BodyText"/>
        <w:spacing w:line="249" w:lineRule="auto" w:before="182"/>
      </w:pPr>
      <w:r>
        <w:rPr/>
        <w:t>The Company is required to determine the fair value of equity incentive awards and recognize compensation</w:t>
      </w:r>
      <w:r>
        <w:rPr>
          <w:spacing w:val="1"/>
        </w:rPr>
        <w:t> </w:t>
      </w:r>
      <w:r>
        <w:rPr/>
        <w:t>expense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all</w:t>
      </w:r>
      <w:r>
        <w:rPr>
          <w:spacing w:val="-4"/>
        </w:rPr>
        <w:t> </w:t>
      </w:r>
      <w:r>
        <w:rPr/>
        <w:t>equity</w:t>
      </w:r>
      <w:r>
        <w:rPr>
          <w:spacing w:val="-3"/>
        </w:rPr>
        <w:t> </w:t>
      </w:r>
      <w:r>
        <w:rPr/>
        <w:t>incentive</w:t>
      </w:r>
      <w:r>
        <w:rPr>
          <w:spacing w:val="-4"/>
        </w:rPr>
        <w:t> </w:t>
      </w:r>
      <w:r>
        <w:rPr/>
        <w:t>awards</w:t>
      </w:r>
      <w:r>
        <w:rPr>
          <w:spacing w:val="-4"/>
        </w:rPr>
        <w:t> </w:t>
      </w:r>
      <w:r>
        <w:rPr/>
        <w:t>made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employees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directors,</w:t>
      </w:r>
      <w:r>
        <w:rPr>
          <w:spacing w:val="-3"/>
        </w:rPr>
        <w:t> </w:t>
      </w:r>
      <w:r>
        <w:rPr/>
        <w:t>including</w:t>
      </w:r>
      <w:r>
        <w:rPr>
          <w:spacing w:val="-3"/>
        </w:rPr>
        <w:t> </w:t>
      </w:r>
      <w:r>
        <w:rPr/>
        <w:t>employee</w:t>
      </w:r>
      <w:r>
        <w:rPr>
          <w:spacing w:val="-4"/>
        </w:rPr>
        <w:t> </w:t>
      </w:r>
      <w:r>
        <w:rPr/>
        <w:t>stock</w:t>
      </w:r>
      <w:r>
        <w:rPr>
          <w:spacing w:val="-3"/>
        </w:rPr>
        <w:t> </w:t>
      </w:r>
      <w:r>
        <w:rPr/>
        <w:t>options.</w:t>
      </w:r>
      <w:r>
        <w:rPr>
          <w:spacing w:val="-3"/>
        </w:rPr>
        <w:t> </w:t>
      </w:r>
      <w:r>
        <w:rPr/>
        <w:t>Stock-</w:t>
      </w:r>
      <w:r>
        <w:rPr>
          <w:spacing w:val="-47"/>
        </w:rPr>
        <w:t> </w:t>
      </w:r>
      <w:r>
        <w:rPr/>
        <w:t>based compensation expense is recognized over the requisite service period in the statements of operations and</w:t>
      </w:r>
      <w:r>
        <w:rPr>
          <w:spacing w:val="1"/>
        </w:rPr>
        <w:t> </w:t>
      </w:r>
      <w:r>
        <w:rPr/>
        <w:t>comprehensive</w:t>
      </w:r>
      <w:r>
        <w:rPr>
          <w:spacing w:val="-2"/>
        </w:rPr>
        <w:t> </w:t>
      </w:r>
      <w:r>
        <w:rPr/>
        <w:t>loss.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Company</w:t>
      </w:r>
      <w:r>
        <w:rPr>
          <w:spacing w:val="-1"/>
        </w:rPr>
        <w:t> </w:t>
      </w:r>
      <w:r>
        <w:rPr/>
        <w:t>uses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straight-line</w:t>
      </w:r>
      <w:r>
        <w:rPr>
          <w:spacing w:val="-2"/>
        </w:rPr>
        <w:t> </w:t>
      </w:r>
      <w:r>
        <w:rPr/>
        <w:t>method</w:t>
      </w:r>
      <w:r>
        <w:rPr>
          <w:spacing w:val="-1"/>
        </w:rPr>
        <w:t> </w:t>
      </w:r>
      <w:r>
        <w:rPr/>
        <w:t>for expense</w:t>
      </w:r>
      <w:r>
        <w:rPr>
          <w:spacing w:val="-2"/>
        </w:rPr>
        <w:t> </w:t>
      </w:r>
      <w:r>
        <w:rPr/>
        <w:t>attribution.</w:t>
      </w:r>
    </w:p>
    <w:p>
      <w:pPr>
        <w:pStyle w:val="BodyText"/>
        <w:spacing w:line="249" w:lineRule="auto" w:before="183"/>
        <w:ind w:right="244"/>
      </w:pPr>
      <w:r>
        <w:rPr/>
        <w:t>The valuation model used for calculating the fair value of awards for stock-based compensation expense is the</w:t>
      </w:r>
      <w:r>
        <w:rPr>
          <w:spacing w:val="-47"/>
        </w:rPr>
        <w:t> </w:t>
      </w:r>
      <w:r>
        <w:rPr/>
        <w:t>Black-Scholes</w:t>
      </w:r>
      <w:r>
        <w:rPr>
          <w:spacing w:val="-5"/>
        </w:rPr>
        <w:t> </w:t>
      </w:r>
      <w:r>
        <w:rPr/>
        <w:t>option-pricing</w:t>
      </w:r>
      <w:r>
        <w:rPr>
          <w:spacing w:val="-4"/>
        </w:rPr>
        <w:t> </w:t>
      </w:r>
      <w:r>
        <w:rPr/>
        <w:t>model</w:t>
      </w:r>
      <w:r>
        <w:rPr>
          <w:spacing w:val="-5"/>
        </w:rPr>
        <w:t> </w:t>
      </w:r>
      <w:r>
        <w:rPr/>
        <w:t>(the</w:t>
      </w:r>
      <w:r>
        <w:rPr>
          <w:spacing w:val="-5"/>
        </w:rPr>
        <w:t> </w:t>
      </w:r>
      <w:r>
        <w:rPr/>
        <w:t>“Black-Scholes</w:t>
      </w:r>
      <w:r>
        <w:rPr>
          <w:spacing w:val="-5"/>
        </w:rPr>
        <w:t> </w:t>
      </w:r>
      <w:r>
        <w:rPr/>
        <w:t>model”).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Black-Scholes</w:t>
      </w:r>
      <w:r>
        <w:rPr>
          <w:spacing w:val="-5"/>
        </w:rPr>
        <w:t> </w:t>
      </w:r>
      <w:r>
        <w:rPr/>
        <w:t>model</w:t>
      </w:r>
      <w:r>
        <w:rPr>
          <w:spacing w:val="-5"/>
        </w:rPr>
        <w:t> </w:t>
      </w:r>
      <w:r>
        <w:rPr/>
        <w:t>requires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Company</w:t>
      </w:r>
      <w:r>
        <w:rPr>
          <w:spacing w:val="-47"/>
        </w:rPr>
        <w:t> </w:t>
      </w:r>
      <w:r>
        <w:rPr/>
        <w:t>to make assumptions and judgments about the variables used in the calculation, including the fair value of the</w:t>
      </w:r>
      <w:r>
        <w:rPr>
          <w:spacing w:val="1"/>
        </w:rPr>
        <w:t> </w:t>
      </w:r>
      <w:r>
        <w:rPr/>
        <w:t>Company’s common stock, the expected term (weighted-average period of time that the options granted are</w:t>
      </w:r>
      <w:r>
        <w:rPr>
          <w:spacing w:val="1"/>
        </w:rPr>
        <w:t> </w:t>
      </w:r>
      <w:r>
        <w:rPr/>
        <w:t>expected to be outstanding), the expected volatility of common stock, an assumed risk-free interest rate and an</w:t>
      </w:r>
      <w:r>
        <w:rPr>
          <w:spacing w:val="1"/>
        </w:rPr>
        <w:t> </w:t>
      </w:r>
      <w:r>
        <w:rPr/>
        <w:t>expected</w:t>
      </w:r>
      <w:r>
        <w:rPr>
          <w:spacing w:val="-1"/>
        </w:rPr>
        <w:t> </w:t>
      </w:r>
      <w:r>
        <w:rPr/>
        <w:t>dividend rate.</w:t>
      </w:r>
    </w:p>
    <w:p>
      <w:pPr>
        <w:pStyle w:val="BodyText"/>
        <w:spacing w:line="249" w:lineRule="auto" w:before="185"/>
        <w:ind w:right="240"/>
      </w:pPr>
      <w:r>
        <w:rPr/>
        <w:t>The</w:t>
      </w:r>
      <w:r>
        <w:rPr>
          <w:spacing w:val="-4"/>
        </w:rPr>
        <w:t> </w:t>
      </w:r>
      <w:r>
        <w:rPr/>
        <w:t>fair</w:t>
      </w:r>
      <w:r>
        <w:rPr>
          <w:spacing w:val="-3"/>
        </w:rPr>
        <w:t> </w:t>
      </w:r>
      <w:r>
        <w:rPr/>
        <w:t>value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Company’s</w:t>
      </w:r>
      <w:r>
        <w:rPr>
          <w:spacing w:val="-4"/>
        </w:rPr>
        <w:t> </w:t>
      </w:r>
      <w:r>
        <w:rPr/>
        <w:t>common</w:t>
      </w:r>
      <w:r>
        <w:rPr>
          <w:spacing w:val="-3"/>
        </w:rPr>
        <w:t> </w:t>
      </w:r>
      <w:r>
        <w:rPr/>
        <w:t>stock</w:t>
      </w:r>
      <w:r>
        <w:rPr>
          <w:spacing w:val="-2"/>
        </w:rPr>
        <w:t> </w:t>
      </w:r>
      <w:r>
        <w:rPr/>
        <w:t>underlying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stock</w:t>
      </w:r>
      <w:r>
        <w:rPr>
          <w:spacing w:val="-3"/>
        </w:rPr>
        <w:t> </w:t>
      </w:r>
      <w:r>
        <w:rPr/>
        <w:t>options</w:t>
      </w:r>
      <w:r>
        <w:rPr>
          <w:spacing w:val="-4"/>
        </w:rPr>
        <w:t> </w:t>
      </w:r>
      <w:r>
        <w:rPr/>
        <w:t>has</w:t>
      </w:r>
      <w:r>
        <w:rPr>
          <w:spacing w:val="-3"/>
        </w:rPr>
        <w:t> </w:t>
      </w:r>
      <w:r>
        <w:rPr/>
        <w:t>historically</w:t>
      </w:r>
      <w:r>
        <w:rPr>
          <w:spacing w:val="-3"/>
        </w:rPr>
        <w:t> </w:t>
      </w:r>
      <w:r>
        <w:rPr/>
        <w:t>been</w:t>
      </w:r>
      <w:r>
        <w:rPr>
          <w:spacing w:val="-2"/>
        </w:rPr>
        <w:t> </w:t>
      </w:r>
      <w:r>
        <w:rPr/>
        <w:t>determined</w:t>
      </w:r>
      <w:r>
        <w:rPr>
          <w:spacing w:val="-47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Company’s</w:t>
      </w:r>
      <w:r>
        <w:rPr>
          <w:spacing w:val="-3"/>
        </w:rPr>
        <w:t> </w:t>
      </w:r>
      <w:r>
        <w:rPr/>
        <w:t>board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directors</w:t>
      </w:r>
      <w:r>
        <w:rPr>
          <w:spacing w:val="-3"/>
        </w:rPr>
        <w:t> </w:t>
      </w:r>
      <w:r>
        <w:rPr/>
        <w:t>(“Board”).</w:t>
      </w:r>
      <w:r>
        <w:rPr>
          <w:spacing w:val="-1"/>
        </w:rPr>
        <w:t> </w:t>
      </w:r>
      <w:r>
        <w:rPr/>
        <w:t>Because</w:t>
      </w:r>
      <w:r>
        <w:rPr>
          <w:spacing w:val="-3"/>
        </w:rPr>
        <w:t> </w:t>
      </w:r>
      <w:r>
        <w:rPr/>
        <w:t>there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public</w:t>
      </w:r>
      <w:r>
        <w:rPr>
          <w:spacing w:val="-3"/>
        </w:rPr>
        <w:t> </w:t>
      </w:r>
      <w:r>
        <w:rPr/>
        <w:t>market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Company’s</w:t>
      </w:r>
      <w:r>
        <w:rPr>
          <w:spacing w:val="-3"/>
        </w:rPr>
        <w:t> </w:t>
      </w:r>
      <w:r>
        <w:rPr/>
        <w:t>common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  <w:ind w:right="127" w:firstLine="0"/>
      </w:pPr>
      <w:r>
        <w:rPr/>
        <w:t>stock prior to the IPO, the Board determined the fair value of the Company’s common stock at the time of grant of</w:t>
      </w:r>
      <w:r>
        <w:rPr>
          <w:spacing w:val="1"/>
        </w:rPr>
        <w:t> </w:t>
      </w:r>
      <w:r>
        <w:rPr/>
        <w:t>the option by considering a number of objective and subjective factors, including valuations of comparable</w:t>
      </w:r>
      <w:r>
        <w:rPr>
          <w:spacing w:val="1"/>
        </w:rPr>
        <w:t> </w:t>
      </w:r>
      <w:r>
        <w:rPr/>
        <w:t>companies,</w:t>
      </w:r>
      <w:r>
        <w:rPr>
          <w:spacing w:val="-4"/>
        </w:rPr>
        <w:t> </w:t>
      </w:r>
      <w:r>
        <w:rPr/>
        <w:t>sales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Company’s</w:t>
      </w:r>
      <w:r>
        <w:rPr>
          <w:spacing w:val="-4"/>
        </w:rPr>
        <w:t> </w:t>
      </w:r>
      <w:r>
        <w:rPr/>
        <w:t>redeemable</w:t>
      </w:r>
      <w:r>
        <w:rPr>
          <w:spacing w:val="-4"/>
        </w:rPr>
        <w:t> </w:t>
      </w:r>
      <w:r>
        <w:rPr/>
        <w:t>convertible</w:t>
      </w:r>
      <w:r>
        <w:rPr>
          <w:spacing w:val="-4"/>
        </w:rPr>
        <w:t> </w:t>
      </w:r>
      <w:r>
        <w:rPr/>
        <w:t>preferred</w:t>
      </w:r>
      <w:r>
        <w:rPr>
          <w:spacing w:val="-4"/>
        </w:rPr>
        <w:t> </w:t>
      </w:r>
      <w:r>
        <w:rPr/>
        <w:t>stock,</w:t>
      </w:r>
      <w:r>
        <w:rPr>
          <w:spacing w:val="-3"/>
        </w:rPr>
        <w:t> </w:t>
      </w:r>
      <w:r>
        <w:rPr/>
        <w:t>operating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financial</w:t>
      </w:r>
      <w:r>
        <w:rPr>
          <w:spacing w:val="-4"/>
        </w:rPr>
        <w:t> </w:t>
      </w:r>
      <w:r>
        <w:rPr/>
        <w:t>performance</w:t>
      </w:r>
      <w:r>
        <w:rPr>
          <w:spacing w:val="-4"/>
        </w:rPr>
        <w:t> </w:t>
      </w:r>
      <w:r>
        <w:rPr/>
        <w:t>and</w:t>
      </w:r>
      <w:r>
        <w:rPr>
          <w:spacing w:val="-47"/>
        </w:rPr>
        <w:t> </w:t>
      </w:r>
      <w:r>
        <w:rPr/>
        <w:t>the general and industry-specific economic outlook. The Company used the “simplified method” to determine the</w:t>
      </w:r>
      <w:r>
        <w:rPr>
          <w:spacing w:val="1"/>
        </w:rPr>
        <w:t> </w:t>
      </w:r>
      <w:r>
        <w:rPr/>
        <w:t>expected term of the stock option. Expected volatility is based on an average of the historical volatilities of the</w:t>
      </w:r>
      <w:r>
        <w:rPr>
          <w:spacing w:val="1"/>
        </w:rPr>
        <w:t> </w:t>
      </w:r>
      <w:r>
        <w:rPr/>
        <w:t>common stock of publicly-traded companies with characteristics similar to those of the Company. The risk-free rate</w:t>
      </w:r>
      <w:r>
        <w:rPr>
          <w:spacing w:val="1"/>
        </w:rPr>
        <w:t> </w:t>
      </w:r>
      <w:r>
        <w:rPr/>
        <w:t>is based on the U.S. Treasury yield curve in effect at the time of grant for periods corresponding with the expected</w:t>
      </w:r>
      <w:r>
        <w:rPr>
          <w:spacing w:val="1"/>
        </w:rPr>
        <w:t> </w:t>
      </w:r>
      <w:r>
        <w:rPr/>
        <w:t>term</w:t>
      </w:r>
      <w:r>
        <w:rPr>
          <w:spacing w:val="-2"/>
        </w:rPr>
        <w:t> </w:t>
      </w:r>
      <w:r>
        <w:rPr/>
        <w:t>of the</w:t>
      </w:r>
      <w:r>
        <w:rPr>
          <w:spacing w:val="-2"/>
        </w:rPr>
        <w:t> </w:t>
      </w:r>
      <w:r>
        <w:rPr/>
        <w:t>option. The</w:t>
      </w:r>
      <w:r>
        <w:rPr>
          <w:spacing w:val="-2"/>
        </w:rPr>
        <w:t> </w:t>
      </w:r>
      <w:r>
        <w:rPr/>
        <w:t>Company has</w:t>
      </w:r>
      <w:r>
        <w:rPr>
          <w:spacing w:val="-2"/>
        </w:rPr>
        <w:t> </w:t>
      </w:r>
      <w:r>
        <w:rPr/>
        <w:t>elected to</w:t>
      </w:r>
      <w:r>
        <w:rPr>
          <w:spacing w:val="-1"/>
        </w:rPr>
        <w:t> </w:t>
      </w:r>
      <w:r>
        <w:rPr/>
        <w:t>account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forfeitures</w:t>
      </w:r>
      <w:r>
        <w:rPr>
          <w:spacing w:val="-1"/>
        </w:rPr>
        <w:t> </w:t>
      </w:r>
      <w:r>
        <w:rPr/>
        <w:t>when</w:t>
      </w:r>
      <w:r>
        <w:rPr>
          <w:spacing w:val="-1"/>
        </w:rPr>
        <w:t> </w:t>
      </w:r>
      <w:r>
        <w:rPr/>
        <w:t>they occur.</w:t>
      </w:r>
    </w:p>
    <w:p>
      <w:pPr>
        <w:pStyle w:val="Heading3"/>
        <w:spacing w:before="183"/>
        <w:rPr>
          <w:i/>
        </w:rPr>
      </w:pPr>
      <w:r>
        <w:rPr>
          <w:i/>
        </w:rPr>
        <w:t>Common</w:t>
      </w:r>
      <w:r>
        <w:rPr>
          <w:i/>
          <w:spacing w:val="-5"/>
        </w:rPr>
        <w:t> </w:t>
      </w:r>
      <w:r>
        <w:rPr>
          <w:i/>
        </w:rPr>
        <w:t>Stock</w:t>
      </w:r>
      <w:r>
        <w:rPr>
          <w:i/>
          <w:spacing w:val="-3"/>
        </w:rPr>
        <w:t> </w:t>
      </w:r>
      <w:r>
        <w:rPr>
          <w:i/>
        </w:rPr>
        <w:t>Valuation</w:t>
      </w:r>
    </w:p>
    <w:p>
      <w:pPr>
        <w:pStyle w:val="BodyText"/>
        <w:spacing w:line="249" w:lineRule="auto" w:before="193"/>
      </w:pPr>
      <w:r>
        <w:rPr/>
        <w:t>The Company’s intent has been to grant all options with an exercise price not less than the fair value of its</w:t>
      </w:r>
      <w:r>
        <w:rPr>
          <w:spacing w:val="1"/>
        </w:rPr>
        <w:t> </w:t>
      </w:r>
      <w:r>
        <w:rPr/>
        <w:t>common stock underlying those options on the date of grant. Prior to its IPO, the Company has determined the</w:t>
      </w:r>
      <w:r>
        <w:rPr>
          <w:spacing w:val="1"/>
        </w:rPr>
        <w:t> </w:t>
      </w:r>
      <w:r>
        <w:rPr/>
        <w:t>estimated fair value of its common stock at each valuation date in accordance with the guidelines outlined in the</w:t>
      </w:r>
      <w:r>
        <w:rPr>
          <w:spacing w:val="1"/>
        </w:rPr>
        <w:t> </w:t>
      </w:r>
      <w:r>
        <w:rPr/>
        <w:t>American Institute of Certified Public Accountants Practice Aid, </w:t>
      </w:r>
      <w:r>
        <w:rPr>
          <w:i/>
        </w:rPr>
        <w:t>Valuation of Privately-Held-Company Equity</w:t>
      </w:r>
      <w:r>
        <w:rPr>
          <w:i/>
          <w:spacing w:val="1"/>
        </w:rPr>
        <w:t> </w:t>
      </w:r>
      <w:r>
        <w:rPr>
          <w:i/>
        </w:rPr>
        <w:t>Securities</w:t>
      </w:r>
      <w:r>
        <w:rPr>
          <w:i/>
          <w:spacing w:val="-5"/>
        </w:rPr>
        <w:t> </w:t>
      </w:r>
      <w:r>
        <w:rPr>
          <w:i/>
        </w:rPr>
        <w:t>Issued</w:t>
      </w:r>
      <w:r>
        <w:rPr>
          <w:i/>
          <w:spacing w:val="-3"/>
        </w:rPr>
        <w:t> </w:t>
      </w:r>
      <w:r>
        <w:rPr>
          <w:i/>
        </w:rPr>
        <w:t>as</w:t>
      </w:r>
      <w:r>
        <w:rPr>
          <w:i/>
          <w:spacing w:val="-4"/>
        </w:rPr>
        <w:t> </w:t>
      </w:r>
      <w:r>
        <w:rPr>
          <w:i/>
        </w:rPr>
        <w:t>Compensation</w:t>
      </w:r>
      <w:r>
        <w:rPr>
          <w:i/>
          <w:spacing w:val="-3"/>
        </w:rPr>
        <w:t> </w:t>
      </w:r>
      <w:r>
        <w:rPr/>
        <w:t>(the</w:t>
      </w:r>
      <w:r>
        <w:rPr>
          <w:spacing w:val="-4"/>
        </w:rPr>
        <w:t> </w:t>
      </w:r>
      <w:r>
        <w:rPr/>
        <w:t>“Practice</w:t>
      </w:r>
      <w:r>
        <w:rPr>
          <w:spacing w:val="-4"/>
        </w:rPr>
        <w:t> </w:t>
      </w:r>
      <w:r>
        <w:rPr/>
        <w:t>Aid”).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Company’s</w:t>
      </w:r>
      <w:r>
        <w:rPr>
          <w:spacing w:val="-4"/>
        </w:rPr>
        <w:t> </w:t>
      </w:r>
      <w:r>
        <w:rPr/>
        <w:t>board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directors,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assistance</w:t>
      </w:r>
      <w:r>
        <w:rPr>
          <w:spacing w:val="-4"/>
        </w:rPr>
        <w:t> </w:t>
      </w:r>
      <w:r>
        <w:rPr/>
        <w:t>of</w:t>
      </w:r>
      <w:r>
        <w:rPr>
          <w:spacing w:val="-47"/>
        </w:rPr>
        <w:t> </w:t>
      </w:r>
      <w:r>
        <w:rPr/>
        <w:t>management, developed these valuations using significant judgment and taking into account numerous factors,</w:t>
      </w:r>
      <w:r>
        <w:rPr>
          <w:spacing w:val="1"/>
        </w:rPr>
        <w:t> </w:t>
      </w:r>
      <w:r>
        <w:rPr/>
        <w:t>including:</w:t>
      </w:r>
    </w:p>
    <w:p>
      <w:pPr>
        <w:pStyle w:val="ListParagraph"/>
        <w:numPr>
          <w:ilvl w:val="0"/>
          <w:numId w:val="3"/>
        </w:numPr>
        <w:tabs>
          <w:tab w:pos="819" w:val="left" w:leader="none"/>
          <w:tab w:pos="820" w:val="left" w:leader="none"/>
        </w:tabs>
        <w:spacing w:line="240" w:lineRule="auto" w:before="186" w:after="0"/>
        <w:ind w:left="820" w:right="0" w:hanging="360"/>
        <w:jc w:val="left"/>
        <w:rPr>
          <w:sz w:val="20"/>
        </w:rPr>
      </w:pPr>
      <w:r>
        <w:rPr>
          <w:sz w:val="20"/>
        </w:rPr>
        <w:t>valuations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its</w:t>
      </w:r>
      <w:r>
        <w:rPr>
          <w:spacing w:val="-4"/>
          <w:sz w:val="20"/>
        </w:rPr>
        <w:t> </w:t>
      </w:r>
      <w:r>
        <w:rPr>
          <w:sz w:val="20"/>
        </w:rPr>
        <w:t>common</w:t>
      </w:r>
      <w:r>
        <w:rPr>
          <w:spacing w:val="-4"/>
          <w:sz w:val="20"/>
        </w:rPr>
        <w:t> </w:t>
      </w:r>
      <w:r>
        <w:rPr>
          <w:sz w:val="20"/>
        </w:rPr>
        <w:t>stock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assistance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independent</w:t>
      </w:r>
      <w:r>
        <w:rPr>
          <w:spacing w:val="-4"/>
          <w:sz w:val="20"/>
        </w:rPr>
        <w:t> </w:t>
      </w:r>
      <w:r>
        <w:rPr>
          <w:sz w:val="20"/>
        </w:rPr>
        <w:t>third-party</w:t>
      </w:r>
      <w:r>
        <w:rPr>
          <w:spacing w:val="-4"/>
          <w:sz w:val="20"/>
        </w:rPr>
        <w:t> </w:t>
      </w:r>
      <w:r>
        <w:rPr>
          <w:sz w:val="20"/>
        </w:rPr>
        <w:t>valuation</w:t>
      </w:r>
      <w:r>
        <w:rPr>
          <w:spacing w:val="-4"/>
          <w:sz w:val="20"/>
        </w:rPr>
        <w:t> </w:t>
      </w:r>
      <w:r>
        <w:rPr>
          <w:sz w:val="20"/>
        </w:rPr>
        <w:t>specialists;</w:t>
      </w:r>
    </w:p>
    <w:p>
      <w:pPr>
        <w:pStyle w:val="ListParagraph"/>
        <w:numPr>
          <w:ilvl w:val="0"/>
          <w:numId w:val="3"/>
        </w:numPr>
        <w:tabs>
          <w:tab w:pos="819" w:val="left" w:leader="none"/>
          <w:tab w:pos="820" w:val="left" w:leader="none"/>
        </w:tabs>
        <w:spacing w:line="249" w:lineRule="auto" w:before="190" w:after="0"/>
        <w:ind w:left="820" w:right="163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stage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development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business</w:t>
      </w:r>
      <w:r>
        <w:rPr>
          <w:spacing w:val="-3"/>
          <w:sz w:val="20"/>
        </w:rPr>
        <w:t> </w:t>
      </w:r>
      <w:r>
        <w:rPr>
          <w:sz w:val="20"/>
        </w:rPr>
        <w:t>strategy,</w:t>
      </w:r>
      <w:r>
        <w:rPr>
          <w:spacing w:val="-3"/>
          <w:sz w:val="20"/>
        </w:rPr>
        <w:t> </w:t>
      </w:r>
      <w:r>
        <w:rPr>
          <w:sz w:val="20"/>
        </w:rPr>
        <w:t>including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status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research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development</w:t>
      </w:r>
      <w:r>
        <w:rPr>
          <w:spacing w:val="-4"/>
          <w:sz w:val="20"/>
        </w:rPr>
        <w:t> </w:t>
      </w:r>
      <w:r>
        <w:rPr>
          <w:sz w:val="20"/>
        </w:rPr>
        <w:t>efforts,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its</w:t>
      </w:r>
      <w:r>
        <w:rPr>
          <w:spacing w:val="-3"/>
          <w:sz w:val="20"/>
        </w:rPr>
        <w:t> </w:t>
      </w:r>
      <w:r>
        <w:rPr>
          <w:sz w:val="20"/>
        </w:rPr>
        <w:t>products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product</w:t>
      </w:r>
      <w:r>
        <w:rPr>
          <w:spacing w:val="-2"/>
          <w:sz w:val="20"/>
        </w:rPr>
        <w:t> </w:t>
      </w:r>
      <w:r>
        <w:rPr>
          <w:sz w:val="20"/>
        </w:rPr>
        <w:t>candidates,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material</w:t>
      </w:r>
      <w:r>
        <w:rPr>
          <w:spacing w:val="-2"/>
          <w:sz w:val="20"/>
        </w:rPr>
        <w:t> </w:t>
      </w:r>
      <w:r>
        <w:rPr>
          <w:sz w:val="20"/>
        </w:rPr>
        <w:t>risks</w:t>
      </w:r>
      <w:r>
        <w:rPr>
          <w:spacing w:val="-2"/>
          <w:sz w:val="20"/>
        </w:rPr>
        <w:t> </w:t>
      </w:r>
      <w:r>
        <w:rPr>
          <w:sz w:val="20"/>
        </w:rPr>
        <w:t>related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its</w:t>
      </w:r>
      <w:r>
        <w:rPr>
          <w:spacing w:val="-2"/>
          <w:sz w:val="20"/>
        </w:rPr>
        <w:t> </w:t>
      </w:r>
      <w:r>
        <w:rPr>
          <w:sz w:val="20"/>
        </w:rPr>
        <w:t>business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industry;</w:t>
      </w:r>
    </w:p>
    <w:p>
      <w:pPr>
        <w:pStyle w:val="ListParagraph"/>
        <w:numPr>
          <w:ilvl w:val="0"/>
          <w:numId w:val="3"/>
        </w:numPr>
        <w:tabs>
          <w:tab w:pos="819" w:val="left" w:leader="none"/>
          <w:tab w:pos="820" w:val="left" w:leader="none"/>
        </w:tabs>
        <w:spacing w:line="240" w:lineRule="auto" w:before="182" w:after="0"/>
        <w:ind w:left="820" w:right="0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results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operations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financial</w:t>
      </w:r>
      <w:r>
        <w:rPr>
          <w:spacing w:val="-4"/>
          <w:sz w:val="20"/>
        </w:rPr>
        <w:t> </w:t>
      </w:r>
      <w:r>
        <w:rPr>
          <w:sz w:val="20"/>
        </w:rPr>
        <w:t>position,</w:t>
      </w:r>
      <w:r>
        <w:rPr>
          <w:spacing w:val="-3"/>
          <w:sz w:val="20"/>
        </w:rPr>
        <w:t> </w:t>
      </w:r>
      <w:r>
        <w:rPr>
          <w:sz w:val="20"/>
        </w:rPr>
        <w:t>including</w:t>
      </w:r>
      <w:r>
        <w:rPr>
          <w:spacing w:val="-4"/>
          <w:sz w:val="20"/>
        </w:rPr>
        <w:t> </w:t>
      </w:r>
      <w:r>
        <w:rPr>
          <w:sz w:val="20"/>
        </w:rPr>
        <w:t>its</w:t>
      </w:r>
      <w:r>
        <w:rPr>
          <w:spacing w:val="-4"/>
          <w:sz w:val="20"/>
        </w:rPr>
        <w:t> </w:t>
      </w:r>
      <w:r>
        <w:rPr>
          <w:sz w:val="20"/>
        </w:rPr>
        <w:t>levels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available</w:t>
      </w:r>
      <w:r>
        <w:rPr>
          <w:spacing w:val="-4"/>
          <w:sz w:val="20"/>
        </w:rPr>
        <w:t> </w:t>
      </w:r>
      <w:r>
        <w:rPr>
          <w:sz w:val="20"/>
        </w:rPr>
        <w:t>capital</w:t>
      </w:r>
      <w:r>
        <w:rPr>
          <w:spacing w:val="-4"/>
          <w:sz w:val="20"/>
        </w:rPr>
        <w:t> </w:t>
      </w:r>
      <w:r>
        <w:rPr>
          <w:sz w:val="20"/>
        </w:rPr>
        <w:t>resources;</w:t>
      </w:r>
    </w:p>
    <w:p>
      <w:pPr>
        <w:pStyle w:val="ListParagraph"/>
        <w:numPr>
          <w:ilvl w:val="0"/>
          <w:numId w:val="3"/>
        </w:numPr>
        <w:tabs>
          <w:tab w:pos="819" w:val="left" w:leader="none"/>
          <w:tab w:pos="820" w:val="left" w:leader="none"/>
        </w:tabs>
        <w:spacing w:line="249" w:lineRule="auto" w:before="190" w:after="0"/>
        <w:ind w:left="820" w:right="741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valuation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publicly</w:t>
      </w:r>
      <w:r>
        <w:rPr>
          <w:spacing w:val="-3"/>
          <w:sz w:val="20"/>
        </w:rPr>
        <w:t> </w:t>
      </w:r>
      <w:r>
        <w:rPr>
          <w:sz w:val="20"/>
        </w:rPr>
        <w:t>traded</w:t>
      </w:r>
      <w:r>
        <w:rPr>
          <w:spacing w:val="-2"/>
          <w:sz w:val="20"/>
        </w:rPr>
        <w:t> </w:t>
      </w:r>
      <w:r>
        <w:rPr>
          <w:sz w:val="20"/>
        </w:rPr>
        <w:t>companies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life</w:t>
      </w:r>
      <w:r>
        <w:rPr>
          <w:spacing w:val="-3"/>
          <w:sz w:val="20"/>
        </w:rPr>
        <w:t> </w:t>
      </w:r>
      <w:r>
        <w:rPr>
          <w:sz w:val="20"/>
        </w:rPr>
        <w:t>sciences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medical</w:t>
      </w:r>
      <w:r>
        <w:rPr>
          <w:spacing w:val="-4"/>
          <w:sz w:val="20"/>
        </w:rPr>
        <w:t> </w:t>
      </w:r>
      <w:r>
        <w:rPr>
          <w:sz w:val="20"/>
        </w:rPr>
        <w:t>device</w:t>
      </w:r>
      <w:r>
        <w:rPr>
          <w:spacing w:val="-3"/>
          <w:sz w:val="20"/>
        </w:rPr>
        <w:t> </w:t>
      </w:r>
      <w:r>
        <w:rPr>
          <w:sz w:val="20"/>
        </w:rPr>
        <w:t>sectors,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well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7"/>
          <w:sz w:val="20"/>
        </w:rPr>
        <w:t> </w:t>
      </w:r>
      <w:r>
        <w:rPr>
          <w:sz w:val="20"/>
        </w:rPr>
        <w:t>recently</w:t>
      </w:r>
      <w:r>
        <w:rPr>
          <w:spacing w:val="-1"/>
          <w:sz w:val="20"/>
        </w:rPr>
        <w:t> </w:t>
      </w:r>
      <w:r>
        <w:rPr>
          <w:sz w:val="20"/>
        </w:rPr>
        <w:t>completed mergers</w:t>
      </w:r>
      <w:r>
        <w:rPr>
          <w:spacing w:val="-2"/>
          <w:sz w:val="20"/>
        </w:rPr>
        <w:t> </w:t>
      </w:r>
      <w:r>
        <w:rPr>
          <w:sz w:val="20"/>
        </w:rPr>
        <w:t>and acquisitions</w:t>
      </w:r>
      <w:r>
        <w:rPr>
          <w:spacing w:val="-2"/>
          <w:sz w:val="20"/>
        </w:rPr>
        <w:t> </w:t>
      </w:r>
      <w:r>
        <w:rPr>
          <w:sz w:val="20"/>
        </w:rPr>
        <w:t>of peer</w:t>
      </w:r>
      <w:r>
        <w:rPr>
          <w:spacing w:val="-1"/>
          <w:sz w:val="20"/>
        </w:rPr>
        <w:t> </w:t>
      </w:r>
      <w:r>
        <w:rPr>
          <w:sz w:val="20"/>
        </w:rPr>
        <w:t>companies;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</w:tabs>
        <w:spacing w:line="249" w:lineRule="auto" w:before="181" w:after="0"/>
        <w:ind w:left="820" w:right="352" w:hanging="360"/>
        <w:jc w:val="both"/>
        <w:rPr>
          <w:sz w:val="20"/>
        </w:rPr>
      </w:pPr>
      <w:r>
        <w:rPr>
          <w:sz w:val="20"/>
        </w:rPr>
        <w:t>the prices of its redeemable convertible preferred stock sold to investors in arm’s length transactions and</w:t>
      </w:r>
      <w:r>
        <w:rPr>
          <w:spacing w:val="-47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rights,</w:t>
      </w:r>
      <w:r>
        <w:rPr>
          <w:spacing w:val="-3"/>
          <w:sz w:val="20"/>
        </w:rPr>
        <w:t> </w:t>
      </w:r>
      <w:r>
        <w:rPr>
          <w:sz w:val="20"/>
        </w:rPr>
        <w:t>preferences,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privileges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its</w:t>
      </w:r>
      <w:r>
        <w:rPr>
          <w:spacing w:val="-4"/>
          <w:sz w:val="20"/>
        </w:rPr>
        <w:t> </w:t>
      </w:r>
      <w:r>
        <w:rPr>
          <w:sz w:val="20"/>
        </w:rPr>
        <w:t>redeemable</w:t>
      </w:r>
      <w:r>
        <w:rPr>
          <w:spacing w:val="-4"/>
          <w:sz w:val="20"/>
        </w:rPr>
        <w:t> </w:t>
      </w:r>
      <w:r>
        <w:rPr>
          <w:sz w:val="20"/>
        </w:rPr>
        <w:t>convertible</w:t>
      </w:r>
      <w:r>
        <w:rPr>
          <w:spacing w:val="-4"/>
          <w:sz w:val="20"/>
        </w:rPr>
        <w:t> </w:t>
      </w:r>
      <w:r>
        <w:rPr>
          <w:sz w:val="20"/>
        </w:rPr>
        <w:t>preferred</w:t>
      </w:r>
      <w:r>
        <w:rPr>
          <w:spacing w:val="-3"/>
          <w:sz w:val="20"/>
        </w:rPr>
        <w:t> </w:t>
      </w:r>
      <w:r>
        <w:rPr>
          <w:sz w:val="20"/>
        </w:rPr>
        <w:t>stock</w:t>
      </w:r>
      <w:r>
        <w:rPr>
          <w:spacing w:val="-3"/>
          <w:sz w:val="20"/>
        </w:rPr>
        <w:t> </w:t>
      </w:r>
      <w:r>
        <w:rPr>
          <w:sz w:val="20"/>
        </w:rPr>
        <w:t>relative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those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its</w:t>
      </w:r>
      <w:r>
        <w:rPr>
          <w:spacing w:val="-47"/>
          <w:sz w:val="20"/>
        </w:rPr>
        <w:t> </w:t>
      </w:r>
      <w:r>
        <w:rPr>
          <w:sz w:val="20"/>
        </w:rPr>
        <w:t>common</w:t>
      </w:r>
      <w:r>
        <w:rPr>
          <w:spacing w:val="-1"/>
          <w:sz w:val="20"/>
        </w:rPr>
        <w:t> </w:t>
      </w:r>
      <w:r>
        <w:rPr>
          <w:sz w:val="20"/>
        </w:rPr>
        <w:t>stock;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</w:tabs>
        <w:spacing w:line="249" w:lineRule="auto" w:before="183" w:after="0"/>
        <w:ind w:left="820" w:right="383" w:hanging="36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likelihood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achieving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liquidity</w:t>
      </w:r>
      <w:r>
        <w:rPr>
          <w:spacing w:val="-2"/>
          <w:sz w:val="20"/>
        </w:rPr>
        <w:t> </w:t>
      </w:r>
      <w:r>
        <w:rPr>
          <w:sz w:val="20"/>
        </w:rPr>
        <w:t>event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holders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its</w:t>
      </w:r>
      <w:r>
        <w:rPr>
          <w:spacing w:val="-3"/>
          <w:sz w:val="20"/>
        </w:rPr>
        <w:t> </w:t>
      </w:r>
      <w:r>
        <w:rPr>
          <w:sz w:val="20"/>
        </w:rPr>
        <w:t>common</w:t>
      </w:r>
      <w:r>
        <w:rPr>
          <w:spacing w:val="-2"/>
          <w:sz w:val="20"/>
        </w:rPr>
        <w:t> </w:t>
      </w:r>
      <w:r>
        <w:rPr>
          <w:sz w:val="20"/>
        </w:rPr>
        <w:t>stock,</w:t>
      </w:r>
      <w:r>
        <w:rPr>
          <w:spacing w:val="-2"/>
          <w:sz w:val="20"/>
        </w:rPr>
        <w:t> </w:t>
      </w:r>
      <w:r>
        <w:rPr>
          <w:sz w:val="20"/>
        </w:rPr>
        <w:t>such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initial</w:t>
      </w:r>
      <w:r>
        <w:rPr>
          <w:spacing w:val="-3"/>
          <w:sz w:val="20"/>
        </w:rPr>
        <w:t> </w:t>
      </w:r>
      <w:r>
        <w:rPr>
          <w:sz w:val="20"/>
        </w:rPr>
        <w:t>public</w:t>
      </w:r>
      <w:r>
        <w:rPr>
          <w:spacing w:val="-47"/>
          <w:sz w:val="20"/>
        </w:rPr>
        <w:t> </w:t>
      </w:r>
      <w:r>
        <w:rPr>
          <w:sz w:val="20"/>
        </w:rPr>
        <w:t>offering</w:t>
      </w:r>
      <w:r>
        <w:rPr>
          <w:spacing w:val="-1"/>
          <w:sz w:val="20"/>
        </w:rPr>
        <w:t> </w:t>
      </w:r>
      <w:r>
        <w:rPr>
          <w:sz w:val="20"/>
        </w:rPr>
        <w:t>or a</w:t>
      </w:r>
      <w:r>
        <w:rPr>
          <w:spacing w:val="-2"/>
          <w:sz w:val="20"/>
        </w:rPr>
        <w:t> </w:t>
      </w:r>
      <w:r>
        <w:rPr>
          <w:sz w:val="20"/>
        </w:rPr>
        <w:t>sale</w:t>
      </w:r>
      <w:r>
        <w:rPr>
          <w:spacing w:val="-1"/>
          <w:sz w:val="20"/>
        </w:rPr>
        <w:t> </w:t>
      </w:r>
      <w:r>
        <w:rPr>
          <w:sz w:val="20"/>
        </w:rPr>
        <w:t>of the</w:t>
      </w:r>
      <w:r>
        <w:rPr>
          <w:spacing w:val="-2"/>
          <w:sz w:val="20"/>
        </w:rPr>
        <w:t> </w:t>
      </w:r>
      <w:r>
        <w:rPr>
          <w:sz w:val="20"/>
        </w:rPr>
        <w:t>Company given prevailing</w:t>
      </w:r>
      <w:r>
        <w:rPr>
          <w:spacing w:val="-1"/>
          <w:sz w:val="20"/>
        </w:rPr>
        <w:t> </w:t>
      </w:r>
      <w:r>
        <w:rPr>
          <w:sz w:val="20"/>
        </w:rPr>
        <w:t>market</w:t>
      </w:r>
      <w:r>
        <w:rPr>
          <w:spacing w:val="-1"/>
          <w:sz w:val="20"/>
        </w:rPr>
        <w:t> </w:t>
      </w:r>
      <w:r>
        <w:rPr>
          <w:sz w:val="20"/>
        </w:rPr>
        <w:t>conditions;</w:t>
      </w:r>
    </w:p>
    <w:p>
      <w:pPr>
        <w:pStyle w:val="ListParagraph"/>
        <w:numPr>
          <w:ilvl w:val="0"/>
          <w:numId w:val="3"/>
        </w:numPr>
        <w:tabs>
          <w:tab w:pos="819" w:val="left" w:leader="none"/>
          <w:tab w:pos="820" w:val="left" w:leader="none"/>
        </w:tabs>
        <w:spacing w:line="249" w:lineRule="auto" w:before="181" w:after="0"/>
        <w:ind w:left="820" w:right="461" w:hanging="360"/>
        <w:jc w:val="left"/>
        <w:rPr>
          <w:sz w:val="20"/>
        </w:rPr>
      </w:pPr>
      <w:r>
        <w:rPr>
          <w:sz w:val="20"/>
        </w:rPr>
        <w:t>the inability of the Company’s stockholders to freely trade its common stock in the public markets,</w:t>
      </w:r>
      <w:r>
        <w:rPr>
          <w:spacing w:val="1"/>
          <w:sz w:val="20"/>
        </w:rPr>
        <w:t> </w:t>
      </w:r>
      <w:r>
        <w:rPr>
          <w:sz w:val="20"/>
        </w:rPr>
        <w:t>resulting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discount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reflect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lack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marketability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Company’s</w:t>
      </w:r>
      <w:r>
        <w:rPr>
          <w:spacing w:val="-3"/>
          <w:sz w:val="20"/>
        </w:rPr>
        <w:t> </w:t>
      </w:r>
      <w:r>
        <w:rPr>
          <w:sz w:val="20"/>
        </w:rPr>
        <w:t>common</w:t>
      </w:r>
      <w:r>
        <w:rPr>
          <w:spacing w:val="-3"/>
          <w:sz w:val="20"/>
        </w:rPr>
        <w:t> </w:t>
      </w:r>
      <w:r>
        <w:rPr>
          <w:sz w:val="20"/>
        </w:rPr>
        <w:t>stock</w:t>
      </w:r>
      <w:r>
        <w:rPr>
          <w:spacing w:val="-2"/>
          <w:sz w:val="20"/>
        </w:rPr>
        <w:t> </w:t>
      </w:r>
      <w:r>
        <w:rPr>
          <w:sz w:val="20"/>
        </w:rPr>
        <w:t>based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7"/>
          <w:sz w:val="20"/>
        </w:rPr>
        <w:t> </w:t>
      </w:r>
      <w:r>
        <w:rPr>
          <w:sz w:val="20"/>
        </w:rPr>
        <w:t>weighted-average</w:t>
      </w:r>
      <w:r>
        <w:rPr>
          <w:spacing w:val="-2"/>
          <w:sz w:val="20"/>
        </w:rPr>
        <w:t> </w:t>
      </w:r>
      <w:r>
        <w:rPr>
          <w:sz w:val="20"/>
        </w:rPr>
        <w:t>expected time</w:t>
      </w:r>
      <w:r>
        <w:rPr>
          <w:spacing w:val="-1"/>
          <w:sz w:val="20"/>
        </w:rPr>
        <w:t> </w:t>
      </w:r>
      <w:r>
        <w:rPr>
          <w:sz w:val="20"/>
        </w:rPr>
        <w:t>to liquidity.</w:t>
      </w:r>
    </w:p>
    <w:p>
      <w:pPr>
        <w:pStyle w:val="ListParagraph"/>
        <w:numPr>
          <w:ilvl w:val="0"/>
          <w:numId w:val="3"/>
        </w:numPr>
        <w:tabs>
          <w:tab w:pos="819" w:val="left" w:leader="none"/>
          <w:tab w:pos="820" w:val="left" w:leader="none"/>
        </w:tabs>
        <w:spacing w:line="240" w:lineRule="auto" w:before="183" w:after="0"/>
        <w:ind w:left="820" w:right="0" w:hanging="360"/>
        <w:jc w:val="left"/>
        <w:rPr>
          <w:sz w:val="20"/>
        </w:rPr>
      </w:pPr>
      <w:r>
        <w:rPr>
          <w:sz w:val="20"/>
        </w:rPr>
        <w:t>trends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developments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its</w:t>
      </w:r>
      <w:r>
        <w:rPr>
          <w:spacing w:val="-3"/>
          <w:sz w:val="20"/>
        </w:rPr>
        <w:t> </w:t>
      </w:r>
      <w:r>
        <w:rPr>
          <w:sz w:val="20"/>
        </w:rPr>
        <w:t>industry;</w:t>
      </w:r>
      <w:r>
        <w:rPr>
          <w:spacing w:val="-4"/>
          <w:sz w:val="20"/>
        </w:rPr>
        <w:t> </w:t>
      </w:r>
      <w:r>
        <w:rPr>
          <w:sz w:val="20"/>
        </w:rPr>
        <w:t>and</w:t>
      </w:r>
    </w:p>
    <w:p>
      <w:pPr>
        <w:pStyle w:val="ListParagraph"/>
        <w:numPr>
          <w:ilvl w:val="0"/>
          <w:numId w:val="3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external</w:t>
      </w:r>
      <w:r>
        <w:rPr>
          <w:spacing w:val="-5"/>
          <w:sz w:val="20"/>
        </w:rPr>
        <w:t> </w:t>
      </w:r>
      <w:r>
        <w:rPr>
          <w:sz w:val="20"/>
        </w:rPr>
        <w:t>market</w:t>
      </w:r>
      <w:r>
        <w:rPr>
          <w:spacing w:val="-4"/>
          <w:sz w:val="20"/>
        </w:rPr>
        <w:t> </w:t>
      </w:r>
      <w:r>
        <w:rPr>
          <w:sz w:val="20"/>
        </w:rPr>
        <w:t>conditions</w:t>
      </w:r>
      <w:r>
        <w:rPr>
          <w:spacing w:val="-5"/>
          <w:sz w:val="20"/>
        </w:rPr>
        <w:t> </w:t>
      </w:r>
      <w:r>
        <w:rPr>
          <w:sz w:val="20"/>
        </w:rPr>
        <w:t>affecting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life</w:t>
      </w:r>
      <w:r>
        <w:rPr>
          <w:spacing w:val="-5"/>
          <w:sz w:val="20"/>
        </w:rPr>
        <w:t> </w:t>
      </w:r>
      <w:r>
        <w:rPr>
          <w:sz w:val="20"/>
        </w:rPr>
        <w:t>sciences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medical</w:t>
      </w:r>
      <w:r>
        <w:rPr>
          <w:spacing w:val="-4"/>
          <w:sz w:val="20"/>
        </w:rPr>
        <w:t> </w:t>
      </w:r>
      <w:r>
        <w:rPr>
          <w:sz w:val="20"/>
        </w:rPr>
        <w:t>device</w:t>
      </w:r>
      <w:r>
        <w:rPr>
          <w:spacing w:val="-4"/>
          <w:sz w:val="20"/>
        </w:rPr>
        <w:t> </w:t>
      </w:r>
      <w:r>
        <w:rPr>
          <w:sz w:val="20"/>
        </w:rPr>
        <w:t>industry</w:t>
      </w:r>
      <w:r>
        <w:rPr>
          <w:spacing w:val="-4"/>
          <w:sz w:val="20"/>
        </w:rPr>
        <w:t> </w:t>
      </w:r>
      <w:r>
        <w:rPr>
          <w:sz w:val="20"/>
        </w:rPr>
        <w:t>sectors.</w:t>
      </w:r>
    </w:p>
    <w:p>
      <w:pPr>
        <w:pStyle w:val="BodyText"/>
        <w:spacing w:line="249" w:lineRule="auto"/>
        <w:ind w:right="169"/>
      </w:pPr>
      <w:r>
        <w:rPr/>
        <w:t>The Company’s board of directors determined the fair value of its common stock by first determining the</w:t>
      </w:r>
      <w:r>
        <w:rPr>
          <w:spacing w:val="1"/>
        </w:rPr>
        <w:t> </w:t>
      </w:r>
      <w:r>
        <w:rPr/>
        <w:t>enterprise value of the Company’s business using the market approach, income approach or from the value implied</w:t>
      </w:r>
      <w:r>
        <w:rPr>
          <w:spacing w:val="1"/>
        </w:rPr>
        <w:t> </w:t>
      </w:r>
      <w:r>
        <w:rPr/>
        <w:t>by the latest round of equity financing, and then allocating the value among the various classes of its equity</w:t>
      </w:r>
      <w:r>
        <w:rPr>
          <w:spacing w:val="1"/>
        </w:rPr>
        <w:t> </w:t>
      </w:r>
      <w:r>
        <w:rPr/>
        <w:t>securities to derive a per share value of its common stock. The Practice Aid identifies various available methods for</w:t>
      </w:r>
      <w:r>
        <w:rPr>
          <w:spacing w:val="1"/>
        </w:rPr>
        <w:t> </w:t>
      </w:r>
      <w:r>
        <w:rPr/>
        <w:t>allocating</w:t>
      </w:r>
      <w:r>
        <w:rPr>
          <w:spacing w:val="-4"/>
        </w:rPr>
        <w:t> </w:t>
      </w:r>
      <w:r>
        <w:rPr/>
        <w:t>enterprise</w:t>
      </w:r>
      <w:r>
        <w:rPr>
          <w:spacing w:val="-4"/>
        </w:rPr>
        <w:t> </w:t>
      </w:r>
      <w:r>
        <w:rPr/>
        <w:t>value</w:t>
      </w:r>
      <w:r>
        <w:rPr>
          <w:spacing w:val="-4"/>
        </w:rPr>
        <w:t> </w:t>
      </w:r>
      <w:r>
        <w:rPr/>
        <w:t>across</w:t>
      </w:r>
      <w:r>
        <w:rPr>
          <w:spacing w:val="-4"/>
        </w:rPr>
        <w:t> </w:t>
      </w:r>
      <w:r>
        <w:rPr/>
        <w:t>classes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series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capital</w:t>
      </w:r>
      <w:r>
        <w:rPr>
          <w:spacing w:val="-4"/>
        </w:rPr>
        <w:t> </w:t>
      </w:r>
      <w:r>
        <w:rPr/>
        <w:t>stock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determine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estimated</w:t>
      </w:r>
      <w:r>
        <w:rPr>
          <w:spacing w:val="-3"/>
        </w:rPr>
        <w:t> </w:t>
      </w:r>
      <w:r>
        <w:rPr/>
        <w:t>fair</w:t>
      </w:r>
      <w:r>
        <w:rPr>
          <w:spacing w:val="-3"/>
        </w:rPr>
        <w:t> </w:t>
      </w:r>
      <w:r>
        <w:rPr/>
        <w:t>value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common</w:t>
      </w:r>
      <w:r>
        <w:rPr>
          <w:spacing w:val="1"/>
        </w:rPr>
        <w:t> </w:t>
      </w:r>
      <w:r>
        <w:rPr/>
        <w:t>stock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each valuation date.</w:t>
      </w:r>
    </w:p>
    <w:p>
      <w:pPr>
        <w:pStyle w:val="BodyText"/>
        <w:spacing w:line="249" w:lineRule="auto" w:before="185"/>
        <w:ind w:right="118"/>
      </w:pPr>
      <w:r>
        <w:rPr/>
        <w:t>For all option granted prior to the Company’s IPO in September 2021, the Board allocated the enterprise value</w:t>
      </w:r>
      <w:r>
        <w:rPr>
          <w:spacing w:val="1"/>
        </w:rPr>
        <w:t> </w:t>
      </w:r>
      <w:r>
        <w:rPr/>
        <w:t>based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option</w:t>
      </w:r>
      <w:r>
        <w:rPr>
          <w:spacing w:val="-2"/>
        </w:rPr>
        <w:t> </w:t>
      </w:r>
      <w:r>
        <w:rPr/>
        <w:t>pricing</w:t>
      </w:r>
      <w:r>
        <w:rPr>
          <w:spacing w:val="-2"/>
        </w:rPr>
        <w:t> </w:t>
      </w:r>
      <w:r>
        <w:rPr/>
        <w:t>method</w:t>
      </w:r>
      <w:r>
        <w:rPr>
          <w:spacing w:val="-2"/>
        </w:rPr>
        <w:t> </w:t>
      </w:r>
      <w:r>
        <w:rPr/>
        <w:t>(“OPM”).</w:t>
      </w:r>
      <w:r>
        <w:rPr>
          <w:spacing w:val="-2"/>
        </w:rPr>
        <w:t> </w:t>
      </w:r>
      <w:r>
        <w:rPr/>
        <w:t>OPM</w:t>
      </w:r>
      <w:r>
        <w:rPr>
          <w:spacing w:val="-3"/>
        </w:rPr>
        <w:t> </w:t>
      </w:r>
      <w:r>
        <w:rPr/>
        <w:t>treats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rights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holders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preferred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common</w:t>
      </w:r>
      <w:r>
        <w:rPr>
          <w:spacing w:val="-2"/>
        </w:rPr>
        <w:t> </w:t>
      </w:r>
      <w:r>
        <w:rPr/>
        <w:t>stock</w:t>
      </w:r>
      <w:r>
        <w:rPr>
          <w:spacing w:val="-2"/>
        </w:rPr>
        <w:t> </w:t>
      </w:r>
      <w:r>
        <w:rPr/>
        <w:t>as</w:t>
      </w:r>
      <w:r>
        <w:rPr>
          <w:spacing w:val="-47"/>
        </w:rPr>
        <w:t> </w:t>
      </w:r>
      <w:r>
        <w:rPr/>
        <w:t>equivalent to call options on any value of the enterprise above certain break points of value based upon the</w:t>
      </w:r>
      <w:r>
        <w:rPr>
          <w:spacing w:val="1"/>
        </w:rPr>
        <w:t> </w:t>
      </w:r>
      <w:r>
        <w:rPr/>
        <w:t>liquidation preferences of the holders of preferred stock, as well as their rights to participation and conversion. Thus,</w:t>
      </w:r>
      <w:r>
        <w:rPr>
          <w:spacing w:val="-47"/>
        </w:rPr>
        <w:t> </w:t>
      </w:r>
      <w:r>
        <w:rPr/>
        <w:t>the estimated value of the common stock can be determined by estimating the value of its portion of each of these</w:t>
      </w:r>
      <w:r>
        <w:rPr>
          <w:spacing w:val="1"/>
        </w:rPr>
        <w:t> </w:t>
      </w:r>
      <w:r>
        <w:rPr/>
        <w:t>call</w:t>
      </w:r>
      <w:r>
        <w:rPr>
          <w:spacing w:val="-3"/>
        </w:rPr>
        <w:t> </w:t>
      </w:r>
      <w:r>
        <w:rPr/>
        <w:t>option</w:t>
      </w:r>
      <w:r>
        <w:rPr>
          <w:spacing w:val="-1"/>
        </w:rPr>
        <w:t> </w:t>
      </w:r>
      <w:r>
        <w:rPr/>
        <w:t>rights.</w:t>
      </w:r>
      <w:r>
        <w:rPr>
          <w:spacing w:val="-2"/>
        </w:rPr>
        <w:t> </w:t>
      </w:r>
      <w:r>
        <w:rPr/>
        <w:t>When</w:t>
      </w:r>
      <w:r>
        <w:rPr>
          <w:spacing w:val="-1"/>
        </w:rPr>
        <w:t> </w:t>
      </w:r>
      <w:r>
        <w:rPr/>
        <w:t>valuing</w:t>
      </w:r>
      <w:r>
        <w:rPr>
          <w:spacing w:val="-2"/>
        </w:rPr>
        <w:t> </w:t>
      </w:r>
      <w:r>
        <w:rPr/>
        <w:t>options</w:t>
      </w:r>
      <w:r>
        <w:rPr>
          <w:spacing w:val="-2"/>
        </w:rPr>
        <w:t> </w:t>
      </w:r>
      <w:r>
        <w:rPr/>
        <w:t>granted</w:t>
      </w:r>
      <w:r>
        <w:rPr>
          <w:spacing w:val="-2"/>
        </w:rPr>
        <w:t> </w:t>
      </w:r>
      <w:r>
        <w:rPr/>
        <w:t>round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time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equity</w:t>
      </w:r>
      <w:r>
        <w:rPr>
          <w:spacing w:val="-1"/>
        </w:rPr>
        <w:t> </w:t>
      </w:r>
      <w:r>
        <w:rPr/>
        <w:t>financing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considered</w:t>
      </w:r>
      <w:r>
        <w:rPr>
          <w:spacing w:val="-1"/>
        </w:rPr>
        <w:t> </w:t>
      </w:r>
      <w:r>
        <w:rPr/>
        <w:t>arms-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  <w:ind w:right="152" w:firstLine="0"/>
      </w:pPr>
      <w:r>
        <w:rPr/>
        <w:t>length, OPM derived the Company’s equity value of a company from the price of the securities issued by the</w:t>
      </w:r>
      <w:r>
        <w:rPr>
          <w:spacing w:val="1"/>
        </w:rPr>
        <w:t> </w:t>
      </w:r>
      <w:r>
        <w:rPr/>
        <w:t>Company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 equity</w:t>
      </w:r>
      <w:r>
        <w:rPr>
          <w:spacing w:val="1"/>
        </w:rPr>
        <w:t> </w:t>
      </w:r>
      <w:r>
        <w:rPr/>
        <w:t>financing.</w:t>
      </w:r>
      <w:r>
        <w:rPr>
          <w:spacing w:val="1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the completion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 Company’s</w:t>
      </w:r>
      <w:r>
        <w:rPr>
          <w:spacing w:val="1"/>
        </w:rPr>
        <w:t> </w:t>
      </w:r>
      <w:r>
        <w:rPr/>
        <w:t>IPO in</w:t>
      </w:r>
      <w:r>
        <w:rPr>
          <w:spacing w:val="1"/>
        </w:rPr>
        <w:t> </w:t>
      </w:r>
      <w:r>
        <w:rPr/>
        <w:t>September</w:t>
      </w:r>
      <w:r>
        <w:rPr>
          <w:spacing w:val="1"/>
        </w:rPr>
        <w:t> </w:t>
      </w:r>
      <w:r>
        <w:rPr/>
        <w:t>2021,</w:t>
      </w:r>
      <w:r>
        <w:rPr>
          <w:spacing w:val="1"/>
        </w:rPr>
        <w:t> </w:t>
      </w:r>
      <w:r>
        <w:rPr/>
        <w:t>the fair</w:t>
      </w:r>
      <w:r>
        <w:rPr>
          <w:spacing w:val="1"/>
        </w:rPr>
        <w:t> </w:t>
      </w:r>
      <w:r>
        <w:rPr/>
        <w:t>value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Company’s</w:t>
      </w:r>
      <w:r>
        <w:rPr>
          <w:spacing w:val="-3"/>
        </w:rPr>
        <w:t> </w:t>
      </w:r>
      <w:r>
        <w:rPr/>
        <w:t>common</w:t>
      </w:r>
      <w:r>
        <w:rPr>
          <w:spacing w:val="-2"/>
        </w:rPr>
        <w:t> </w:t>
      </w:r>
      <w:r>
        <w:rPr/>
        <w:t>stock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determined</w:t>
      </w:r>
      <w:r>
        <w:rPr>
          <w:spacing w:val="-2"/>
        </w:rPr>
        <w:t> </w:t>
      </w:r>
      <w:r>
        <w:rPr/>
        <w:t>based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closing</w:t>
      </w:r>
      <w:r>
        <w:rPr>
          <w:spacing w:val="-2"/>
        </w:rPr>
        <w:t> </w:t>
      </w:r>
      <w:r>
        <w:rPr/>
        <w:t>price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its</w:t>
      </w:r>
      <w:r>
        <w:rPr>
          <w:spacing w:val="-3"/>
        </w:rPr>
        <w:t> </w:t>
      </w:r>
      <w:r>
        <w:rPr/>
        <w:t>common</w:t>
      </w:r>
      <w:r>
        <w:rPr>
          <w:spacing w:val="-2"/>
        </w:rPr>
        <w:t> </w:t>
      </w:r>
      <w:r>
        <w:rPr/>
        <w:t>stock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Nasdaq</w:t>
      </w:r>
      <w:r>
        <w:rPr>
          <w:spacing w:val="-47"/>
        </w:rPr>
        <w:t> </w:t>
      </w:r>
      <w:r>
        <w:rPr/>
        <w:t>Global</w:t>
      </w:r>
      <w:r>
        <w:rPr>
          <w:spacing w:val="-2"/>
        </w:rPr>
        <w:t> </w:t>
      </w:r>
      <w:r>
        <w:rPr/>
        <w:t>Market.</w:t>
      </w:r>
    </w:p>
    <w:p>
      <w:pPr>
        <w:pStyle w:val="Heading3"/>
        <w:rPr>
          <w:i/>
        </w:rPr>
      </w:pPr>
      <w:r>
        <w:rPr>
          <w:i/>
        </w:rPr>
        <w:t>Advertising</w:t>
      </w:r>
      <w:r>
        <w:rPr>
          <w:i/>
          <w:spacing w:val="-6"/>
        </w:rPr>
        <w:t> </w:t>
      </w:r>
      <w:r>
        <w:rPr>
          <w:i/>
        </w:rPr>
        <w:t>Expenses</w:t>
      </w:r>
    </w:p>
    <w:p>
      <w:pPr>
        <w:pStyle w:val="BodyText"/>
        <w:spacing w:line="249" w:lineRule="auto" w:before="193"/>
      </w:pPr>
      <w:r>
        <w:rPr/>
        <w:t>The</w:t>
      </w:r>
      <w:r>
        <w:rPr>
          <w:spacing w:val="-5"/>
        </w:rPr>
        <w:t> </w:t>
      </w:r>
      <w:r>
        <w:rPr/>
        <w:t>Company</w:t>
      </w:r>
      <w:r>
        <w:rPr>
          <w:spacing w:val="-3"/>
        </w:rPr>
        <w:t> </w:t>
      </w:r>
      <w:r>
        <w:rPr/>
        <w:t>expenses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costs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advertising,</w:t>
      </w:r>
      <w:r>
        <w:rPr>
          <w:spacing w:val="-3"/>
        </w:rPr>
        <w:t> </w:t>
      </w:r>
      <w:r>
        <w:rPr/>
        <w:t>including</w:t>
      </w:r>
      <w:r>
        <w:rPr>
          <w:spacing w:val="-3"/>
        </w:rPr>
        <w:t> </w:t>
      </w:r>
      <w:r>
        <w:rPr/>
        <w:t>promotional</w:t>
      </w:r>
      <w:r>
        <w:rPr>
          <w:spacing w:val="-4"/>
        </w:rPr>
        <w:t> </w:t>
      </w:r>
      <w:r>
        <w:rPr/>
        <w:t>expenses,</w:t>
      </w:r>
      <w:r>
        <w:rPr>
          <w:spacing w:val="-3"/>
        </w:rPr>
        <w:t> </w:t>
      </w:r>
      <w:r>
        <w:rPr/>
        <w:t>as</w:t>
      </w:r>
      <w:r>
        <w:rPr>
          <w:spacing w:val="-5"/>
        </w:rPr>
        <w:t> </w:t>
      </w:r>
      <w:r>
        <w:rPr/>
        <w:t>incurred.</w:t>
      </w:r>
      <w:r>
        <w:rPr>
          <w:spacing w:val="-3"/>
        </w:rPr>
        <w:t> </w:t>
      </w:r>
      <w:r>
        <w:rPr/>
        <w:t>Advertising</w:t>
      </w:r>
      <w:r>
        <w:rPr>
          <w:spacing w:val="-47"/>
        </w:rPr>
        <w:t> </w:t>
      </w:r>
      <w:r>
        <w:rPr/>
        <w:t>expenses</w:t>
      </w:r>
      <w:r>
        <w:rPr>
          <w:spacing w:val="-2"/>
        </w:rPr>
        <w:t> </w:t>
      </w:r>
      <w:r>
        <w:rPr/>
        <w:t>were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significant.</w:t>
      </w:r>
    </w:p>
    <w:p>
      <w:pPr>
        <w:pStyle w:val="Heading3"/>
        <w:spacing w:before="178"/>
        <w:rPr>
          <w:i/>
        </w:rPr>
      </w:pPr>
      <w:r>
        <w:rPr>
          <w:i/>
        </w:rPr>
        <w:t>Defined</w:t>
      </w:r>
      <w:r>
        <w:rPr>
          <w:i/>
          <w:spacing w:val="-5"/>
        </w:rPr>
        <w:t> </w:t>
      </w:r>
      <w:r>
        <w:rPr>
          <w:i/>
        </w:rPr>
        <w:t>Contribution</w:t>
      </w:r>
      <w:r>
        <w:rPr>
          <w:i/>
          <w:spacing w:val="-5"/>
        </w:rPr>
        <w:t> </w:t>
      </w:r>
      <w:r>
        <w:rPr>
          <w:i/>
        </w:rPr>
        <w:t>Plan</w:t>
      </w:r>
    </w:p>
    <w:p>
      <w:pPr>
        <w:pStyle w:val="BodyText"/>
        <w:spacing w:line="249" w:lineRule="auto" w:before="194"/>
      </w:pPr>
      <w:r>
        <w:rPr/>
        <w:t>The</w:t>
      </w:r>
      <w:r>
        <w:rPr>
          <w:spacing w:val="-4"/>
        </w:rPr>
        <w:t> </w:t>
      </w:r>
      <w:r>
        <w:rPr/>
        <w:t>Company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defined</w:t>
      </w:r>
      <w:r>
        <w:rPr>
          <w:spacing w:val="-2"/>
        </w:rPr>
        <w:t> </w:t>
      </w:r>
      <w:r>
        <w:rPr/>
        <w:t>contribution</w:t>
      </w:r>
      <w:r>
        <w:rPr>
          <w:spacing w:val="-3"/>
        </w:rPr>
        <w:t> </w:t>
      </w:r>
      <w:r>
        <w:rPr/>
        <w:t>retirement</w:t>
      </w:r>
      <w:r>
        <w:rPr>
          <w:spacing w:val="-3"/>
        </w:rPr>
        <w:t> </w:t>
      </w:r>
      <w:r>
        <w:rPr/>
        <w:t>savings</w:t>
      </w:r>
      <w:r>
        <w:rPr>
          <w:spacing w:val="-3"/>
        </w:rPr>
        <w:t> </w:t>
      </w:r>
      <w:r>
        <w:rPr/>
        <w:t>plan</w:t>
      </w:r>
      <w:r>
        <w:rPr>
          <w:spacing w:val="-3"/>
        </w:rPr>
        <w:t> </w:t>
      </w:r>
      <w:r>
        <w:rPr/>
        <w:t>under</w:t>
      </w:r>
      <w:r>
        <w:rPr>
          <w:spacing w:val="-2"/>
        </w:rPr>
        <w:t> </w:t>
      </w:r>
      <w:r>
        <w:rPr/>
        <w:t>Section</w:t>
      </w:r>
      <w:r>
        <w:rPr>
          <w:spacing w:val="-2"/>
        </w:rPr>
        <w:t> </w:t>
      </w:r>
      <w:r>
        <w:rPr/>
        <w:t>401(k)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Internal</w:t>
      </w:r>
      <w:r>
        <w:rPr>
          <w:spacing w:val="-4"/>
        </w:rPr>
        <w:t> </w:t>
      </w:r>
      <w:r>
        <w:rPr/>
        <w:t>Revenue</w:t>
      </w:r>
      <w:r>
        <w:rPr>
          <w:spacing w:val="-47"/>
        </w:rPr>
        <w:t> </w:t>
      </w:r>
      <w:r>
        <w:rPr/>
        <w:t>Code. This plan allows eligible employees to defer a portion of their annual compensation on a pre-tax basis. The</w:t>
      </w:r>
      <w:r>
        <w:rPr>
          <w:spacing w:val="1"/>
        </w:rPr>
        <w:t> </w:t>
      </w:r>
      <w:r>
        <w:rPr/>
        <w:t>Company is authorized to make matching contributions but has not made such contributions for the three and nine</w:t>
      </w:r>
      <w:r>
        <w:rPr>
          <w:spacing w:val="1"/>
        </w:rPr>
        <w:t> </w:t>
      </w:r>
      <w:r>
        <w:rPr/>
        <w:t>months</w:t>
      </w:r>
      <w:r>
        <w:rPr>
          <w:spacing w:val="-2"/>
        </w:rPr>
        <w:t> </w:t>
      </w:r>
      <w:r>
        <w:rPr/>
        <w:t>ended September 30, 2021 and 2020.</w:t>
      </w:r>
    </w:p>
    <w:p>
      <w:pPr>
        <w:pStyle w:val="Heading3"/>
        <w:rPr>
          <w:i/>
        </w:rPr>
      </w:pPr>
      <w:r>
        <w:rPr>
          <w:i/>
        </w:rPr>
        <w:t>Income</w:t>
      </w:r>
      <w:r>
        <w:rPr>
          <w:i/>
          <w:spacing w:val="-4"/>
        </w:rPr>
        <w:t> </w:t>
      </w:r>
      <w:r>
        <w:rPr>
          <w:i/>
        </w:rPr>
        <w:t>Taxes</w:t>
      </w:r>
    </w:p>
    <w:p>
      <w:pPr>
        <w:pStyle w:val="BodyText"/>
        <w:spacing w:line="249" w:lineRule="auto" w:before="193"/>
        <w:ind w:right="202"/>
      </w:pPr>
      <w:r>
        <w:rPr/>
        <w:t>The Company accounts for income taxes under the liability method. Under this method, deferred tax assets and</w:t>
      </w:r>
      <w:r>
        <w:rPr>
          <w:spacing w:val="-47"/>
        </w:rPr>
        <w:t> </w:t>
      </w:r>
      <w:r>
        <w:rPr/>
        <w:t>liabilities are determined based on the differences between the financial reporting and tax bases of assets and</w:t>
      </w:r>
      <w:r>
        <w:rPr>
          <w:spacing w:val="1"/>
        </w:rPr>
        <w:t> </w:t>
      </w:r>
      <w:r>
        <w:rPr/>
        <w:t>liabilities and are measured using the enacted tax rates that will be in effect when the differences are expected to</w:t>
      </w:r>
      <w:r>
        <w:rPr>
          <w:spacing w:val="1"/>
        </w:rPr>
        <w:t> </w:t>
      </w:r>
      <w:r>
        <w:rPr/>
        <w:t>reverse. Valuation allowances against deferred tax assets are established when necessary to reduce deferred tax</w:t>
      </w:r>
      <w:r>
        <w:rPr>
          <w:spacing w:val="1"/>
        </w:rPr>
        <w:t> </w:t>
      </w:r>
      <w:r>
        <w:rPr/>
        <w:t>assets to the amounts expected to be realized. Currently, the Company has recorded a full valuation allowance</w:t>
      </w:r>
      <w:r>
        <w:rPr>
          <w:spacing w:val="1"/>
        </w:rPr>
        <w:t> </w:t>
      </w:r>
      <w:r>
        <w:rPr/>
        <w:t>against its deferred tax assets and there is no provision for income taxes, as the Company has incurred operating</w:t>
      </w:r>
      <w:r>
        <w:rPr>
          <w:spacing w:val="1"/>
        </w:rPr>
        <w:t> </w:t>
      </w:r>
      <w:r>
        <w:rPr/>
        <w:t>losses</w:t>
      </w:r>
      <w:r>
        <w:rPr>
          <w:spacing w:val="-4"/>
        </w:rPr>
        <w:t> </w:t>
      </w:r>
      <w:r>
        <w:rPr/>
        <w:t>to-date.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Company’s</w:t>
      </w:r>
      <w:r>
        <w:rPr>
          <w:spacing w:val="-4"/>
        </w:rPr>
        <w:t> </w:t>
      </w:r>
      <w:r>
        <w:rPr/>
        <w:t>policy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2"/>
        </w:rPr>
        <w:t> </w:t>
      </w:r>
      <w:r>
        <w:rPr/>
        <w:t>interest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penalties</w:t>
      </w:r>
      <w:r>
        <w:rPr>
          <w:spacing w:val="-4"/>
        </w:rPr>
        <w:t> </w:t>
      </w:r>
      <w:r>
        <w:rPr/>
        <w:t>expense</w:t>
      </w:r>
      <w:r>
        <w:rPr>
          <w:spacing w:val="-4"/>
        </w:rPr>
        <w:t> </w:t>
      </w:r>
      <w:r>
        <w:rPr/>
        <w:t>related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uncertain</w:t>
      </w:r>
      <w:r>
        <w:rPr>
          <w:spacing w:val="-3"/>
        </w:rPr>
        <w:t> </w:t>
      </w:r>
      <w:r>
        <w:rPr/>
        <w:t>tax</w:t>
      </w:r>
      <w:r>
        <w:rPr>
          <w:spacing w:val="-3"/>
        </w:rPr>
        <w:t> </w:t>
      </w:r>
      <w:r>
        <w:rPr/>
        <w:t>positions</w:t>
      </w:r>
      <w:r>
        <w:rPr>
          <w:spacing w:val="-3"/>
        </w:rPr>
        <w:t> </w:t>
      </w:r>
      <w:r>
        <w:rPr/>
        <w:t>as</w:t>
      </w:r>
      <w:r>
        <w:rPr>
          <w:spacing w:val="1"/>
        </w:rPr>
        <w:t> </w:t>
      </w:r>
      <w:r>
        <w:rPr/>
        <w:t>a component of income tax expense in the statement of operations. To date, there have been no interest or penalties</w:t>
      </w:r>
      <w:r>
        <w:rPr>
          <w:spacing w:val="1"/>
        </w:rPr>
        <w:t> </w:t>
      </w:r>
      <w:r>
        <w:rPr/>
        <w:t>charged</w:t>
      </w:r>
      <w:r>
        <w:rPr>
          <w:spacing w:val="-1"/>
        </w:rPr>
        <w:t> </w:t>
      </w:r>
      <w:r>
        <w:rPr/>
        <w:t>in relation to the</w:t>
      </w:r>
      <w:r>
        <w:rPr>
          <w:spacing w:val="-2"/>
        </w:rPr>
        <w:t> </w:t>
      </w:r>
      <w:r>
        <w:rPr/>
        <w:t>unrecognized tax benefits.</w:t>
      </w:r>
    </w:p>
    <w:p>
      <w:pPr>
        <w:pStyle w:val="Heading3"/>
        <w:spacing w:before="184"/>
        <w:rPr>
          <w:i/>
        </w:rPr>
      </w:pPr>
      <w:r>
        <w:rPr>
          <w:i/>
        </w:rPr>
        <w:t>Net</w:t>
      </w:r>
      <w:r>
        <w:rPr>
          <w:i/>
          <w:spacing w:val="-4"/>
        </w:rPr>
        <w:t> </w:t>
      </w:r>
      <w:r>
        <w:rPr>
          <w:i/>
        </w:rPr>
        <w:t>Loss</w:t>
      </w:r>
      <w:r>
        <w:rPr>
          <w:i/>
          <w:spacing w:val="-3"/>
        </w:rPr>
        <w:t> </w:t>
      </w:r>
      <w:r>
        <w:rPr>
          <w:i/>
        </w:rPr>
        <w:t>Per</w:t>
      </w:r>
      <w:r>
        <w:rPr>
          <w:i/>
          <w:spacing w:val="-3"/>
        </w:rPr>
        <w:t> </w:t>
      </w:r>
      <w:r>
        <w:rPr>
          <w:i/>
        </w:rPr>
        <w:t>Share</w:t>
      </w:r>
    </w:p>
    <w:p>
      <w:pPr>
        <w:pStyle w:val="BodyText"/>
        <w:spacing w:line="249" w:lineRule="auto" w:before="193"/>
        <w:ind w:right="186"/>
      </w:pPr>
      <w:r>
        <w:rPr/>
        <w:t>Basic net loss per share is computed by dividing the net loss by the weighted-average number of shares of</w:t>
      </w:r>
      <w:r>
        <w:rPr>
          <w:spacing w:val="1"/>
        </w:rPr>
        <w:t> </w:t>
      </w:r>
      <w:r>
        <w:rPr/>
        <w:t>common stock outstanding during the period. Diluted net loss per share is computed by dividing the net loss by the</w:t>
      </w:r>
      <w:r>
        <w:rPr>
          <w:spacing w:val="1"/>
        </w:rPr>
        <w:t> </w:t>
      </w:r>
      <w:r>
        <w:rPr/>
        <w:t>weighted-average number of shares of common stock and common stock equivalent shares from dilutive stock</w:t>
      </w:r>
      <w:r>
        <w:rPr>
          <w:spacing w:val="1"/>
        </w:rPr>
        <w:t> </w:t>
      </w:r>
      <w:r>
        <w:rPr/>
        <w:t>options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common</w:t>
      </w:r>
      <w:r>
        <w:rPr>
          <w:spacing w:val="-2"/>
        </w:rPr>
        <w:t> </w:t>
      </w:r>
      <w:r>
        <w:rPr/>
        <w:t>stock</w:t>
      </w:r>
      <w:r>
        <w:rPr>
          <w:spacing w:val="-2"/>
        </w:rPr>
        <w:t> </w:t>
      </w:r>
      <w:r>
        <w:rPr/>
        <w:t>warrants</w:t>
      </w:r>
      <w:r>
        <w:rPr>
          <w:spacing w:val="-3"/>
        </w:rPr>
        <w:t> </w:t>
      </w:r>
      <w:r>
        <w:rPr/>
        <w:t>outstanding</w:t>
      </w:r>
      <w:r>
        <w:rPr>
          <w:spacing w:val="-2"/>
        </w:rPr>
        <w:t> </w:t>
      </w:r>
      <w:r>
        <w:rPr/>
        <w:t>during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period.</w:t>
      </w:r>
      <w:r>
        <w:rPr>
          <w:spacing w:val="-2"/>
        </w:rPr>
        <w:t> </w:t>
      </w:r>
      <w:r>
        <w:rPr/>
        <w:t>Because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Company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reported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net</w:t>
      </w:r>
      <w:r>
        <w:rPr>
          <w:spacing w:val="-4"/>
        </w:rPr>
        <w:t> </w:t>
      </w:r>
      <w:r>
        <w:rPr/>
        <w:t>loss</w:t>
      </w:r>
      <w:r>
        <w:rPr>
          <w:spacing w:val="-3"/>
        </w:rPr>
        <w:t> </w:t>
      </w:r>
      <w:r>
        <w:rPr/>
        <w:t>for</w:t>
      </w:r>
      <w:r>
        <w:rPr>
          <w:spacing w:val="-47"/>
        </w:rPr>
        <w:t> </w:t>
      </w:r>
      <w:r>
        <w:rPr/>
        <w:t>all periods presented, diluted net loss per share is the same as basic net loss per share for those periods as all</w:t>
      </w:r>
      <w:r>
        <w:rPr>
          <w:spacing w:val="1"/>
        </w:rPr>
        <w:t> </w:t>
      </w:r>
      <w:r>
        <w:rPr/>
        <w:t>potentially</w:t>
      </w:r>
      <w:r>
        <w:rPr>
          <w:spacing w:val="-1"/>
        </w:rPr>
        <w:t> </w:t>
      </w:r>
      <w:r>
        <w:rPr/>
        <w:t>dilutive</w:t>
      </w:r>
      <w:r>
        <w:rPr>
          <w:spacing w:val="-1"/>
        </w:rPr>
        <w:t> </w:t>
      </w:r>
      <w:r>
        <w:rPr/>
        <w:t>securities</w:t>
      </w:r>
      <w:r>
        <w:rPr>
          <w:spacing w:val="-2"/>
        </w:rPr>
        <w:t> </w:t>
      </w:r>
      <w:r>
        <w:rPr/>
        <w:t>were</w:t>
      </w:r>
      <w:r>
        <w:rPr>
          <w:spacing w:val="-1"/>
        </w:rPr>
        <w:t> </w:t>
      </w:r>
      <w:r>
        <w:rPr/>
        <w:t>antidilutive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those</w:t>
      </w:r>
      <w:r>
        <w:rPr>
          <w:spacing w:val="-1"/>
        </w:rPr>
        <w:t> </w:t>
      </w:r>
      <w:r>
        <w:rPr/>
        <w:t>periods.</w:t>
      </w:r>
    </w:p>
    <w:p>
      <w:pPr>
        <w:pStyle w:val="BodyText"/>
        <w:spacing w:line="249" w:lineRule="auto" w:before="185"/>
      </w:pPr>
      <w:r>
        <w:rPr/>
        <w:t>The</w:t>
      </w:r>
      <w:r>
        <w:rPr>
          <w:spacing w:val="-4"/>
        </w:rPr>
        <w:t> </w:t>
      </w:r>
      <w:r>
        <w:rPr/>
        <w:t>Company</w:t>
      </w:r>
      <w:r>
        <w:rPr>
          <w:spacing w:val="-3"/>
        </w:rPr>
        <w:t> </w:t>
      </w:r>
      <w:r>
        <w:rPr/>
        <w:t>allocates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loss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participating</w:t>
      </w:r>
      <w:r>
        <w:rPr>
          <w:spacing w:val="-3"/>
        </w:rPr>
        <w:t> </w:t>
      </w:r>
      <w:r>
        <w:rPr/>
        <w:t>securities</w:t>
      </w:r>
      <w:r>
        <w:rPr>
          <w:spacing w:val="-4"/>
        </w:rPr>
        <w:t> </w:t>
      </w:r>
      <w:r>
        <w:rPr/>
        <w:t>because</w:t>
      </w:r>
      <w:r>
        <w:rPr>
          <w:spacing w:val="-4"/>
        </w:rPr>
        <w:t> </w:t>
      </w:r>
      <w:r>
        <w:rPr/>
        <w:t>they</w:t>
      </w:r>
      <w:r>
        <w:rPr>
          <w:spacing w:val="-3"/>
        </w:rPr>
        <w:t> </w:t>
      </w:r>
      <w:r>
        <w:rPr/>
        <w:t>have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contractual</w:t>
      </w:r>
      <w:r>
        <w:rPr>
          <w:spacing w:val="-4"/>
        </w:rPr>
        <w:t> </w:t>
      </w:r>
      <w:r>
        <w:rPr/>
        <w:t>obligation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share</w:t>
      </w:r>
      <w:r>
        <w:rPr>
          <w:spacing w:val="-4"/>
        </w:rPr>
        <w:t> </w:t>
      </w:r>
      <w:r>
        <w:rPr/>
        <w:t>in</w:t>
      </w:r>
      <w:r>
        <w:rPr>
          <w:spacing w:val="-47"/>
        </w:rPr>
        <w:t> </w:t>
      </w:r>
      <w:r>
        <w:rPr/>
        <w:t>the losses of the Company. The shares of the Company’s redeemable convertible preferred stock participated in any</w:t>
      </w:r>
      <w:r>
        <w:rPr>
          <w:spacing w:val="1"/>
        </w:rPr>
        <w:t> </w:t>
      </w:r>
      <w:r>
        <w:rPr/>
        <w:t>dividends</w:t>
      </w:r>
      <w:r>
        <w:rPr>
          <w:spacing w:val="-2"/>
        </w:rPr>
        <w:t> </w:t>
      </w:r>
      <w:r>
        <w:rPr/>
        <w:t>declared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Company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were</w:t>
      </w:r>
      <w:r>
        <w:rPr>
          <w:spacing w:val="-2"/>
        </w:rPr>
        <w:t> </w:t>
      </w:r>
      <w:r>
        <w:rPr/>
        <w:t>therefore</w:t>
      </w:r>
      <w:r>
        <w:rPr>
          <w:spacing w:val="-1"/>
        </w:rPr>
        <w:t> </w:t>
      </w:r>
      <w:r>
        <w:rPr/>
        <w:t>considered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participating</w:t>
      </w:r>
      <w:r>
        <w:rPr>
          <w:spacing w:val="-1"/>
        </w:rPr>
        <w:t> </w:t>
      </w:r>
      <w:r>
        <w:rPr/>
        <w:t>securities.</w:t>
      </w:r>
    </w:p>
    <w:p>
      <w:pPr>
        <w:pStyle w:val="BodyText"/>
        <w:spacing w:line="249" w:lineRule="auto" w:before="183"/>
        <w:ind w:right="180"/>
      </w:pPr>
      <w:r>
        <w:rPr/>
        <w:t>Upon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completion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Company’s</w:t>
      </w:r>
      <w:r>
        <w:rPr>
          <w:spacing w:val="-3"/>
        </w:rPr>
        <w:t> </w:t>
      </w:r>
      <w:r>
        <w:rPr/>
        <w:t>IPO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September</w:t>
      </w:r>
      <w:r>
        <w:rPr>
          <w:spacing w:val="-2"/>
        </w:rPr>
        <w:t> </w:t>
      </w:r>
      <w:r>
        <w:rPr/>
        <w:t>2021,</w:t>
      </w:r>
      <w:r>
        <w:rPr>
          <w:spacing w:val="-2"/>
        </w:rPr>
        <w:t> </w:t>
      </w:r>
      <w:r>
        <w:rPr/>
        <w:t>all</w:t>
      </w:r>
      <w:r>
        <w:rPr>
          <w:spacing w:val="-3"/>
        </w:rPr>
        <w:t> </w:t>
      </w:r>
      <w:r>
        <w:rPr/>
        <w:t>29,912,264</w:t>
      </w:r>
      <w:r>
        <w:rPr>
          <w:spacing w:val="-2"/>
        </w:rPr>
        <w:t> </w:t>
      </w:r>
      <w:r>
        <w:rPr/>
        <w:t>shares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its</w:t>
      </w:r>
      <w:r>
        <w:rPr>
          <w:spacing w:val="-3"/>
        </w:rPr>
        <w:t> </w:t>
      </w:r>
      <w:r>
        <w:rPr/>
        <w:t>then-outstanding</w:t>
      </w:r>
      <w:r>
        <w:rPr>
          <w:spacing w:val="-47"/>
        </w:rPr>
        <w:t> </w:t>
      </w:r>
      <w:r>
        <w:rPr/>
        <w:t>redeemable</w:t>
      </w:r>
      <w:r>
        <w:rPr>
          <w:spacing w:val="-3"/>
        </w:rPr>
        <w:t> </w:t>
      </w:r>
      <w:r>
        <w:rPr/>
        <w:t>convertible</w:t>
      </w:r>
      <w:r>
        <w:rPr>
          <w:spacing w:val="-3"/>
        </w:rPr>
        <w:t> </w:t>
      </w:r>
      <w:r>
        <w:rPr/>
        <w:t>preferred</w:t>
      </w:r>
      <w:r>
        <w:rPr>
          <w:spacing w:val="-1"/>
        </w:rPr>
        <w:t> </w:t>
      </w:r>
      <w:r>
        <w:rPr/>
        <w:t>stock</w:t>
      </w:r>
      <w:r>
        <w:rPr>
          <w:spacing w:val="-2"/>
        </w:rPr>
        <w:t> </w:t>
      </w:r>
      <w:r>
        <w:rPr/>
        <w:t>automatically</w:t>
      </w:r>
      <w:r>
        <w:rPr>
          <w:spacing w:val="-2"/>
        </w:rPr>
        <w:t> </w:t>
      </w:r>
      <w:r>
        <w:rPr/>
        <w:t>converted</w:t>
      </w:r>
      <w:r>
        <w:rPr>
          <w:spacing w:val="-1"/>
        </w:rPr>
        <w:t> </w:t>
      </w:r>
      <w:r>
        <w:rPr/>
        <w:t>into</w:t>
      </w:r>
      <w:r>
        <w:rPr>
          <w:spacing w:val="-2"/>
        </w:rPr>
        <w:t> </w:t>
      </w:r>
      <w:r>
        <w:rPr/>
        <w:t>29,912,264</w:t>
      </w:r>
      <w:r>
        <w:rPr>
          <w:spacing w:val="-2"/>
        </w:rPr>
        <w:t> </w:t>
      </w:r>
      <w:r>
        <w:rPr/>
        <w:t>shares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common</w:t>
      </w:r>
      <w:r>
        <w:rPr>
          <w:spacing w:val="-2"/>
        </w:rPr>
        <w:t> </w:t>
      </w:r>
      <w:r>
        <w:rPr/>
        <w:t>stock.</w:t>
      </w:r>
    </w:p>
    <w:p>
      <w:pPr>
        <w:pStyle w:val="BodyText"/>
        <w:spacing w:before="181"/>
        <w:ind w:left="460" w:firstLine="0"/>
      </w:pPr>
      <w:r>
        <w:rPr/>
        <w:t>Net</w:t>
      </w:r>
      <w:r>
        <w:rPr>
          <w:spacing w:val="-4"/>
        </w:rPr>
        <w:t> </w:t>
      </w:r>
      <w:r>
        <w:rPr/>
        <w:t>loss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share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determined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follows</w:t>
      </w:r>
      <w:r>
        <w:rPr>
          <w:spacing w:val="-3"/>
        </w:rPr>
        <w:t> </w:t>
      </w:r>
      <w:r>
        <w:rPr/>
        <w:t>(in</w:t>
      </w:r>
      <w:r>
        <w:rPr>
          <w:spacing w:val="-3"/>
        </w:rPr>
        <w:t> </w:t>
      </w:r>
      <w:r>
        <w:rPr/>
        <w:t>thousands,</w:t>
      </w:r>
      <w:r>
        <w:rPr>
          <w:spacing w:val="-2"/>
        </w:rPr>
        <w:t> </w:t>
      </w:r>
      <w:r>
        <w:rPr/>
        <w:t>except</w:t>
      </w:r>
      <w:r>
        <w:rPr>
          <w:spacing w:val="-4"/>
        </w:rPr>
        <w:t> </w:t>
      </w:r>
      <w:r>
        <w:rPr/>
        <w:t>per</w:t>
      </w:r>
      <w:r>
        <w:rPr>
          <w:spacing w:val="-2"/>
        </w:rPr>
        <w:t> </w:t>
      </w:r>
      <w:r>
        <w:rPr/>
        <w:t>share</w:t>
      </w:r>
      <w:r>
        <w:rPr>
          <w:spacing w:val="-3"/>
        </w:rPr>
        <w:t> </w:t>
      </w:r>
      <w:r>
        <w:rPr/>
        <w:t>amounts):</w:t>
      </w:r>
    </w:p>
    <w:p>
      <w:pPr>
        <w:pStyle w:val="BodyText"/>
        <w:spacing w:before="7"/>
        <w:ind w:left="0" w:firstLine="0"/>
        <w:rPr>
          <w:sz w:val="13"/>
        </w:rPr>
      </w:pPr>
    </w:p>
    <w:p>
      <w:pPr>
        <w:tabs>
          <w:tab w:pos="6932" w:val="left" w:leader="none"/>
        </w:tabs>
        <w:spacing w:before="93" w:after="45"/>
        <w:ind w:left="4158" w:right="0" w:firstLine="0"/>
        <w:jc w:val="left"/>
        <w:rPr>
          <w:b/>
          <w:sz w:val="16"/>
        </w:rPr>
      </w:pPr>
      <w:r>
        <w:rPr>
          <w:b/>
          <w:sz w:val="16"/>
        </w:rPr>
        <w:t>Three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Months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Ended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September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30,</w:t>
        <w:tab/>
        <w:t>Nine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Months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Ended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September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30,</w:t>
      </w: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0"/>
        <w:gridCol w:w="1354"/>
        <w:gridCol w:w="1365"/>
        <w:gridCol w:w="1365"/>
        <w:gridCol w:w="1316"/>
      </w:tblGrid>
      <w:tr>
        <w:trPr>
          <w:trHeight w:val="220" w:hRule="atLeast"/>
        </w:trPr>
        <w:tc>
          <w:tcPr>
            <w:tcW w:w="3960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5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left="145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</w:p>
        </w:tc>
        <w:tc>
          <w:tcPr>
            <w:tcW w:w="136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left="484" w:right="5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</w:p>
        </w:tc>
        <w:tc>
          <w:tcPr>
            <w:tcW w:w="136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left="484" w:right="5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</w:p>
        </w:tc>
        <w:tc>
          <w:tcPr>
            <w:tcW w:w="131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left="176" w:right="1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</w:p>
        </w:tc>
      </w:tr>
      <w:tr>
        <w:trPr>
          <w:trHeight w:val="275" w:hRule="atLeast"/>
        </w:trPr>
        <w:tc>
          <w:tcPr>
            <w:tcW w:w="3960" w:type="dxa"/>
            <w:shd w:val="clear" w:color="auto" w:fill="CCEDFF"/>
          </w:tcPr>
          <w:p>
            <w:pPr>
              <w:pStyle w:val="TableParagraph"/>
              <w:spacing w:before="15"/>
              <w:ind w:left="35" w:right="35"/>
              <w:jc w:val="center"/>
              <w:rPr>
                <w:sz w:val="20"/>
              </w:rPr>
            </w:pPr>
            <w:r>
              <w:rPr>
                <w:sz w:val="20"/>
              </w:rPr>
              <w:t>Net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loss</w:t>
            </w:r>
            <w:r>
              <w:rPr>
                <w:spacing w:val="5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</w:t>
            </w:r>
          </w:p>
        </w:tc>
        <w:tc>
          <w:tcPr>
            <w:tcW w:w="1354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554" w:val="left" w:leader="none"/>
              </w:tabs>
              <w:spacing w:before="15"/>
              <w:ind w:right="63"/>
              <w:rPr>
                <w:sz w:val="20"/>
              </w:rPr>
            </w:pPr>
            <w:r>
              <w:rPr>
                <w:sz w:val="20"/>
              </w:rPr>
              <w:t>$</w:t>
              <w:tab/>
              <w:t>(14,103)</w:t>
            </w:r>
          </w:p>
        </w:tc>
        <w:tc>
          <w:tcPr>
            <w:tcW w:w="1365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554" w:val="left" w:leader="none"/>
              </w:tabs>
              <w:spacing w:before="15"/>
              <w:ind w:right="63"/>
              <w:rPr>
                <w:sz w:val="20"/>
              </w:rPr>
            </w:pPr>
            <w:r>
              <w:rPr>
                <w:sz w:val="20"/>
              </w:rPr>
              <w:t>$</w:t>
              <w:tab/>
              <w:t>(12,008)</w:t>
            </w:r>
          </w:p>
        </w:tc>
        <w:tc>
          <w:tcPr>
            <w:tcW w:w="1365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554" w:val="left" w:leader="none"/>
              </w:tabs>
              <w:spacing w:before="15"/>
              <w:ind w:right="63"/>
              <w:rPr>
                <w:sz w:val="20"/>
              </w:rPr>
            </w:pPr>
            <w:r>
              <w:rPr>
                <w:sz w:val="20"/>
              </w:rPr>
              <w:t>$</w:t>
              <w:tab/>
              <w:t>(41,505)</w:t>
            </w:r>
          </w:p>
        </w:tc>
        <w:tc>
          <w:tcPr>
            <w:tcW w:w="1316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554" w:val="left" w:leader="none"/>
              </w:tabs>
              <w:spacing w:before="15"/>
              <w:ind w:right="14"/>
              <w:rPr>
                <w:sz w:val="20"/>
              </w:rPr>
            </w:pPr>
            <w:r>
              <w:rPr>
                <w:sz w:val="20"/>
              </w:rPr>
              <w:t>$</w:t>
              <w:tab/>
              <w:t>(37,741)</w:t>
            </w:r>
          </w:p>
        </w:tc>
      </w:tr>
      <w:tr>
        <w:trPr>
          <w:trHeight w:val="275" w:hRule="atLeast"/>
        </w:trPr>
        <w:tc>
          <w:tcPr>
            <w:tcW w:w="3960" w:type="dxa"/>
          </w:tcPr>
          <w:p>
            <w:pPr>
              <w:pStyle w:val="TableParagraph"/>
              <w:spacing w:line="230" w:lineRule="exact" w:before="25"/>
              <w:ind w:left="29" w:right="35"/>
              <w:jc w:val="center"/>
              <w:rPr>
                <w:sz w:val="20"/>
              </w:rPr>
            </w:pPr>
            <w:r>
              <w:rPr>
                <w:sz w:val="20"/>
              </w:rPr>
              <w:t>Weighted-average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common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stock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outstanding</w:t>
            </w:r>
            <w:r>
              <w:rPr>
                <w:spacing w:val="22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</w:p>
        </w:tc>
        <w:tc>
          <w:tcPr>
            <w:tcW w:w="13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25"/>
              <w:ind w:right="128"/>
              <w:rPr>
                <w:sz w:val="20"/>
              </w:rPr>
            </w:pPr>
            <w:r>
              <w:rPr>
                <w:sz w:val="20"/>
              </w:rPr>
              <w:t>11,580</w:t>
            </w:r>
          </w:p>
        </w:tc>
        <w:tc>
          <w:tcPr>
            <w:tcW w:w="13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25"/>
              <w:ind w:right="128"/>
              <w:rPr>
                <w:sz w:val="20"/>
              </w:rPr>
            </w:pPr>
            <w:r>
              <w:rPr>
                <w:sz w:val="20"/>
              </w:rPr>
              <w:t>4,329</w:t>
            </w:r>
          </w:p>
        </w:tc>
        <w:tc>
          <w:tcPr>
            <w:tcW w:w="13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25"/>
              <w:ind w:right="128"/>
              <w:rPr>
                <w:sz w:val="20"/>
              </w:rPr>
            </w:pPr>
            <w:r>
              <w:rPr>
                <w:sz w:val="20"/>
              </w:rPr>
              <w:t>7,361</w:t>
            </w:r>
          </w:p>
        </w:tc>
        <w:tc>
          <w:tcPr>
            <w:tcW w:w="13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25"/>
              <w:ind w:right="79"/>
              <w:rPr>
                <w:sz w:val="20"/>
              </w:rPr>
            </w:pPr>
            <w:r>
              <w:rPr>
                <w:sz w:val="20"/>
              </w:rPr>
              <w:t>3,327</w:t>
            </w:r>
          </w:p>
        </w:tc>
      </w:tr>
      <w:tr>
        <w:trPr>
          <w:trHeight w:val="275" w:hRule="atLeast"/>
        </w:trPr>
        <w:tc>
          <w:tcPr>
            <w:tcW w:w="9360" w:type="dxa"/>
            <w:gridSpan w:val="5"/>
            <w:shd w:val="clear" w:color="auto" w:fill="CCEDFF"/>
          </w:tcPr>
          <w:p>
            <w:pPr>
              <w:pStyle w:val="TableParagraph"/>
              <w:tabs>
                <w:tab w:pos="4766" w:val="left" w:leader="none"/>
                <w:tab w:pos="6131" w:val="left" w:leader="none"/>
                <w:tab w:pos="7496" w:val="left" w:leader="none"/>
                <w:tab w:pos="8761" w:val="left" w:leader="none"/>
              </w:tabs>
              <w:spacing w:before="15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Net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loss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share,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basic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diluted</w:t>
            </w:r>
            <w:r>
              <w:rPr>
                <w:spacing w:val="65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60"/>
                <w:sz w:val="20"/>
              </w:rPr>
              <w:t> </w:t>
            </w:r>
            <w:r>
              <w:rPr>
                <w:sz w:val="20"/>
                <w:u w:val="double"/>
              </w:rPr>
              <w:t>$</w:t>
              <w:tab/>
              <w:t>(1.22)</w:t>
            </w:r>
            <w:r>
              <w:rPr>
                <w:spacing w:val="77"/>
                <w:sz w:val="20"/>
                <w:u w:val="double"/>
              </w:rPr>
              <w:t> </w:t>
            </w:r>
            <w:r>
              <w:rPr>
                <w:sz w:val="20"/>
                <w:u w:val="double"/>
              </w:rPr>
              <w:t>$</w:t>
              <w:tab/>
              <w:t>(2.77)</w:t>
            </w:r>
            <w:r>
              <w:rPr>
                <w:spacing w:val="77"/>
                <w:sz w:val="20"/>
                <w:u w:val="double"/>
              </w:rPr>
              <w:t> </w:t>
            </w:r>
            <w:r>
              <w:rPr>
                <w:sz w:val="20"/>
                <w:u w:val="double"/>
              </w:rPr>
              <w:t>$</w:t>
              <w:tab/>
              <w:t>(5.64)</w:t>
            </w:r>
            <w:r>
              <w:rPr>
                <w:spacing w:val="77"/>
                <w:sz w:val="20"/>
                <w:u w:val="double"/>
              </w:rPr>
              <w:t> </w:t>
            </w:r>
            <w:r>
              <w:rPr>
                <w:sz w:val="20"/>
                <w:u w:val="double"/>
              </w:rPr>
              <w:t>$</w:t>
              <w:tab/>
              <w:t>(11.34)</w:t>
            </w:r>
          </w:p>
        </w:tc>
      </w:tr>
    </w:tbl>
    <w:p>
      <w:pPr>
        <w:spacing w:after="0"/>
        <w:jc w:val="left"/>
        <w:rPr>
          <w:sz w:val="20"/>
        </w:rPr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  <w:ind w:right="345"/>
      </w:pPr>
      <w:r>
        <w:rPr/>
        <w:t>The following potentially dilutive securities outstanding have been excluded from the computations of</w:t>
      </w:r>
      <w:r>
        <w:rPr>
          <w:spacing w:val="1"/>
        </w:rPr>
        <w:t> </w:t>
      </w:r>
      <w:r>
        <w:rPr/>
        <w:t>weighted-average</w:t>
      </w:r>
      <w:r>
        <w:rPr>
          <w:spacing w:val="-5"/>
        </w:rPr>
        <w:t> </w:t>
      </w:r>
      <w:r>
        <w:rPr/>
        <w:t>shares</w:t>
      </w:r>
      <w:r>
        <w:rPr>
          <w:spacing w:val="-4"/>
        </w:rPr>
        <w:t> </w:t>
      </w:r>
      <w:r>
        <w:rPr/>
        <w:t>outstanding</w:t>
      </w:r>
      <w:r>
        <w:rPr>
          <w:spacing w:val="-4"/>
        </w:rPr>
        <w:t> </w:t>
      </w:r>
      <w:r>
        <w:rPr/>
        <w:t>because</w:t>
      </w:r>
      <w:r>
        <w:rPr>
          <w:spacing w:val="-4"/>
        </w:rPr>
        <w:t> </w:t>
      </w:r>
      <w:r>
        <w:rPr/>
        <w:t>such</w:t>
      </w:r>
      <w:r>
        <w:rPr>
          <w:spacing w:val="-3"/>
        </w:rPr>
        <w:t> </w:t>
      </w:r>
      <w:r>
        <w:rPr/>
        <w:t>securities</w:t>
      </w:r>
      <w:r>
        <w:rPr>
          <w:spacing w:val="-5"/>
        </w:rPr>
        <w:t> </w:t>
      </w:r>
      <w:r>
        <w:rPr/>
        <w:t>have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antidilutive</w:t>
      </w:r>
      <w:r>
        <w:rPr>
          <w:spacing w:val="-4"/>
        </w:rPr>
        <w:t> </w:t>
      </w:r>
      <w:r>
        <w:rPr/>
        <w:t>impact</w:t>
      </w:r>
      <w:r>
        <w:rPr>
          <w:spacing w:val="-4"/>
        </w:rPr>
        <w:t> </w:t>
      </w:r>
      <w:r>
        <w:rPr/>
        <w:t>due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losses</w:t>
      </w:r>
      <w:r>
        <w:rPr>
          <w:spacing w:val="-4"/>
        </w:rPr>
        <w:t> </w:t>
      </w:r>
      <w:r>
        <w:rPr/>
        <w:t>reported</w:t>
      </w:r>
      <w:r>
        <w:rPr>
          <w:spacing w:val="-4"/>
        </w:rPr>
        <w:t> </w:t>
      </w:r>
      <w:r>
        <w:rPr/>
        <w:t>(in</w:t>
      </w:r>
      <w:r>
        <w:rPr>
          <w:spacing w:val="1"/>
        </w:rPr>
        <w:t> </w:t>
      </w:r>
      <w:r>
        <w:rPr/>
        <w:t>common</w:t>
      </w:r>
      <w:r>
        <w:rPr>
          <w:spacing w:val="-1"/>
        </w:rPr>
        <w:t> </w:t>
      </w:r>
      <w:r>
        <w:rPr/>
        <w:t>stock equivalent</w:t>
      </w:r>
      <w:r>
        <w:rPr>
          <w:spacing w:val="-1"/>
        </w:rPr>
        <w:t> </w:t>
      </w:r>
      <w:r>
        <w:rPr/>
        <w:t>shares, in thousands):</w:t>
      </w:r>
    </w:p>
    <w:p>
      <w:pPr>
        <w:pStyle w:val="BodyText"/>
        <w:spacing w:before="10"/>
        <w:ind w:left="0" w:firstLine="0"/>
        <w:rPr>
          <w:sz w:val="12"/>
        </w:rPr>
      </w:pPr>
    </w:p>
    <w:p>
      <w:pPr>
        <w:spacing w:before="94" w:after="44"/>
        <w:ind w:left="0" w:right="964" w:firstLine="0"/>
        <w:jc w:val="right"/>
        <w:rPr>
          <w:b/>
          <w:sz w:val="16"/>
        </w:rPr>
      </w:pPr>
      <w:r>
        <w:rPr>
          <w:b/>
          <w:sz w:val="16"/>
        </w:rPr>
        <w:t>September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30,</w:t>
      </w: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90"/>
        <w:gridCol w:w="1540"/>
        <w:gridCol w:w="1129"/>
      </w:tblGrid>
      <w:tr>
        <w:trPr>
          <w:trHeight w:val="238" w:hRule="atLeast"/>
        </w:trPr>
        <w:tc>
          <w:tcPr>
            <w:tcW w:w="8230" w:type="dxa"/>
            <w:gridSpan w:val="2"/>
          </w:tcPr>
          <w:p>
            <w:pPr>
              <w:pStyle w:val="TableParagraph"/>
              <w:spacing w:before="1"/>
              <w:ind w:right="725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</w:p>
        </w:tc>
        <w:tc>
          <w:tcPr>
            <w:tcW w:w="112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"/>
              <w:ind w:left="3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</w:p>
        </w:tc>
      </w:tr>
      <w:tr>
        <w:trPr>
          <w:trHeight w:val="241" w:hRule="atLeast"/>
        </w:trPr>
        <w:tc>
          <w:tcPr>
            <w:tcW w:w="6690" w:type="dxa"/>
            <w:shd w:val="clear" w:color="auto" w:fill="CCEDFF"/>
          </w:tcPr>
          <w:p>
            <w:pPr>
              <w:pStyle w:val="TableParagraph"/>
              <w:ind w:right="51"/>
              <w:rPr>
                <w:sz w:val="20"/>
              </w:rPr>
            </w:pPr>
            <w:r>
              <w:rPr>
                <w:sz w:val="20"/>
              </w:rPr>
              <w:t>Redeemable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convertible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preferred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stock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outstanding</w:t>
            </w:r>
            <w:r>
              <w:rPr>
                <w:spacing w:val="10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</w:p>
        </w:tc>
        <w:tc>
          <w:tcPr>
            <w:tcW w:w="1540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ind w:right="3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29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ind w:right="78"/>
              <w:rPr>
                <w:sz w:val="20"/>
              </w:rPr>
            </w:pPr>
            <w:r>
              <w:rPr>
                <w:sz w:val="20"/>
              </w:rPr>
              <w:t>25,402</w:t>
            </w:r>
          </w:p>
        </w:tc>
      </w:tr>
      <w:tr>
        <w:trPr>
          <w:trHeight w:val="270" w:hRule="atLeast"/>
        </w:trPr>
        <w:tc>
          <w:tcPr>
            <w:tcW w:w="6690" w:type="dxa"/>
          </w:tcPr>
          <w:p>
            <w:pPr>
              <w:pStyle w:val="TableParagraph"/>
              <w:spacing w:before="10"/>
              <w:ind w:right="55"/>
              <w:rPr>
                <w:sz w:val="20"/>
              </w:rPr>
            </w:pPr>
            <w:r>
              <w:rPr>
                <w:sz w:val="20"/>
              </w:rPr>
              <w:t>Redeemable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convertible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preferred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stock warrants</w:t>
            </w:r>
            <w:r>
              <w:rPr>
                <w:spacing w:val="49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</w:p>
        </w:tc>
        <w:tc>
          <w:tcPr>
            <w:tcW w:w="1540" w:type="dxa"/>
          </w:tcPr>
          <w:p>
            <w:pPr>
              <w:pStyle w:val="TableParagraph"/>
              <w:spacing w:before="10"/>
              <w:ind w:right="3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29" w:type="dxa"/>
          </w:tcPr>
          <w:p>
            <w:pPr>
              <w:pStyle w:val="TableParagraph"/>
              <w:spacing w:before="10"/>
              <w:ind w:right="78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</w:tr>
      <w:tr>
        <w:trPr>
          <w:trHeight w:val="285" w:hRule="atLeast"/>
        </w:trPr>
        <w:tc>
          <w:tcPr>
            <w:tcW w:w="6690" w:type="dxa"/>
            <w:shd w:val="clear" w:color="auto" w:fill="CCEDFF"/>
          </w:tcPr>
          <w:p>
            <w:pPr>
              <w:pStyle w:val="TableParagraph"/>
              <w:spacing w:before="25"/>
              <w:ind w:right="53"/>
              <w:rPr>
                <w:sz w:val="20"/>
              </w:rPr>
            </w:pPr>
            <w:r>
              <w:rPr>
                <w:sz w:val="20"/>
              </w:rPr>
              <w:t>Common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stock warrants</w:t>
            </w:r>
            <w:r>
              <w:rPr>
                <w:spacing w:val="28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</w:p>
        </w:tc>
        <w:tc>
          <w:tcPr>
            <w:tcW w:w="1540" w:type="dxa"/>
            <w:shd w:val="clear" w:color="auto" w:fill="CCEDFF"/>
          </w:tcPr>
          <w:p>
            <w:pPr>
              <w:pStyle w:val="TableParagraph"/>
              <w:spacing w:before="25"/>
              <w:ind w:right="3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29" w:type="dxa"/>
            <w:shd w:val="clear" w:color="auto" w:fill="CCEDFF"/>
          </w:tcPr>
          <w:p>
            <w:pPr>
              <w:pStyle w:val="TableParagraph"/>
              <w:spacing w:before="25"/>
              <w:ind w:right="7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6690" w:type="dxa"/>
          </w:tcPr>
          <w:p>
            <w:pPr>
              <w:pStyle w:val="TableParagraph"/>
              <w:spacing w:line="230" w:lineRule="exact" w:before="10"/>
              <w:ind w:right="53"/>
              <w:rPr>
                <w:sz w:val="20"/>
              </w:rPr>
            </w:pPr>
            <w:r>
              <w:rPr>
                <w:sz w:val="20"/>
              </w:rPr>
              <w:t>Common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stock options</w:t>
            </w:r>
            <w:r>
              <w:rPr>
                <w:spacing w:val="27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</w:t>
            </w:r>
          </w:p>
        </w:tc>
        <w:tc>
          <w:tcPr>
            <w:tcW w:w="15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10"/>
              <w:ind w:right="314"/>
              <w:rPr>
                <w:sz w:val="20"/>
              </w:rPr>
            </w:pPr>
            <w:r>
              <w:rPr>
                <w:sz w:val="20"/>
              </w:rPr>
              <w:t>6,607</w:t>
            </w:r>
          </w:p>
        </w:tc>
        <w:tc>
          <w:tcPr>
            <w:tcW w:w="112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10"/>
              <w:ind w:right="78"/>
              <w:rPr>
                <w:sz w:val="20"/>
              </w:rPr>
            </w:pPr>
            <w:r>
              <w:rPr>
                <w:sz w:val="20"/>
              </w:rPr>
              <w:t>6,143</w:t>
            </w:r>
          </w:p>
        </w:tc>
      </w:tr>
      <w:tr>
        <w:trPr>
          <w:trHeight w:val="210" w:hRule="atLeast"/>
        </w:trPr>
        <w:tc>
          <w:tcPr>
            <w:tcW w:w="6690" w:type="dxa"/>
            <w:shd w:val="clear" w:color="auto" w:fill="CCEDFF"/>
          </w:tcPr>
          <w:p>
            <w:pPr>
              <w:pStyle w:val="TableParagraph"/>
              <w:spacing w:line="190" w:lineRule="exact"/>
              <w:ind w:right="58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26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 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 . . . . . .</w:t>
            </w:r>
          </w:p>
        </w:tc>
        <w:tc>
          <w:tcPr>
            <w:tcW w:w="1540" w:type="dxa"/>
            <w:tcBorders>
              <w:top w:val="single" w:sz="8" w:space="0" w:color="000000"/>
              <w:bottom w:val="double" w:sz="8" w:space="0" w:color="000000"/>
            </w:tcBorders>
            <w:shd w:val="clear" w:color="auto" w:fill="CCEDFF"/>
          </w:tcPr>
          <w:p>
            <w:pPr>
              <w:pStyle w:val="TableParagraph"/>
              <w:spacing w:line="190" w:lineRule="exact"/>
              <w:ind w:right="314"/>
              <w:rPr>
                <w:sz w:val="20"/>
              </w:rPr>
            </w:pPr>
            <w:r>
              <w:rPr>
                <w:sz w:val="20"/>
              </w:rPr>
              <w:t>6,607</w:t>
            </w:r>
          </w:p>
        </w:tc>
        <w:tc>
          <w:tcPr>
            <w:tcW w:w="1129" w:type="dxa"/>
            <w:tcBorders>
              <w:top w:val="single" w:sz="8" w:space="0" w:color="000000"/>
              <w:bottom w:val="double" w:sz="8" w:space="0" w:color="000000"/>
            </w:tcBorders>
            <w:shd w:val="clear" w:color="auto" w:fill="CCEDFF"/>
          </w:tcPr>
          <w:p>
            <w:pPr>
              <w:pStyle w:val="TableParagraph"/>
              <w:spacing w:line="190" w:lineRule="exact"/>
              <w:ind w:right="78"/>
              <w:rPr>
                <w:sz w:val="20"/>
              </w:rPr>
            </w:pPr>
            <w:r>
              <w:rPr>
                <w:sz w:val="20"/>
              </w:rPr>
              <w:t>31,629</w:t>
            </w:r>
          </w:p>
        </w:tc>
      </w:tr>
    </w:tbl>
    <w:p>
      <w:pPr>
        <w:pStyle w:val="BodyText"/>
        <w:spacing w:before="2"/>
        <w:ind w:left="0" w:firstLine="0"/>
        <w:rPr>
          <w:b/>
          <w:sz w:val="18"/>
        </w:rPr>
      </w:pPr>
    </w:p>
    <w:p>
      <w:pPr>
        <w:pStyle w:val="Heading3"/>
        <w:spacing w:before="0"/>
        <w:rPr>
          <w:i/>
        </w:rPr>
      </w:pPr>
      <w:r>
        <w:rPr>
          <w:i/>
        </w:rPr>
        <w:t>Comprehensive</w:t>
      </w:r>
      <w:r>
        <w:rPr>
          <w:i/>
          <w:spacing w:val="-7"/>
        </w:rPr>
        <w:t> </w:t>
      </w:r>
      <w:r>
        <w:rPr>
          <w:i/>
        </w:rPr>
        <w:t>Loss</w:t>
      </w:r>
    </w:p>
    <w:p>
      <w:pPr>
        <w:pStyle w:val="BodyText"/>
        <w:spacing w:line="249" w:lineRule="auto" w:before="194"/>
        <w:ind w:right="537"/>
      </w:pPr>
      <w:r>
        <w:rPr/>
        <w:t>Comprehensive</w:t>
      </w:r>
      <w:r>
        <w:rPr>
          <w:spacing w:val="-4"/>
        </w:rPr>
        <w:t> </w:t>
      </w:r>
      <w:r>
        <w:rPr/>
        <w:t>loss</w:t>
      </w:r>
      <w:r>
        <w:rPr>
          <w:spacing w:val="-4"/>
        </w:rPr>
        <w:t> </w:t>
      </w:r>
      <w:r>
        <w:rPr/>
        <w:t>consists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net</w:t>
      </w:r>
      <w:r>
        <w:rPr>
          <w:spacing w:val="-3"/>
        </w:rPr>
        <w:t> </w:t>
      </w:r>
      <w:r>
        <w:rPr/>
        <w:t>loss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changes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unrealized</w:t>
      </w:r>
      <w:r>
        <w:rPr>
          <w:spacing w:val="-2"/>
        </w:rPr>
        <w:t> </w:t>
      </w:r>
      <w:r>
        <w:rPr/>
        <w:t>gains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losses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cash</w:t>
      </w:r>
      <w:r>
        <w:rPr>
          <w:spacing w:val="-2"/>
        </w:rPr>
        <w:t> </w:t>
      </w:r>
      <w:r>
        <w:rPr/>
        <w:t>equivalents</w:t>
      </w:r>
      <w:r>
        <w:rPr>
          <w:spacing w:val="-4"/>
        </w:rPr>
        <w:t> </w:t>
      </w:r>
      <w:r>
        <w:rPr/>
        <w:t>and</w:t>
      </w:r>
      <w:r>
        <w:rPr>
          <w:spacing w:val="-47"/>
        </w:rPr>
        <w:t> </w:t>
      </w:r>
      <w:r>
        <w:rPr/>
        <w:t>available-for-sale marketable securities. Accumulated other comprehensive income (loss) is presented in the</w:t>
      </w:r>
      <w:r>
        <w:rPr>
          <w:spacing w:val="1"/>
        </w:rPr>
        <w:t> </w:t>
      </w:r>
      <w:r>
        <w:rPr/>
        <w:t>accompanying</w:t>
      </w:r>
      <w:r>
        <w:rPr>
          <w:spacing w:val="-1"/>
        </w:rPr>
        <w:t> </w:t>
      </w:r>
      <w:r>
        <w:rPr/>
        <w:t>balance</w:t>
      </w:r>
      <w:r>
        <w:rPr>
          <w:spacing w:val="-1"/>
        </w:rPr>
        <w:t> </w:t>
      </w:r>
      <w:r>
        <w:rPr/>
        <w:t>sheets, when applicable.</w:t>
      </w:r>
    </w:p>
    <w:p>
      <w:pPr>
        <w:pStyle w:val="Heading3"/>
        <w:spacing w:before="179"/>
        <w:rPr>
          <w:i/>
        </w:rPr>
      </w:pPr>
      <w:r>
        <w:rPr>
          <w:i/>
        </w:rPr>
        <w:t>Segment,</w:t>
      </w:r>
      <w:r>
        <w:rPr>
          <w:i/>
          <w:spacing w:val="-6"/>
        </w:rPr>
        <w:t> </w:t>
      </w:r>
      <w:r>
        <w:rPr>
          <w:i/>
        </w:rPr>
        <w:t>Geographical</w:t>
      </w:r>
      <w:r>
        <w:rPr>
          <w:i/>
          <w:spacing w:val="-6"/>
        </w:rPr>
        <w:t> </w:t>
      </w:r>
      <w:r>
        <w:rPr>
          <w:i/>
        </w:rPr>
        <w:t>and</w:t>
      </w:r>
      <w:r>
        <w:rPr>
          <w:i/>
          <w:spacing w:val="-5"/>
        </w:rPr>
        <w:t> </w:t>
      </w:r>
      <w:r>
        <w:rPr>
          <w:i/>
        </w:rPr>
        <w:t>Customer</w:t>
      </w:r>
      <w:r>
        <w:rPr>
          <w:i/>
          <w:spacing w:val="-6"/>
        </w:rPr>
        <w:t> </w:t>
      </w:r>
      <w:r>
        <w:rPr>
          <w:i/>
        </w:rPr>
        <w:t>Concentration</w:t>
      </w:r>
    </w:p>
    <w:p>
      <w:pPr>
        <w:pStyle w:val="BodyText"/>
        <w:spacing w:line="249" w:lineRule="auto" w:before="193"/>
      </w:pPr>
      <w:r>
        <w:rPr/>
        <w:t>The</w:t>
      </w:r>
      <w:r>
        <w:rPr>
          <w:spacing w:val="-4"/>
        </w:rPr>
        <w:t> </w:t>
      </w:r>
      <w:r>
        <w:rPr/>
        <w:t>Company</w:t>
      </w:r>
      <w:r>
        <w:rPr>
          <w:spacing w:val="-3"/>
        </w:rPr>
        <w:t> </w:t>
      </w:r>
      <w:r>
        <w:rPr/>
        <w:t>operates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single</w:t>
      </w:r>
      <w:r>
        <w:rPr>
          <w:spacing w:val="-3"/>
        </w:rPr>
        <w:t> </w:t>
      </w:r>
      <w:r>
        <w:rPr/>
        <w:t>operating</w:t>
      </w:r>
      <w:r>
        <w:rPr>
          <w:spacing w:val="-3"/>
        </w:rPr>
        <w:t> </w:t>
      </w:r>
      <w:r>
        <w:rPr/>
        <w:t>segment.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Company’s</w:t>
      </w:r>
      <w:r>
        <w:rPr>
          <w:spacing w:val="-4"/>
        </w:rPr>
        <w:t> </w:t>
      </w:r>
      <w:r>
        <w:rPr/>
        <w:t>chief</w:t>
      </w:r>
      <w:r>
        <w:rPr>
          <w:spacing w:val="-2"/>
        </w:rPr>
        <w:t> </w:t>
      </w:r>
      <w:r>
        <w:rPr/>
        <w:t>operating</w:t>
      </w:r>
      <w:r>
        <w:rPr>
          <w:spacing w:val="-3"/>
        </w:rPr>
        <w:t> </w:t>
      </w:r>
      <w:r>
        <w:rPr/>
        <w:t>decision</w:t>
      </w:r>
      <w:r>
        <w:rPr>
          <w:spacing w:val="-3"/>
        </w:rPr>
        <w:t> </w:t>
      </w:r>
      <w:r>
        <w:rPr/>
        <w:t>maker,</w:t>
      </w:r>
      <w:r>
        <w:rPr>
          <w:spacing w:val="-3"/>
        </w:rPr>
        <w:t> </w:t>
      </w:r>
      <w:r>
        <w:rPr/>
        <w:t>its</w:t>
      </w:r>
      <w:r>
        <w:rPr>
          <w:spacing w:val="-4"/>
        </w:rPr>
        <w:t> </w:t>
      </w:r>
      <w:r>
        <w:rPr/>
        <w:t>Chief</w:t>
      </w:r>
      <w:r>
        <w:rPr>
          <w:spacing w:val="-47"/>
        </w:rPr>
        <w:t> </w:t>
      </w:r>
      <w:r>
        <w:rPr/>
        <w:t>Executive Officer, reviews financial information on an aggregate basis for the purposes of allocating resources and</w:t>
      </w:r>
      <w:r>
        <w:rPr>
          <w:spacing w:val="1"/>
        </w:rPr>
        <w:t> </w:t>
      </w:r>
      <w:r>
        <w:rPr/>
        <w:t>evaluating</w:t>
      </w:r>
      <w:r>
        <w:rPr>
          <w:spacing w:val="-2"/>
        </w:rPr>
        <w:t> </w:t>
      </w:r>
      <w:r>
        <w:rPr/>
        <w:t>financial</w:t>
      </w:r>
      <w:r>
        <w:rPr>
          <w:spacing w:val="-2"/>
        </w:rPr>
        <w:t> </w:t>
      </w:r>
      <w:r>
        <w:rPr/>
        <w:t>performance.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Company’s</w:t>
      </w:r>
      <w:r>
        <w:rPr>
          <w:spacing w:val="-2"/>
        </w:rPr>
        <w:t> </w:t>
      </w:r>
      <w:r>
        <w:rPr/>
        <w:t>assets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primarily</w:t>
      </w:r>
      <w:r>
        <w:rPr>
          <w:spacing w:val="-1"/>
        </w:rPr>
        <w:t> </w:t>
      </w:r>
      <w:r>
        <w:rPr/>
        <w:t>based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United</w:t>
      </w:r>
      <w:r>
        <w:rPr>
          <w:spacing w:val="-1"/>
        </w:rPr>
        <w:t> </w:t>
      </w:r>
      <w:r>
        <w:rPr/>
        <w:t>States.</w:t>
      </w:r>
    </w:p>
    <w:p>
      <w:pPr>
        <w:pStyle w:val="BodyText"/>
        <w:spacing w:line="249" w:lineRule="auto" w:before="183"/>
        <w:ind w:right="282"/>
        <w:jc w:val="both"/>
      </w:pPr>
      <w:r>
        <w:rPr/>
        <w:t>No</w:t>
      </w:r>
      <w:r>
        <w:rPr>
          <w:spacing w:val="-2"/>
        </w:rPr>
        <w:t> </w:t>
      </w:r>
      <w:r>
        <w:rPr/>
        <w:t>customers</w:t>
      </w:r>
      <w:r>
        <w:rPr>
          <w:spacing w:val="-3"/>
        </w:rPr>
        <w:t> </w:t>
      </w:r>
      <w:r>
        <w:rPr/>
        <w:t>accounted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more</w:t>
      </w:r>
      <w:r>
        <w:rPr>
          <w:spacing w:val="-3"/>
        </w:rPr>
        <w:t> </w:t>
      </w:r>
      <w:r>
        <w:rPr/>
        <w:t>than</w:t>
      </w:r>
      <w:r>
        <w:rPr>
          <w:spacing w:val="-1"/>
        </w:rPr>
        <w:t> </w:t>
      </w:r>
      <w:r>
        <w:rPr/>
        <w:t>10%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revenue</w:t>
      </w:r>
      <w:r>
        <w:rPr>
          <w:spacing w:val="-3"/>
        </w:rPr>
        <w:t> </w:t>
      </w:r>
      <w:r>
        <w:rPr/>
        <w:t>during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three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nine</w:t>
      </w:r>
      <w:r>
        <w:rPr>
          <w:spacing w:val="-3"/>
        </w:rPr>
        <w:t> </w:t>
      </w:r>
      <w:r>
        <w:rPr/>
        <w:t>months</w:t>
      </w:r>
      <w:r>
        <w:rPr>
          <w:spacing w:val="-3"/>
        </w:rPr>
        <w:t> </w:t>
      </w:r>
      <w:r>
        <w:rPr/>
        <w:t>ended</w:t>
      </w:r>
      <w:r>
        <w:rPr>
          <w:spacing w:val="-1"/>
        </w:rPr>
        <w:t> </w:t>
      </w:r>
      <w:r>
        <w:rPr/>
        <w:t>September</w:t>
      </w:r>
      <w:r>
        <w:rPr>
          <w:spacing w:val="-2"/>
        </w:rPr>
        <w:t> </w:t>
      </w:r>
      <w:r>
        <w:rPr/>
        <w:t>30,</w:t>
      </w:r>
      <w:r>
        <w:rPr>
          <w:spacing w:val="-48"/>
        </w:rPr>
        <w:t> </w:t>
      </w:r>
      <w:r>
        <w:rPr/>
        <w:t>2021. Three customers accounted for 16%, 13% and 13% of revenue during the three months ended September 30,</w:t>
      </w:r>
      <w:r>
        <w:rPr>
          <w:spacing w:val="-48"/>
        </w:rPr>
        <w:t> </w:t>
      </w:r>
      <w:r>
        <w:rPr/>
        <w:t>2020.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customers</w:t>
      </w:r>
      <w:r>
        <w:rPr>
          <w:spacing w:val="-3"/>
        </w:rPr>
        <w:t> </w:t>
      </w:r>
      <w:r>
        <w:rPr/>
        <w:t>accounted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/>
        <w:t>10%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revenue</w:t>
      </w:r>
      <w:r>
        <w:rPr>
          <w:spacing w:val="-3"/>
        </w:rPr>
        <w:t> </w:t>
      </w:r>
      <w:r>
        <w:rPr/>
        <w:t>during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nine</w:t>
      </w:r>
      <w:r>
        <w:rPr>
          <w:spacing w:val="-3"/>
        </w:rPr>
        <w:t> </w:t>
      </w:r>
      <w:r>
        <w:rPr/>
        <w:t>months</w:t>
      </w:r>
      <w:r>
        <w:rPr>
          <w:spacing w:val="-2"/>
        </w:rPr>
        <w:t> </w:t>
      </w:r>
      <w:r>
        <w:rPr/>
        <w:t>ended</w:t>
      </w:r>
      <w:r>
        <w:rPr>
          <w:spacing w:val="-2"/>
        </w:rPr>
        <w:t> </w:t>
      </w:r>
      <w:r>
        <w:rPr/>
        <w:t>September</w:t>
      </w:r>
      <w:r>
        <w:rPr>
          <w:spacing w:val="-1"/>
        </w:rPr>
        <w:t> </w:t>
      </w:r>
      <w:r>
        <w:rPr/>
        <w:t>30,</w:t>
      </w:r>
      <w:r>
        <w:rPr>
          <w:spacing w:val="-1"/>
        </w:rPr>
        <w:t> </w:t>
      </w:r>
      <w:r>
        <w:rPr/>
        <w:t>2020.</w:t>
      </w:r>
    </w:p>
    <w:p>
      <w:pPr>
        <w:pStyle w:val="BodyText"/>
        <w:spacing w:line="249" w:lineRule="auto" w:before="182"/>
        <w:ind w:right="180"/>
      </w:pP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table</w:t>
      </w:r>
      <w:r>
        <w:rPr>
          <w:spacing w:val="-4"/>
        </w:rPr>
        <w:t> </w:t>
      </w:r>
      <w:r>
        <w:rPr/>
        <w:t>presents</w:t>
      </w:r>
      <w:r>
        <w:rPr>
          <w:spacing w:val="-4"/>
        </w:rPr>
        <w:t> </w:t>
      </w:r>
      <w:r>
        <w:rPr/>
        <w:t>revenue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significant</w:t>
      </w:r>
      <w:r>
        <w:rPr>
          <w:spacing w:val="-4"/>
        </w:rPr>
        <w:t> </w:t>
      </w:r>
      <w:r>
        <w:rPr/>
        <w:t>geographical</w:t>
      </w:r>
      <w:r>
        <w:rPr>
          <w:spacing w:val="-4"/>
        </w:rPr>
        <w:t> </w:t>
      </w:r>
      <w:r>
        <w:rPr/>
        <w:t>locations</w:t>
      </w:r>
      <w:r>
        <w:rPr>
          <w:spacing w:val="-4"/>
        </w:rPr>
        <w:t> </w:t>
      </w:r>
      <w:r>
        <w:rPr/>
        <w:t>outside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United</w:t>
      </w:r>
      <w:r>
        <w:rPr>
          <w:spacing w:val="-3"/>
        </w:rPr>
        <w:t> </w:t>
      </w:r>
      <w:r>
        <w:rPr/>
        <w:t>States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47"/>
        </w:rPr>
        <w:t> </w:t>
      </w:r>
      <w:r>
        <w:rPr/>
        <w:t>periods</w:t>
      </w:r>
      <w:r>
        <w:rPr>
          <w:spacing w:val="-2"/>
        </w:rPr>
        <w:t> </w:t>
      </w:r>
      <w:r>
        <w:rPr/>
        <w:t>presented:</w:t>
      </w:r>
    </w:p>
    <w:p>
      <w:pPr>
        <w:pStyle w:val="BodyText"/>
        <w:spacing w:before="10"/>
        <w:ind w:left="0" w:firstLine="0"/>
        <w:rPr>
          <w:sz w:val="12"/>
        </w:rPr>
      </w:pPr>
    </w:p>
    <w:p>
      <w:pPr>
        <w:tabs>
          <w:tab w:pos="6932" w:val="left" w:leader="none"/>
        </w:tabs>
        <w:spacing w:before="93" w:after="45"/>
        <w:ind w:left="4158" w:right="0" w:firstLine="0"/>
        <w:jc w:val="left"/>
        <w:rPr>
          <w:b/>
          <w:sz w:val="16"/>
        </w:rPr>
      </w:pPr>
      <w:r>
        <w:rPr>
          <w:b/>
          <w:sz w:val="16"/>
        </w:rPr>
        <w:t>Three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Months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Ended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September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30,</w:t>
        <w:tab/>
        <w:t>Nine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Months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Ended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September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30,</w:t>
      </w: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0"/>
        <w:gridCol w:w="1333"/>
        <w:gridCol w:w="1389"/>
        <w:gridCol w:w="1342"/>
        <w:gridCol w:w="1338"/>
      </w:tblGrid>
      <w:tr>
        <w:trPr>
          <w:trHeight w:val="220" w:hRule="atLeast"/>
        </w:trPr>
        <w:tc>
          <w:tcPr>
            <w:tcW w:w="3960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3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left="473" w:right="4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</w:p>
        </w:tc>
        <w:tc>
          <w:tcPr>
            <w:tcW w:w="13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left="464" w:right="4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</w:p>
        </w:tc>
        <w:tc>
          <w:tcPr>
            <w:tcW w:w="134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left="481" w:right="5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</w:p>
        </w:tc>
        <w:tc>
          <w:tcPr>
            <w:tcW w:w="133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right="492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</w:p>
        </w:tc>
      </w:tr>
      <w:tr>
        <w:trPr>
          <w:trHeight w:val="260" w:hRule="atLeast"/>
        </w:trPr>
        <w:tc>
          <w:tcPr>
            <w:tcW w:w="3960" w:type="dxa"/>
            <w:shd w:val="clear" w:color="auto" w:fill="CCEDFF"/>
          </w:tcPr>
          <w:p>
            <w:pPr>
              <w:pStyle w:val="TableParagraph"/>
              <w:spacing w:line="224" w:lineRule="exact"/>
              <w:ind w:left="292"/>
              <w:jc w:val="left"/>
              <w:rPr>
                <w:sz w:val="20"/>
              </w:rPr>
            </w:pPr>
            <w:r>
              <w:rPr>
                <w:sz w:val="20"/>
              </w:rPr>
              <w:t>Germany</w:t>
            </w:r>
            <w:r>
              <w:rPr>
                <w:spacing w:val="15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</w:p>
        </w:tc>
        <w:tc>
          <w:tcPr>
            <w:tcW w:w="1333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389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ind w:left="499" w:right="482"/>
              <w:jc w:val="center"/>
              <w:rPr>
                <w:sz w:val="20"/>
              </w:rPr>
            </w:pPr>
            <w:r>
              <w:rPr>
                <w:sz w:val="20"/>
              </w:rPr>
              <w:t>41%</w:t>
            </w:r>
          </w:p>
        </w:tc>
        <w:tc>
          <w:tcPr>
            <w:tcW w:w="1342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338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ind w:right="450"/>
              <w:rPr>
                <w:sz w:val="20"/>
              </w:rPr>
            </w:pPr>
            <w:r>
              <w:rPr>
                <w:sz w:val="20"/>
              </w:rPr>
              <w:t>32%</w:t>
            </w:r>
          </w:p>
        </w:tc>
      </w:tr>
    </w:tbl>
    <w:p>
      <w:pPr>
        <w:pStyle w:val="BodyText"/>
        <w:spacing w:before="3"/>
        <w:ind w:left="0" w:firstLine="0"/>
        <w:rPr>
          <w:b/>
          <w:sz w:val="19"/>
        </w:rPr>
      </w:pPr>
    </w:p>
    <w:p>
      <w:pPr>
        <w:pStyle w:val="BodyText"/>
        <w:spacing w:before="0"/>
        <w:ind w:left="460" w:firstLine="0"/>
      </w:pPr>
      <w:r>
        <w:rPr/>
        <w:t>*</w:t>
      </w:r>
      <w:r>
        <w:rPr>
          <w:spacing w:val="-2"/>
        </w:rPr>
        <w:t> </w:t>
      </w:r>
      <w:r>
        <w:rPr/>
        <w:t>Less</w:t>
      </w:r>
      <w:r>
        <w:rPr>
          <w:spacing w:val="-3"/>
        </w:rPr>
        <w:t> </w:t>
      </w:r>
      <w:r>
        <w:rPr/>
        <w:t>than</w:t>
      </w:r>
      <w:r>
        <w:rPr>
          <w:spacing w:val="-2"/>
        </w:rPr>
        <w:t> </w:t>
      </w:r>
      <w:r>
        <w:rPr/>
        <w:t>10%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total</w:t>
      </w:r>
      <w:r>
        <w:rPr>
          <w:spacing w:val="-3"/>
        </w:rPr>
        <w:t> </w:t>
      </w:r>
      <w:r>
        <w:rPr/>
        <w:t>net</w:t>
      </w:r>
      <w:r>
        <w:rPr>
          <w:spacing w:val="-2"/>
        </w:rPr>
        <w:t> </w:t>
      </w:r>
      <w:r>
        <w:rPr/>
        <w:t>revenues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period</w:t>
      </w:r>
      <w:r>
        <w:rPr>
          <w:spacing w:val="-2"/>
        </w:rPr>
        <w:t> </w:t>
      </w:r>
      <w:r>
        <w:rPr/>
        <w:t>indicated.</w:t>
      </w:r>
    </w:p>
    <w:p>
      <w:pPr>
        <w:pStyle w:val="BodyText"/>
        <w:spacing w:line="249" w:lineRule="auto"/>
        <w:ind w:firstLine="410"/>
      </w:pPr>
      <w:r>
        <w:rPr/>
        <w:t>No</w:t>
      </w:r>
      <w:r>
        <w:rPr>
          <w:spacing w:val="-3"/>
        </w:rPr>
        <w:t> </w:t>
      </w:r>
      <w:r>
        <w:rPr/>
        <w:t>customers</w:t>
      </w:r>
      <w:r>
        <w:rPr>
          <w:spacing w:val="-3"/>
        </w:rPr>
        <w:t> </w:t>
      </w:r>
      <w:r>
        <w:rPr/>
        <w:t>accounted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more</w:t>
      </w:r>
      <w:r>
        <w:rPr>
          <w:spacing w:val="-4"/>
        </w:rPr>
        <w:t> </w:t>
      </w:r>
      <w:r>
        <w:rPr/>
        <w:t>than</w:t>
      </w:r>
      <w:r>
        <w:rPr>
          <w:spacing w:val="-2"/>
        </w:rPr>
        <w:t> </w:t>
      </w:r>
      <w:r>
        <w:rPr/>
        <w:t>10%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accounts</w:t>
      </w:r>
      <w:r>
        <w:rPr>
          <w:spacing w:val="-3"/>
        </w:rPr>
        <w:t> </w:t>
      </w:r>
      <w:r>
        <w:rPr/>
        <w:t>receivable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September</w:t>
      </w:r>
      <w:r>
        <w:rPr>
          <w:spacing w:val="-3"/>
        </w:rPr>
        <w:t> </w:t>
      </w:r>
      <w:r>
        <w:rPr/>
        <w:t>30,</w:t>
      </w:r>
      <w:r>
        <w:rPr>
          <w:spacing w:val="-2"/>
        </w:rPr>
        <w:t> </w:t>
      </w:r>
      <w:r>
        <w:rPr/>
        <w:t>2021.</w:t>
      </w:r>
      <w:r>
        <w:rPr>
          <w:spacing w:val="-3"/>
        </w:rPr>
        <w:t> </w:t>
      </w:r>
      <w:r>
        <w:rPr/>
        <w:t>Two</w:t>
      </w:r>
      <w:r>
        <w:rPr>
          <w:spacing w:val="-2"/>
        </w:rPr>
        <w:t> </w:t>
      </w:r>
      <w:r>
        <w:rPr/>
        <w:t>customers</w:t>
      </w:r>
      <w:r>
        <w:rPr>
          <w:spacing w:val="-3"/>
        </w:rPr>
        <w:t> </w:t>
      </w:r>
      <w:r>
        <w:rPr/>
        <w:t>each</w:t>
      </w:r>
      <w:r>
        <w:rPr>
          <w:spacing w:val="-47"/>
        </w:rPr>
        <w:t> </w:t>
      </w:r>
      <w:r>
        <w:rPr/>
        <w:t>accounted</w:t>
      </w:r>
      <w:r>
        <w:rPr>
          <w:spacing w:val="-1"/>
        </w:rPr>
        <w:t> </w:t>
      </w:r>
      <w:r>
        <w:rPr/>
        <w:t>for 22% and</w:t>
      </w:r>
      <w:r>
        <w:rPr>
          <w:spacing w:val="-1"/>
        </w:rPr>
        <w:t> </w:t>
      </w:r>
      <w:r>
        <w:rPr/>
        <w:t>13% of accounts</w:t>
      </w:r>
      <w:r>
        <w:rPr>
          <w:spacing w:val="-2"/>
        </w:rPr>
        <w:t> </w:t>
      </w:r>
      <w:r>
        <w:rPr/>
        <w:t>receivable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December 31,</w:t>
      </w:r>
      <w:r>
        <w:rPr>
          <w:spacing w:val="-1"/>
        </w:rPr>
        <w:t> </w:t>
      </w:r>
      <w:r>
        <w:rPr/>
        <w:t>2020.</w:t>
      </w:r>
    </w:p>
    <w:p>
      <w:pPr>
        <w:pStyle w:val="Heading3"/>
        <w:spacing w:before="179"/>
        <w:rPr>
          <w:i/>
        </w:rPr>
      </w:pPr>
      <w:r>
        <w:rPr>
          <w:i/>
        </w:rPr>
        <w:t>JOBS</w:t>
      </w:r>
      <w:r>
        <w:rPr>
          <w:i/>
          <w:spacing w:val="-6"/>
        </w:rPr>
        <w:t> </w:t>
      </w:r>
      <w:r>
        <w:rPr>
          <w:i/>
        </w:rPr>
        <w:t>Act</w:t>
      </w:r>
      <w:r>
        <w:rPr>
          <w:i/>
          <w:spacing w:val="-5"/>
        </w:rPr>
        <w:t> </w:t>
      </w:r>
      <w:r>
        <w:rPr>
          <w:i/>
        </w:rPr>
        <w:t>Accounting</w:t>
      </w:r>
      <w:r>
        <w:rPr>
          <w:i/>
          <w:spacing w:val="-4"/>
        </w:rPr>
        <w:t> </w:t>
      </w:r>
      <w:r>
        <w:rPr>
          <w:i/>
        </w:rPr>
        <w:t>Election</w:t>
      </w:r>
    </w:p>
    <w:p>
      <w:pPr>
        <w:pStyle w:val="BodyText"/>
        <w:spacing w:line="249" w:lineRule="auto" w:before="193"/>
        <w:ind w:right="118"/>
      </w:pPr>
      <w:r>
        <w:rPr/>
        <w:t>The Company is an emerging growth company, as defined in the JOBS Act. Under the JOBS Act, emerging</w:t>
      </w:r>
      <w:r>
        <w:rPr>
          <w:spacing w:val="1"/>
        </w:rPr>
        <w:t> </w:t>
      </w:r>
      <w:r>
        <w:rPr/>
        <w:t>growth</w:t>
      </w:r>
      <w:r>
        <w:rPr>
          <w:spacing w:val="-3"/>
        </w:rPr>
        <w:t> </w:t>
      </w:r>
      <w:r>
        <w:rPr/>
        <w:t>companies</w:t>
      </w:r>
      <w:r>
        <w:rPr>
          <w:spacing w:val="-4"/>
        </w:rPr>
        <w:t> </w:t>
      </w:r>
      <w:r>
        <w:rPr/>
        <w:t>can</w:t>
      </w:r>
      <w:r>
        <w:rPr>
          <w:spacing w:val="-3"/>
        </w:rPr>
        <w:t> </w:t>
      </w:r>
      <w:r>
        <w:rPr/>
        <w:t>delay</w:t>
      </w:r>
      <w:r>
        <w:rPr>
          <w:spacing w:val="-2"/>
        </w:rPr>
        <w:t> </w:t>
      </w:r>
      <w:r>
        <w:rPr/>
        <w:t>adopting</w:t>
      </w:r>
      <w:r>
        <w:rPr>
          <w:spacing w:val="-3"/>
        </w:rPr>
        <w:t> </w:t>
      </w:r>
      <w:r>
        <w:rPr/>
        <w:t>new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revised</w:t>
      </w:r>
      <w:r>
        <w:rPr>
          <w:spacing w:val="-2"/>
        </w:rPr>
        <w:t> </w:t>
      </w:r>
      <w:r>
        <w:rPr/>
        <w:t>accounting</w:t>
      </w:r>
      <w:r>
        <w:rPr>
          <w:spacing w:val="-3"/>
        </w:rPr>
        <w:t> </w:t>
      </w:r>
      <w:r>
        <w:rPr/>
        <w:t>standards</w:t>
      </w:r>
      <w:r>
        <w:rPr>
          <w:spacing w:val="-4"/>
        </w:rPr>
        <w:t> </w:t>
      </w:r>
      <w:r>
        <w:rPr/>
        <w:t>issued</w:t>
      </w:r>
      <w:r>
        <w:rPr>
          <w:spacing w:val="-2"/>
        </w:rPr>
        <w:t> </w:t>
      </w:r>
      <w:r>
        <w:rPr/>
        <w:t>subsequent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enactment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7"/>
        </w:rPr>
        <w:t> </w:t>
      </w:r>
      <w:r>
        <w:rPr/>
        <w:t>JOBS Act until such time as those standards apply to private companies. The Company has elected to avail itself of</w:t>
      </w:r>
      <w:r>
        <w:rPr>
          <w:spacing w:val="1"/>
        </w:rPr>
        <w:t> </w:t>
      </w:r>
      <w:r>
        <w:rPr/>
        <w:t>this exemption and, therefore, for new or revised accounting standards applicable to public companies, the Company</w:t>
      </w:r>
      <w:r>
        <w:rPr>
          <w:spacing w:val="-47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subject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extended</w:t>
      </w:r>
      <w:r>
        <w:rPr>
          <w:spacing w:val="-2"/>
        </w:rPr>
        <w:t> </w:t>
      </w:r>
      <w:r>
        <w:rPr/>
        <w:t>transition</w:t>
      </w:r>
      <w:r>
        <w:rPr>
          <w:spacing w:val="-2"/>
        </w:rPr>
        <w:t> </w:t>
      </w:r>
      <w:r>
        <w:rPr/>
        <w:t>period</w:t>
      </w:r>
      <w:r>
        <w:rPr>
          <w:spacing w:val="-2"/>
        </w:rPr>
        <w:t> </w:t>
      </w:r>
      <w:r>
        <w:rPr/>
        <w:t>until</w:t>
      </w:r>
      <w:r>
        <w:rPr>
          <w:spacing w:val="-4"/>
        </w:rPr>
        <w:t> </w:t>
      </w:r>
      <w:r>
        <w:rPr/>
        <w:t>those</w:t>
      </w:r>
      <w:r>
        <w:rPr>
          <w:spacing w:val="-3"/>
        </w:rPr>
        <w:t> </w:t>
      </w:r>
      <w:r>
        <w:rPr/>
        <w:t>standards</w:t>
      </w:r>
      <w:r>
        <w:rPr>
          <w:spacing w:val="-3"/>
        </w:rPr>
        <w:t> </w:t>
      </w:r>
      <w:r>
        <w:rPr/>
        <w:t>would</w:t>
      </w:r>
      <w:r>
        <w:rPr>
          <w:spacing w:val="-2"/>
        </w:rPr>
        <w:t> </w:t>
      </w:r>
      <w:r>
        <w:rPr/>
        <w:t>otherwise</w:t>
      </w:r>
      <w:r>
        <w:rPr>
          <w:spacing w:val="-3"/>
        </w:rPr>
        <w:t> </w:t>
      </w:r>
      <w:r>
        <w:rPr/>
        <w:t>apply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private</w:t>
      </w:r>
      <w:r>
        <w:rPr>
          <w:spacing w:val="-3"/>
        </w:rPr>
        <w:t> </w:t>
      </w:r>
      <w:r>
        <w:rPr/>
        <w:t>companies.</w:t>
      </w:r>
    </w:p>
    <w:p>
      <w:pPr>
        <w:pStyle w:val="Heading3"/>
        <w:spacing w:before="181"/>
        <w:rPr>
          <w:i/>
        </w:rPr>
      </w:pPr>
      <w:r>
        <w:rPr>
          <w:i/>
        </w:rPr>
        <w:t>Recent</w:t>
      </w:r>
      <w:r>
        <w:rPr>
          <w:i/>
          <w:spacing w:val="-9"/>
        </w:rPr>
        <w:t> </w:t>
      </w:r>
      <w:r>
        <w:rPr>
          <w:i/>
        </w:rPr>
        <w:t>Accounting</w:t>
      </w:r>
      <w:r>
        <w:rPr>
          <w:i/>
          <w:spacing w:val="-7"/>
        </w:rPr>
        <w:t> </w:t>
      </w:r>
      <w:r>
        <w:rPr>
          <w:i/>
        </w:rPr>
        <w:t>Pronouncements</w:t>
      </w:r>
    </w:p>
    <w:p>
      <w:pPr>
        <w:pStyle w:val="BodyText"/>
        <w:spacing w:line="249" w:lineRule="auto" w:before="193"/>
      </w:pPr>
      <w:r>
        <w:rPr/>
        <w:t>In August 2018, the Financial Accounting Standards Board (“FASB”) issued Accounting Standards Update</w:t>
      </w:r>
      <w:r>
        <w:rPr>
          <w:spacing w:val="1"/>
        </w:rPr>
        <w:t> </w:t>
      </w:r>
      <w:r>
        <w:rPr/>
        <w:t>(“ASU”) No. 2018-13, </w:t>
      </w:r>
      <w:r>
        <w:rPr>
          <w:i/>
        </w:rPr>
        <w:t>Fair Value Measurement (Topic 820): Disclosure Framework—Changes to the Disclosure</w:t>
      </w:r>
      <w:r>
        <w:rPr>
          <w:i/>
          <w:spacing w:val="1"/>
        </w:rPr>
        <w:t> </w:t>
      </w:r>
      <w:r>
        <w:rPr>
          <w:i/>
        </w:rPr>
        <w:t>Requirements for Fair Value Measurement </w:t>
      </w:r>
      <w:r>
        <w:rPr/>
        <w:t>(“ASU 2018-13”). The amendments on changes in unrealized gains and</w:t>
      </w:r>
      <w:r>
        <w:rPr>
          <w:spacing w:val="1"/>
        </w:rPr>
        <w:t> </w:t>
      </w:r>
      <w:r>
        <w:rPr/>
        <w:t>losses recognized in other comprehensive income categorized within Level 3, the range and weighted average of</w:t>
      </w:r>
      <w:r>
        <w:rPr>
          <w:spacing w:val="1"/>
        </w:rPr>
        <w:t> </w:t>
      </w:r>
      <w:r>
        <w:rPr/>
        <w:t>significant unobservable inputs used to develop Level 3 fair value measurements, and the narrative description of</w:t>
      </w:r>
      <w:r>
        <w:rPr>
          <w:spacing w:val="1"/>
        </w:rPr>
        <w:t> </w:t>
      </w:r>
      <w:r>
        <w:rPr/>
        <w:t>measurement</w:t>
      </w:r>
      <w:r>
        <w:rPr>
          <w:spacing w:val="-5"/>
        </w:rPr>
        <w:t> </w:t>
      </w:r>
      <w:r>
        <w:rPr/>
        <w:t>uncertainty</w:t>
      </w:r>
      <w:r>
        <w:rPr>
          <w:spacing w:val="-3"/>
        </w:rPr>
        <w:t> </w:t>
      </w:r>
      <w:r>
        <w:rPr/>
        <w:t>should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applied</w:t>
      </w:r>
      <w:r>
        <w:rPr>
          <w:spacing w:val="-4"/>
        </w:rPr>
        <w:t> </w:t>
      </w:r>
      <w:r>
        <w:rPr/>
        <w:t>prospectively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initial</w:t>
      </w:r>
      <w:r>
        <w:rPr>
          <w:spacing w:val="-5"/>
        </w:rPr>
        <w:t> </w:t>
      </w:r>
      <w:r>
        <w:rPr/>
        <w:t>fiscal</w:t>
      </w:r>
      <w:r>
        <w:rPr>
          <w:spacing w:val="-4"/>
        </w:rPr>
        <w:t> </w:t>
      </w:r>
      <w:r>
        <w:rPr/>
        <w:t>year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adoption.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other</w:t>
      </w:r>
      <w:r>
        <w:rPr>
          <w:spacing w:val="-3"/>
        </w:rPr>
        <w:t> </w:t>
      </w:r>
      <w:r>
        <w:rPr/>
        <w:t>amendments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  <w:ind w:right="554" w:firstLine="0"/>
      </w:pPr>
      <w:r>
        <w:rPr/>
        <w:t>should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applied</w:t>
      </w:r>
      <w:r>
        <w:rPr>
          <w:spacing w:val="-3"/>
        </w:rPr>
        <w:t> </w:t>
      </w:r>
      <w:r>
        <w:rPr/>
        <w:t>retrospectively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periods</w:t>
      </w:r>
      <w:r>
        <w:rPr>
          <w:spacing w:val="-4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upon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effective</w:t>
      </w:r>
      <w:r>
        <w:rPr>
          <w:spacing w:val="-4"/>
        </w:rPr>
        <w:t> </w:t>
      </w:r>
      <w:r>
        <w:rPr/>
        <w:t>date.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Company</w:t>
      </w:r>
      <w:r>
        <w:rPr>
          <w:spacing w:val="-3"/>
        </w:rPr>
        <w:t> </w:t>
      </w:r>
      <w:r>
        <w:rPr/>
        <w:t>adopted</w:t>
      </w:r>
      <w:r>
        <w:rPr>
          <w:spacing w:val="-3"/>
        </w:rPr>
        <w:t> </w:t>
      </w:r>
      <w:r>
        <w:rPr/>
        <w:t>ASU</w:t>
      </w:r>
      <w:r>
        <w:rPr>
          <w:spacing w:val="-47"/>
        </w:rPr>
        <w:t> </w:t>
      </w:r>
      <w:r>
        <w:rPr/>
        <w:t>2018-13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January</w:t>
      </w:r>
      <w:r>
        <w:rPr>
          <w:spacing w:val="-2"/>
        </w:rPr>
        <w:t> </w:t>
      </w:r>
      <w:r>
        <w:rPr/>
        <w:t>1,</w:t>
      </w:r>
      <w:r>
        <w:rPr>
          <w:spacing w:val="-2"/>
        </w:rPr>
        <w:t> </w:t>
      </w:r>
      <w:r>
        <w:rPr/>
        <w:t>2020,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/>
        <w:t>did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material</w:t>
      </w:r>
      <w:r>
        <w:rPr>
          <w:spacing w:val="-2"/>
        </w:rPr>
        <w:t> </w:t>
      </w:r>
      <w:r>
        <w:rPr/>
        <w:t>impact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its</w:t>
      </w:r>
      <w:r>
        <w:rPr>
          <w:spacing w:val="-3"/>
        </w:rPr>
        <w:t> </w:t>
      </w:r>
      <w:r>
        <w:rPr/>
        <w:t>consolidated</w:t>
      </w:r>
      <w:r>
        <w:rPr>
          <w:spacing w:val="-2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statements.</w:t>
      </w:r>
    </w:p>
    <w:p>
      <w:pPr>
        <w:pStyle w:val="BodyText"/>
        <w:spacing w:line="249" w:lineRule="auto" w:before="181"/>
        <w:ind w:right="613"/>
      </w:pPr>
      <w:r>
        <w:rPr/>
        <w:t>In July 2018, the FASB issued ASU No. 2018-11, Leases (Topic 842): Targeted Improvements (“ASU</w:t>
      </w:r>
      <w:r>
        <w:rPr>
          <w:spacing w:val="1"/>
        </w:rPr>
        <w:t> </w:t>
      </w:r>
      <w:r>
        <w:rPr/>
        <w:t>2018-11”). ASU 2018-11 provided an alternative implementation method in addition to the current modified</w:t>
      </w:r>
      <w:r>
        <w:rPr>
          <w:spacing w:val="1"/>
        </w:rPr>
        <w:t> </w:t>
      </w:r>
      <w:r>
        <w:rPr/>
        <w:t>retrospective</w:t>
      </w:r>
      <w:r>
        <w:rPr>
          <w:spacing w:val="-5"/>
        </w:rPr>
        <w:t> </w:t>
      </w:r>
      <w:r>
        <w:rPr/>
        <w:t>transition</w:t>
      </w:r>
      <w:r>
        <w:rPr>
          <w:spacing w:val="-3"/>
        </w:rPr>
        <w:t> </w:t>
      </w:r>
      <w:r>
        <w:rPr/>
        <w:t>method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ASU</w:t>
      </w:r>
      <w:r>
        <w:rPr>
          <w:spacing w:val="-5"/>
        </w:rPr>
        <w:t> </w:t>
      </w:r>
      <w:r>
        <w:rPr/>
        <w:t>No.</w:t>
      </w:r>
      <w:r>
        <w:rPr>
          <w:spacing w:val="-3"/>
        </w:rPr>
        <w:t> </w:t>
      </w:r>
      <w:r>
        <w:rPr/>
        <w:t>2016-2,</w:t>
      </w:r>
      <w:r>
        <w:rPr>
          <w:spacing w:val="-3"/>
        </w:rPr>
        <w:t> </w:t>
      </w:r>
      <w:r>
        <w:rPr/>
        <w:t>Leases:</w:t>
      </w:r>
      <w:r>
        <w:rPr>
          <w:spacing w:val="-4"/>
        </w:rPr>
        <w:t> </w:t>
      </w:r>
      <w:r>
        <w:rPr/>
        <w:t>Amendments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FASB</w:t>
      </w:r>
      <w:r>
        <w:rPr>
          <w:spacing w:val="-4"/>
        </w:rPr>
        <w:t> </w:t>
      </w:r>
      <w:r>
        <w:rPr/>
        <w:t>Accounting</w:t>
      </w:r>
      <w:r>
        <w:rPr>
          <w:spacing w:val="-3"/>
        </w:rPr>
        <w:t> </w:t>
      </w:r>
      <w:r>
        <w:rPr/>
        <w:t>Standards</w:t>
      </w:r>
    </w:p>
    <w:p>
      <w:pPr>
        <w:pStyle w:val="BodyText"/>
        <w:spacing w:line="249" w:lineRule="auto" w:before="3"/>
        <w:ind w:right="121" w:firstLine="0"/>
      </w:pPr>
      <w:r>
        <w:rPr/>
        <w:t>Codification (“ASU 2016-2”), issued in February 2016. Under ASU 2018-11, an entity may elect to initially apply</w:t>
      </w:r>
      <w:r>
        <w:rPr>
          <w:spacing w:val="1"/>
        </w:rPr>
        <w:t> </w:t>
      </w:r>
      <w:r>
        <w:rPr/>
        <w:t>the new lease standard at the adoption date and recognize a cumulative-effect adjustment to the opening balance of</w:t>
      </w:r>
      <w:r>
        <w:rPr>
          <w:spacing w:val="1"/>
        </w:rPr>
        <w:t> </w:t>
      </w:r>
      <w:r>
        <w:rPr/>
        <w:t>retained</w:t>
      </w:r>
      <w:r>
        <w:rPr>
          <w:spacing w:val="-3"/>
        </w:rPr>
        <w:t> </w:t>
      </w:r>
      <w:r>
        <w:rPr/>
        <w:t>earnings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period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adoption.</w:t>
      </w:r>
      <w:r>
        <w:rPr>
          <w:spacing w:val="-2"/>
        </w:rPr>
        <w:t> </w:t>
      </w:r>
      <w:r>
        <w:rPr/>
        <w:t>Under</w:t>
      </w:r>
      <w:r>
        <w:rPr>
          <w:spacing w:val="-3"/>
        </w:rPr>
        <w:t> </w:t>
      </w:r>
      <w:r>
        <w:rPr/>
        <w:t>ASU</w:t>
      </w:r>
      <w:r>
        <w:rPr>
          <w:spacing w:val="-3"/>
        </w:rPr>
        <w:t> </w:t>
      </w:r>
      <w:r>
        <w:rPr/>
        <w:t>2016-2,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lessee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required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recognize</w:t>
      </w:r>
      <w:r>
        <w:rPr>
          <w:spacing w:val="-4"/>
        </w:rPr>
        <w:t> </w:t>
      </w:r>
      <w:r>
        <w:rPr/>
        <w:t>assets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liabilities</w:t>
      </w:r>
      <w:r>
        <w:rPr>
          <w:spacing w:val="-47"/>
        </w:rPr>
        <w:t> </w:t>
      </w:r>
      <w:r>
        <w:rPr/>
        <w:t>for leases with lease terms of more than twelve months. ASU 2016-2 is effective for fiscal years beginning after</w:t>
      </w:r>
      <w:r>
        <w:rPr>
          <w:spacing w:val="1"/>
        </w:rPr>
        <w:t> </w:t>
      </w:r>
      <w:r>
        <w:rPr/>
        <w:t>December 15, 2018, including interim periods within those fiscal years. The Company adopted ASC Topic 842,</w:t>
      </w:r>
      <w:r>
        <w:rPr>
          <w:spacing w:val="1"/>
        </w:rPr>
        <w:t> </w:t>
      </w:r>
      <w:r>
        <w:rPr/>
        <w:t>Leases, on January 1, 2020 using the modified retrospective transition method. In addition, the Company elected</w:t>
      </w:r>
      <w:r>
        <w:rPr>
          <w:spacing w:val="1"/>
        </w:rPr>
        <w:t> </w:t>
      </w:r>
      <w:r>
        <w:rPr/>
        <w:t>certain practical expedients permitted under the transition guidance, which allowed it to carryforward its historical</w:t>
      </w:r>
      <w:r>
        <w:rPr>
          <w:spacing w:val="1"/>
        </w:rPr>
        <w:t> </w:t>
      </w:r>
      <w:r>
        <w:rPr/>
        <w:t>long-term lease classification, its assessment on whether a contract is or contains a lease and the treatment of its</w:t>
      </w:r>
      <w:r>
        <w:rPr>
          <w:spacing w:val="1"/>
        </w:rPr>
        <w:t> </w:t>
      </w:r>
      <w:r>
        <w:rPr/>
        <w:t>initial direct costs for any leases that existed prior to the adoption of Topic 842. In determining the lease term at</w:t>
      </w:r>
      <w:r>
        <w:rPr>
          <w:spacing w:val="1"/>
        </w:rPr>
        <w:t> </w:t>
      </w:r>
      <w:r>
        <w:rPr/>
        <w:t>commencement</w:t>
      </w:r>
      <w:r>
        <w:rPr>
          <w:spacing w:val="-4"/>
        </w:rPr>
        <w:t> </w:t>
      </w:r>
      <w:r>
        <w:rPr/>
        <w:t>date,</w:t>
      </w:r>
      <w:r>
        <w:rPr>
          <w:spacing w:val="-2"/>
        </w:rPr>
        <w:t> </w:t>
      </w:r>
      <w:r>
        <w:rPr/>
        <w:t>any</w:t>
      </w:r>
      <w:r>
        <w:rPr>
          <w:spacing w:val="-3"/>
        </w:rPr>
        <w:t> </w:t>
      </w:r>
      <w:r>
        <w:rPr/>
        <w:t>renewal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termination</w:t>
      </w:r>
      <w:r>
        <w:rPr>
          <w:spacing w:val="-2"/>
        </w:rPr>
        <w:t> </w:t>
      </w:r>
      <w:r>
        <w:rPr/>
        <w:t>options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considered</w:t>
      </w:r>
      <w:r>
        <w:rPr>
          <w:spacing w:val="-3"/>
        </w:rPr>
        <w:t> </w:t>
      </w:r>
      <w:r>
        <w:rPr/>
        <w:t>if</w:t>
      </w:r>
      <w:r>
        <w:rPr>
          <w:spacing w:val="-2"/>
        </w:rPr>
        <w:t> </w:t>
      </w:r>
      <w:r>
        <w:rPr/>
        <w:t>they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reasonably</w:t>
      </w:r>
      <w:r>
        <w:rPr>
          <w:spacing w:val="-3"/>
        </w:rPr>
        <w:t> </w:t>
      </w:r>
      <w:r>
        <w:rPr/>
        <w:t>assured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exercise.</w:t>
      </w:r>
    </w:p>
    <w:p>
      <w:pPr>
        <w:pStyle w:val="BodyText"/>
        <w:spacing w:line="249" w:lineRule="auto" w:before="8"/>
        <w:ind w:right="148" w:firstLine="0"/>
      </w:pPr>
      <w:r>
        <w:rPr/>
        <w:t>The Company has elected to exclude from its consolidated balance sheet any leases having a term of 12 months or</w:t>
      </w:r>
      <w:r>
        <w:rPr>
          <w:spacing w:val="1"/>
        </w:rPr>
        <w:t> </w:t>
      </w:r>
      <w:r>
        <w:rPr/>
        <w:t>less. The Company recorded a right-of-use leased asset of approximately $6.0 million and a corresponding lease</w:t>
      </w:r>
      <w:r>
        <w:rPr>
          <w:spacing w:val="1"/>
        </w:rPr>
        <w:t> </w:t>
      </w:r>
      <w:r>
        <w:rPr/>
        <w:t>liability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$7.4</w:t>
      </w:r>
      <w:r>
        <w:rPr>
          <w:spacing w:val="-2"/>
        </w:rPr>
        <w:t> </w:t>
      </w:r>
      <w:r>
        <w:rPr/>
        <w:t>million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its</w:t>
      </w:r>
      <w:r>
        <w:rPr>
          <w:spacing w:val="-3"/>
        </w:rPr>
        <w:t> </w:t>
      </w:r>
      <w:r>
        <w:rPr/>
        <w:t>adoption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Topic</w:t>
      </w:r>
      <w:r>
        <w:rPr>
          <w:spacing w:val="-4"/>
        </w:rPr>
        <w:t> </w:t>
      </w:r>
      <w:r>
        <w:rPr/>
        <w:t>842.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addition,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adoption</w:t>
      </w:r>
      <w:r>
        <w:rPr>
          <w:spacing w:val="-2"/>
        </w:rPr>
        <w:t> </w:t>
      </w:r>
      <w:r>
        <w:rPr/>
        <w:t>date,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Company</w:t>
      </w:r>
      <w:r>
        <w:rPr>
          <w:spacing w:val="-2"/>
        </w:rPr>
        <w:t> </w:t>
      </w:r>
      <w:r>
        <w:rPr/>
        <w:t>derecognized</w:t>
      </w:r>
      <w:r>
        <w:rPr>
          <w:spacing w:val="-47"/>
        </w:rPr>
        <w:t> </w:t>
      </w:r>
      <w:r>
        <w:rPr/>
        <w:t>a deferred rent obligation of $1.4 million. There was no cumulative effect adjustment upon the adoption of Topic</w:t>
      </w:r>
      <w:r>
        <w:rPr>
          <w:spacing w:val="1"/>
        </w:rPr>
        <w:t> </w:t>
      </w:r>
      <w:r>
        <w:rPr/>
        <w:t>842.</w:t>
      </w:r>
    </w:p>
    <w:p>
      <w:pPr>
        <w:pStyle w:val="BodyText"/>
        <w:spacing w:line="249" w:lineRule="auto" w:before="184"/>
        <w:ind w:right="152"/>
      </w:pPr>
      <w:r>
        <w:rPr/>
        <w:t>In June 2016, the FASB issued ASU No. 2016-13, Financial Instruments—Credit Losses (Topic 326)</w:t>
      </w:r>
      <w:r>
        <w:rPr>
          <w:spacing w:val="1"/>
        </w:rPr>
        <w:t> </w:t>
      </w:r>
      <w:r>
        <w:rPr/>
        <w:t>Measurement of Credit Losses on Financial Instruments (“ASU 2016-13”), which requires an entity to utilize a new</w:t>
      </w:r>
      <w:r>
        <w:rPr>
          <w:spacing w:val="1"/>
        </w:rPr>
        <w:t> </w:t>
      </w:r>
      <w:r>
        <w:rPr/>
        <w:t>impairment model known as the current expected credit loss (“CECL”) model to estimate its lifetime “expected</w:t>
      </w:r>
      <w:r>
        <w:rPr>
          <w:spacing w:val="1"/>
        </w:rPr>
        <w:t> </w:t>
      </w:r>
      <w:r>
        <w:rPr/>
        <w:t>credit loss” and record an allowance that, when deducted from the amortized cost basis of the financial assets and</w:t>
      </w:r>
      <w:r>
        <w:rPr>
          <w:spacing w:val="1"/>
        </w:rPr>
        <w:t> </w:t>
      </w:r>
      <w:r>
        <w:rPr/>
        <w:t>certain other instruments, including but not limited to available-for-sale debt securities. Credit losses relating to</w:t>
      </w:r>
      <w:r>
        <w:rPr>
          <w:spacing w:val="1"/>
        </w:rPr>
        <w:t> </w:t>
      </w:r>
      <w:r>
        <w:rPr/>
        <w:t>available-for-sale</w:t>
      </w:r>
      <w:r>
        <w:rPr>
          <w:spacing w:val="-4"/>
        </w:rPr>
        <w:t> </w:t>
      </w:r>
      <w:r>
        <w:rPr/>
        <w:t>debt</w:t>
      </w:r>
      <w:r>
        <w:rPr>
          <w:spacing w:val="-4"/>
        </w:rPr>
        <w:t> </w:t>
      </w:r>
      <w:r>
        <w:rPr/>
        <w:t>securities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recorded</w:t>
      </w:r>
      <w:r>
        <w:rPr>
          <w:spacing w:val="-3"/>
        </w:rPr>
        <w:t> </w:t>
      </w:r>
      <w:r>
        <w:rPr/>
        <w:t>through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allowance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credit</w:t>
      </w:r>
      <w:r>
        <w:rPr>
          <w:spacing w:val="-4"/>
        </w:rPr>
        <w:t> </w:t>
      </w:r>
      <w:r>
        <w:rPr/>
        <w:t>losses</w:t>
      </w:r>
      <w:r>
        <w:rPr>
          <w:spacing w:val="-4"/>
        </w:rPr>
        <w:t> </w:t>
      </w:r>
      <w:r>
        <w:rPr/>
        <w:t>rather</w:t>
      </w:r>
      <w:r>
        <w:rPr>
          <w:spacing w:val="-3"/>
        </w:rPr>
        <w:t> </w:t>
      </w:r>
      <w:r>
        <w:rPr/>
        <w:t>than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direct</w:t>
      </w:r>
      <w:r>
        <w:rPr>
          <w:spacing w:val="-4"/>
        </w:rPr>
        <w:t> </w:t>
      </w:r>
      <w:r>
        <w:rPr/>
        <w:t>write-</w:t>
      </w:r>
      <w:r>
        <w:rPr>
          <w:spacing w:val="1"/>
        </w:rPr>
        <w:t> </w:t>
      </w:r>
      <w:r>
        <w:rPr/>
        <w:t>down to the security. ASU 2016-13 requires a cumulative effect adjustment to the balance sheet as of the beginning</w:t>
      </w:r>
      <w:r>
        <w:rPr>
          <w:spacing w:val="1"/>
        </w:rPr>
        <w:t> </w:t>
      </w:r>
      <w:r>
        <w:rPr/>
        <w:t>of the first reporting period in which the guidance is effective. In November 2019, the FASB issued ASU 2019-10,</w:t>
      </w:r>
      <w:r>
        <w:rPr>
          <w:spacing w:val="1"/>
        </w:rPr>
        <w:t> </w:t>
      </w:r>
      <w:r>
        <w:rPr/>
        <w:t>Financial Instruments—Credit Losses (Topic 326), Derivatives and Hedging (Topic 815) and Leases (Topic 842):</w:t>
      </w:r>
      <w:r>
        <w:rPr>
          <w:spacing w:val="1"/>
        </w:rPr>
        <w:t> </w:t>
      </w:r>
      <w:r>
        <w:rPr/>
        <w:t>Effective Dates, which defers the effective date of ASU 2016-13 to fiscal years beginning after December 15, 2022</w:t>
      </w:r>
      <w:r>
        <w:rPr>
          <w:spacing w:val="1"/>
        </w:rPr>
        <w:t> </w:t>
      </w:r>
      <w:r>
        <w:rPr/>
        <w:t>for all entities except SEC reporting companies that are not smaller reporting companies. ASU 2016-13 will be</w:t>
      </w:r>
      <w:r>
        <w:rPr>
          <w:spacing w:val="1"/>
        </w:rPr>
        <w:t> </w:t>
      </w:r>
      <w:r>
        <w:rPr/>
        <w:t>effective for the Company beginning January 1, 2023. The Company is currently evaluating the impact of the</w:t>
      </w:r>
      <w:r>
        <w:rPr>
          <w:spacing w:val="1"/>
        </w:rPr>
        <w:t> </w:t>
      </w:r>
      <w:r>
        <w:rPr/>
        <w:t>adoption</w:t>
      </w:r>
      <w:r>
        <w:rPr>
          <w:spacing w:val="-1"/>
        </w:rPr>
        <w:t> </w:t>
      </w:r>
      <w:r>
        <w:rPr/>
        <w:t>of ASU</w:t>
      </w:r>
      <w:r>
        <w:rPr>
          <w:spacing w:val="-1"/>
        </w:rPr>
        <w:t> </w:t>
      </w:r>
      <w:r>
        <w:rPr/>
        <w:t>2016-13</w:t>
      </w:r>
      <w:r>
        <w:rPr>
          <w:spacing w:val="-1"/>
        </w:rPr>
        <w:t> </w:t>
      </w:r>
      <w:r>
        <w:rPr/>
        <w:t>on its</w:t>
      </w:r>
      <w:r>
        <w:rPr>
          <w:spacing w:val="-1"/>
        </w:rPr>
        <w:t> </w:t>
      </w:r>
      <w:r>
        <w:rPr/>
        <w:t>consolidated</w:t>
      </w:r>
      <w:r>
        <w:rPr>
          <w:spacing w:val="-1"/>
        </w:rPr>
        <w:t> </w:t>
      </w:r>
      <w:r>
        <w:rPr/>
        <w:t>financial</w:t>
      </w:r>
      <w:r>
        <w:rPr>
          <w:spacing w:val="-1"/>
        </w:rPr>
        <w:t> </w:t>
      </w:r>
      <w:r>
        <w:rPr/>
        <w:t>statements.</w:t>
      </w:r>
    </w:p>
    <w:p>
      <w:pPr>
        <w:pStyle w:val="BodyText"/>
        <w:spacing w:line="249" w:lineRule="auto" w:before="191"/>
      </w:pPr>
      <w:r>
        <w:rPr/>
        <w:t>In December 2019, the FASB issued ASU No. 2019-12, Income Taxes (Topic 740), which simplifies the</w:t>
      </w:r>
      <w:r>
        <w:rPr>
          <w:spacing w:val="1"/>
        </w:rPr>
        <w:t> </w:t>
      </w:r>
      <w:r>
        <w:rPr/>
        <w:t>accounting for income taxes, primarily by eliminating certain exceptions to ASC 740. This standard is effective for</w:t>
      </w:r>
      <w:r>
        <w:rPr>
          <w:spacing w:val="1"/>
        </w:rPr>
        <w:t> </w:t>
      </w:r>
      <w:r>
        <w:rPr/>
        <w:t>fiscal periods beginning after December 15, 2021, and for fiscal years beginning after December 15, 2020 for public</w:t>
      </w:r>
      <w:r>
        <w:rPr>
          <w:spacing w:val="-47"/>
        </w:rPr>
        <w:t> </w:t>
      </w:r>
      <w:r>
        <w:rPr/>
        <w:t>business</w:t>
      </w:r>
      <w:r>
        <w:rPr>
          <w:spacing w:val="-3"/>
        </w:rPr>
        <w:t> </w:t>
      </w:r>
      <w:r>
        <w:rPr/>
        <w:t>entities.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Company</w:t>
      </w:r>
      <w:r>
        <w:rPr>
          <w:spacing w:val="-2"/>
        </w:rPr>
        <w:t> </w:t>
      </w:r>
      <w:r>
        <w:rPr/>
        <w:t>adopted</w:t>
      </w:r>
      <w:r>
        <w:rPr>
          <w:spacing w:val="-2"/>
        </w:rPr>
        <w:t> </w:t>
      </w:r>
      <w:r>
        <w:rPr/>
        <w:t>ASU</w:t>
      </w:r>
      <w:r>
        <w:rPr>
          <w:spacing w:val="-3"/>
        </w:rPr>
        <w:t> </w:t>
      </w:r>
      <w:r>
        <w:rPr/>
        <w:t>2019-12,</w:t>
      </w:r>
      <w:r>
        <w:rPr>
          <w:spacing w:val="-2"/>
        </w:rPr>
        <w:t> </w:t>
      </w:r>
      <w:r>
        <w:rPr/>
        <w:t>effective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January</w:t>
      </w:r>
      <w:r>
        <w:rPr>
          <w:spacing w:val="-2"/>
        </w:rPr>
        <w:t> </w:t>
      </w:r>
      <w:r>
        <w:rPr/>
        <w:t>1,</w:t>
      </w:r>
      <w:r>
        <w:rPr>
          <w:spacing w:val="-2"/>
        </w:rPr>
        <w:t> </w:t>
      </w:r>
      <w:r>
        <w:rPr/>
        <w:t>2021,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adoption</w:t>
      </w:r>
      <w:r>
        <w:rPr>
          <w:spacing w:val="-1"/>
        </w:rPr>
        <w:t> </w:t>
      </w:r>
      <w:r>
        <w:rPr/>
        <w:t>did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a</w:t>
      </w:r>
      <w:r>
        <w:rPr>
          <w:spacing w:val="-47"/>
        </w:rPr>
        <w:t> </w:t>
      </w:r>
      <w:r>
        <w:rPr/>
        <w:t>material</w:t>
      </w:r>
      <w:r>
        <w:rPr>
          <w:spacing w:val="-2"/>
        </w:rPr>
        <w:t> </w:t>
      </w:r>
      <w:r>
        <w:rPr/>
        <w:t>impact</w:t>
      </w:r>
      <w:r>
        <w:rPr>
          <w:spacing w:val="-1"/>
        </w:rPr>
        <w:t> </w:t>
      </w:r>
      <w:r>
        <w:rPr/>
        <w:t>on its</w:t>
      </w:r>
      <w:r>
        <w:rPr>
          <w:spacing w:val="-2"/>
        </w:rPr>
        <w:t> </w:t>
      </w:r>
      <w:r>
        <w:rPr/>
        <w:t>consolidated financial</w:t>
      </w:r>
      <w:r>
        <w:rPr>
          <w:spacing w:val="-1"/>
        </w:rPr>
        <w:t> </w:t>
      </w:r>
      <w:r>
        <w:rPr/>
        <w:t>statements.</w:t>
      </w:r>
    </w:p>
    <w:p>
      <w:pPr>
        <w:pStyle w:val="BodyText"/>
        <w:spacing w:before="5"/>
        <w:ind w:left="0" w:firstLine="0"/>
        <w:rPr>
          <w:sz w:val="16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6"/>
        <w:gridCol w:w="1350"/>
      </w:tblGrid>
      <w:tr>
        <w:trPr>
          <w:trHeight w:val="778" w:hRule="atLeast"/>
        </w:trPr>
        <w:tc>
          <w:tcPr>
            <w:tcW w:w="6646" w:type="dxa"/>
          </w:tcPr>
          <w:p>
            <w:pPr>
              <w:pStyle w:val="TableParagraph"/>
              <w:tabs>
                <w:tab w:pos="719" w:val="left" w:leader="none"/>
              </w:tabs>
              <w:spacing w:line="221" w:lineRule="exact"/>
              <w:jc w:val="left"/>
              <w:rPr>
                <w:b/>
                <w:sz w:val="20"/>
              </w:rPr>
            </w:pPr>
            <w:bookmarkStart w:name="3. Composition of Certain Consolidated F" w:id="22"/>
            <w:bookmarkEnd w:id="22"/>
            <w:r>
              <w:rPr/>
            </w:r>
            <w:r>
              <w:rPr>
                <w:b/>
                <w:sz w:val="20"/>
              </w:rPr>
              <w:t>3.</w:t>
              <w:tab/>
              <w:t>Composition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Certain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Consolidated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Financial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Statement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Items</w:t>
            </w:r>
          </w:p>
          <w:p>
            <w:pPr>
              <w:pStyle w:val="TableParagraph"/>
              <w:spacing w:before="190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Inventory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(in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thousands):</w:t>
            </w:r>
          </w:p>
        </w:tc>
        <w:tc>
          <w:tcPr>
            <w:tcW w:w="1350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345" w:hRule="atLeast"/>
        </w:trPr>
        <w:tc>
          <w:tcPr>
            <w:tcW w:w="6646" w:type="dxa"/>
          </w:tcPr>
          <w:p>
            <w:pPr>
              <w:pStyle w:val="TableParagraph"/>
              <w:spacing w:before="130"/>
              <w:ind w:right="177"/>
              <w:rPr>
                <w:b/>
                <w:sz w:val="16"/>
              </w:rPr>
            </w:pPr>
            <w:r>
              <w:rPr>
                <w:b/>
                <w:sz w:val="16"/>
              </w:rPr>
              <w:t>September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30,</w:t>
            </w:r>
          </w:p>
        </w:tc>
        <w:tc>
          <w:tcPr>
            <w:tcW w:w="1350" w:type="dxa"/>
          </w:tcPr>
          <w:p>
            <w:pPr>
              <w:pStyle w:val="TableParagraph"/>
              <w:spacing w:before="130"/>
              <w:ind w:left="2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December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31,</w:t>
            </w:r>
          </w:p>
        </w:tc>
      </w:tr>
      <w:tr>
        <w:trPr>
          <w:trHeight w:val="228" w:hRule="atLeast"/>
        </w:trPr>
        <w:tc>
          <w:tcPr>
            <w:tcW w:w="6646" w:type="dxa"/>
          </w:tcPr>
          <w:p>
            <w:pPr>
              <w:pStyle w:val="TableParagraph"/>
              <w:spacing w:line="184" w:lineRule="exact" w:before="24"/>
              <w:ind w:right="506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</w:p>
        </w:tc>
        <w:tc>
          <w:tcPr>
            <w:tcW w:w="13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4" w:lineRule="exact" w:before="24"/>
              <w:ind w:left="516" w:right="4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</w:p>
        </w:tc>
      </w:tr>
      <w:tr>
        <w:trPr>
          <w:trHeight w:val="260" w:hRule="atLeast"/>
        </w:trPr>
        <w:tc>
          <w:tcPr>
            <w:tcW w:w="6646" w:type="dxa"/>
            <w:shd w:val="clear" w:color="auto" w:fill="CCEDFF"/>
          </w:tcPr>
          <w:p>
            <w:pPr>
              <w:pStyle w:val="TableParagraph"/>
              <w:tabs>
                <w:tab w:pos="6045" w:val="left" w:leader="none"/>
              </w:tabs>
              <w:ind w:right="95"/>
              <w:rPr>
                <w:sz w:val="20"/>
              </w:rPr>
            </w:pPr>
            <w:r>
              <w:rPr>
                <w:sz w:val="20"/>
              </w:rPr>
              <w:t>Raw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materials</w:t>
            </w:r>
            <w:r>
              <w:rPr>
                <w:spacing w:val="64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62"/>
                <w:sz w:val="20"/>
              </w:rPr>
              <w:t> </w:t>
            </w:r>
            <w:r>
              <w:rPr>
                <w:sz w:val="20"/>
              </w:rPr>
              <w:t>$</w:t>
              <w:tab/>
              <w:t>4,602</w:t>
            </w:r>
          </w:p>
        </w:tc>
        <w:tc>
          <w:tcPr>
            <w:tcW w:w="1350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720" w:val="left" w:leader="none"/>
              </w:tabs>
              <w:ind w:right="80"/>
              <w:rPr>
                <w:sz w:val="20"/>
              </w:rPr>
            </w:pPr>
            <w:r>
              <w:rPr>
                <w:sz w:val="20"/>
              </w:rPr>
              <w:t>$</w:t>
              <w:tab/>
              <w:t>2,647</w:t>
            </w:r>
          </w:p>
        </w:tc>
      </w:tr>
      <w:tr>
        <w:trPr>
          <w:trHeight w:val="270" w:hRule="atLeast"/>
        </w:trPr>
        <w:tc>
          <w:tcPr>
            <w:tcW w:w="6646" w:type="dxa"/>
          </w:tcPr>
          <w:p>
            <w:pPr>
              <w:pStyle w:val="TableParagraph"/>
              <w:tabs>
                <w:tab w:pos="6495" w:val="right" w:leader="none"/>
              </w:tabs>
              <w:spacing w:before="10"/>
              <w:ind w:right="95"/>
              <w:rPr>
                <w:sz w:val="20"/>
              </w:rPr>
            </w:pPr>
            <w:r>
              <w:rPr>
                <w:sz w:val="20"/>
              </w:rPr>
              <w:t>Work-in-process</w:t>
            </w:r>
            <w:r>
              <w:rPr>
                <w:spacing w:val="68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  <w:tab/>
            </w:r>
            <w:r>
              <w:rPr>
                <w:sz w:val="20"/>
              </w:rPr>
              <w:t>612</w:t>
            </w:r>
          </w:p>
        </w:tc>
        <w:tc>
          <w:tcPr>
            <w:tcW w:w="1350" w:type="dxa"/>
          </w:tcPr>
          <w:p>
            <w:pPr>
              <w:pStyle w:val="TableParagraph"/>
              <w:spacing w:before="10"/>
              <w:ind w:right="8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6646" w:type="dxa"/>
            <w:shd w:val="clear" w:color="auto" w:fill="CCEDFF"/>
          </w:tcPr>
          <w:p>
            <w:pPr>
              <w:pStyle w:val="TableParagraph"/>
              <w:tabs>
                <w:tab w:pos="6045" w:val="left" w:leader="none"/>
              </w:tabs>
              <w:spacing w:line="230" w:lineRule="exact" w:before="10"/>
              <w:ind w:right="95"/>
              <w:rPr>
                <w:sz w:val="20"/>
              </w:rPr>
            </w:pPr>
            <w:r>
              <w:rPr>
                <w:sz w:val="20"/>
              </w:rPr>
              <w:t>Finished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goods</w:t>
            </w:r>
            <w:r>
              <w:rPr>
                <w:spacing w:val="3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</w:t>
              <w:tab/>
            </w:r>
            <w:r>
              <w:rPr>
                <w:sz w:val="20"/>
              </w:rPr>
              <w:t>5,187</w:t>
            </w:r>
          </w:p>
        </w:tc>
        <w:tc>
          <w:tcPr>
            <w:tcW w:w="1350" w:type="dxa"/>
            <w:tcBorders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230" w:lineRule="exact" w:before="10"/>
              <w:ind w:right="80"/>
              <w:rPr>
                <w:sz w:val="20"/>
              </w:rPr>
            </w:pPr>
            <w:r>
              <w:rPr>
                <w:sz w:val="20"/>
              </w:rPr>
              <w:t>4,226</w:t>
            </w:r>
          </w:p>
        </w:tc>
      </w:tr>
    </w:tbl>
    <w:p>
      <w:pPr>
        <w:pStyle w:val="BodyText"/>
        <w:tabs>
          <w:tab w:pos="6098" w:val="left" w:leader="none"/>
          <w:tab w:pos="7563" w:val="left" w:leader="none"/>
        </w:tabs>
        <w:spacing w:before="2"/>
        <w:ind w:left="332" w:firstLine="0"/>
      </w:pPr>
      <w:r>
        <w:rPr/>
        <w:t>Total</w:t>
      </w:r>
      <w:r>
        <w:rPr>
          <w:spacing w:val="-2"/>
        </w:rPr>
        <w:t> </w:t>
      </w:r>
      <w:r>
        <w:rPr/>
        <w:t>inventory</w:t>
      </w:r>
      <w:r>
        <w:rPr>
          <w:spacing w:val="2"/>
        </w:rPr>
        <w:t> </w:t>
      </w:r>
      <w:r>
        <w:rPr>
          <w:color w:val="B3B3B3"/>
        </w:rPr>
        <w:t>. . . . . .</w:t>
      </w:r>
      <w:r>
        <w:rPr>
          <w:color w:val="B3B3B3"/>
          <w:spacing w:val="-1"/>
        </w:rPr>
        <w:t> </w:t>
      </w:r>
      <w:r>
        <w:rPr>
          <w:color w:val="B3B3B3"/>
        </w:rPr>
        <w:t>. . . . . . .</w:t>
      </w:r>
      <w:r>
        <w:rPr>
          <w:color w:val="B3B3B3"/>
          <w:spacing w:val="-1"/>
        </w:rPr>
        <w:t> </w:t>
      </w:r>
      <w:r>
        <w:rPr>
          <w:color w:val="B3B3B3"/>
        </w:rPr>
        <w:t>. . . . . . .</w:t>
      </w:r>
      <w:r>
        <w:rPr>
          <w:color w:val="B3B3B3"/>
          <w:spacing w:val="-1"/>
        </w:rPr>
        <w:t> </w:t>
      </w:r>
      <w:r>
        <w:rPr>
          <w:color w:val="B3B3B3"/>
        </w:rPr>
        <w:t>. . . . . . .</w:t>
      </w:r>
      <w:r>
        <w:rPr>
          <w:color w:val="B3B3B3"/>
          <w:spacing w:val="-1"/>
        </w:rPr>
        <w:t> </w:t>
      </w:r>
      <w:r>
        <w:rPr>
          <w:color w:val="B3B3B3"/>
        </w:rPr>
        <w:t>. . . . . . . .</w:t>
      </w:r>
      <w:r>
        <w:rPr>
          <w:color w:val="B3B3B3"/>
          <w:spacing w:val="-1"/>
        </w:rPr>
        <w:t> </w:t>
      </w:r>
      <w:r>
        <w:rPr>
          <w:color w:val="B3B3B3"/>
        </w:rPr>
        <w:t>. . .</w:t>
      </w:r>
      <w:r>
        <w:rPr>
          <w:color w:val="B3B3B3"/>
          <w:spacing w:val="55"/>
        </w:rPr>
        <w:t> </w:t>
      </w:r>
      <w:r>
        <w:rPr>
          <w:u w:val="double"/>
        </w:rPr>
        <w:t>$</w:t>
        <w:tab/>
        <w:t>10,401  </w:t>
      </w:r>
      <w:r>
        <w:rPr>
          <w:spacing w:val="44"/>
          <w:u w:val="double"/>
        </w:rPr>
        <w:t> </w:t>
      </w:r>
      <w:r>
        <w:rPr>
          <w:u w:val="double"/>
        </w:rPr>
        <w:t>$</w:t>
        <w:tab/>
        <w:t>6,924</w:t>
      </w:r>
    </w:p>
    <w:p>
      <w:pPr>
        <w:spacing w:after="0"/>
        <w:sectPr>
          <w:pgSz w:w="12240" w:h="15840"/>
          <w:pgMar w:header="0" w:footer="741" w:top="1320" w:bottom="940" w:left="1340" w:right="1320"/>
        </w:sect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3"/>
        <w:gridCol w:w="1322"/>
        <w:gridCol w:w="1349"/>
      </w:tblGrid>
      <w:tr>
        <w:trPr>
          <w:trHeight w:val="358" w:hRule="atLeast"/>
        </w:trPr>
        <w:tc>
          <w:tcPr>
            <w:tcW w:w="5323" w:type="dxa"/>
          </w:tcPr>
          <w:p>
            <w:pPr>
              <w:pStyle w:val="TableParagraph"/>
              <w:spacing w:line="219" w:lineRule="exact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Prepaid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Expenses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Other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Current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Assets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(in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thousands):</w:t>
            </w:r>
          </w:p>
        </w:tc>
        <w:tc>
          <w:tcPr>
            <w:tcW w:w="2671" w:type="dxa"/>
            <w:gridSpan w:val="2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574" w:hRule="atLeast"/>
        </w:trPr>
        <w:tc>
          <w:tcPr>
            <w:tcW w:w="5323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7"/>
              <w:ind w:left="148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September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30,</w:t>
            </w:r>
          </w:p>
          <w:p>
            <w:pPr>
              <w:pStyle w:val="TableParagraph"/>
              <w:spacing w:before="56"/>
              <w:ind w:left="147" w:right="1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</w:p>
        </w:tc>
        <w:tc>
          <w:tcPr>
            <w:tcW w:w="134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7"/>
              <w:ind w:left="211" w:right="1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December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31,</w:t>
            </w:r>
          </w:p>
          <w:p>
            <w:pPr>
              <w:pStyle w:val="TableParagraph"/>
              <w:spacing w:before="56"/>
              <w:ind w:left="210" w:right="1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</w:p>
        </w:tc>
      </w:tr>
      <w:tr>
        <w:trPr>
          <w:trHeight w:val="275" w:hRule="atLeast"/>
        </w:trPr>
        <w:tc>
          <w:tcPr>
            <w:tcW w:w="5323" w:type="dxa"/>
            <w:shd w:val="clear" w:color="auto" w:fill="CCEDFF"/>
          </w:tcPr>
          <w:p>
            <w:pPr>
              <w:pStyle w:val="TableParagraph"/>
              <w:spacing w:line="222" w:lineRule="exact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Inventory</w:t>
            </w:r>
            <w:r>
              <w:rPr>
                <w:spacing w:val="37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 . 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 . . . . . . . . . . .</w:t>
            </w:r>
          </w:p>
        </w:tc>
        <w:tc>
          <w:tcPr>
            <w:tcW w:w="1322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870" w:val="left" w:leader="none"/>
              </w:tabs>
              <w:spacing w:before="12"/>
              <w:ind w:right="94"/>
              <w:rPr>
                <w:sz w:val="20"/>
              </w:rPr>
            </w:pPr>
            <w:r>
              <w:rPr>
                <w:sz w:val="20"/>
              </w:rPr>
              <w:t>$</w:t>
              <w:tab/>
              <w:t>310</w:t>
            </w:r>
          </w:p>
        </w:tc>
        <w:tc>
          <w:tcPr>
            <w:tcW w:w="1349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870" w:val="left" w:leader="none"/>
              </w:tabs>
              <w:spacing w:before="12"/>
              <w:ind w:right="78"/>
              <w:rPr>
                <w:sz w:val="20"/>
              </w:rPr>
            </w:pPr>
            <w:r>
              <w:rPr>
                <w:sz w:val="20"/>
              </w:rPr>
              <w:t>$</w:t>
              <w:tab/>
              <w:t>553</w:t>
            </w:r>
          </w:p>
        </w:tc>
      </w:tr>
      <w:tr>
        <w:trPr>
          <w:trHeight w:val="285" w:hRule="atLeast"/>
        </w:trPr>
        <w:tc>
          <w:tcPr>
            <w:tcW w:w="5323" w:type="dxa"/>
          </w:tcPr>
          <w:p>
            <w:pPr>
              <w:pStyle w:val="TableParagraph"/>
              <w:spacing w:before="1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Software</w:t>
            </w:r>
            <w:r>
              <w:rPr>
                <w:spacing w:val="40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</w:t>
            </w:r>
          </w:p>
        </w:tc>
        <w:tc>
          <w:tcPr>
            <w:tcW w:w="1322" w:type="dxa"/>
          </w:tcPr>
          <w:p>
            <w:pPr>
              <w:pStyle w:val="TableParagraph"/>
              <w:spacing w:before="22"/>
              <w:ind w:right="94"/>
              <w:rPr>
                <w:sz w:val="20"/>
              </w:rPr>
            </w:pPr>
            <w:r>
              <w:rPr>
                <w:sz w:val="20"/>
              </w:rPr>
              <w:t>580</w:t>
            </w:r>
          </w:p>
        </w:tc>
        <w:tc>
          <w:tcPr>
            <w:tcW w:w="1349" w:type="dxa"/>
          </w:tcPr>
          <w:p>
            <w:pPr>
              <w:pStyle w:val="TableParagraph"/>
              <w:spacing w:before="22"/>
              <w:ind w:right="78"/>
              <w:rPr>
                <w:sz w:val="20"/>
              </w:rPr>
            </w:pPr>
            <w:r>
              <w:rPr>
                <w:sz w:val="20"/>
              </w:rPr>
              <w:t>375</w:t>
            </w:r>
          </w:p>
        </w:tc>
      </w:tr>
      <w:tr>
        <w:trPr>
          <w:trHeight w:val="285" w:hRule="atLeast"/>
        </w:trPr>
        <w:tc>
          <w:tcPr>
            <w:tcW w:w="5323" w:type="dxa"/>
            <w:shd w:val="clear" w:color="auto" w:fill="CCEDFF"/>
          </w:tcPr>
          <w:p>
            <w:pPr>
              <w:pStyle w:val="TableParagraph"/>
              <w:spacing w:before="1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Rent</w:t>
            </w:r>
            <w:r>
              <w:rPr>
                <w:spacing w:val="37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 . . . 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 . . . . . . . . . . . . .</w:t>
            </w:r>
          </w:p>
        </w:tc>
        <w:tc>
          <w:tcPr>
            <w:tcW w:w="1322" w:type="dxa"/>
            <w:shd w:val="clear" w:color="auto" w:fill="CCEDFF"/>
          </w:tcPr>
          <w:p>
            <w:pPr>
              <w:pStyle w:val="TableParagraph"/>
              <w:spacing w:before="22"/>
              <w:ind w:right="94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349" w:type="dxa"/>
            <w:shd w:val="clear" w:color="auto" w:fill="CCEDFF"/>
          </w:tcPr>
          <w:p>
            <w:pPr>
              <w:pStyle w:val="TableParagraph"/>
              <w:spacing w:before="22"/>
              <w:ind w:right="78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</w:tr>
      <w:tr>
        <w:trPr>
          <w:trHeight w:val="285" w:hRule="atLeast"/>
        </w:trPr>
        <w:tc>
          <w:tcPr>
            <w:tcW w:w="5323" w:type="dxa"/>
          </w:tcPr>
          <w:p>
            <w:pPr>
              <w:pStyle w:val="TableParagraph"/>
              <w:spacing w:before="1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Insurance</w:t>
            </w:r>
            <w:r>
              <w:rPr>
                <w:spacing w:val="38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 . . . .</w:t>
            </w:r>
          </w:p>
        </w:tc>
        <w:tc>
          <w:tcPr>
            <w:tcW w:w="1322" w:type="dxa"/>
          </w:tcPr>
          <w:p>
            <w:pPr>
              <w:pStyle w:val="TableParagraph"/>
              <w:spacing w:before="22"/>
              <w:ind w:right="94"/>
              <w:rPr>
                <w:sz w:val="20"/>
              </w:rPr>
            </w:pPr>
            <w:r>
              <w:rPr>
                <w:sz w:val="20"/>
              </w:rPr>
              <w:t>447</w:t>
            </w:r>
          </w:p>
        </w:tc>
        <w:tc>
          <w:tcPr>
            <w:tcW w:w="1349" w:type="dxa"/>
          </w:tcPr>
          <w:p>
            <w:pPr>
              <w:pStyle w:val="TableParagraph"/>
              <w:spacing w:before="22"/>
              <w:ind w:right="78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</w:tr>
      <w:tr>
        <w:trPr>
          <w:trHeight w:val="275" w:hRule="atLeast"/>
        </w:trPr>
        <w:tc>
          <w:tcPr>
            <w:tcW w:w="5323" w:type="dxa"/>
            <w:shd w:val="clear" w:color="auto" w:fill="CCEDFF"/>
          </w:tcPr>
          <w:p>
            <w:pPr>
              <w:pStyle w:val="TableParagraph"/>
              <w:spacing w:before="1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9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 . .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22"/>
              <w:ind w:right="94"/>
              <w:rPr>
                <w:sz w:val="20"/>
              </w:rPr>
            </w:pPr>
            <w:r>
              <w:rPr>
                <w:sz w:val="20"/>
              </w:rPr>
              <w:t>643</w:t>
            </w:r>
          </w:p>
        </w:tc>
        <w:tc>
          <w:tcPr>
            <w:tcW w:w="1349" w:type="dxa"/>
            <w:tcBorders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22"/>
              <w:ind w:right="78"/>
              <w:rPr>
                <w:sz w:val="20"/>
              </w:rPr>
            </w:pPr>
            <w:r>
              <w:rPr>
                <w:sz w:val="20"/>
              </w:rPr>
              <w:t>356</w:t>
            </w:r>
          </w:p>
        </w:tc>
      </w:tr>
      <w:tr>
        <w:trPr>
          <w:trHeight w:val="305" w:hRule="atLeast"/>
        </w:trPr>
        <w:tc>
          <w:tcPr>
            <w:tcW w:w="5323" w:type="dxa"/>
          </w:tcPr>
          <w:p>
            <w:pPr>
              <w:pStyle w:val="TableParagraph"/>
              <w:spacing w:before="12"/>
              <w:ind w:left="232"/>
              <w:jc w:val="left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prepaid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expenses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current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assets</w:t>
            </w:r>
            <w:r>
              <w:rPr>
                <w:spacing w:val="9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</w:p>
        </w:tc>
        <w:tc>
          <w:tcPr>
            <w:tcW w:w="1322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720" w:val="left" w:leader="none"/>
              </w:tabs>
              <w:spacing w:before="12"/>
              <w:ind w:right="94"/>
              <w:rPr>
                <w:sz w:val="20"/>
              </w:rPr>
            </w:pPr>
            <w:r>
              <w:rPr>
                <w:sz w:val="20"/>
              </w:rPr>
              <w:t>$</w:t>
              <w:tab/>
              <w:t>2,232</w:t>
            </w:r>
          </w:p>
        </w:tc>
        <w:tc>
          <w:tcPr>
            <w:tcW w:w="1349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720" w:val="left" w:leader="none"/>
              </w:tabs>
              <w:spacing w:before="12"/>
              <w:ind w:right="78"/>
              <w:rPr>
                <w:sz w:val="20"/>
              </w:rPr>
            </w:pPr>
            <w:r>
              <w:rPr>
                <w:sz w:val="20"/>
              </w:rPr>
              <w:t>$</w:t>
              <w:tab/>
              <w:t>1,653</w:t>
            </w:r>
          </w:p>
        </w:tc>
      </w:tr>
    </w:tbl>
    <w:p>
      <w:pPr>
        <w:pStyle w:val="BodyText"/>
        <w:spacing w:before="0"/>
        <w:ind w:left="0" w:firstLine="0"/>
      </w:pPr>
    </w:p>
    <w:p>
      <w:pPr>
        <w:pStyle w:val="BodyText"/>
        <w:spacing w:before="7"/>
        <w:ind w:left="0" w:firstLine="0"/>
        <w:rPr>
          <w:sz w:val="25"/>
        </w:rPr>
      </w:pPr>
    </w:p>
    <w:p>
      <w:pPr>
        <w:pStyle w:val="Heading3"/>
        <w:spacing w:before="92"/>
        <w:rPr>
          <w:i/>
        </w:rPr>
      </w:pPr>
      <w:r>
        <w:rPr/>
        <w:pict>
          <v:shape style="position:absolute;margin-left:338.25pt;margin-top:-28.834082pt;width:133.5pt;height:2pt;mso-position-horizontal-relative:page;mso-position-vertical-relative:paragraph;z-index:-19250176" id="docshape73" coordorigin="6765,-577" coordsize="2670,40" path="m6765,-577l8070,-577m6765,-537l8070,-537m8130,-577l9435,-577m8130,-537l9435,-537e" filled="false" stroked="true" strokeweight="1pt" strokecolor="#000000">
            <v:path arrowok="t"/>
            <v:stroke dashstyle="solid"/>
            <w10:wrap type="none"/>
          </v:shape>
        </w:pict>
      </w:r>
      <w:r>
        <w:rPr>
          <w:i/>
        </w:rPr>
        <w:t>Property</w:t>
      </w:r>
      <w:r>
        <w:rPr>
          <w:i/>
          <w:spacing w:val="-5"/>
        </w:rPr>
        <w:t> </w:t>
      </w:r>
      <w:r>
        <w:rPr>
          <w:i/>
        </w:rPr>
        <w:t>and</w:t>
      </w:r>
      <w:r>
        <w:rPr>
          <w:i/>
          <w:spacing w:val="-3"/>
        </w:rPr>
        <w:t> </w:t>
      </w:r>
      <w:r>
        <w:rPr>
          <w:i/>
        </w:rPr>
        <w:t>Equipment,</w:t>
      </w:r>
      <w:r>
        <w:rPr>
          <w:i/>
          <w:spacing w:val="-4"/>
        </w:rPr>
        <w:t> </w:t>
      </w:r>
      <w:r>
        <w:rPr>
          <w:i/>
        </w:rPr>
        <w:t>Net</w:t>
      </w:r>
      <w:r>
        <w:rPr>
          <w:i/>
          <w:spacing w:val="-4"/>
        </w:rPr>
        <w:t> </w:t>
      </w:r>
      <w:r>
        <w:rPr>
          <w:i/>
        </w:rPr>
        <w:t>(in</w:t>
      </w:r>
      <w:r>
        <w:rPr>
          <w:i/>
          <w:spacing w:val="-5"/>
        </w:rPr>
        <w:t> </w:t>
      </w:r>
      <w:r>
        <w:rPr>
          <w:i/>
        </w:rPr>
        <w:t>thousands):</w:t>
      </w:r>
    </w:p>
    <w:p>
      <w:pPr>
        <w:pStyle w:val="BodyText"/>
        <w:spacing w:before="2"/>
        <w:ind w:left="0" w:firstLine="0"/>
        <w:rPr>
          <w:b/>
          <w:i/>
          <w:sz w:val="15"/>
        </w:rPr>
      </w:pPr>
    </w:p>
    <w:p>
      <w:pPr>
        <w:tabs>
          <w:tab w:pos="5305" w:val="left" w:leader="none"/>
        </w:tabs>
        <w:spacing w:before="93"/>
        <w:ind w:left="3918" w:right="0" w:firstLine="0"/>
        <w:jc w:val="center"/>
        <w:rPr>
          <w:b/>
          <w:sz w:val="16"/>
        </w:rPr>
      </w:pPr>
      <w:r>
        <w:rPr>
          <w:b/>
          <w:sz w:val="16"/>
        </w:rPr>
        <w:t>September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30,</w:t>
        <w:tab/>
        <w:t>December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31,</w:t>
      </w:r>
    </w:p>
    <w:p>
      <w:pPr>
        <w:tabs>
          <w:tab w:pos="5304" w:val="left" w:leader="none"/>
        </w:tabs>
        <w:spacing w:before="56" w:after="30"/>
        <w:ind w:left="3939" w:right="0" w:firstLine="0"/>
        <w:jc w:val="center"/>
        <w:rPr>
          <w:b/>
          <w:sz w:val="16"/>
        </w:rPr>
      </w:pPr>
      <w:r>
        <w:rPr>
          <w:b/>
          <w:sz w:val="16"/>
        </w:rPr>
        <w:t>2021</w:t>
        <w:tab/>
        <w:t>2020</w:t>
      </w: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5"/>
        <w:gridCol w:w="1354"/>
        <w:gridCol w:w="1316"/>
      </w:tblGrid>
      <w:tr>
        <w:trPr>
          <w:trHeight w:val="455" w:hRule="atLeast"/>
        </w:trPr>
        <w:tc>
          <w:tcPr>
            <w:tcW w:w="5325" w:type="dxa"/>
            <w:shd w:val="clear" w:color="auto" w:fill="CCEDFF"/>
          </w:tcPr>
          <w:p>
            <w:pPr>
              <w:pStyle w:val="TableParagraph"/>
              <w:spacing w:line="208" w:lineRule="auto" w:before="19"/>
              <w:ind w:left="52" w:right="52"/>
              <w:jc w:val="left"/>
              <w:rPr>
                <w:sz w:val="20"/>
              </w:rPr>
            </w:pPr>
            <w:r>
              <w:rPr>
                <w:sz w:val="20"/>
              </w:rPr>
              <w:t>Laboratory, manufacturing and computer equipment 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furniture</w:t>
            </w:r>
            <w:r>
              <w:rPr>
                <w:spacing w:val="17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</w:p>
        </w:tc>
        <w:tc>
          <w:tcPr>
            <w:tcW w:w="1354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773" w:val="left" w:leader="none"/>
              </w:tabs>
              <w:spacing w:before="195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$</w:t>
              <w:tab/>
              <w:t>2,911</w:t>
            </w:r>
          </w:p>
        </w:tc>
        <w:tc>
          <w:tcPr>
            <w:tcW w:w="1316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784" w:val="left" w:leader="none"/>
              </w:tabs>
              <w:spacing w:before="195"/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$</w:t>
              <w:tab/>
              <w:t>2,645</w:t>
            </w:r>
          </w:p>
        </w:tc>
      </w:tr>
      <w:tr>
        <w:trPr>
          <w:trHeight w:val="285" w:hRule="atLeast"/>
        </w:trPr>
        <w:tc>
          <w:tcPr>
            <w:tcW w:w="5325" w:type="dxa"/>
          </w:tcPr>
          <w:p>
            <w:pPr>
              <w:pStyle w:val="TableParagraph"/>
              <w:spacing w:before="25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Rental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equipment</w:t>
            </w:r>
            <w:r>
              <w:rPr>
                <w:spacing w:val="4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</w:p>
        </w:tc>
        <w:tc>
          <w:tcPr>
            <w:tcW w:w="1354" w:type="dxa"/>
          </w:tcPr>
          <w:p>
            <w:pPr>
              <w:pStyle w:val="TableParagraph"/>
              <w:spacing w:before="25"/>
              <w:ind w:right="128"/>
              <w:rPr>
                <w:sz w:val="20"/>
              </w:rPr>
            </w:pPr>
            <w:r>
              <w:rPr>
                <w:sz w:val="20"/>
              </w:rPr>
              <w:t>821</w:t>
            </w:r>
          </w:p>
        </w:tc>
        <w:tc>
          <w:tcPr>
            <w:tcW w:w="1316" w:type="dxa"/>
          </w:tcPr>
          <w:p>
            <w:pPr>
              <w:pStyle w:val="TableParagraph"/>
              <w:spacing w:before="25"/>
              <w:ind w:right="79"/>
              <w:rPr>
                <w:sz w:val="20"/>
              </w:rPr>
            </w:pPr>
            <w:r>
              <w:rPr>
                <w:sz w:val="20"/>
              </w:rPr>
              <w:t>1,247</w:t>
            </w:r>
          </w:p>
        </w:tc>
      </w:tr>
      <w:tr>
        <w:trPr>
          <w:trHeight w:val="285" w:hRule="atLeast"/>
        </w:trPr>
        <w:tc>
          <w:tcPr>
            <w:tcW w:w="5325" w:type="dxa"/>
            <w:shd w:val="clear" w:color="auto" w:fill="CCEDFF"/>
          </w:tcPr>
          <w:p>
            <w:pPr>
              <w:pStyle w:val="TableParagraph"/>
              <w:spacing w:before="25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Leasehold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improvements</w:t>
            </w:r>
            <w:r>
              <w:rPr>
                <w:spacing w:val="5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</w:p>
        </w:tc>
        <w:tc>
          <w:tcPr>
            <w:tcW w:w="1354" w:type="dxa"/>
            <w:shd w:val="clear" w:color="auto" w:fill="CCEDFF"/>
          </w:tcPr>
          <w:p>
            <w:pPr>
              <w:pStyle w:val="TableParagraph"/>
              <w:spacing w:before="25"/>
              <w:ind w:right="128"/>
              <w:rPr>
                <w:sz w:val="20"/>
              </w:rPr>
            </w:pPr>
            <w:r>
              <w:rPr>
                <w:sz w:val="20"/>
              </w:rPr>
              <w:t>4,941</w:t>
            </w:r>
          </w:p>
        </w:tc>
        <w:tc>
          <w:tcPr>
            <w:tcW w:w="1316" w:type="dxa"/>
            <w:shd w:val="clear" w:color="auto" w:fill="CCEDFF"/>
          </w:tcPr>
          <w:p>
            <w:pPr>
              <w:pStyle w:val="TableParagraph"/>
              <w:spacing w:before="25"/>
              <w:ind w:right="79"/>
              <w:rPr>
                <w:sz w:val="20"/>
              </w:rPr>
            </w:pPr>
            <w:r>
              <w:rPr>
                <w:sz w:val="20"/>
              </w:rPr>
              <w:t>4,941</w:t>
            </w:r>
          </w:p>
        </w:tc>
      </w:tr>
      <w:tr>
        <w:trPr>
          <w:trHeight w:val="275" w:hRule="atLeast"/>
        </w:trPr>
        <w:tc>
          <w:tcPr>
            <w:tcW w:w="5325" w:type="dxa"/>
          </w:tcPr>
          <w:p>
            <w:pPr>
              <w:pStyle w:val="TableParagraph"/>
              <w:spacing w:line="230" w:lineRule="exact" w:before="25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Evaluation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units</w:t>
            </w:r>
            <w:r>
              <w:rPr>
                <w:spacing w:val="14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</w:p>
        </w:tc>
        <w:tc>
          <w:tcPr>
            <w:tcW w:w="13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25"/>
              <w:ind w:right="128"/>
              <w:rPr>
                <w:sz w:val="20"/>
              </w:rPr>
            </w:pPr>
            <w:r>
              <w:rPr>
                <w:sz w:val="20"/>
              </w:rPr>
              <w:t>3,492</w:t>
            </w:r>
          </w:p>
        </w:tc>
        <w:tc>
          <w:tcPr>
            <w:tcW w:w="13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25"/>
              <w:ind w:right="79"/>
              <w:rPr>
                <w:sz w:val="20"/>
              </w:rPr>
            </w:pPr>
            <w:r>
              <w:rPr>
                <w:sz w:val="20"/>
              </w:rPr>
              <w:t>4,229</w:t>
            </w:r>
          </w:p>
        </w:tc>
      </w:tr>
      <w:tr>
        <w:trPr>
          <w:trHeight w:val="275" w:hRule="atLeast"/>
        </w:trPr>
        <w:tc>
          <w:tcPr>
            <w:tcW w:w="5325" w:type="dxa"/>
            <w:shd w:val="clear" w:color="auto" w:fill="CCEDFF"/>
          </w:tcPr>
          <w:p>
            <w:pPr>
              <w:pStyle w:val="TableParagraph"/>
              <w:spacing w:before="15"/>
              <w:ind w:right="56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property and equipment</w:t>
            </w:r>
            <w:r>
              <w:rPr>
                <w:spacing w:val="3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</w:p>
        </w:tc>
        <w:tc>
          <w:tcPr>
            <w:tcW w:w="1354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15"/>
              <w:ind w:right="128"/>
              <w:rPr>
                <w:sz w:val="20"/>
              </w:rPr>
            </w:pPr>
            <w:r>
              <w:rPr>
                <w:sz w:val="20"/>
              </w:rPr>
              <w:t>12,165</w:t>
            </w:r>
          </w:p>
        </w:tc>
        <w:tc>
          <w:tcPr>
            <w:tcW w:w="1316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15"/>
              <w:ind w:right="79"/>
              <w:rPr>
                <w:sz w:val="20"/>
              </w:rPr>
            </w:pPr>
            <w:r>
              <w:rPr>
                <w:sz w:val="20"/>
              </w:rPr>
              <w:t>13,062</w:t>
            </w:r>
          </w:p>
        </w:tc>
      </w:tr>
      <w:tr>
        <w:trPr>
          <w:trHeight w:val="275" w:hRule="atLeast"/>
        </w:trPr>
        <w:tc>
          <w:tcPr>
            <w:tcW w:w="5325" w:type="dxa"/>
          </w:tcPr>
          <w:p>
            <w:pPr>
              <w:pStyle w:val="TableParagraph"/>
              <w:spacing w:line="230" w:lineRule="exact" w:before="25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Less: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accumulated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depreciation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amortization</w:t>
            </w:r>
            <w:r>
              <w:rPr>
                <w:spacing w:val="2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2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2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2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2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2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2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</w:p>
        </w:tc>
        <w:tc>
          <w:tcPr>
            <w:tcW w:w="13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25"/>
              <w:ind w:right="63"/>
              <w:rPr>
                <w:sz w:val="20"/>
              </w:rPr>
            </w:pPr>
            <w:r>
              <w:rPr>
                <w:sz w:val="20"/>
              </w:rPr>
              <w:t>(6,434)</w:t>
            </w:r>
          </w:p>
        </w:tc>
        <w:tc>
          <w:tcPr>
            <w:tcW w:w="13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25"/>
              <w:ind w:right="14"/>
              <w:rPr>
                <w:sz w:val="20"/>
              </w:rPr>
            </w:pPr>
            <w:r>
              <w:rPr>
                <w:sz w:val="20"/>
              </w:rPr>
              <w:t>(4,788)</w:t>
            </w:r>
          </w:p>
        </w:tc>
      </w:tr>
      <w:tr>
        <w:trPr>
          <w:trHeight w:val="225" w:hRule="atLeast"/>
        </w:trPr>
        <w:tc>
          <w:tcPr>
            <w:tcW w:w="5325" w:type="dxa"/>
            <w:shd w:val="clear" w:color="auto" w:fill="CCEDFF"/>
          </w:tcPr>
          <w:p>
            <w:pPr>
              <w:pStyle w:val="TableParagraph"/>
              <w:spacing w:line="190" w:lineRule="exact" w:before="15"/>
              <w:ind w:right="53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property 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equipment, net</w:t>
            </w:r>
            <w:r>
              <w:rPr>
                <w:spacing w:val="30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</w:p>
        </w:tc>
        <w:tc>
          <w:tcPr>
            <w:tcW w:w="1354" w:type="dxa"/>
            <w:tcBorders>
              <w:top w:val="single" w:sz="8" w:space="0" w:color="000000"/>
              <w:bottom w:val="doub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773" w:val="left" w:leader="none"/>
              </w:tabs>
              <w:spacing w:line="190" w:lineRule="exact" w:before="15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$</w:t>
              <w:tab/>
              <w:t>5,731</w:t>
            </w:r>
          </w:p>
        </w:tc>
        <w:tc>
          <w:tcPr>
            <w:tcW w:w="1316" w:type="dxa"/>
            <w:tcBorders>
              <w:top w:val="single" w:sz="8" w:space="0" w:color="000000"/>
              <w:bottom w:val="doub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784" w:val="left" w:leader="none"/>
              </w:tabs>
              <w:spacing w:line="190" w:lineRule="exact" w:before="15"/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$</w:t>
              <w:tab/>
              <w:t>8,274</w:t>
            </w:r>
          </w:p>
        </w:tc>
      </w:tr>
      <w:tr>
        <w:trPr>
          <w:trHeight w:val="585" w:hRule="atLeast"/>
        </w:trPr>
        <w:tc>
          <w:tcPr>
            <w:tcW w:w="5325" w:type="dxa"/>
          </w:tcPr>
          <w:p>
            <w:pPr>
              <w:pStyle w:val="TableParagraph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Other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Current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Liabilities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(in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thousands):</w:t>
            </w:r>
          </w:p>
        </w:tc>
        <w:tc>
          <w:tcPr>
            <w:tcW w:w="1354" w:type="dxa"/>
            <w:tcBorders>
              <w:top w:val="double" w:sz="8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16" w:type="dxa"/>
            <w:tcBorders>
              <w:top w:val="double" w:sz="8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574" w:hRule="atLeast"/>
        </w:trPr>
        <w:tc>
          <w:tcPr>
            <w:tcW w:w="5325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0"/>
              <w:ind w:left="146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September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30,</w:t>
            </w:r>
          </w:p>
          <w:p>
            <w:pPr>
              <w:pStyle w:val="TableParagraph"/>
              <w:spacing w:line="184" w:lineRule="exact" w:before="56"/>
              <w:ind w:left="145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</w:p>
        </w:tc>
        <w:tc>
          <w:tcPr>
            <w:tcW w:w="13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0"/>
              <w:ind w:left="177" w:right="1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December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31,</w:t>
            </w:r>
          </w:p>
          <w:p>
            <w:pPr>
              <w:pStyle w:val="TableParagraph"/>
              <w:spacing w:line="184" w:lineRule="exact" w:before="56"/>
              <w:ind w:left="176" w:right="1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</w:p>
        </w:tc>
      </w:tr>
      <w:tr>
        <w:trPr>
          <w:trHeight w:val="260" w:hRule="atLeast"/>
        </w:trPr>
        <w:tc>
          <w:tcPr>
            <w:tcW w:w="5325" w:type="dxa"/>
            <w:shd w:val="clear" w:color="auto" w:fill="CCEDFF"/>
          </w:tcPr>
          <w:p>
            <w:pPr>
              <w:pStyle w:val="TableParagraph"/>
              <w:spacing w:line="224" w:lineRule="exact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Accrued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purchases</w:t>
            </w:r>
            <w:r>
              <w:rPr>
                <w:spacing w:val="4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</w:p>
        </w:tc>
        <w:tc>
          <w:tcPr>
            <w:tcW w:w="1354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923" w:val="left" w:leader="none"/>
              </w:tabs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$</w:t>
              <w:tab/>
              <w:t>134</w:t>
            </w:r>
          </w:p>
        </w:tc>
        <w:tc>
          <w:tcPr>
            <w:tcW w:w="1316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934" w:val="left" w:leader="none"/>
              </w:tabs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$</w:t>
              <w:tab/>
              <w:t>432</w:t>
            </w:r>
          </w:p>
        </w:tc>
      </w:tr>
      <w:tr>
        <w:trPr>
          <w:trHeight w:val="270" w:hRule="atLeast"/>
        </w:trPr>
        <w:tc>
          <w:tcPr>
            <w:tcW w:w="5325" w:type="dxa"/>
          </w:tcPr>
          <w:p>
            <w:pPr>
              <w:pStyle w:val="TableParagraph"/>
              <w:spacing w:before="4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Interest</w:t>
            </w:r>
            <w:r>
              <w:rPr>
                <w:spacing w:val="17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</w:t>
            </w:r>
          </w:p>
        </w:tc>
        <w:tc>
          <w:tcPr>
            <w:tcW w:w="1354" w:type="dxa"/>
          </w:tcPr>
          <w:p>
            <w:pPr>
              <w:pStyle w:val="TableParagraph"/>
              <w:spacing w:before="10"/>
              <w:ind w:right="128"/>
              <w:rPr>
                <w:sz w:val="20"/>
              </w:rPr>
            </w:pPr>
            <w:r>
              <w:rPr>
                <w:sz w:val="20"/>
              </w:rPr>
              <w:t>390</w:t>
            </w:r>
          </w:p>
        </w:tc>
        <w:tc>
          <w:tcPr>
            <w:tcW w:w="1316" w:type="dxa"/>
          </w:tcPr>
          <w:p>
            <w:pPr>
              <w:pStyle w:val="TableParagraph"/>
              <w:spacing w:before="10"/>
              <w:ind w:right="79"/>
              <w:rPr>
                <w:sz w:val="20"/>
              </w:rPr>
            </w:pPr>
            <w:r>
              <w:rPr>
                <w:sz w:val="20"/>
              </w:rPr>
              <w:t>403</w:t>
            </w:r>
          </w:p>
        </w:tc>
      </w:tr>
      <w:tr>
        <w:trPr>
          <w:trHeight w:val="270" w:hRule="atLeast"/>
        </w:trPr>
        <w:tc>
          <w:tcPr>
            <w:tcW w:w="5325" w:type="dxa"/>
            <w:shd w:val="clear" w:color="auto" w:fill="CCEDFF"/>
          </w:tcPr>
          <w:p>
            <w:pPr>
              <w:pStyle w:val="TableParagraph"/>
              <w:spacing w:before="4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Professional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34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</w:p>
        </w:tc>
        <w:tc>
          <w:tcPr>
            <w:tcW w:w="1354" w:type="dxa"/>
            <w:shd w:val="clear" w:color="auto" w:fill="CCEDFF"/>
          </w:tcPr>
          <w:p>
            <w:pPr>
              <w:pStyle w:val="TableParagraph"/>
              <w:spacing w:before="10"/>
              <w:ind w:right="128"/>
              <w:rPr>
                <w:sz w:val="20"/>
              </w:rPr>
            </w:pPr>
            <w:r>
              <w:rPr>
                <w:sz w:val="20"/>
              </w:rPr>
              <w:t>579</w:t>
            </w:r>
          </w:p>
        </w:tc>
        <w:tc>
          <w:tcPr>
            <w:tcW w:w="1316" w:type="dxa"/>
            <w:shd w:val="clear" w:color="auto" w:fill="CCEDFF"/>
          </w:tcPr>
          <w:p>
            <w:pPr>
              <w:pStyle w:val="TableParagraph"/>
              <w:spacing w:before="10"/>
              <w:ind w:right="79"/>
              <w:rPr>
                <w:sz w:val="20"/>
              </w:rPr>
            </w:pPr>
            <w:r>
              <w:rPr>
                <w:sz w:val="20"/>
              </w:rPr>
              <w:t>339</w:t>
            </w:r>
          </w:p>
        </w:tc>
      </w:tr>
      <w:tr>
        <w:trPr>
          <w:trHeight w:val="270" w:hRule="atLeast"/>
        </w:trPr>
        <w:tc>
          <w:tcPr>
            <w:tcW w:w="5325" w:type="dxa"/>
          </w:tcPr>
          <w:p>
            <w:pPr>
              <w:pStyle w:val="TableParagraph"/>
              <w:spacing w:before="4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Sales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tax</w:t>
            </w:r>
            <w:r>
              <w:rPr>
                <w:spacing w:val="4"/>
                <w:sz w:val="20"/>
              </w:rPr>
              <w:t> </w:t>
            </w:r>
            <w:r>
              <w:rPr>
                <w:color w:val="B3B3B3"/>
                <w:sz w:val="20"/>
              </w:rPr>
              <w:t>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</w:t>
            </w:r>
          </w:p>
        </w:tc>
        <w:tc>
          <w:tcPr>
            <w:tcW w:w="1354" w:type="dxa"/>
          </w:tcPr>
          <w:p>
            <w:pPr>
              <w:pStyle w:val="TableParagraph"/>
              <w:spacing w:before="10"/>
              <w:ind w:right="128"/>
              <w:rPr>
                <w:sz w:val="20"/>
              </w:rPr>
            </w:pPr>
            <w:r>
              <w:rPr>
                <w:sz w:val="20"/>
              </w:rPr>
              <w:t>482</w:t>
            </w:r>
          </w:p>
        </w:tc>
        <w:tc>
          <w:tcPr>
            <w:tcW w:w="1316" w:type="dxa"/>
          </w:tcPr>
          <w:p>
            <w:pPr>
              <w:pStyle w:val="TableParagraph"/>
              <w:spacing w:before="10"/>
              <w:ind w:right="79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</w:tr>
      <w:tr>
        <w:trPr>
          <w:trHeight w:val="270" w:hRule="atLeast"/>
        </w:trPr>
        <w:tc>
          <w:tcPr>
            <w:tcW w:w="5325" w:type="dxa"/>
            <w:shd w:val="clear" w:color="auto" w:fill="CCEDFF"/>
          </w:tcPr>
          <w:p>
            <w:pPr>
              <w:pStyle w:val="TableParagraph"/>
              <w:spacing w:before="4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Clinical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expenses</w:t>
            </w:r>
            <w:r>
              <w:rPr>
                <w:spacing w:val="39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</w:p>
        </w:tc>
        <w:tc>
          <w:tcPr>
            <w:tcW w:w="1354" w:type="dxa"/>
            <w:shd w:val="clear" w:color="auto" w:fill="CCEDFF"/>
          </w:tcPr>
          <w:p>
            <w:pPr>
              <w:pStyle w:val="TableParagraph"/>
              <w:spacing w:before="10"/>
              <w:ind w:right="128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316" w:type="dxa"/>
            <w:shd w:val="clear" w:color="auto" w:fill="CCEDFF"/>
          </w:tcPr>
          <w:p>
            <w:pPr>
              <w:pStyle w:val="TableParagraph"/>
              <w:spacing w:before="10"/>
              <w:ind w:right="7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5325" w:type="dxa"/>
          </w:tcPr>
          <w:p>
            <w:pPr>
              <w:pStyle w:val="TableParagraph"/>
              <w:spacing w:before="4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9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 . .</w:t>
            </w:r>
          </w:p>
        </w:tc>
        <w:tc>
          <w:tcPr>
            <w:tcW w:w="13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10"/>
              <w:ind w:right="128"/>
              <w:rPr>
                <w:sz w:val="20"/>
              </w:rPr>
            </w:pPr>
            <w:r>
              <w:rPr>
                <w:sz w:val="20"/>
              </w:rPr>
              <w:t>1,132</w:t>
            </w:r>
          </w:p>
        </w:tc>
        <w:tc>
          <w:tcPr>
            <w:tcW w:w="13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10"/>
              <w:ind w:right="79"/>
              <w:rPr>
                <w:sz w:val="20"/>
              </w:rPr>
            </w:pPr>
            <w:r>
              <w:rPr>
                <w:sz w:val="20"/>
              </w:rPr>
              <w:t>454</w:t>
            </w:r>
          </w:p>
        </w:tc>
      </w:tr>
      <w:tr>
        <w:trPr>
          <w:trHeight w:val="210" w:hRule="atLeast"/>
        </w:trPr>
        <w:tc>
          <w:tcPr>
            <w:tcW w:w="5325" w:type="dxa"/>
            <w:shd w:val="clear" w:color="auto" w:fill="CCEDFF"/>
          </w:tcPr>
          <w:p>
            <w:pPr>
              <w:pStyle w:val="TableParagraph"/>
              <w:spacing w:line="190" w:lineRule="exact"/>
              <w:ind w:right="5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current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liabilities</w:t>
            </w:r>
            <w:r>
              <w:rPr>
                <w:spacing w:val="12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</w:p>
        </w:tc>
        <w:tc>
          <w:tcPr>
            <w:tcW w:w="1354" w:type="dxa"/>
            <w:tcBorders>
              <w:top w:val="single" w:sz="8" w:space="0" w:color="000000"/>
              <w:bottom w:val="doub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773" w:val="left" w:leader="none"/>
              </w:tabs>
              <w:spacing w:line="190" w:lineRule="exact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$</w:t>
              <w:tab/>
              <w:t>2,834</w:t>
            </w:r>
          </w:p>
        </w:tc>
        <w:tc>
          <w:tcPr>
            <w:tcW w:w="1316" w:type="dxa"/>
            <w:tcBorders>
              <w:top w:val="single" w:sz="8" w:space="0" w:color="000000"/>
              <w:bottom w:val="doub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784" w:val="left" w:leader="none"/>
              </w:tabs>
              <w:spacing w:line="190" w:lineRule="exact"/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$</w:t>
              <w:tab/>
              <w:t>1,977</w:t>
            </w:r>
          </w:p>
        </w:tc>
      </w:tr>
    </w:tbl>
    <w:p>
      <w:pPr>
        <w:pStyle w:val="BodyText"/>
        <w:spacing w:before="5"/>
        <w:ind w:left="0" w:firstLine="0"/>
        <w:rPr>
          <w:b/>
          <w:sz w:val="18"/>
        </w:rPr>
      </w:pPr>
    </w:p>
    <w:p>
      <w:pPr>
        <w:pStyle w:val="BodyText"/>
        <w:spacing w:line="249" w:lineRule="auto" w:before="1"/>
      </w:pPr>
      <w:r>
        <w:rPr/>
        <w:t>As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September</w:t>
      </w:r>
      <w:r>
        <w:rPr>
          <w:spacing w:val="-2"/>
        </w:rPr>
        <w:t> </w:t>
      </w:r>
      <w:r>
        <w:rPr/>
        <w:t>30,</w:t>
      </w:r>
      <w:r>
        <w:rPr>
          <w:spacing w:val="-3"/>
        </w:rPr>
        <w:t> </w:t>
      </w:r>
      <w:r>
        <w:rPr/>
        <w:t>2021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December</w:t>
      </w:r>
      <w:r>
        <w:rPr>
          <w:spacing w:val="-3"/>
        </w:rPr>
        <w:t> </w:t>
      </w:r>
      <w:r>
        <w:rPr/>
        <w:t>31,</w:t>
      </w:r>
      <w:r>
        <w:rPr>
          <w:spacing w:val="-2"/>
        </w:rPr>
        <w:t> </w:t>
      </w:r>
      <w:r>
        <w:rPr/>
        <w:t>2020,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non-current</w:t>
      </w:r>
      <w:r>
        <w:rPr>
          <w:spacing w:val="-3"/>
        </w:rPr>
        <w:t> </w:t>
      </w:r>
      <w:r>
        <w:rPr/>
        <w:t>liabilities</w:t>
      </w:r>
      <w:r>
        <w:rPr>
          <w:spacing w:val="-4"/>
        </w:rPr>
        <w:t> </w:t>
      </w:r>
      <w:r>
        <w:rPr/>
        <w:t>consisted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asset</w:t>
      </w:r>
      <w:r>
        <w:rPr>
          <w:spacing w:val="-3"/>
        </w:rPr>
        <w:t> </w:t>
      </w:r>
      <w:r>
        <w:rPr/>
        <w:t>retirement</w:t>
      </w:r>
      <w:r>
        <w:rPr>
          <w:spacing w:val="-47"/>
        </w:rPr>
        <w:t> </w:t>
      </w:r>
      <w:r>
        <w:rPr/>
        <w:t>obligation</w:t>
      </w:r>
      <w:r>
        <w:rPr>
          <w:spacing w:val="-1"/>
        </w:rPr>
        <w:t> </w:t>
      </w:r>
      <w:r>
        <w:rPr/>
        <w:t>for the</w:t>
      </w:r>
      <w:r>
        <w:rPr>
          <w:spacing w:val="-1"/>
        </w:rPr>
        <w:t> </w:t>
      </w:r>
      <w:r>
        <w:rPr/>
        <w:t>facility lease.</w:t>
      </w:r>
    </w:p>
    <w:p>
      <w:pPr>
        <w:spacing w:after="0" w:line="249" w:lineRule="auto"/>
        <w:sectPr>
          <w:pgSz w:w="12240" w:h="15840"/>
          <w:pgMar w:header="0" w:footer="741" w:top="1400" w:bottom="940" w:left="1340" w:right="1320"/>
        </w:sectPr>
      </w:pPr>
    </w:p>
    <w:p>
      <w:pPr>
        <w:pStyle w:val="Heading3"/>
        <w:spacing w:before="68"/>
        <w:rPr>
          <w:i/>
        </w:rPr>
      </w:pPr>
      <w:r>
        <w:rPr>
          <w:i/>
        </w:rPr>
        <w:t>Interest</w:t>
      </w:r>
      <w:r>
        <w:rPr>
          <w:i/>
          <w:spacing w:val="-5"/>
        </w:rPr>
        <w:t> </w:t>
      </w:r>
      <w:r>
        <w:rPr>
          <w:i/>
        </w:rPr>
        <w:t>and</w:t>
      </w:r>
      <w:r>
        <w:rPr>
          <w:i/>
          <w:spacing w:val="-4"/>
        </w:rPr>
        <w:t> </w:t>
      </w:r>
      <w:r>
        <w:rPr>
          <w:i/>
        </w:rPr>
        <w:t>Other</w:t>
      </w:r>
      <w:r>
        <w:rPr>
          <w:i/>
          <w:spacing w:val="-4"/>
        </w:rPr>
        <w:t> </w:t>
      </w:r>
      <w:r>
        <w:rPr>
          <w:i/>
        </w:rPr>
        <w:t>Income</w:t>
      </w:r>
      <w:r>
        <w:rPr>
          <w:i/>
          <w:spacing w:val="-5"/>
        </w:rPr>
        <w:t> </w:t>
      </w:r>
      <w:r>
        <w:rPr>
          <w:i/>
        </w:rPr>
        <w:t>(Expense),</w:t>
      </w:r>
      <w:r>
        <w:rPr>
          <w:i/>
          <w:spacing w:val="-3"/>
        </w:rPr>
        <w:t> </w:t>
      </w:r>
      <w:r>
        <w:rPr>
          <w:i/>
        </w:rPr>
        <w:t>net</w:t>
      </w:r>
      <w:r>
        <w:rPr>
          <w:i/>
          <w:spacing w:val="-5"/>
        </w:rPr>
        <w:t> </w:t>
      </w:r>
      <w:r>
        <w:rPr>
          <w:i/>
        </w:rPr>
        <w:t>(in</w:t>
      </w:r>
      <w:r>
        <w:rPr>
          <w:i/>
          <w:spacing w:val="-5"/>
        </w:rPr>
        <w:t> </w:t>
      </w:r>
      <w:r>
        <w:rPr>
          <w:i/>
        </w:rPr>
        <w:t>thousands):</w:t>
      </w:r>
    </w:p>
    <w:p>
      <w:pPr>
        <w:pStyle w:val="BodyText"/>
        <w:spacing w:before="10"/>
        <w:ind w:left="0" w:firstLine="0"/>
        <w:rPr>
          <w:b/>
          <w:i/>
          <w:sz w:val="13"/>
        </w:rPr>
      </w:pPr>
    </w:p>
    <w:p>
      <w:pPr>
        <w:tabs>
          <w:tab w:pos="6932" w:val="left" w:leader="none"/>
        </w:tabs>
        <w:spacing w:before="94" w:after="45"/>
        <w:ind w:left="4158" w:right="0" w:firstLine="0"/>
        <w:jc w:val="left"/>
        <w:rPr>
          <w:b/>
          <w:sz w:val="16"/>
        </w:rPr>
      </w:pPr>
      <w:r>
        <w:rPr>
          <w:b/>
          <w:sz w:val="16"/>
        </w:rPr>
        <w:t>Three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Months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Ended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September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30,</w:t>
        <w:tab/>
        <w:t>Nine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Months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Ended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September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30,</w:t>
      </w: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0"/>
        <w:gridCol w:w="868"/>
        <w:gridCol w:w="486"/>
        <w:gridCol w:w="879"/>
        <w:gridCol w:w="453"/>
        <w:gridCol w:w="913"/>
        <w:gridCol w:w="487"/>
        <w:gridCol w:w="880"/>
        <w:gridCol w:w="438"/>
      </w:tblGrid>
      <w:tr>
        <w:trPr>
          <w:trHeight w:val="220" w:hRule="atLeast"/>
        </w:trPr>
        <w:tc>
          <w:tcPr>
            <w:tcW w:w="3960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6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right="53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</w:p>
        </w:tc>
        <w:tc>
          <w:tcPr>
            <w:tcW w:w="48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right="53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1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</w:p>
        </w:tc>
        <w:tc>
          <w:tcPr>
            <w:tcW w:w="48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8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left="50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</w:p>
        </w:tc>
        <w:tc>
          <w:tcPr>
            <w:tcW w:w="43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260" w:hRule="atLeast"/>
        </w:trPr>
        <w:tc>
          <w:tcPr>
            <w:tcW w:w="3960" w:type="dxa"/>
            <w:shd w:val="clear" w:color="auto" w:fill="CCEDFF"/>
          </w:tcPr>
          <w:p>
            <w:pPr>
              <w:pStyle w:val="TableParagraph"/>
              <w:spacing w:line="224" w:lineRule="exact"/>
              <w:ind w:left="34" w:right="35"/>
              <w:jc w:val="center"/>
              <w:rPr>
                <w:sz w:val="20"/>
              </w:rPr>
            </w:pPr>
            <w:r>
              <w:rPr>
                <w:sz w:val="20"/>
              </w:rPr>
              <w:t>Interest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income</w:t>
            </w:r>
            <w:r>
              <w:rPr>
                <w:spacing w:val="16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</w:p>
        </w:tc>
        <w:tc>
          <w:tcPr>
            <w:tcW w:w="868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86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ind w:left="155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79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53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ind w:left="155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913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ind w:left="96"/>
              <w:jc w:val="left"/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87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ind w:left="154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880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ind w:left="61"/>
              <w:jc w:val="left"/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8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</w:tr>
      <w:tr>
        <w:trPr>
          <w:trHeight w:val="465" w:hRule="atLeast"/>
        </w:trPr>
        <w:tc>
          <w:tcPr>
            <w:tcW w:w="3960" w:type="dxa"/>
          </w:tcPr>
          <w:p>
            <w:pPr>
              <w:pStyle w:val="TableParagraph"/>
              <w:spacing w:line="208" w:lineRule="auto" w:before="28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Decrease (increase) in fair value of preferred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stock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warrants</w:t>
            </w:r>
            <w:r>
              <w:rPr>
                <w:spacing w:val="35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</w:p>
        </w:tc>
        <w:tc>
          <w:tcPr>
            <w:tcW w:w="868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155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79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154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880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38" w:type="dxa"/>
          </w:tcPr>
          <w:p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</w:tr>
      <w:tr>
        <w:trPr>
          <w:trHeight w:val="465" w:hRule="atLeast"/>
        </w:trPr>
        <w:tc>
          <w:tcPr>
            <w:tcW w:w="3960" w:type="dxa"/>
            <w:shd w:val="clear" w:color="auto" w:fill="CCEDFF"/>
          </w:tcPr>
          <w:p>
            <w:pPr>
              <w:pStyle w:val="TableParagraph"/>
              <w:spacing w:line="208" w:lineRule="auto" w:before="28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Decrease (increase) in fair value of loan facility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derivative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liability</w:t>
            </w:r>
            <w:r>
              <w:rPr>
                <w:spacing w:val="27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</w:p>
        </w:tc>
        <w:tc>
          <w:tcPr>
            <w:tcW w:w="868" w:type="dxa"/>
            <w:shd w:val="clear" w:color="auto" w:fill="CCEDFF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86" w:type="dxa"/>
            <w:shd w:val="clear" w:color="auto" w:fill="CCEDFF"/>
          </w:tcPr>
          <w:p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879" w:type="dxa"/>
            <w:shd w:val="clear" w:color="auto" w:fill="CCEDFF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53" w:type="dxa"/>
            <w:shd w:val="clear" w:color="auto" w:fill="CCEDFF"/>
          </w:tcPr>
          <w:p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913" w:type="dxa"/>
            <w:shd w:val="clear" w:color="auto" w:fill="CCEDFF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87" w:type="dxa"/>
            <w:shd w:val="clear" w:color="auto" w:fill="CCEDFF"/>
          </w:tcPr>
          <w:p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880" w:type="dxa"/>
            <w:shd w:val="clear" w:color="auto" w:fill="CCEDFF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38" w:type="dxa"/>
            <w:shd w:val="clear" w:color="auto" w:fill="CCEDFF"/>
          </w:tcPr>
          <w:p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(41)</w:t>
            </w:r>
          </w:p>
        </w:tc>
      </w:tr>
      <w:tr>
        <w:trPr>
          <w:trHeight w:val="260" w:hRule="atLeast"/>
        </w:trPr>
        <w:tc>
          <w:tcPr>
            <w:tcW w:w="3960" w:type="dxa"/>
          </w:tcPr>
          <w:p>
            <w:pPr>
              <w:pStyle w:val="TableParagraph"/>
              <w:spacing w:before="4"/>
              <w:ind w:left="28" w:right="35"/>
              <w:jc w:val="center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4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</w:t>
            </w:r>
          </w:p>
        </w:tc>
        <w:tc>
          <w:tcPr>
            <w:tcW w:w="868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10"/>
              <w:ind w:left="88"/>
              <w:jc w:val="left"/>
              <w:rPr>
                <w:sz w:val="20"/>
              </w:rPr>
            </w:pPr>
            <w:r>
              <w:rPr>
                <w:sz w:val="20"/>
              </w:rPr>
              <w:t>(52)</w:t>
            </w:r>
          </w:p>
        </w:tc>
        <w:tc>
          <w:tcPr>
            <w:tcW w:w="879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10"/>
              <w:ind w:left="155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13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10"/>
              <w:ind w:left="87"/>
              <w:jc w:val="left"/>
              <w:rPr>
                <w:sz w:val="20"/>
              </w:rPr>
            </w:pPr>
            <w:r>
              <w:rPr>
                <w:sz w:val="20"/>
              </w:rPr>
              <w:t>(87)</w:t>
            </w:r>
          </w:p>
        </w:tc>
        <w:tc>
          <w:tcPr>
            <w:tcW w:w="880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10"/>
              <w:ind w:left="185"/>
              <w:jc w:val="left"/>
              <w:rPr>
                <w:sz w:val="20"/>
              </w:rPr>
            </w:pPr>
            <w:r>
              <w:rPr>
                <w:sz w:val="20"/>
              </w:rPr>
              <w:t>(9)</w:t>
            </w:r>
          </w:p>
        </w:tc>
      </w:tr>
      <w:tr>
        <w:trPr>
          <w:trHeight w:val="455" w:hRule="atLeast"/>
        </w:trPr>
        <w:tc>
          <w:tcPr>
            <w:tcW w:w="3960" w:type="dxa"/>
            <w:shd w:val="clear" w:color="auto" w:fill="CCEDFF"/>
          </w:tcPr>
          <w:p>
            <w:pPr>
              <w:pStyle w:val="TableParagraph"/>
              <w:spacing w:line="208" w:lineRule="auto" w:before="19"/>
              <w:ind w:left="472" w:right="54" w:hanging="180"/>
              <w:jc w:val="left"/>
              <w:rPr>
                <w:sz w:val="20"/>
              </w:rPr>
            </w:pPr>
            <w:r>
              <w:rPr>
                <w:sz w:val="20"/>
              </w:rPr>
              <w:t>Total interest and other income (expense),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net</w:t>
            </w:r>
            <w:r>
              <w:rPr>
                <w:spacing w:val="18"/>
                <w:sz w:val="20"/>
              </w:rPr>
              <w:t> </w:t>
            </w:r>
            <w:r>
              <w:rPr>
                <w:color w:val="B3B3B3"/>
                <w:spacing w:val="-1"/>
                <w:sz w:val="20"/>
              </w:rPr>
              <w:t>...............................................................</w:t>
            </w:r>
          </w:p>
        </w:tc>
        <w:tc>
          <w:tcPr>
            <w:tcW w:w="868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870" w:val="left" w:leader="none"/>
              </w:tabs>
              <w:spacing w:before="195"/>
              <w:ind w:right="-58"/>
              <w:rPr>
                <w:sz w:val="20"/>
              </w:rPr>
            </w:pPr>
            <w:r>
              <w:rPr>
                <w:sz w:val="20"/>
                <w:u w:val="double"/>
              </w:rPr>
              <w:t>$</w:t>
              <w:tab/>
            </w:r>
          </w:p>
        </w:tc>
        <w:tc>
          <w:tcPr>
            <w:tcW w:w="486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195"/>
              <w:ind w:left="55" w:right="-72"/>
              <w:jc w:val="left"/>
              <w:rPr>
                <w:sz w:val="20"/>
              </w:rPr>
            </w:pPr>
            <w:r>
              <w:rPr>
                <w:sz w:val="20"/>
                <w:u w:val="double"/>
              </w:rPr>
              <w:t>163</w:t>
            </w:r>
            <w:r>
              <w:rPr>
                <w:spacing w:val="-6"/>
                <w:sz w:val="20"/>
                <w:u w:val="double"/>
              </w:rPr>
              <w:t> </w:t>
            </w:r>
          </w:p>
        </w:tc>
        <w:tc>
          <w:tcPr>
            <w:tcW w:w="879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870" w:val="left" w:leader="none"/>
              </w:tabs>
              <w:spacing w:before="195"/>
              <w:ind w:right="-58"/>
              <w:rPr>
                <w:sz w:val="20"/>
              </w:rPr>
            </w:pPr>
            <w:r>
              <w:rPr>
                <w:sz w:val="20"/>
                <w:u w:val="double"/>
              </w:rPr>
              <w:t>$</w:t>
              <w:tab/>
            </w:r>
          </w:p>
        </w:tc>
        <w:tc>
          <w:tcPr>
            <w:tcW w:w="453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195"/>
              <w:ind w:left="55" w:right="-101"/>
              <w:jc w:val="left"/>
              <w:rPr>
                <w:sz w:val="20"/>
              </w:rPr>
            </w:pPr>
            <w:r>
              <w:rPr>
                <w:sz w:val="20"/>
                <w:u w:val="double"/>
              </w:rPr>
              <w:t>357</w:t>
            </w:r>
            <w:r>
              <w:rPr>
                <w:spacing w:val="-6"/>
                <w:sz w:val="20"/>
                <w:u w:val="double"/>
              </w:rPr>
              <w:t> </w:t>
            </w:r>
          </w:p>
        </w:tc>
        <w:tc>
          <w:tcPr>
            <w:tcW w:w="913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870" w:val="left" w:leader="none"/>
              </w:tabs>
              <w:spacing w:before="195"/>
              <w:ind w:right="-58"/>
              <w:rPr>
                <w:sz w:val="20"/>
              </w:rPr>
            </w:pPr>
            <w:r>
              <w:rPr>
                <w:sz w:val="20"/>
                <w:u w:val="double"/>
              </w:rPr>
              <w:t>$</w:t>
              <w:tab/>
            </w:r>
          </w:p>
        </w:tc>
        <w:tc>
          <w:tcPr>
            <w:tcW w:w="487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195"/>
              <w:ind w:left="54" w:right="-72"/>
              <w:jc w:val="left"/>
              <w:rPr>
                <w:sz w:val="20"/>
              </w:rPr>
            </w:pPr>
            <w:r>
              <w:rPr>
                <w:sz w:val="20"/>
                <w:u w:val="double"/>
              </w:rPr>
              <w:t>198</w:t>
            </w:r>
            <w:r>
              <w:rPr>
                <w:spacing w:val="-6"/>
                <w:sz w:val="20"/>
                <w:u w:val="double"/>
              </w:rPr>
              <w:t> </w:t>
            </w:r>
          </w:p>
        </w:tc>
        <w:tc>
          <w:tcPr>
            <w:tcW w:w="880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932" w:val="left" w:leader="none"/>
              </w:tabs>
              <w:spacing w:before="195"/>
              <w:ind w:left="61" w:right="-58"/>
              <w:jc w:val="left"/>
              <w:rPr>
                <w:sz w:val="20"/>
              </w:rPr>
            </w:pPr>
            <w:r>
              <w:rPr>
                <w:sz w:val="20"/>
                <w:u w:val="double"/>
              </w:rPr>
              <w:t>$</w:t>
              <w:tab/>
            </w:r>
          </w:p>
        </w:tc>
        <w:tc>
          <w:tcPr>
            <w:tcW w:w="438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195"/>
              <w:ind w:left="52"/>
              <w:jc w:val="left"/>
              <w:rPr>
                <w:sz w:val="20"/>
              </w:rPr>
            </w:pPr>
            <w:r>
              <w:rPr>
                <w:sz w:val="20"/>
                <w:u w:val="double"/>
              </w:rPr>
              <w:t>344</w:t>
            </w:r>
          </w:p>
        </w:tc>
      </w:tr>
    </w:tbl>
    <w:p>
      <w:pPr>
        <w:pStyle w:val="BodyText"/>
        <w:spacing w:before="0"/>
        <w:ind w:left="0" w:firstLine="0"/>
        <w:rPr>
          <w:b/>
          <w:sz w:val="19"/>
        </w:rPr>
      </w:pPr>
    </w:p>
    <w:p>
      <w:pPr>
        <w:pStyle w:val="Heading2"/>
        <w:numPr>
          <w:ilvl w:val="0"/>
          <w:numId w:val="4"/>
        </w:numPr>
        <w:tabs>
          <w:tab w:pos="819" w:val="left" w:leader="none"/>
          <w:tab w:pos="820" w:val="left" w:leader="none"/>
        </w:tabs>
        <w:spacing w:line="240" w:lineRule="auto" w:before="0" w:after="0"/>
        <w:ind w:left="820" w:right="0" w:hanging="720"/>
        <w:jc w:val="left"/>
      </w:pPr>
      <w:bookmarkStart w:name="4. Intangible Assets " w:id="23"/>
      <w:bookmarkEnd w:id="23"/>
      <w:r>
        <w:rPr>
          <w:b w:val="0"/>
        </w:rPr>
      </w:r>
      <w:bookmarkStart w:name="4. Intangible Assets " w:id="24"/>
      <w:bookmarkEnd w:id="24"/>
      <w:r>
        <w:rPr/>
        <w:t>I</w:t>
      </w:r>
      <w:r>
        <w:rPr/>
        <w:t>ntangible</w:t>
      </w:r>
      <w:r>
        <w:rPr>
          <w:spacing w:val="-11"/>
        </w:rPr>
        <w:t> </w:t>
      </w:r>
      <w:r>
        <w:rPr/>
        <w:t>Assets</w:t>
      </w:r>
    </w:p>
    <w:p>
      <w:pPr>
        <w:pStyle w:val="BodyText"/>
        <w:spacing w:line="249" w:lineRule="auto" w:before="193"/>
        <w:ind w:right="122"/>
      </w:pPr>
      <w:r>
        <w:rPr/>
        <w:t>In</w:t>
      </w:r>
      <w:r>
        <w:rPr>
          <w:spacing w:val="-3"/>
        </w:rPr>
        <w:t> </w:t>
      </w:r>
      <w:r>
        <w:rPr/>
        <w:t>March</w:t>
      </w:r>
      <w:r>
        <w:rPr>
          <w:spacing w:val="-3"/>
        </w:rPr>
        <w:t> </w:t>
      </w:r>
      <w:r>
        <w:rPr/>
        <w:t>2019,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Company</w:t>
      </w:r>
      <w:r>
        <w:rPr>
          <w:spacing w:val="-3"/>
        </w:rPr>
        <w:t> </w:t>
      </w:r>
      <w:r>
        <w:rPr/>
        <w:t>entered</w:t>
      </w:r>
      <w:r>
        <w:rPr>
          <w:spacing w:val="-2"/>
        </w:rPr>
        <w:t> </w:t>
      </w:r>
      <w:r>
        <w:rPr/>
        <w:t>into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license</w:t>
      </w:r>
      <w:r>
        <w:rPr>
          <w:spacing w:val="-4"/>
        </w:rPr>
        <w:t> </w:t>
      </w:r>
      <w:r>
        <w:rPr/>
        <w:t>agreement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HydroCision,</w:t>
      </w:r>
      <w:r>
        <w:rPr>
          <w:spacing w:val="-2"/>
        </w:rPr>
        <w:t> </w:t>
      </w:r>
      <w:r>
        <w:rPr/>
        <w:t>Inc.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agreement</w:t>
      </w:r>
      <w:r>
        <w:rPr>
          <w:spacing w:val="-4"/>
        </w:rPr>
        <w:t> </w:t>
      </w:r>
      <w:r>
        <w:rPr/>
        <w:t>grants</w:t>
      </w:r>
      <w:r>
        <w:rPr>
          <w:spacing w:val="-3"/>
        </w:rPr>
        <w:t> </w:t>
      </w:r>
      <w:r>
        <w:rPr/>
        <w:t>the</w:t>
      </w:r>
      <w:r>
        <w:rPr>
          <w:spacing w:val="-47"/>
        </w:rPr>
        <w:t> </w:t>
      </w:r>
      <w:r>
        <w:rPr/>
        <w:t>Company an exclusive, perpetual, irrevocable, worldwide, fully paid-up license to develop, manufacture and</w:t>
      </w:r>
      <w:r>
        <w:rPr>
          <w:spacing w:val="1"/>
        </w:rPr>
        <w:t> </w:t>
      </w:r>
      <w:r>
        <w:rPr/>
        <w:t>commercialize products in the field of urology using the patented technology and know-how controlled by</w:t>
      </w:r>
      <w:r>
        <w:rPr>
          <w:spacing w:val="1"/>
        </w:rPr>
        <w:t> </w:t>
      </w:r>
      <w:r>
        <w:rPr/>
        <w:t>HydroCision as of the effective date and as well as new patented technology developed by HydroCision that cover</w:t>
      </w:r>
      <w:r>
        <w:rPr>
          <w:spacing w:val="1"/>
        </w:rPr>
        <w:t> </w:t>
      </w:r>
      <w:r>
        <w:rPr/>
        <w:t>certain activities and improvements that relate to the use of fluid jet technology in connection with the licensed</w:t>
      </w:r>
      <w:r>
        <w:rPr>
          <w:spacing w:val="1"/>
        </w:rPr>
        <w:t> </w:t>
      </w:r>
      <w:r>
        <w:rPr/>
        <w:t>products during the period commencing on the effective date and ending on the earlier of the date that the Company</w:t>
      </w:r>
      <w:r>
        <w:rPr>
          <w:spacing w:val="1"/>
        </w:rPr>
        <w:t> </w:t>
      </w:r>
      <w:r>
        <w:rPr/>
        <w:t>ceases to use HydroCision’s existing contract manufacturers and the third anniversary of the effective date. Also</w:t>
      </w:r>
      <w:r>
        <w:rPr>
          <w:spacing w:val="1"/>
        </w:rPr>
        <w:t> </w:t>
      </w:r>
      <w:r>
        <w:rPr/>
        <w:t>included is the right to utilize HydroCision’s contract manufacturers, if desired. The consideration paid was a one-</w:t>
      </w:r>
      <w:r>
        <w:rPr>
          <w:spacing w:val="1"/>
        </w:rPr>
        <w:t> </w:t>
      </w:r>
      <w:r>
        <w:rPr/>
        <w:t>time upfront</w:t>
      </w:r>
      <w:r>
        <w:rPr>
          <w:spacing w:val="1"/>
        </w:rPr>
        <w:t> </w:t>
      </w:r>
      <w:r>
        <w:rPr/>
        <w:t>payment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$2.5</w:t>
      </w:r>
      <w:r>
        <w:rPr>
          <w:spacing w:val="2"/>
        </w:rPr>
        <w:t> </w:t>
      </w:r>
      <w:r>
        <w:rPr/>
        <w:t>million,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well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allowing</w:t>
      </w:r>
      <w:r>
        <w:rPr>
          <w:spacing w:val="2"/>
        </w:rPr>
        <w:t> </w:t>
      </w:r>
      <w:r>
        <w:rPr/>
        <w:t>HydroCision</w:t>
      </w:r>
      <w:r>
        <w:rPr>
          <w:spacing w:val="1"/>
        </w:rPr>
        <w:t> </w:t>
      </w:r>
      <w:r>
        <w:rPr/>
        <w:t>(a</w:t>
      </w:r>
      <w:r>
        <w:rPr>
          <w:spacing w:val="1"/>
        </w:rPr>
        <w:t> </w:t>
      </w:r>
      <w:r>
        <w:rPr/>
        <w:t>reciprocal</w:t>
      </w:r>
      <w:r>
        <w:rPr>
          <w:spacing w:val="1"/>
        </w:rPr>
        <w:t> </w:t>
      </w:r>
      <w:r>
        <w:rPr/>
        <w:t>license)</w:t>
      </w:r>
      <w:r>
        <w:rPr>
          <w:spacing w:val="2"/>
        </w:rPr>
        <w:t> </w:t>
      </w:r>
      <w:r>
        <w:rPr/>
        <w:t>to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any</w:t>
      </w:r>
      <w:r>
        <w:rPr>
          <w:spacing w:val="2"/>
        </w:rPr>
        <w:t> </w:t>
      </w:r>
      <w:r>
        <w:rPr/>
        <w:t>new</w:t>
      </w:r>
      <w:r>
        <w:rPr>
          <w:spacing w:val="1"/>
        </w:rPr>
        <w:t> </w:t>
      </w:r>
      <w:r>
        <w:rPr/>
        <w:t>patented technology and know-how developed by the Company relating to the HydroCision patented technology and</w:t>
      </w:r>
      <w:r>
        <w:rPr>
          <w:spacing w:val="-47"/>
        </w:rPr>
        <w:t> </w:t>
      </w:r>
      <w:r>
        <w:rPr/>
        <w:t>know-how in the field of urology for HydroCision use outside the field of urology. HydroCision will pay for any</w:t>
      </w:r>
      <w:r>
        <w:rPr>
          <w:spacing w:val="1"/>
        </w:rPr>
        <w:t> </w:t>
      </w:r>
      <w:r>
        <w:rPr/>
        <w:t>patent maintenance fees on HydroCision’s licensed patents. As of September 30, 2021 and December 31, 2020,</w:t>
      </w:r>
      <w:r>
        <w:rPr>
          <w:spacing w:val="1"/>
        </w:rPr>
        <w:t> </w:t>
      </w:r>
      <w:r>
        <w:rPr/>
        <w:t>accumulated</w:t>
      </w:r>
      <w:r>
        <w:rPr>
          <w:spacing w:val="1"/>
        </w:rPr>
        <w:t> </w:t>
      </w:r>
      <w:r>
        <w:rPr/>
        <w:t>amortization</w:t>
      </w:r>
      <w:r>
        <w:rPr>
          <w:spacing w:val="2"/>
        </w:rPr>
        <w:t> </w:t>
      </w:r>
      <w:r>
        <w:rPr/>
        <w:t>was</w:t>
      </w:r>
      <w:r>
        <w:rPr>
          <w:spacing w:val="1"/>
        </w:rPr>
        <w:t> </w:t>
      </w:r>
      <w:r>
        <w:rPr/>
        <w:t>$0.7</w:t>
      </w:r>
      <w:r>
        <w:rPr>
          <w:spacing w:val="2"/>
        </w:rPr>
        <w:t> </w:t>
      </w:r>
      <w:r>
        <w:rPr/>
        <w:t>million</w:t>
      </w:r>
      <w:r>
        <w:rPr>
          <w:spacing w:val="1"/>
        </w:rPr>
        <w:t> </w:t>
      </w:r>
      <w:r>
        <w:rPr/>
        <w:t>and</w:t>
      </w:r>
      <w:r>
        <w:rPr>
          <w:spacing w:val="2"/>
        </w:rPr>
        <w:t> </w:t>
      </w:r>
      <w:r>
        <w:rPr/>
        <w:t>$0.5</w:t>
      </w:r>
      <w:r>
        <w:rPr>
          <w:spacing w:val="2"/>
        </w:rPr>
        <w:t> </w:t>
      </w:r>
      <w:r>
        <w:rPr/>
        <w:t>million,</w:t>
      </w:r>
      <w:r>
        <w:rPr>
          <w:spacing w:val="2"/>
        </w:rPr>
        <w:t> </w:t>
      </w:r>
      <w:r>
        <w:rPr/>
        <w:t>respectively,</w:t>
      </w:r>
      <w:r>
        <w:rPr>
          <w:spacing w:val="1"/>
        </w:rPr>
        <w:t> </w:t>
      </w:r>
      <w:r>
        <w:rPr/>
        <w:t>and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net</w:t>
      </w:r>
      <w:r>
        <w:rPr>
          <w:spacing w:val="1"/>
        </w:rPr>
        <w:t> </w:t>
      </w:r>
      <w:r>
        <w:rPr/>
        <w:t>carrying</w:t>
      </w:r>
      <w:r>
        <w:rPr>
          <w:spacing w:val="2"/>
        </w:rPr>
        <w:t> </w:t>
      </w:r>
      <w:r>
        <w:rPr/>
        <w:t>amount is</w:t>
      </w:r>
      <w:r>
        <w:rPr>
          <w:spacing w:val="1"/>
        </w:rPr>
        <w:t> </w:t>
      </w:r>
      <w:r>
        <w:rPr/>
        <w:t>expected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amortized at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rate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$0.3 million per</w:t>
      </w:r>
      <w:r>
        <w:rPr>
          <w:spacing w:val="-1"/>
        </w:rPr>
        <w:t> </w:t>
      </w:r>
      <w:r>
        <w:rPr/>
        <w:t>year until</w:t>
      </w:r>
      <w:r>
        <w:rPr>
          <w:spacing w:val="-1"/>
        </w:rPr>
        <w:t> </w:t>
      </w:r>
      <w:r>
        <w:rPr/>
        <w:t>fully</w:t>
      </w:r>
      <w:r>
        <w:rPr>
          <w:spacing w:val="-1"/>
        </w:rPr>
        <w:t> </w:t>
      </w:r>
      <w:r>
        <w:rPr/>
        <w:t>amortized.</w:t>
      </w:r>
    </w:p>
    <w:p>
      <w:pPr>
        <w:pStyle w:val="BodyText"/>
        <w:spacing w:line="249" w:lineRule="auto" w:before="192"/>
        <w:ind w:right="180"/>
      </w:pPr>
      <w:r>
        <w:rPr/>
        <w:t>Amortization</w:t>
      </w:r>
      <w:r>
        <w:rPr>
          <w:spacing w:val="-3"/>
        </w:rPr>
        <w:t> </w:t>
      </w:r>
      <w:r>
        <w:rPr/>
        <w:t>expense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intangible</w:t>
      </w:r>
      <w:r>
        <w:rPr>
          <w:spacing w:val="-4"/>
        </w:rPr>
        <w:t> </w:t>
      </w:r>
      <w:r>
        <w:rPr/>
        <w:t>assets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$0.1</w:t>
      </w:r>
      <w:r>
        <w:rPr>
          <w:spacing w:val="-3"/>
        </w:rPr>
        <w:t> </w:t>
      </w:r>
      <w:r>
        <w:rPr/>
        <w:t>million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each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three</w:t>
      </w:r>
      <w:r>
        <w:rPr>
          <w:spacing w:val="-3"/>
        </w:rPr>
        <w:t> </w:t>
      </w:r>
      <w:r>
        <w:rPr/>
        <w:t>months</w:t>
      </w:r>
      <w:r>
        <w:rPr>
          <w:spacing w:val="-4"/>
        </w:rPr>
        <w:t> </w:t>
      </w:r>
      <w:r>
        <w:rPr/>
        <w:t>ended</w:t>
      </w:r>
      <w:r>
        <w:rPr>
          <w:spacing w:val="-2"/>
        </w:rPr>
        <w:t> </w:t>
      </w:r>
      <w:r>
        <w:rPr/>
        <w:t>September</w:t>
      </w:r>
      <w:r>
        <w:rPr>
          <w:spacing w:val="-3"/>
        </w:rPr>
        <w:t> </w:t>
      </w:r>
      <w:r>
        <w:rPr/>
        <w:t>30,</w:t>
      </w:r>
      <w:r>
        <w:rPr>
          <w:spacing w:val="-47"/>
        </w:rPr>
        <w:t> </w:t>
      </w:r>
      <w:r>
        <w:rPr/>
        <w:t>2021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2020, and</w:t>
      </w:r>
      <w:r>
        <w:rPr>
          <w:spacing w:val="-1"/>
        </w:rPr>
        <w:t> </w:t>
      </w:r>
      <w:r>
        <w:rPr/>
        <w:t>$0.2 million</w:t>
      </w:r>
      <w:r>
        <w:rPr>
          <w:spacing w:val="-1"/>
        </w:rPr>
        <w:t> </w:t>
      </w:r>
      <w:r>
        <w:rPr/>
        <w:t>for each</w:t>
      </w:r>
      <w:r>
        <w:rPr>
          <w:spacing w:val="-1"/>
        </w:rPr>
        <w:t> </w:t>
      </w:r>
      <w:r>
        <w:rPr/>
        <w:t>of the</w:t>
      </w:r>
      <w:r>
        <w:rPr>
          <w:spacing w:val="-2"/>
        </w:rPr>
        <w:t> </w:t>
      </w:r>
      <w:r>
        <w:rPr/>
        <w:t>nine</w:t>
      </w:r>
      <w:r>
        <w:rPr>
          <w:spacing w:val="-1"/>
        </w:rPr>
        <w:t> </w:t>
      </w:r>
      <w:r>
        <w:rPr/>
        <w:t>months</w:t>
      </w:r>
      <w:r>
        <w:rPr>
          <w:spacing w:val="-2"/>
        </w:rPr>
        <w:t> </w:t>
      </w:r>
      <w:r>
        <w:rPr/>
        <w:t>ended September</w:t>
      </w:r>
      <w:r>
        <w:rPr>
          <w:spacing w:val="-1"/>
        </w:rPr>
        <w:t> </w:t>
      </w:r>
      <w:r>
        <w:rPr/>
        <w:t>30, 2021</w:t>
      </w:r>
      <w:r>
        <w:rPr>
          <w:spacing w:val="-1"/>
        </w:rPr>
        <w:t> </w:t>
      </w:r>
      <w:r>
        <w:rPr/>
        <w:t>and 2020.</w:t>
      </w:r>
    </w:p>
    <w:p>
      <w:pPr>
        <w:pStyle w:val="Heading2"/>
        <w:numPr>
          <w:ilvl w:val="0"/>
          <w:numId w:val="4"/>
        </w:numPr>
        <w:tabs>
          <w:tab w:pos="819" w:val="left" w:leader="none"/>
          <w:tab w:pos="820" w:val="left" w:leader="none"/>
        </w:tabs>
        <w:spacing w:line="240" w:lineRule="auto" w:before="178" w:after="0"/>
        <w:ind w:left="820" w:right="0" w:hanging="720"/>
        <w:jc w:val="left"/>
      </w:pPr>
      <w:bookmarkStart w:name="5. Loan Facility " w:id="25"/>
      <w:bookmarkEnd w:id="25"/>
      <w:r>
        <w:rPr>
          <w:b w:val="0"/>
        </w:rPr>
      </w:r>
      <w:bookmarkStart w:name="5. Loan Facility " w:id="26"/>
      <w:bookmarkEnd w:id="26"/>
      <w:r>
        <w:rPr/>
        <w:t>L</w:t>
      </w:r>
      <w:r>
        <w:rPr/>
        <w:t>oan</w:t>
      </w:r>
      <w:r>
        <w:rPr>
          <w:spacing w:val="-7"/>
        </w:rPr>
        <w:t> </w:t>
      </w:r>
      <w:r>
        <w:rPr/>
        <w:t>Facility</w:t>
      </w:r>
    </w:p>
    <w:p>
      <w:pPr>
        <w:pStyle w:val="BodyText"/>
        <w:spacing w:before="193"/>
        <w:ind w:left="460" w:firstLine="0"/>
      </w:pPr>
      <w:r>
        <w:rPr/>
        <w:t>In</w:t>
      </w:r>
      <w:r>
        <w:rPr>
          <w:spacing w:val="-3"/>
        </w:rPr>
        <w:t> </w:t>
      </w:r>
      <w:r>
        <w:rPr/>
        <w:t>September</w:t>
      </w:r>
      <w:r>
        <w:rPr>
          <w:spacing w:val="-2"/>
        </w:rPr>
        <w:t> </w:t>
      </w:r>
      <w:r>
        <w:rPr/>
        <w:t>2019,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Company</w:t>
      </w:r>
      <w:r>
        <w:rPr>
          <w:spacing w:val="-3"/>
        </w:rPr>
        <w:t> </w:t>
      </w:r>
      <w:r>
        <w:rPr/>
        <w:t>entered</w:t>
      </w:r>
      <w:r>
        <w:rPr>
          <w:spacing w:val="-2"/>
        </w:rPr>
        <w:t> </w:t>
      </w:r>
      <w:r>
        <w:rPr/>
        <w:t>into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loan</w:t>
      </w:r>
      <w:r>
        <w:rPr>
          <w:spacing w:val="-2"/>
        </w:rPr>
        <w:t> </w:t>
      </w:r>
      <w:r>
        <w:rPr/>
        <w:t>facility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up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$75</w:t>
      </w:r>
      <w:r>
        <w:rPr>
          <w:spacing w:val="-3"/>
        </w:rPr>
        <w:t> </w:t>
      </w:r>
      <w:r>
        <w:rPr/>
        <w:t>million</w:t>
      </w:r>
      <w:r>
        <w:rPr>
          <w:spacing w:val="-2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four</w:t>
      </w:r>
      <w:r>
        <w:rPr>
          <w:spacing w:val="-2"/>
        </w:rPr>
        <w:t> </w:t>
      </w:r>
      <w:r>
        <w:rPr/>
        <w:t>installments.</w:t>
      </w:r>
    </w:p>
    <w:p>
      <w:pPr>
        <w:pStyle w:val="BodyText"/>
        <w:spacing w:line="249" w:lineRule="auto" w:before="10"/>
        <w:ind w:right="339" w:firstLine="0"/>
      </w:pPr>
      <w:r>
        <w:rPr/>
        <w:t>The Company borrowed $25 million in September 2019. An additional $25 million was borrowed in March 2020.</w:t>
      </w:r>
      <w:r>
        <w:rPr>
          <w:spacing w:val="-47"/>
        </w:rPr>
        <w:t> </w:t>
      </w:r>
      <w:r>
        <w:rPr/>
        <w:t>The third installment of $10 million was originally available for draw through March 31, 2021 contingent upon</w:t>
      </w:r>
      <w:r>
        <w:rPr>
          <w:spacing w:val="1"/>
        </w:rPr>
        <w:t> </w:t>
      </w:r>
      <w:r>
        <w:rPr/>
        <w:t>achieving $20 million in trailing six months revenue. In January 2021, the third installment was amended to be</w:t>
      </w:r>
      <w:r>
        <w:rPr>
          <w:spacing w:val="1"/>
        </w:rPr>
        <w:t> </w:t>
      </w:r>
      <w:r>
        <w:rPr/>
        <w:t>available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draw</w:t>
      </w:r>
      <w:r>
        <w:rPr>
          <w:spacing w:val="-3"/>
        </w:rPr>
        <w:t> </w:t>
      </w:r>
      <w:r>
        <w:rPr/>
        <w:t>through</w:t>
      </w:r>
      <w:r>
        <w:rPr>
          <w:spacing w:val="-2"/>
        </w:rPr>
        <w:t> </w:t>
      </w:r>
      <w:r>
        <w:rPr/>
        <w:t>June</w:t>
      </w:r>
      <w:r>
        <w:rPr>
          <w:spacing w:val="-3"/>
        </w:rPr>
        <w:t> </w:t>
      </w:r>
      <w:r>
        <w:rPr/>
        <w:t>30,</w:t>
      </w:r>
      <w:r>
        <w:rPr>
          <w:spacing w:val="-2"/>
        </w:rPr>
        <w:t> </w:t>
      </w:r>
      <w:r>
        <w:rPr/>
        <w:t>2021</w:t>
      </w:r>
      <w:r>
        <w:rPr>
          <w:spacing w:val="-3"/>
        </w:rPr>
        <w:t> </w:t>
      </w:r>
      <w:r>
        <w:rPr/>
        <w:t>contingent</w:t>
      </w:r>
      <w:r>
        <w:rPr>
          <w:spacing w:val="-3"/>
        </w:rPr>
        <w:t> </w:t>
      </w:r>
      <w:r>
        <w:rPr/>
        <w:t>upon</w:t>
      </w:r>
      <w:r>
        <w:rPr>
          <w:spacing w:val="-2"/>
        </w:rPr>
        <w:t> </w:t>
      </w:r>
      <w:r>
        <w:rPr/>
        <w:t>achieving</w:t>
      </w:r>
      <w:r>
        <w:rPr>
          <w:spacing w:val="-2"/>
        </w:rPr>
        <w:t> </w:t>
      </w:r>
      <w:r>
        <w:rPr/>
        <w:t>$6.4</w:t>
      </w:r>
      <w:r>
        <w:rPr>
          <w:spacing w:val="-2"/>
        </w:rPr>
        <w:t> </w:t>
      </w:r>
      <w:r>
        <w:rPr/>
        <w:t>million</w:t>
      </w:r>
      <w:r>
        <w:rPr>
          <w:spacing w:val="-2"/>
        </w:rPr>
        <w:t> </w:t>
      </w:r>
      <w:r>
        <w:rPr/>
        <w:t>trailing</w:t>
      </w:r>
      <w:r>
        <w:rPr>
          <w:spacing w:val="-2"/>
        </w:rPr>
        <w:t> </w:t>
      </w:r>
      <w:r>
        <w:rPr/>
        <w:t>six</w:t>
      </w:r>
      <w:r>
        <w:rPr>
          <w:spacing w:val="-3"/>
        </w:rPr>
        <w:t> </w:t>
      </w:r>
      <w:r>
        <w:rPr/>
        <w:t>months</w:t>
      </w:r>
      <w:r>
        <w:rPr>
          <w:spacing w:val="-3"/>
        </w:rPr>
        <w:t> </w:t>
      </w:r>
      <w:r>
        <w:rPr/>
        <w:t>revenue.</w:t>
      </w:r>
      <w:r>
        <w:rPr>
          <w:spacing w:val="-2"/>
        </w:rPr>
        <w:t> </w:t>
      </w:r>
      <w:r>
        <w:rPr/>
        <w:t>The</w:t>
      </w:r>
      <w:r>
        <w:rPr>
          <w:spacing w:val="-47"/>
        </w:rPr>
        <w:t> </w:t>
      </w:r>
      <w:r>
        <w:rPr/>
        <w:t>remaining</w:t>
      </w:r>
      <w:r>
        <w:rPr>
          <w:spacing w:val="-2"/>
        </w:rPr>
        <w:t> </w:t>
      </w:r>
      <w:r>
        <w:rPr/>
        <w:t>$15</w:t>
      </w:r>
      <w:r>
        <w:rPr>
          <w:spacing w:val="-2"/>
        </w:rPr>
        <w:t> </w:t>
      </w:r>
      <w:r>
        <w:rPr/>
        <w:t>million</w:t>
      </w:r>
      <w:r>
        <w:rPr>
          <w:spacing w:val="-2"/>
        </w:rPr>
        <w:t> </w:t>
      </w:r>
      <w:r>
        <w:rPr/>
        <w:t>was</w:t>
      </w:r>
      <w:r>
        <w:rPr>
          <w:spacing w:val="-3"/>
        </w:rPr>
        <w:t> </w:t>
      </w:r>
      <w:r>
        <w:rPr/>
        <w:t>originally</w:t>
      </w:r>
      <w:r>
        <w:rPr>
          <w:spacing w:val="-2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draw</w:t>
      </w:r>
      <w:r>
        <w:rPr>
          <w:spacing w:val="-3"/>
        </w:rPr>
        <w:t> </w:t>
      </w:r>
      <w:r>
        <w:rPr/>
        <w:t>through</w:t>
      </w:r>
      <w:r>
        <w:rPr>
          <w:spacing w:val="-2"/>
        </w:rPr>
        <w:t> </w:t>
      </w:r>
      <w:r>
        <w:rPr/>
        <w:t>June</w:t>
      </w:r>
      <w:r>
        <w:rPr>
          <w:spacing w:val="-3"/>
        </w:rPr>
        <w:t> </w:t>
      </w:r>
      <w:r>
        <w:rPr/>
        <w:t>30,</w:t>
      </w:r>
      <w:r>
        <w:rPr>
          <w:spacing w:val="-2"/>
        </w:rPr>
        <w:t> </w:t>
      </w:r>
      <w:r>
        <w:rPr/>
        <w:t>2021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contingent</w:t>
      </w:r>
      <w:r>
        <w:rPr>
          <w:spacing w:val="-3"/>
        </w:rPr>
        <w:t> </w:t>
      </w:r>
      <w:r>
        <w:rPr/>
        <w:t>upon</w:t>
      </w:r>
      <w:r>
        <w:rPr>
          <w:spacing w:val="-2"/>
        </w:rPr>
        <w:t> </w:t>
      </w:r>
      <w:r>
        <w:rPr/>
        <w:t>achieving</w:t>
      </w:r>
    </w:p>
    <w:p>
      <w:pPr>
        <w:pStyle w:val="BodyText"/>
        <w:spacing w:line="249" w:lineRule="auto" w:before="4"/>
        <w:ind w:right="127" w:firstLine="0"/>
      </w:pPr>
      <w:r>
        <w:rPr/>
        <w:t>$25 million in trailing six months revenue. In January 2021, this installment was amended to be available for draw</w:t>
      </w:r>
      <w:r>
        <w:rPr>
          <w:spacing w:val="1"/>
        </w:rPr>
        <w:t> </w:t>
      </w:r>
      <w:r>
        <w:rPr/>
        <w:t>through June 30, 2022. The facility bears an interest rate of 9.37%, which is 7.17% plus the greater of 2.2% or 30-</w:t>
      </w:r>
      <w:r>
        <w:rPr>
          <w:spacing w:val="1"/>
        </w:rPr>
        <w:t> </w:t>
      </w:r>
      <w:r>
        <w:rPr/>
        <w:t>day LIBOR. The initial term of the facility is 60 months with interest-only payments each month for 24 months</w:t>
      </w:r>
      <w:r>
        <w:rPr>
          <w:spacing w:val="1"/>
        </w:rPr>
        <w:t> </w:t>
      </w:r>
      <w:r>
        <w:rPr/>
        <w:t>followed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36</w:t>
      </w:r>
      <w:r>
        <w:rPr>
          <w:spacing w:val="-2"/>
        </w:rPr>
        <w:t> </w:t>
      </w:r>
      <w:r>
        <w:rPr/>
        <w:t>months</w:t>
      </w:r>
      <w:r>
        <w:rPr>
          <w:spacing w:val="-4"/>
        </w:rPr>
        <w:t> </w:t>
      </w:r>
      <w:r>
        <w:rPr/>
        <w:t>amortization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principal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interest.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January</w:t>
      </w:r>
      <w:r>
        <w:rPr>
          <w:spacing w:val="-3"/>
        </w:rPr>
        <w:t> </w:t>
      </w:r>
      <w:r>
        <w:rPr/>
        <w:t>2021,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interest-only</w:t>
      </w:r>
      <w:r>
        <w:rPr>
          <w:spacing w:val="-3"/>
        </w:rPr>
        <w:t> </w:t>
      </w:r>
      <w:r>
        <w:rPr/>
        <w:t>period</w:t>
      </w:r>
      <w:r>
        <w:rPr>
          <w:spacing w:val="-2"/>
        </w:rPr>
        <w:t> </w:t>
      </w:r>
      <w:r>
        <w:rPr/>
        <w:t>was</w:t>
      </w:r>
      <w:r>
        <w:rPr>
          <w:spacing w:val="-4"/>
        </w:rPr>
        <w:t> </w:t>
      </w:r>
      <w:r>
        <w:rPr/>
        <w:t>amended</w:t>
      </w:r>
      <w:r>
        <w:rPr>
          <w:spacing w:val="-47"/>
        </w:rPr>
        <w:t> </w:t>
      </w:r>
      <w:r>
        <w:rPr/>
        <w:t>to 36 months followed by 24 months amortization (principal and interest) beginning October 1, 2022 since the</w:t>
      </w:r>
      <w:r>
        <w:rPr>
          <w:spacing w:val="1"/>
        </w:rPr>
        <w:t> </w:t>
      </w:r>
      <w:r>
        <w:rPr/>
        <w:t>amended trailing six months target revenue of $6.4 million was achieved, and accordingly, the current portion of the</w:t>
      </w:r>
      <w:r>
        <w:rPr>
          <w:spacing w:val="-47"/>
        </w:rPr>
        <w:t> </w:t>
      </w:r>
      <w:r>
        <w:rPr/>
        <w:t>amount due was reclassified to non-current. Upon drawing the final $15 million tranche, interest-only period is</w:t>
      </w:r>
      <w:r>
        <w:rPr>
          <w:spacing w:val="1"/>
        </w:rPr>
        <w:t> </w:t>
      </w:r>
      <w:r>
        <w:rPr/>
        <w:t>extended 12 months followed by 24 months amortization of principal and interest. Upon the completion of the</w:t>
      </w:r>
      <w:r>
        <w:rPr>
          <w:spacing w:val="1"/>
        </w:rPr>
        <w:t> </w:t>
      </w:r>
      <w:r>
        <w:rPr/>
        <w:t>Company</w:t>
      </w:r>
      <w:r>
        <w:rPr>
          <w:spacing w:val="-3"/>
        </w:rPr>
        <w:t> </w:t>
      </w:r>
      <w:r>
        <w:rPr/>
        <w:t>raising</w:t>
      </w:r>
      <w:r>
        <w:rPr>
          <w:spacing w:val="-3"/>
        </w:rPr>
        <w:t> </w:t>
      </w:r>
      <w:r>
        <w:rPr/>
        <w:t>over</w:t>
      </w:r>
      <w:r>
        <w:rPr>
          <w:spacing w:val="-3"/>
        </w:rPr>
        <w:t> </w:t>
      </w:r>
      <w:r>
        <w:rPr/>
        <w:t>$50</w:t>
      </w:r>
      <w:r>
        <w:rPr>
          <w:spacing w:val="-3"/>
        </w:rPr>
        <w:t> </w:t>
      </w:r>
      <w:r>
        <w:rPr/>
        <w:t>million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its</w:t>
      </w:r>
      <w:r>
        <w:rPr>
          <w:spacing w:val="-4"/>
        </w:rPr>
        <w:t> </w:t>
      </w:r>
      <w:r>
        <w:rPr/>
        <w:t>IPO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September</w:t>
      </w:r>
      <w:r>
        <w:rPr>
          <w:spacing w:val="-2"/>
        </w:rPr>
        <w:t> </w:t>
      </w:r>
      <w:r>
        <w:rPr/>
        <w:t>2021,</w:t>
      </w:r>
      <w:r>
        <w:rPr>
          <w:spacing w:val="-3"/>
        </w:rPr>
        <w:t> </w:t>
      </w:r>
      <w:r>
        <w:rPr/>
        <w:t>interest-only</w:t>
      </w:r>
      <w:r>
        <w:rPr>
          <w:spacing w:val="-3"/>
        </w:rPr>
        <w:t> </w:t>
      </w:r>
      <w:r>
        <w:rPr/>
        <w:t>payments</w:t>
      </w:r>
      <w:r>
        <w:rPr>
          <w:spacing w:val="-4"/>
        </w:rPr>
        <w:t> </w:t>
      </w:r>
      <w:r>
        <w:rPr/>
        <w:t>were</w:t>
      </w:r>
      <w:r>
        <w:rPr>
          <w:spacing w:val="-3"/>
        </w:rPr>
        <w:t> </w:t>
      </w:r>
      <w:r>
        <w:rPr/>
        <w:t>extended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additional</w:t>
      </w:r>
      <w:r>
        <w:rPr>
          <w:spacing w:val="-47"/>
        </w:rPr>
        <w:t> </w:t>
      </w:r>
      <w:r>
        <w:rPr/>
        <w:t>12 months followed by 12 months amortization of principal and interest. Substantially all assets of the Company are</w:t>
      </w:r>
      <w:r>
        <w:rPr>
          <w:spacing w:val="1"/>
        </w:rPr>
        <w:t> </w:t>
      </w:r>
      <w:r>
        <w:rPr/>
        <w:t>pledged as collateral. Commencing with the earlier of June 30, 2021 and the month following the funding of either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third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final installment,</w:t>
      </w:r>
      <w:r>
        <w:rPr>
          <w:spacing w:val="1"/>
        </w:rPr>
        <w:t> </w:t>
      </w:r>
      <w:r>
        <w:rPr/>
        <w:t>the Company is required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achieve revenues for</w:t>
      </w:r>
      <w:r>
        <w:rPr>
          <w:spacing w:val="1"/>
        </w:rPr>
        <w:t> </w:t>
      </w:r>
      <w:r>
        <w:rPr/>
        <w:t>the previous</w:t>
      </w:r>
      <w:r>
        <w:rPr>
          <w:spacing w:val="-1"/>
        </w:rPr>
        <w:t> </w:t>
      </w:r>
      <w:r>
        <w:rPr/>
        <w:t>six</w:t>
      </w:r>
      <w:r>
        <w:rPr>
          <w:spacing w:val="1"/>
        </w:rPr>
        <w:t> </w:t>
      </w:r>
      <w:r>
        <w:rPr/>
        <w:t>months ended</w:t>
      </w:r>
      <w:r>
        <w:rPr>
          <w:spacing w:val="1"/>
        </w:rPr>
        <w:t> </w:t>
      </w:r>
      <w:r>
        <w:rPr/>
        <w:t>equal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greater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(1)</w:t>
      </w:r>
      <w:r>
        <w:rPr>
          <w:spacing w:val="-1"/>
        </w:rPr>
        <w:t> </w:t>
      </w:r>
      <w:r>
        <w:rPr/>
        <w:t>70%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forecast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commensurate</w:t>
      </w:r>
      <w:r>
        <w:rPr>
          <w:spacing w:val="-2"/>
        </w:rPr>
        <w:t> </w:t>
      </w:r>
      <w:r>
        <w:rPr/>
        <w:t>period,</w:t>
      </w:r>
      <w:r>
        <w:rPr>
          <w:spacing w:val="-1"/>
        </w:rPr>
        <w:t> </w:t>
      </w:r>
      <w:r>
        <w:rPr/>
        <w:t>(2)</w:t>
      </w:r>
      <w:r>
        <w:rPr>
          <w:spacing w:val="-1"/>
        </w:rPr>
        <w:t> </w:t>
      </w:r>
      <w:r>
        <w:rPr/>
        <w:t>$15</w:t>
      </w:r>
      <w:r>
        <w:rPr>
          <w:spacing w:val="-1"/>
        </w:rPr>
        <w:t> </w:t>
      </w:r>
      <w:r>
        <w:rPr/>
        <w:t>million</w:t>
      </w:r>
      <w:r>
        <w:rPr>
          <w:spacing w:val="-1"/>
        </w:rPr>
        <w:t> </w:t>
      </w:r>
      <w:r>
        <w:rPr/>
        <w:t>if</w:t>
      </w:r>
      <w:r>
        <w:rPr>
          <w:spacing w:val="-1"/>
        </w:rPr>
        <w:t> </w:t>
      </w:r>
      <w:r>
        <w:rPr/>
        <w:t>neither</w:t>
      </w:r>
      <w:r>
        <w:rPr>
          <w:spacing w:val="-1"/>
        </w:rPr>
        <w:t> </w:t>
      </w:r>
      <w:r>
        <w:rPr/>
        <w:t>third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final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  <w:ind w:right="212" w:firstLine="0"/>
      </w:pPr>
      <w:r>
        <w:rPr/>
        <w:t>installments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been</w:t>
      </w:r>
      <w:r>
        <w:rPr>
          <w:spacing w:val="-2"/>
        </w:rPr>
        <w:t> </w:t>
      </w:r>
      <w:r>
        <w:rPr/>
        <w:t>drawn,</w:t>
      </w:r>
      <w:r>
        <w:rPr>
          <w:spacing w:val="-2"/>
        </w:rPr>
        <w:t> </w:t>
      </w:r>
      <w:r>
        <w:rPr/>
        <w:t>(3)</w:t>
      </w:r>
      <w:r>
        <w:rPr>
          <w:spacing w:val="-2"/>
        </w:rPr>
        <w:t> </w:t>
      </w:r>
      <w:r>
        <w:rPr/>
        <w:t>$20</w:t>
      </w:r>
      <w:r>
        <w:rPr>
          <w:spacing w:val="-2"/>
        </w:rPr>
        <w:t> </w:t>
      </w:r>
      <w:r>
        <w:rPr/>
        <w:t>million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third</w:t>
      </w:r>
      <w:r>
        <w:rPr>
          <w:spacing w:val="-2"/>
        </w:rPr>
        <w:t> </w:t>
      </w:r>
      <w:r>
        <w:rPr/>
        <w:t>but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final</w:t>
      </w:r>
      <w:r>
        <w:rPr>
          <w:spacing w:val="-3"/>
        </w:rPr>
        <w:t> </w:t>
      </w:r>
      <w:r>
        <w:rPr/>
        <w:t>installment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been</w:t>
      </w:r>
      <w:r>
        <w:rPr>
          <w:spacing w:val="-2"/>
        </w:rPr>
        <w:t> </w:t>
      </w:r>
      <w:r>
        <w:rPr/>
        <w:t>drawn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(4)</w:t>
      </w:r>
      <w:r>
        <w:rPr>
          <w:spacing w:val="-2"/>
        </w:rPr>
        <w:t> </w:t>
      </w:r>
      <w:r>
        <w:rPr/>
        <w:t>$25</w:t>
      </w:r>
      <w:r>
        <w:rPr>
          <w:spacing w:val="-47"/>
        </w:rPr>
        <w:t> </w:t>
      </w:r>
      <w:r>
        <w:rPr/>
        <w:t>million</w:t>
      </w:r>
      <w:r>
        <w:rPr>
          <w:spacing w:val="-1"/>
        </w:rPr>
        <w:t> </w:t>
      </w:r>
      <w:r>
        <w:rPr/>
        <w:t>if both the</w:t>
      </w:r>
      <w:r>
        <w:rPr>
          <w:spacing w:val="-2"/>
        </w:rPr>
        <w:t> </w:t>
      </w:r>
      <w:r>
        <w:rPr/>
        <w:t>third and final</w:t>
      </w:r>
      <w:r>
        <w:rPr>
          <w:spacing w:val="-2"/>
        </w:rPr>
        <w:t> </w:t>
      </w:r>
      <w:r>
        <w:rPr/>
        <w:t>installments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been</w:t>
      </w:r>
      <w:r>
        <w:rPr>
          <w:spacing w:val="-1"/>
        </w:rPr>
        <w:t> </w:t>
      </w:r>
      <w:r>
        <w:rPr/>
        <w:t>drawn.</w:t>
      </w:r>
    </w:p>
    <w:p>
      <w:pPr>
        <w:pStyle w:val="BodyText"/>
        <w:spacing w:line="249" w:lineRule="auto" w:before="181"/>
        <w:ind w:right="140"/>
      </w:pPr>
      <w:r>
        <w:rPr/>
        <w:t>The loan facility includes certain fees payable to the lender recorded as a loan discount that are accrued and</w:t>
      </w:r>
      <w:r>
        <w:rPr>
          <w:spacing w:val="1"/>
        </w:rPr>
        <w:t> </w:t>
      </w:r>
      <w:r>
        <w:rPr/>
        <w:t>amortized to interest expense during the loan term. A 6% final payment fee of each funded tranche is payable at the</w:t>
      </w:r>
      <w:r>
        <w:rPr>
          <w:spacing w:val="1"/>
        </w:rPr>
        <w:t> </w:t>
      </w:r>
      <w:r>
        <w:rPr/>
        <w:t>earlier of prepayment or loan maturity and a 0.25% facility fee paid at each funded tranche. A prepayment fee was</w:t>
      </w:r>
      <w:r>
        <w:rPr>
          <w:spacing w:val="1"/>
        </w:rPr>
        <w:t> </w:t>
      </w:r>
      <w:r>
        <w:rPr/>
        <w:t>originally payable if the loan is paid before maturity in the amount of 3% of loans outstanding if paid in full during</w:t>
      </w:r>
      <w:r>
        <w:rPr>
          <w:spacing w:val="1"/>
        </w:rPr>
        <w:t> </w:t>
      </w:r>
      <w:r>
        <w:rPr/>
        <w:t>first 12 months, 2% if loan is paid in full during second 12 months, or 1% if loan is paid in full thereafter before</w:t>
      </w:r>
      <w:r>
        <w:rPr>
          <w:spacing w:val="1"/>
        </w:rPr>
        <w:t> </w:t>
      </w:r>
      <w:r>
        <w:rPr/>
        <w:t>maturity. In January 2021, the prepayment fee was removed as part of the amendments. In addition, the Company</w:t>
      </w:r>
      <w:r>
        <w:rPr>
          <w:spacing w:val="1"/>
        </w:rPr>
        <w:t> </w:t>
      </w:r>
      <w:r>
        <w:rPr/>
        <w:t>should pay the lender’s loan initiation fees and a fee upon the earlier occurrence of a defined liquidity event,</w:t>
      </w:r>
      <w:r>
        <w:rPr>
          <w:spacing w:val="1"/>
        </w:rPr>
        <w:t> </w:t>
      </w:r>
      <w:r>
        <w:rPr/>
        <w:t>including but not limited to, a merger or sale of the Company’s assets or voting stock, or achieving a $200 million</w:t>
      </w:r>
      <w:r>
        <w:rPr>
          <w:spacing w:val="1"/>
        </w:rPr>
        <w:t> </w:t>
      </w:r>
      <w:r>
        <w:rPr/>
        <w:t>trailing twelve months revenue target, in each case, by September 2029</w:t>
      </w:r>
      <w:r>
        <w:rPr>
          <w:b/>
        </w:rPr>
        <w:t>. </w:t>
      </w:r>
      <w:r>
        <w:rPr/>
        <w:t>The success fees are calculated at the time</w:t>
      </w:r>
      <w:r>
        <w:rPr>
          <w:spacing w:val="1"/>
        </w:rPr>
        <w:t> </w:t>
      </w:r>
      <w:r>
        <w:rPr/>
        <w:t>of the liquidity event occurrence to be $1.0 million if only the first installment has been drawn, $2.0 million if the</w:t>
      </w:r>
      <w:r>
        <w:rPr>
          <w:spacing w:val="1"/>
        </w:rPr>
        <w:t> </w:t>
      </w:r>
      <w:r>
        <w:rPr/>
        <w:t>first</w:t>
      </w:r>
      <w:r>
        <w:rPr>
          <w:spacing w:val="-4"/>
        </w:rPr>
        <w:t> </w:t>
      </w:r>
      <w:r>
        <w:rPr/>
        <w:t>two</w:t>
      </w:r>
      <w:r>
        <w:rPr>
          <w:spacing w:val="-2"/>
        </w:rPr>
        <w:t> </w:t>
      </w:r>
      <w:r>
        <w:rPr/>
        <w:t>installments</w:t>
      </w:r>
      <w:r>
        <w:rPr>
          <w:spacing w:val="-4"/>
        </w:rPr>
        <w:t> </w:t>
      </w:r>
      <w:r>
        <w:rPr/>
        <w:t>have</w:t>
      </w:r>
      <w:r>
        <w:rPr>
          <w:spacing w:val="-3"/>
        </w:rPr>
        <w:t> </w:t>
      </w:r>
      <w:r>
        <w:rPr/>
        <w:t>been</w:t>
      </w:r>
      <w:r>
        <w:rPr>
          <w:spacing w:val="-3"/>
        </w:rPr>
        <w:t> </w:t>
      </w:r>
      <w:r>
        <w:rPr/>
        <w:t>drawn,</w:t>
      </w:r>
      <w:r>
        <w:rPr>
          <w:spacing w:val="-2"/>
        </w:rPr>
        <w:t> </w:t>
      </w:r>
      <w:r>
        <w:rPr/>
        <w:t>$2.4</w:t>
      </w:r>
      <w:r>
        <w:rPr>
          <w:spacing w:val="-3"/>
        </w:rPr>
        <w:t> </w:t>
      </w:r>
      <w:r>
        <w:rPr/>
        <w:t>million</w:t>
      </w:r>
      <w:r>
        <w:rPr>
          <w:spacing w:val="-2"/>
        </w:rPr>
        <w:t> </w:t>
      </w:r>
      <w:r>
        <w:rPr/>
        <w:t>if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first</w:t>
      </w:r>
      <w:r>
        <w:rPr>
          <w:spacing w:val="-3"/>
        </w:rPr>
        <w:t> </w:t>
      </w:r>
      <w:r>
        <w:rPr/>
        <w:t>three</w:t>
      </w:r>
      <w:r>
        <w:rPr>
          <w:spacing w:val="-4"/>
        </w:rPr>
        <w:t> </w:t>
      </w:r>
      <w:r>
        <w:rPr/>
        <w:t>installments</w:t>
      </w:r>
      <w:r>
        <w:rPr>
          <w:spacing w:val="-3"/>
        </w:rPr>
        <w:t> </w:t>
      </w:r>
      <w:r>
        <w:rPr/>
        <w:t>have</w:t>
      </w:r>
      <w:r>
        <w:rPr>
          <w:spacing w:val="-4"/>
        </w:rPr>
        <w:t> </w:t>
      </w:r>
      <w:r>
        <w:rPr/>
        <w:t>been</w:t>
      </w:r>
      <w:r>
        <w:rPr>
          <w:spacing w:val="-2"/>
        </w:rPr>
        <w:t> </w:t>
      </w:r>
      <w:r>
        <w:rPr/>
        <w:t>drawn,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$3.0</w:t>
      </w:r>
      <w:r>
        <w:rPr>
          <w:spacing w:val="-3"/>
        </w:rPr>
        <w:t> </w:t>
      </w:r>
      <w:r>
        <w:rPr/>
        <w:t>million</w:t>
      </w:r>
      <w:r>
        <w:rPr>
          <w:spacing w:val="-2"/>
        </w:rPr>
        <w:t> </w:t>
      </w:r>
      <w:r>
        <w:rPr/>
        <w:t>if</w:t>
      </w:r>
      <w:r>
        <w:rPr>
          <w:spacing w:val="-47"/>
        </w:rPr>
        <w:t> </w:t>
      </w:r>
      <w:r>
        <w:rPr/>
        <w:t>all four installments have been drawn, in each case, upon the occurrence of the defined liquidity event. The</w:t>
      </w:r>
      <w:r>
        <w:rPr>
          <w:spacing w:val="1"/>
        </w:rPr>
        <w:t> </w:t>
      </w:r>
      <w:r>
        <w:rPr/>
        <w:t>Company</w:t>
      </w:r>
      <w:r>
        <w:rPr>
          <w:spacing w:val="-2"/>
        </w:rPr>
        <w:t> </w:t>
      </w:r>
      <w:r>
        <w:rPr/>
        <w:t>determined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obligation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pay</w:t>
      </w:r>
      <w:r>
        <w:rPr>
          <w:spacing w:val="-1"/>
        </w:rPr>
        <w:t> </w:t>
      </w:r>
      <w:r>
        <w:rPr/>
        <w:t>success</w:t>
      </w:r>
      <w:r>
        <w:rPr>
          <w:spacing w:val="-3"/>
        </w:rPr>
        <w:t> </w:t>
      </w:r>
      <w:r>
        <w:rPr/>
        <w:t>fees</w:t>
      </w:r>
      <w:r>
        <w:rPr>
          <w:spacing w:val="-3"/>
        </w:rPr>
        <w:t> </w:t>
      </w:r>
      <w:r>
        <w:rPr/>
        <w:t>represents</w:t>
      </w:r>
      <w:r>
        <w:rPr>
          <w:spacing w:val="-2"/>
        </w:rPr>
        <w:t> </w:t>
      </w:r>
      <w:r>
        <w:rPr/>
        <w:t>freestanding</w:t>
      </w:r>
      <w:r>
        <w:rPr>
          <w:spacing w:val="-2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instruments.</w:t>
      </w:r>
    </w:p>
    <w:p>
      <w:pPr>
        <w:pStyle w:val="BodyText"/>
        <w:spacing w:line="249" w:lineRule="auto" w:before="191"/>
        <w:ind w:right="212"/>
      </w:pPr>
      <w:r>
        <w:rPr/>
        <w:t>The amendments in January 2021 were accounted for as a debt modification under ASC 470-50-40 as the</w:t>
      </w:r>
      <w:r>
        <w:rPr>
          <w:spacing w:val="1"/>
        </w:rPr>
        <w:t> </w:t>
      </w:r>
      <w:r>
        <w:rPr/>
        <w:t>changes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debt</w:t>
      </w:r>
      <w:r>
        <w:rPr>
          <w:spacing w:val="-3"/>
        </w:rPr>
        <w:t> </w:t>
      </w:r>
      <w:r>
        <w:rPr/>
        <w:t>terms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considered</w:t>
      </w:r>
      <w:r>
        <w:rPr>
          <w:spacing w:val="-2"/>
        </w:rPr>
        <w:t> </w:t>
      </w:r>
      <w:r>
        <w:rPr/>
        <w:t>substantial,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thus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gain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loss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recorded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new</w:t>
      </w:r>
      <w:r>
        <w:rPr>
          <w:spacing w:val="-3"/>
        </w:rPr>
        <w:t> </w:t>
      </w:r>
      <w:r>
        <w:rPr/>
        <w:t>effective</w:t>
      </w:r>
      <w:r>
        <w:rPr>
          <w:spacing w:val="-47"/>
        </w:rPr>
        <w:t> </w:t>
      </w:r>
      <w:r>
        <w:rPr/>
        <w:t>interest</w:t>
      </w:r>
      <w:r>
        <w:rPr>
          <w:spacing w:val="-2"/>
        </w:rPr>
        <w:t> </w:t>
      </w:r>
      <w:r>
        <w:rPr/>
        <w:t>rate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/>
        <w:t>established</w:t>
      </w:r>
      <w:r>
        <w:rPr>
          <w:spacing w:val="-1"/>
        </w:rPr>
        <w:t> </w:t>
      </w:r>
      <w:r>
        <w:rPr/>
        <w:t>based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carrying</w:t>
      </w:r>
      <w:r>
        <w:rPr>
          <w:spacing w:val="-1"/>
        </w:rPr>
        <w:t> </w:t>
      </w:r>
      <w:r>
        <w:rPr/>
        <w:t>value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loan</w:t>
      </w:r>
      <w:r>
        <w:rPr>
          <w:spacing w:val="-1"/>
        </w:rPr>
        <w:t> </w:t>
      </w:r>
      <w:r>
        <w:rPr/>
        <w:t>and the</w:t>
      </w:r>
      <w:r>
        <w:rPr>
          <w:spacing w:val="-2"/>
        </w:rPr>
        <w:t> </w:t>
      </w:r>
      <w:r>
        <w:rPr/>
        <w:t>revised</w:t>
      </w:r>
      <w:r>
        <w:rPr>
          <w:spacing w:val="-1"/>
        </w:rPr>
        <w:t> </w:t>
      </w:r>
      <w:r>
        <w:rPr/>
        <w:t>cash</w:t>
      </w:r>
      <w:r>
        <w:rPr>
          <w:spacing w:val="-1"/>
        </w:rPr>
        <w:t> </w:t>
      </w:r>
      <w:r>
        <w:rPr/>
        <w:t>flows.</w:t>
      </w:r>
    </w:p>
    <w:p>
      <w:pPr>
        <w:pStyle w:val="Heading2"/>
        <w:numPr>
          <w:ilvl w:val="0"/>
          <w:numId w:val="4"/>
        </w:numPr>
        <w:tabs>
          <w:tab w:pos="819" w:val="left" w:leader="none"/>
          <w:tab w:pos="820" w:val="left" w:leader="none"/>
        </w:tabs>
        <w:spacing w:line="240" w:lineRule="auto" w:before="179" w:after="0"/>
        <w:ind w:left="820" w:right="0" w:hanging="720"/>
        <w:jc w:val="left"/>
      </w:pPr>
      <w:bookmarkStart w:name="6. Redeemable Convertible Preferred Stoc" w:id="27"/>
      <w:bookmarkEnd w:id="27"/>
      <w:r>
        <w:rPr>
          <w:b w:val="0"/>
        </w:rPr>
      </w:r>
      <w:bookmarkStart w:name="6. Redeemable Convertible Preferred Stoc" w:id="28"/>
      <w:bookmarkEnd w:id="28"/>
      <w:r>
        <w:rPr/>
        <w:t>R</w:t>
      </w:r>
      <w:r>
        <w:rPr/>
        <w:t>edeemable</w:t>
      </w:r>
      <w:r>
        <w:rPr>
          <w:spacing w:val="-8"/>
        </w:rPr>
        <w:t> </w:t>
      </w:r>
      <w:r>
        <w:rPr/>
        <w:t>Convertible</w:t>
      </w:r>
      <w:r>
        <w:rPr>
          <w:spacing w:val="-7"/>
        </w:rPr>
        <w:t> </w:t>
      </w:r>
      <w:r>
        <w:rPr/>
        <w:t>Preferred</w:t>
      </w:r>
      <w:r>
        <w:rPr>
          <w:spacing w:val="-8"/>
        </w:rPr>
        <w:t> </w:t>
      </w:r>
      <w:r>
        <w:rPr/>
        <w:t>Stock</w:t>
      </w:r>
      <w:r>
        <w:rPr>
          <w:spacing w:val="-7"/>
        </w:rPr>
        <w:t> </w:t>
      </w:r>
      <w:r>
        <w:rPr/>
        <w:t>Warrant</w:t>
      </w:r>
      <w:r>
        <w:rPr>
          <w:spacing w:val="-6"/>
        </w:rPr>
        <w:t> </w:t>
      </w:r>
      <w:r>
        <w:rPr/>
        <w:t>Liability</w:t>
      </w:r>
    </w:p>
    <w:p>
      <w:pPr>
        <w:pStyle w:val="BodyText"/>
        <w:spacing w:line="249" w:lineRule="auto" w:before="193"/>
        <w:ind w:right="212"/>
      </w:pPr>
      <w:r>
        <w:rPr/>
        <w:t>Warrants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purchase</w:t>
      </w:r>
      <w:r>
        <w:rPr>
          <w:spacing w:val="-4"/>
        </w:rPr>
        <w:t> </w:t>
      </w:r>
      <w:r>
        <w:rPr/>
        <w:t>shares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redeemable</w:t>
      </w:r>
      <w:r>
        <w:rPr>
          <w:spacing w:val="-4"/>
        </w:rPr>
        <w:t> </w:t>
      </w:r>
      <w:r>
        <w:rPr/>
        <w:t>convertible</w:t>
      </w:r>
      <w:r>
        <w:rPr>
          <w:spacing w:val="-4"/>
        </w:rPr>
        <w:t> </w:t>
      </w:r>
      <w:r>
        <w:rPr/>
        <w:t>preferred</w:t>
      </w:r>
      <w:r>
        <w:rPr>
          <w:spacing w:val="-3"/>
        </w:rPr>
        <w:t> </w:t>
      </w:r>
      <w:r>
        <w:rPr/>
        <w:t>stock</w:t>
      </w:r>
      <w:r>
        <w:rPr>
          <w:spacing w:val="-3"/>
        </w:rPr>
        <w:t> </w:t>
      </w:r>
      <w:r>
        <w:rPr/>
        <w:t>outstanding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exercisable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as</w:t>
      </w:r>
      <w:r>
        <w:rPr>
          <w:spacing w:val="-47"/>
        </w:rPr>
        <w:t> </w:t>
      </w:r>
      <w:r>
        <w:rPr/>
        <w:t>follows</w:t>
      </w:r>
      <w:r>
        <w:rPr>
          <w:spacing w:val="-2"/>
        </w:rPr>
        <w:t> </w:t>
      </w:r>
      <w:r>
        <w:rPr/>
        <w:t>(in thousands, except</w:t>
      </w:r>
      <w:r>
        <w:rPr>
          <w:spacing w:val="-1"/>
        </w:rPr>
        <w:t> </w:t>
      </w:r>
      <w:r>
        <w:rPr/>
        <w:t>per share</w:t>
      </w:r>
      <w:r>
        <w:rPr>
          <w:spacing w:val="-1"/>
        </w:rPr>
        <w:t> </w:t>
      </w:r>
      <w:r>
        <w:rPr/>
        <w:t>data):</w:t>
      </w:r>
    </w:p>
    <w:p>
      <w:pPr>
        <w:pStyle w:val="BodyText"/>
        <w:spacing w:before="5"/>
        <w:ind w:left="0" w:firstLine="0"/>
        <w:rPr>
          <w:sz w:val="13"/>
        </w:rPr>
      </w:pPr>
    </w:p>
    <w:p>
      <w:pPr>
        <w:tabs>
          <w:tab w:pos="7008" w:val="left" w:leader="none"/>
        </w:tabs>
        <w:spacing w:before="95" w:after="30"/>
        <w:ind w:left="3841" w:right="0" w:firstLine="0"/>
        <w:jc w:val="left"/>
        <w:rPr>
          <w:b/>
          <w:sz w:val="14"/>
        </w:rPr>
      </w:pPr>
      <w:r>
        <w:rPr>
          <w:b/>
          <w:sz w:val="14"/>
        </w:rPr>
        <w:t>Shares</w:t>
      </w:r>
      <w:r>
        <w:rPr>
          <w:b/>
          <w:spacing w:val="-4"/>
          <w:sz w:val="14"/>
        </w:rPr>
        <w:t> </w:t>
      </w:r>
      <w:r>
        <w:rPr>
          <w:b/>
          <w:sz w:val="14"/>
        </w:rPr>
        <w:t>Outstanding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at</w:t>
        <w:tab/>
        <w:t>Fair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Value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at</w:t>
      </w: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0"/>
        <w:gridCol w:w="848"/>
        <w:gridCol w:w="921"/>
        <w:gridCol w:w="989"/>
        <w:gridCol w:w="989"/>
        <w:gridCol w:w="914"/>
        <w:gridCol w:w="989"/>
        <w:gridCol w:w="989"/>
      </w:tblGrid>
      <w:tr>
        <w:trPr>
          <w:trHeight w:val="230" w:hRule="atLeast"/>
        </w:trPr>
        <w:tc>
          <w:tcPr>
            <w:tcW w:w="16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Dates</w:t>
            </w:r>
          </w:p>
        </w:tc>
        <w:tc>
          <w:tcPr>
            <w:tcW w:w="84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line="131" w:lineRule="exact" w:before="79"/>
              <w:ind w:left="21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Exercise</w:t>
            </w:r>
          </w:p>
        </w:tc>
        <w:tc>
          <w:tcPr>
            <w:tcW w:w="9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9"/>
              <w:ind w:right="78"/>
              <w:rPr>
                <w:b/>
                <w:sz w:val="14"/>
              </w:rPr>
            </w:pPr>
            <w:r>
              <w:rPr>
                <w:b/>
                <w:sz w:val="14"/>
              </w:rPr>
              <w:t>September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30,</w:t>
            </w:r>
          </w:p>
        </w:tc>
        <w:tc>
          <w:tcPr>
            <w:tcW w:w="9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9"/>
              <w:ind w:right="67"/>
              <w:rPr>
                <w:b/>
                <w:sz w:val="14"/>
              </w:rPr>
            </w:pPr>
            <w:r>
              <w:rPr>
                <w:b/>
                <w:sz w:val="14"/>
              </w:rPr>
              <w:t>December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31,</w:t>
            </w:r>
          </w:p>
        </w:tc>
        <w:tc>
          <w:tcPr>
            <w:tcW w:w="914" w:type="dxa"/>
          </w:tcPr>
          <w:p>
            <w:pPr>
              <w:pStyle w:val="TableParagraph"/>
              <w:spacing w:line="131" w:lineRule="exact" w:before="79"/>
              <w:ind w:left="27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Initial</w:t>
            </w:r>
          </w:p>
        </w:tc>
        <w:tc>
          <w:tcPr>
            <w:tcW w:w="9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9"/>
              <w:ind w:left="23" w:right="4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September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30,</w:t>
            </w:r>
          </w:p>
        </w:tc>
        <w:tc>
          <w:tcPr>
            <w:tcW w:w="9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9"/>
              <w:ind w:left="82" w:right="4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December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31,</w:t>
            </w:r>
          </w:p>
        </w:tc>
      </w:tr>
      <w:tr>
        <w:trPr>
          <w:trHeight w:val="149" w:hRule="atLeast"/>
        </w:trPr>
        <w:tc>
          <w:tcPr>
            <w:tcW w:w="16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855" w:val="left" w:leader="none"/>
              </w:tabs>
              <w:spacing w:before="9"/>
              <w:ind w:left="6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Issuance</w:t>
              <w:tab/>
              <w:t>Expiration</w:t>
            </w:r>
          </w:p>
        </w:tc>
        <w:tc>
          <w:tcPr>
            <w:tcW w:w="84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30" w:lineRule="exact"/>
              <w:ind w:left="258" w:right="19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Series</w:t>
            </w:r>
          </w:p>
        </w:tc>
        <w:tc>
          <w:tcPr>
            <w:tcW w:w="9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30" w:lineRule="exact"/>
              <w:ind w:left="30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Price</w:t>
            </w:r>
          </w:p>
        </w:tc>
        <w:tc>
          <w:tcPr>
            <w:tcW w:w="9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30" w:lineRule="exact"/>
              <w:ind w:left="15" w:right="4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2021</w:t>
            </w:r>
          </w:p>
        </w:tc>
        <w:tc>
          <w:tcPr>
            <w:tcW w:w="9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30" w:lineRule="exact"/>
              <w:ind w:left="39" w:right="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2020</w:t>
            </w:r>
          </w:p>
        </w:tc>
        <w:tc>
          <w:tcPr>
            <w:tcW w:w="9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30" w:lineRule="exact"/>
              <w:ind w:left="28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Value</w:t>
            </w:r>
          </w:p>
        </w:tc>
        <w:tc>
          <w:tcPr>
            <w:tcW w:w="9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30" w:lineRule="exact"/>
              <w:ind w:left="21" w:right="4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2021</w:t>
            </w:r>
          </w:p>
        </w:tc>
        <w:tc>
          <w:tcPr>
            <w:tcW w:w="9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30" w:lineRule="exact"/>
              <w:ind w:left="82" w:right="4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2020</w:t>
            </w:r>
          </w:p>
        </w:tc>
      </w:tr>
      <w:tr>
        <w:trPr>
          <w:trHeight w:val="245" w:hRule="atLeast"/>
        </w:trPr>
        <w:tc>
          <w:tcPr>
            <w:tcW w:w="1650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206" w:lineRule="exact"/>
              <w:jc w:val="center"/>
              <w:rPr>
                <w:sz w:val="18"/>
              </w:rPr>
            </w:pPr>
            <w:r>
              <w:rPr>
                <w:sz w:val="18"/>
              </w:rPr>
              <w:t>Jun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2017  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Jun 2022</w:t>
            </w:r>
          </w:p>
        </w:tc>
        <w:tc>
          <w:tcPr>
            <w:tcW w:w="848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206" w:lineRule="exact"/>
              <w:ind w:left="67"/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921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206" w:lineRule="exact"/>
              <w:ind w:left="382"/>
              <w:jc w:val="left"/>
              <w:rPr>
                <w:sz w:val="18"/>
              </w:rPr>
            </w:pPr>
            <w:r>
              <w:rPr>
                <w:sz w:val="18"/>
              </w:rPr>
              <w:t>13.73</w:t>
            </w:r>
          </w:p>
        </w:tc>
        <w:tc>
          <w:tcPr>
            <w:tcW w:w="989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206" w:lineRule="exact"/>
              <w:ind w:right="100"/>
              <w:rPr>
                <w:sz w:val="18"/>
              </w:rPr>
            </w:pPr>
            <w:r>
              <w:rPr>
                <w:sz w:val="18"/>
              </w:rPr>
              <w:t>—</w:t>
            </w:r>
          </w:p>
        </w:tc>
        <w:tc>
          <w:tcPr>
            <w:tcW w:w="989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206" w:lineRule="exact"/>
              <w:ind w:right="69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914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206" w:lineRule="exact"/>
              <w:ind w:left="513"/>
              <w:jc w:val="left"/>
              <w:rPr>
                <w:sz w:val="18"/>
              </w:rPr>
            </w:pPr>
            <w:r>
              <w:rPr>
                <w:sz w:val="18"/>
              </w:rPr>
              <w:t>763</w:t>
            </w:r>
          </w:p>
        </w:tc>
        <w:tc>
          <w:tcPr>
            <w:tcW w:w="989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652" w:val="left" w:leader="none"/>
              </w:tabs>
              <w:spacing w:line="206" w:lineRule="exact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$</w:t>
              <w:tab/>
              <w:t>—</w:t>
            </w:r>
          </w:p>
        </w:tc>
        <w:tc>
          <w:tcPr>
            <w:tcW w:w="989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581" w:val="left" w:leader="none"/>
              </w:tabs>
              <w:spacing w:line="206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$</w:t>
              <w:tab/>
              <w:t>177</w:t>
            </w:r>
          </w:p>
        </w:tc>
      </w:tr>
    </w:tbl>
    <w:p>
      <w:pPr>
        <w:pStyle w:val="BodyText"/>
        <w:spacing w:before="4"/>
        <w:ind w:left="0" w:firstLine="0"/>
        <w:rPr>
          <w:b/>
          <w:sz w:val="19"/>
        </w:rPr>
      </w:pPr>
    </w:p>
    <w:p>
      <w:pPr>
        <w:pStyle w:val="BodyText"/>
        <w:spacing w:line="249" w:lineRule="auto" w:before="0"/>
        <w:ind w:right="212"/>
      </w:pPr>
      <w:r>
        <w:rPr/>
        <w:t>In</w:t>
      </w:r>
      <w:r>
        <w:rPr>
          <w:spacing w:val="-3"/>
        </w:rPr>
        <w:t> </w:t>
      </w:r>
      <w:r>
        <w:rPr/>
        <w:t>July</w:t>
      </w:r>
      <w:r>
        <w:rPr>
          <w:spacing w:val="-2"/>
        </w:rPr>
        <w:t> </w:t>
      </w:r>
      <w:r>
        <w:rPr/>
        <w:t>2015,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connection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issuance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convertible</w:t>
      </w:r>
      <w:r>
        <w:rPr>
          <w:spacing w:val="-3"/>
        </w:rPr>
        <w:t> </w:t>
      </w:r>
      <w:r>
        <w:rPr/>
        <w:t>notes,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Company</w:t>
      </w:r>
      <w:r>
        <w:rPr>
          <w:spacing w:val="-3"/>
        </w:rPr>
        <w:t> </w:t>
      </w:r>
      <w:r>
        <w:rPr/>
        <w:t>issued</w:t>
      </w:r>
      <w:r>
        <w:rPr>
          <w:spacing w:val="-2"/>
        </w:rPr>
        <w:t> </w:t>
      </w:r>
      <w:r>
        <w:rPr/>
        <w:t>869,842</w:t>
      </w:r>
      <w:r>
        <w:rPr>
          <w:spacing w:val="-3"/>
        </w:rPr>
        <w:t> </w:t>
      </w:r>
      <w:r>
        <w:rPr/>
        <w:t>redeemable</w:t>
      </w:r>
      <w:r>
        <w:rPr>
          <w:spacing w:val="-47"/>
        </w:rPr>
        <w:t> </w:t>
      </w:r>
      <w:r>
        <w:rPr/>
        <w:t>convertible preferred stock warrants that were exercisable into Series D redeemable convertible preferred stock</w:t>
      </w:r>
      <w:r>
        <w:rPr>
          <w:spacing w:val="1"/>
        </w:rPr>
        <w:t> </w:t>
      </w:r>
      <w:r>
        <w:rPr/>
        <w:t>immediately, with $5.08 exercise price and expiration in five years. During the three and nine months ended</w:t>
      </w:r>
      <w:r>
        <w:rPr>
          <w:spacing w:val="1"/>
        </w:rPr>
        <w:t> </w:t>
      </w:r>
      <w:r>
        <w:rPr/>
        <w:t>September 30, 2020, warrants for 531,423 and 651,328 shares were exercised, respectively, and none were</w:t>
      </w:r>
      <w:r>
        <w:rPr>
          <w:spacing w:val="1"/>
        </w:rPr>
        <w:t> </w:t>
      </w:r>
      <w:r>
        <w:rPr/>
        <w:t>outstanding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December 31, 2020.</w:t>
      </w:r>
    </w:p>
    <w:p>
      <w:pPr>
        <w:pStyle w:val="BodyText"/>
        <w:spacing w:line="249" w:lineRule="auto" w:before="184"/>
        <w:ind w:right="129"/>
      </w:pPr>
      <w:r>
        <w:rPr/>
        <w:t>In June 2017, in connection with the issuance of convertible notes, the Company issued 108,145 redeemable</w:t>
      </w:r>
      <w:r>
        <w:rPr>
          <w:spacing w:val="1"/>
        </w:rPr>
        <w:t> </w:t>
      </w:r>
      <w:r>
        <w:rPr/>
        <w:t>convertible preferred stock warrants that were exercisable into Series E or the next round of redeemable convertible</w:t>
      </w:r>
      <w:r>
        <w:rPr>
          <w:spacing w:val="1"/>
        </w:rPr>
        <w:t> </w:t>
      </w:r>
      <w:r>
        <w:rPr/>
        <w:t>preferred stock. During the and three and nine months ended September 30, 2021, 62,454 warrants were exercised</w:t>
      </w:r>
      <w:r>
        <w:rPr>
          <w:spacing w:val="1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remaining</w:t>
      </w:r>
      <w:r>
        <w:rPr>
          <w:spacing w:val="-3"/>
        </w:rPr>
        <w:t> </w:t>
      </w:r>
      <w:r>
        <w:rPr/>
        <w:t>unexercised</w:t>
      </w:r>
      <w:r>
        <w:rPr>
          <w:spacing w:val="-2"/>
        </w:rPr>
        <w:t> </w:t>
      </w:r>
      <w:r>
        <w:rPr/>
        <w:t>warrants</w:t>
      </w:r>
      <w:r>
        <w:rPr>
          <w:spacing w:val="-3"/>
        </w:rPr>
        <w:t> </w:t>
      </w:r>
      <w:r>
        <w:rPr/>
        <w:t>expired,</w:t>
      </w:r>
      <w:r>
        <w:rPr>
          <w:spacing w:val="-3"/>
        </w:rPr>
        <w:t> </w:t>
      </w:r>
      <w:r>
        <w:rPr/>
        <w:t>none</w:t>
      </w:r>
      <w:r>
        <w:rPr>
          <w:spacing w:val="-3"/>
        </w:rPr>
        <w:t> </w:t>
      </w:r>
      <w:r>
        <w:rPr/>
        <w:t>were</w:t>
      </w:r>
      <w:r>
        <w:rPr>
          <w:spacing w:val="-3"/>
        </w:rPr>
        <w:t> </w:t>
      </w:r>
      <w:r>
        <w:rPr/>
        <w:t>outstanding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September</w:t>
      </w:r>
      <w:r>
        <w:rPr>
          <w:spacing w:val="-3"/>
        </w:rPr>
        <w:t> </w:t>
      </w:r>
      <w:r>
        <w:rPr/>
        <w:t>30,</w:t>
      </w:r>
      <w:r>
        <w:rPr>
          <w:spacing w:val="-2"/>
        </w:rPr>
        <w:t> </w:t>
      </w:r>
      <w:r>
        <w:rPr/>
        <w:t>2021.</w:t>
      </w:r>
      <w:r>
        <w:rPr>
          <w:spacing w:val="-2"/>
        </w:rPr>
        <w:t> </w:t>
      </w:r>
      <w:r>
        <w:rPr/>
        <w:t>During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three</w:t>
      </w:r>
      <w:r>
        <w:rPr>
          <w:spacing w:val="-4"/>
        </w:rPr>
        <w:t> </w:t>
      </w:r>
      <w:r>
        <w:rPr/>
        <w:t>and</w:t>
      </w:r>
      <w:r>
        <w:rPr>
          <w:spacing w:val="-47"/>
        </w:rPr>
        <w:t> </w:t>
      </w:r>
      <w:r>
        <w:rPr/>
        <w:t>nine</w:t>
      </w:r>
      <w:r>
        <w:rPr>
          <w:spacing w:val="-2"/>
        </w:rPr>
        <w:t> </w:t>
      </w:r>
      <w:r>
        <w:rPr/>
        <w:t>months</w:t>
      </w:r>
      <w:r>
        <w:rPr>
          <w:spacing w:val="-1"/>
        </w:rPr>
        <w:t> </w:t>
      </w:r>
      <w:r>
        <w:rPr/>
        <w:t>ended September</w:t>
      </w:r>
      <w:r>
        <w:rPr>
          <w:spacing w:val="-1"/>
        </w:rPr>
        <w:t> </w:t>
      </w:r>
      <w:r>
        <w:rPr/>
        <w:t>30, 2020, no warrants</w:t>
      </w:r>
      <w:r>
        <w:rPr>
          <w:spacing w:val="-2"/>
        </w:rPr>
        <w:t> </w:t>
      </w:r>
      <w:r>
        <w:rPr/>
        <w:t>were</w:t>
      </w:r>
      <w:r>
        <w:rPr>
          <w:spacing w:val="-1"/>
        </w:rPr>
        <w:t> </w:t>
      </w:r>
      <w:r>
        <w:rPr/>
        <w:t>exercised.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Heading2"/>
        <w:numPr>
          <w:ilvl w:val="0"/>
          <w:numId w:val="4"/>
        </w:numPr>
        <w:tabs>
          <w:tab w:pos="819" w:val="left" w:leader="none"/>
          <w:tab w:pos="820" w:val="left" w:leader="none"/>
        </w:tabs>
        <w:spacing w:line="240" w:lineRule="auto" w:before="68" w:after="0"/>
        <w:ind w:left="820" w:right="0" w:hanging="720"/>
        <w:jc w:val="left"/>
      </w:pPr>
      <w:bookmarkStart w:name="7. Redeemable Convertible Preferred Stoc" w:id="29"/>
      <w:bookmarkEnd w:id="29"/>
      <w:r>
        <w:rPr>
          <w:b w:val="0"/>
        </w:rPr>
      </w:r>
      <w:bookmarkStart w:name="7. Redeemable Convertible Preferred Stoc" w:id="30"/>
      <w:bookmarkEnd w:id="30"/>
      <w:r>
        <w:rPr/>
        <w:t>R</w:t>
      </w:r>
      <w:r>
        <w:rPr/>
        <w:t>edeemable</w:t>
      </w:r>
      <w:r>
        <w:rPr>
          <w:spacing w:val="-9"/>
        </w:rPr>
        <w:t> </w:t>
      </w:r>
      <w:r>
        <w:rPr/>
        <w:t>Convertible</w:t>
      </w:r>
      <w:r>
        <w:rPr>
          <w:spacing w:val="-9"/>
        </w:rPr>
        <w:t> </w:t>
      </w:r>
      <w:r>
        <w:rPr/>
        <w:t>Preferred</w:t>
      </w:r>
      <w:r>
        <w:rPr>
          <w:spacing w:val="-8"/>
        </w:rPr>
        <w:t> </w:t>
      </w:r>
      <w:r>
        <w:rPr/>
        <w:t>Stock</w:t>
      </w:r>
    </w:p>
    <w:p>
      <w:pPr>
        <w:pStyle w:val="BodyText"/>
        <w:spacing w:before="194"/>
        <w:ind w:left="460" w:firstLine="0"/>
      </w:pPr>
      <w:r>
        <w:rPr/>
        <w:t>A</w:t>
      </w:r>
      <w:r>
        <w:rPr>
          <w:spacing w:val="-4"/>
        </w:rPr>
        <w:t> </w:t>
      </w:r>
      <w:r>
        <w:rPr/>
        <w:t>summary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Company’s</w:t>
      </w:r>
      <w:r>
        <w:rPr>
          <w:spacing w:val="-3"/>
        </w:rPr>
        <w:t> </w:t>
      </w:r>
      <w:r>
        <w:rPr/>
        <w:t>redeemable</w:t>
      </w:r>
      <w:r>
        <w:rPr>
          <w:spacing w:val="-4"/>
        </w:rPr>
        <w:t> </w:t>
      </w:r>
      <w:r>
        <w:rPr/>
        <w:t>convertible</w:t>
      </w:r>
      <w:r>
        <w:rPr>
          <w:spacing w:val="-3"/>
        </w:rPr>
        <w:t> </w:t>
      </w:r>
      <w:r>
        <w:rPr/>
        <w:t>preferred</w:t>
      </w:r>
      <w:r>
        <w:rPr>
          <w:spacing w:val="-3"/>
        </w:rPr>
        <w:t> </w:t>
      </w:r>
      <w:r>
        <w:rPr/>
        <w:t>stock</w:t>
      </w:r>
      <w:r>
        <w:rPr>
          <w:spacing w:val="-2"/>
        </w:rPr>
        <w:t> </w:t>
      </w:r>
      <w:r>
        <w:rPr/>
        <w:t>are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follows:</w:t>
      </w:r>
    </w:p>
    <w:p>
      <w:pPr>
        <w:pStyle w:val="BodyText"/>
        <w:spacing w:before="10"/>
        <w:ind w:left="0" w:firstLine="0"/>
        <w:rPr>
          <w:sz w:val="22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0"/>
        <w:gridCol w:w="1215"/>
        <w:gridCol w:w="1284"/>
        <w:gridCol w:w="1221"/>
      </w:tblGrid>
      <w:tr>
        <w:trPr>
          <w:trHeight w:val="174" w:hRule="atLeast"/>
        </w:trPr>
        <w:tc>
          <w:tcPr>
            <w:tcW w:w="5640" w:type="dxa"/>
            <w:vMerge w:val="restart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15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2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5" w:lineRule="exact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December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31,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2020</w:t>
            </w:r>
          </w:p>
        </w:tc>
        <w:tc>
          <w:tcPr>
            <w:tcW w:w="1221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</w:tr>
      <w:tr>
        <w:trPr>
          <w:trHeight w:val="307" w:hRule="atLeast"/>
        </w:trPr>
        <w:tc>
          <w:tcPr>
            <w:tcW w:w="5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sz w:val="13"/>
              </w:rPr>
            </w:pPr>
          </w:p>
          <w:p>
            <w:pPr>
              <w:pStyle w:val="TableParagraph"/>
              <w:spacing w:line="133" w:lineRule="exact"/>
              <w:ind w:left="39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Shares</w:t>
            </w:r>
          </w:p>
        </w:tc>
        <w:tc>
          <w:tcPr>
            <w:tcW w:w="12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40" w:lineRule="exact" w:before="7"/>
              <w:ind w:left="324" w:right="313" w:firstLine="1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Shares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Issued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and</w:t>
            </w:r>
          </w:p>
        </w:tc>
        <w:tc>
          <w:tcPr>
            <w:tcW w:w="122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40" w:lineRule="exact" w:before="7"/>
              <w:ind w:left="446" w:right="303" w:hanging="1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Carrying</w:t>
            </w:r>
            <w:r>
              <w:rPr>
                <w:b/>
                <w:spacing w:val="-33"/>
                <w:sz w:val="14"/>
              </w:rPr>
              <w:t> </w:t>
            </w:r>
            <w:r>
              <w:rPr>
                <w:b/>
                <w:sz w:val="14"/>
              </w:rPr>
              <w:t>Value</w:t>
            </w:r>
          </w:p>
        </w:tc>
      </w:tr>
      <w:tr>
        <w:trPr>
          <w:trHeight w:val="167" w:hRule="atLeast"/>
        </w:trPr>
        <w:tc>
          <w:tcPr>
            <w:tcW w:w="5640" w:type="dxa"/>
          </w:tcPr>
          <w:p>
            <w:pPr>
              <w:pStyle w:val="TableParagraph"/>
              <w:spacing w:line="147" w:lineRule="exact"/>
              <w:ind w:left="5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Series</w:t>
            </w:r>
          </w:p>
        </w:tc>
        <w:tc>
          <w:tcPr>
            <w:tcW w:w="121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47" w:lineRule="exact"/>
              <w:ind w:left="2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Authorized</w:t>
            </w:r>
          </w:p>
        </w:tc>
        <w:tc>
          <w:tcPr>
            <w:tcW w:w="12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47" w:lineRule="exact"/>
              <w:ind w:left="27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Outstanding</w:t>
            </w:r>
          </w:p>
        </w:tc>
        <w:tc>
          <w:tcPr>
            <w:tcW w:w="12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47" w:lineRule="exact"/>
              <w:ind w:left="19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(in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thousands)</w:t>
            </w:r>
          </w:p>
        </w:tc>
      </w:tr>
      <w:tr>
        <w:trPr>
          <w:trHeight w:val="275" w:hRule="atLeast"/>
        </w:trPr>
        <w:tc>
          <w:tcPr>
            <w:tcW w:w="5640" w:type="dxa"/>
            <w:shd w:val="clear" w:color="auto" w:fill="CCEDFF"/>
          </w:tcPr>
          <w:p>
            <w:pPr>
              <w:pStyle w:val="TableParagraph"/>
              <w:spacing w:before="72"/>
              <w:ind w:left="52"/>
              <w:jc w:val="left"/>
              <w:rPr>
                <w:sz w:val="15"/>
              </w:rPr>
            </w:pPr>
            <w:r>
              <w:rPr>
                <w:sz w:val="15"/>
              </w:rPr>
              <w:t>A</w:t>
            </w:r>
            <w:r>
              <w:rPr>
                <w:spacing w:val="36"/>
                <w:sz w:val="15"/>
              </w:rPr>
              <w:t> </w:t>
            </w:r>
            <w:r>
              <w:rPr>
                <w:color w:val="B3B3B3"/>
                <w:sz w:val="15"/>
              </w:rPr>
              <w:t>. . . . . . . . . . . . . . . . . . . . . . . . . . . . . . . . . . . . . . . . . . . . . . . . . . . . . . . . . . . . . . . . . . . . . . . .</w:t>
            </w:r>
          </w:p>
        </w:tc>
        <w:tc>
          <w:tcPr>
            <w:tcW w:w="1215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72"/>
              <w:ind w:right="77"/>
              <w:rPr>
                <w:sz w:val="15"/>
              </w:rPr>
            </w:pPr>
            <w:r>
              <w:rPr>
                <w:sz w:val="15"/>
              </w:rPr>
              <w:t>1,243,223</w:t>
            </w:r>
          </w:p>
        </w:tc>
        <w:tc>
          <w:tcPr>
            <w:tcW w:w="1284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72"/>
              <w:ind w:right="101"/>
              <w:rPr>
                <w:sz w:val="15"/>
              </w:rPr>
            </w:pPr>
            <w:r>
              <w:rPr>
                <w:sz w:val="15"/>
              </w:rPr>
              <w:t>1,104,728</w:t>
            </w:r>
          </w:p>
        </w:tc>
        <w:tc>
          <w:tcPr>
            <w:tcW w:w="1221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745" w:val="left" w:leader="none"/>
              </w:tabs>
              <w:spacing w:before="72"/>
              <w:ind w:right="62"/>
              <w:rPr>
                <w:sz w:val="15"/>
              </w:rPr>
            </w:pPr>
            <w:r>
              <w:rPr>
                <w:sz w:val="15"/>
              </w:rPr>
              <w:t>$</w:t>
              <w:tab/>
              <w:t>2,781</w:t>
            </w:r>
          </w:p>
        </w:tc>
      </w:tr>
      <w:tr>
        <w:trPr>
          <w:trHeight w:val="285" w:hRule="atLeast"/>
        </w:trPr>
        <w:tc>
          <w:tcPr>
            <w:tcW w:w="5640" w:type="dxa"/>
          </w:tcPr>
          <w:p>
            <w:pPr>
              <w:pStyle w:val="TableParagraph"/>
              <w:spacing w:before="82"/>
              <w:ind w:left="52"/>
              <w:jc w:val="left"/>
              <w:rPr>
                <w:sz w:val="15"/>
              </w:rPr>
            </w:pPr>
            <w:r>
              <w:rPr>
                <w:sz w:val="15"/>
              </w:rPr>
              <w:t>B</w:t>
            </w:r>
            <w:r>
              <w:rPr>
                <w:spacing w:val="8"/>
                <w:sz w:val="15"/>
              </w:rPr>
              <w:t> </w:t>
            </w:r>
            <w:r>
              <w:rPr>
                <w:color w:val="B3B3B3"/>
                <w:sz w:val="15"/>
              </w:rPr>
              <w:t>. . . . . . . . . . . . . . . . . . . . . . . . . . . . . . . . . . . . . . . . . . . . . . . . . . . . . . . . . . . . . . . . . . . . . . . .</w:t>
            </w:r>
          </w:p>
        </w:tc>
        <w:tc>
          <w:tcPr>
            <w:tcW w:w="1215" w:type="dxa"/>
          </w:tcPr>
          <w:p>
            <w:pPr>
              <w:pStyle w:val="TableParagraph"/>
              <w:spacing w:before="82"/>
              <w:ind w:right="77"/>
              <w:rPr>
                <w:sz w:val="15"/>
              </w:rPr>
            </w:pPr>
            <w:r>
              <w:rPr>
                <w:sz w:val="15"/>
              </w:rPr>
              <w:t>1,841,805</w:t>
            </w:r>
          </w:p>
        </w:tc>
        <w:tc>
          <w:tcPr>
            <w:tcW w:w="1284" w:type="dxa"/>
          </w:tcPr>
          <w:p>
            <w:pPr>
              <w:pStyle w:val="TableParagraph"/>
              <w:spacing w:before="82"/>
              <w:ind w:right="101"/>
              <w:rPr>
                <w:sz w:val="15"/>
              </w:rPr>
            </w:pPr>
            <w:r>
              <w:rPr>
                <w:sz w:val="15"/>
              </w:rPr>
              <w:t>1,543,804</w:t>
            </w:r>
          </w:p>
        </w:tc>
        <w:tc>
          <w:tcPr>
            <w:tcW w:w="1221" w:type="dxa"/>
          </w:tcPr>
          <w:p>
            <w:pPr>
              <w:pStyle w:val="TableParagraph"/>
              <w:spacing w:before="82"/>
              <w:ind w:right="62"/>
              <w:rPr>
                <w:sz w:val="15"/>
              </w:rPr>
            </w:pPr>
            <w:r>
              <w:rPr>
                <w:sz w:val="15"/>
              </w:rPr>
              <w:t>5,404</w:t>
            </w:r>
          </w:p>
        </w:tc>
      </w:tr>
      <w:tr>
        <w:trPr>
          <w:trHeight w:val="285" w:hRule="atLeast"/>
        </w:trPr>
        <w:tc>
          <w:tcPr>
            <w:tcW w:w="5640" w:type="dxa"/>
            <w:shd w:val="clear" w:color="auto" w:fill="CCEDFF"/>
          </w:tcPr>
          <w:p>
            <w:pPr>
              <w:pStyle w:val="TableParagraph"/>
              <w:spacing w:before="82"/>
              <w:ind w:left="52"/>
              <w:jc w:val="left"/>
              <w:rPr>
                <w:sz w:val="15"/>
              </w:rPr>
            </w:pPr>
            <w:r>
              <w:rPr>
                <w:sz w:val="15"/>
              </w:rPr>
              <w:t>C</w:t>
            </w:r>
            <w:r>
              <w:rPr>
                <w:spacing w:val="8"/>
                <w:sz w:val="15"/>
              </w:rPr>
              <w:t> </w:t>
            </w:r>
            <w:r>
              <w:rPr>
                <w:color w:val="B3B3B3"/>
                <w:sz w:val="15"/>
              </w:rPr>
              <w:t>. . . . . . . . . . . . . . . . . . . . . . . . . . . . . . . . . . . . . . . . . . . . . . . . . . . . . . . . . . . . . . . . . . . . . . . .</w:t>
            </w:r>
          </w:p>
        </w:tc>
        <w:tc>
          <w:tcPr>
            <w:tcW w:w="1215" w:type="dxa"/>
            <w:shd w:val="clear" w:color="auto" w:fill="CCEDFF"/>
          </w:tcPr>
          <w:p>
            <w:pPr>
              <w:pStyle w:val="TableParagraph"/>
              <w:spacing w:before="82"/>
              <w:ind w:right="77"/>
              <w:rPr>
                <w:sz w:val="15"/>
              </w:rPr>
            </w:pPr>
            <w:r>
              <w:rPr>
                <w:sz w:val="15"/>
              </w:rPr>
              <w:t>1,564,851</w:t>
            </w:r>
          </w:p>
        </w:tc>
        <w:tc>
          <w:tcPr>
            <w:tcW w:w="1284" w:type="dxa"/>
            <w:shd w:val="clear" w:color="auto" w:fill="CCEDFF"/>
          </w:tcPr>
          <w:p>
            <w:pPr>
              <w:pStyle w:val="TableParagraph"/>
              <w:spacing w:before="82"/>
              <w:ind w:right="101"/>
              <w:rPr>
                <w:sz w:val="15"/>
              </w:rPr>
            </w:pPr>
            <w:r>
              <w:rPr>
                <w:sz w:val="15"/>
              </w:rPr>
              <w:t>1,564,851</w:t>
            </w:r>
          </w:p>
        </w:tc>
        <w:tc>
          <w:tcPr>
            <w:tcW w:w="1221" w:type="dxa"/>
            <w:shd w:val="clear" w:color="auto" w:fill="CCEDFF"/>
          </w:tcPr>
          <w:p>
            <w:pPr>
              <w:pStyle w:val="TableParagraph"/>
              <w:spacing w:before="82"/>
              <w:ind w:right="62"/>
              <w:rPr>
                <w:sz w:val="15"/>
              </w:rPr>
            </w:pPr>
            <w:r>
              <w:rPr>
                <w:sz w:val="15"/>
              </w:rPr>
              <w:t>7,073</w:t>
            </w:r>
          </w:p>
        </w:tc>
      </w:tr>
      <w:tr>
        <w:trPr>
          <w:trHeight w:val="285" w:hRule="atLeast"/>
        </w:trPr>
        <w:tc>
          <w:tcPr>
            <w:tcW w:w="5640" w:type="dxa"/>
          </w:tcPr>
          <w:p>
            <w:pPr>
              <w:pStyle w:val="TableParagraph"/>
              <w:spacing w:before="82"/>
              <w:ind w:left="52"/>
              <w:jc w:val="left"/>
              <w:rPr>
                <w:sz w:val="15"/>
              </w:rPr>
            </w:pPr>
            <w:r>
              <w:rPr>
                <w:sz w:val="15"/>
              </w:rPr>
              <w:t>D</w:t>
            </w:r>
            <w:r>
              <w:rPr>
                <w:spacing w:val="36"/>
                <w:sz w:val="15"/>
              </w:rPr>
              <w:t> </w:t>
            </w:r>
            <w:r>
              <w:rPr>
                <w:color w:val="B3B3B3"/>
                <w:sz w:val="15"/>
              </w:rPr>
              <w:t>. . . . . . . . . . . . . . . . . . . . . . . . . . . . . . . . . . . . . . . . . . . . . . . . . . . . . . . . . . . . . . . . . . . . . . . .</w:t>
            </w:r>
          </w:p>
        </w:tc>
        <w:tc>
          <w:tcPr>
            <w:tcW w:w="1215" w:type="dxa"/>
          </w:tcPr>
          <w:p>
            <w:pPr>
              <w:pStyle w:val="TableParagraph"/>
              <w:spacing w:before="82"/>
              <w:ind w:right="77"/>
              <w:rPr>
                <w:sz w:val="15"/>
              </w:rPr>
            </w:pPr>
            <w:r>
              <w:rPr>
                <w:sz w:val="15"/>
              </w:rPr>
              <w:t>8,245,295</w:t>
            </w:r>
          </w:p>
        </w:tc>
        <w:tc>
          <w:tcPr>
            <w:tcW w:w="1284" w:type="dxa"/>
          </w:tcPr>
          <w:p>
            <w:pPr>
              <w:pStyle w:val="TableParagraph"/>
              <w:spacing w:before="82"/>
              <w:ind w:right="101"/>
              <w:rPr>
                <w:sz w:val="15"/>
              </w:rPr>
            </w:pPr>
            <w:r>
              <w:rPr>
                <w:sz w:val="15"/>
              </w:rPr>
              <w:t>7,547,542</w:t>
            </w:r>
          </w:p>
        </w:tc>
        <w:tc>
          <w:tcPr>
            <w:tcW w:w="1221" w:type="dxa"/>
          </w:tcPr>
          <w:p>
            <w:pPr>
              <w:pStyle w:val="TableParagraph"/>
              <w:spacing w:before="82"/>
              <w:ind w:right="62"/>
              <w:rPr>
                <w:sz w:val="15"/>
              </w:rPr>
            </w:pPr>
            <w:r>
              <w:rPr>
                <w:sz w:val="15"/>
              </w:rPr>
              <w:t>36,879</w:t>
            </w:r>
          </w:p>
        </w:tc>
      </w:tr>
      <w:tr>
        <w:trPr>
          <w:trHeight w:val="285" w:hRule="atLeast"/>
        </w:trPr>
        <w:tc>
          <w:tcPr>
            <w:tcW w:w="5640" w:type="dxa"/>
            <w:shd w:val="clear" w:color="auto" w:fill="CCEDFF"/>
          </w:tcPr>
          <w:p>
            <w:pPr>
              <w:pStyle w:val="TableParagraph"/>
              <w:spacing w:before="75"/>
              <w:ind w:left="52"/>
              <w:jc w:val="left"/>
              <w:rPr>
                <w:sz w:val="15"/>
              </w:rPr>
            </w:pPr>
            <w:r>
              <w:rPr>
                <w:sz w:val="15"/>
              </w:rPr>
              <w:t>E</w:t>
            </w:r>
            <w:r>
              <w:rPr>
                <w:spacing w:val="15"/>
                <w:sz w:val="15"/>
              </w:rPr>
              <w:t> </w:t>
            </w:r>
            <w:r>
              <w:rPr>
                <w:color w:val="B3B3B3"/>
                <w:sz w:val="15"/>
              </w:rPr>
              <w:t>. . . . . . . . . . . . . . . . . . . . . . . . . . . . . . . . . . . . . . . . . . . . . . . . . . . . . . . . . . . . . . . . . . . . . . . .</w:t>
            </w:r>
          </w:p>
        </w:tc>
        <w:tc>
          <w:tcPr>
            <w:tcW w:w="1215" w:type="dxa"/>
            <w:shd w:val="clear" w:color="auto" w:fill="CCEDFF"/>
          </w:tcPr>
          <w:p>
            <w:pPr>
              <w:pStyle w:val="TableParagraph"/>
              <w:spacing w:before="82"/>
              <w:ind w:right="77"/>
              <w:rPr>
                <w:sz w:val="15"/>
              </w:rPr>
            </w:pPr>
            <w:r>
              <w:rPr>
                <w:sz w:val="15"/>
              </w:rPr>
              <w:t>8,825,653</w:t>
            </w:r>
          </w:p>
        </w:tc>
        <w:tc>
          <w:tcPr>
            <w:tcW w:w="1284" w:type="dxa"/>
            <w:shd w:val="clear" w:color="auto" w:fill="CCEDFF"/>
          </w:tcPr>
          <w:p>
            <w:pPr>
              <w:pStyle w:val="TableParagraph"/>
              <w:spacing w:before="82"/>
              <w:ind w:right="101"/>
              <w:rPr>
                <w:sz w:val="15"/>
              </w:rPr>
            </w:pPr>
            <w:r>
              <w:rPr>
                <w:sz w:val="15"/>
              </w:rPr>
              <w:t>8,414,496</w:t>
            </w:r>
          </w:p>
        </w:tc>
        <w:tc>
          <w:tcPr>
            <w:tcW w:w="1221" w:type="dxa"/>
            <w:shd w:val="clear" w:color="auto" w:fill="CCEDFF"/>
          </w:tcPr>
          <w:p>
            <w:pPr>
              <w:pStyle w:val="TableParagraph"/>
              <w:spacing w:before="82"/>
              <w:ind w:right="62"/>
              <w:rPr>
                <w:sz w:val="15"/>
              </w:rPr>
            </w:pPr>
            <w:r>
              <w:rPr>
                <w:sz w:val="15"/>
              </w:rPr>
              <w:t>115,229</w:t>
            </w:r>
          </w:p>
        </w:tc>
      </w:tr>
      <w:tr>
        <w:trPr>
          <w:trHeight w:val="275" w:hRule="atLeast"/>
        </w:trPr>
        <w:tc>
          <w:tcPr>
            <w:tcW w:w="5640" w:type="dxa"/>
          </w:tcPr>
          <w:p>
            <w:pPr>
              <w:pStyle w:val="TableParagraph"/>
              <w:spacing w:before="75"/>
              <w:ind w:left="52"/>
              <w:jc w:val="left"/>
              <w:rPr>
                <w:sz w:val="15"/>
              </w:rPr>
            </w:pPr>
            <w:r>
              <w:rPr>
                <w:sz w:val="15"/>
              </w:rPr>
              <w:t>F</w:t>
            </w:r>
            <w:r>
              <w:rPr>
                <w:spacing w:val="22"/>
                <w:sz w:val="15"/>
              </w:rPr>
              <w:t> </w:t>
            </w:r>
            <w:r>
              <w:rPr>
                <w:color w:val="B3B3B3"/>
                <w:sz w:val="15"/>
              </w:rPr>
              <w:t>. . . . . . . . . . . . . . . . . . . . . . . . . . . . . . . . . . . . . . . . . . . . . . . . . . . . . . . . . . . . . . . . . . . . . . . .</w:t>
            </w:r>
          </w:p>
        </w:tc>
        <w:tc>
          <w:tcPr>
            <w:tcW w:w="121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2" w:lineRule="exact" w:before="82"/>
              <w:ind w:right="77"/>
              <w:rPr>
                <w:sz w:val="15"/>
              </w:rPr>
            </w:pPr>
            <w:r>
              <w:rPr>
                <w:sz w:val="15"/>
              </w:rPr>
              <w:t>5,263,157</w:t>
            </w:r>
          </w:p>
        </w:tc>
        <w:tc>
          <w:tcPr>
            <w:tcW w:w="12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2" w:lineRule="exact" w:before="82"/>
              <w:ind w:right="101"/>
              <w:rPr>
                <w:sz w:val="15"/>
              </w:rPr>
            </w:pPr>
            <w:r>
              <w:rPr>
                <w:sz w:val="15"/>
              </w:rPr>
              <w:t>5,226,981</w:t>
            </w:r>
          </w:p>
        </w:tc>
        <w:tc>
          <w:tcPr>
            <w:tcW w:w="12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2" w:lineRule="exact" w:before="82"/>
              <w:ind w:right="62"/>
              <w:rPr>
                <w:sz w:val="15"/>
              </w:rPr>
            </w:pPr>
            <w:r>
              <w:rPr>
                <w:sz w:val="15"/>
              </w:rPr>
              <w:t>76,488</w:t>
            </w:r>
          </w:p>
        </w:tc>
      </w:tr>
      <w:tr>
        <w:trPr>
          <w:trHeight w:val="225" w:hRule="atLeast"/>
        </w:trPr>
        <w:tc>
          <w:tcPr>
            <w:tcW w:w="5640" w:type="dxa"/>
            <w:shd w:val="clear" w:color="auto" w:fill="CCEDFF"/>
          </w:tcPr>
          <w:p>
            <w:pPr>
              <w:pStyle w:val="TableParagraph"/>
              <w:spacing w:line="132" w:lineRule="exact" w:before="72"/>
              <w:ind w:left="232"/>
              <w:jc w:val="left"/>
              <w:rPr>
                <w:sz w:val="15"/>
              </w:rPr>
            </w:pPr>
            <w:r>
              <w:rPr>
                <w:sz w:val="15"/>
              </w:rPr>
              <w:t>Total</w:t>
            </w:r>
            <w:r>
              <w:rPr>
                <w:spacing w:val="23"/>
                <w:sz w:val="15"/>
              </w:rPr>
              <w:t> </w:t>
            </w:r>
            <w:r>
              <w:rPr>
                <w:color w:val="B3B3B3"/>
                <w:sz w:val="15"/>
              </w:rPr>
              <w:t>. . . . . . . . . . . . . . . . . . . . . . . . . . . . . . . . . .</w:t>
            </w:r>
            <w:r>
              <w:rPr>
                <w:color w:val="B3B3B3"/>
                <w:spacing w:val="-1"/>
                <w:sz w:val="15"/>
              </w:rPr>
              <w:t> </w:t>
            </w:r>
            <w:r>
              <w:rPr>
                <w:color w:val="B3B3B3"/>
                <w:sz w:val="15"/>
              </w:rPr>
              <w:t>. . . . . . . . . . . . . . . . . . . . . . . . . . . . . . . . .</w:t>
            </w:r>
          </w:p>
        </w:tc>
        <w:tc>
          <w:tcPr>
            <w:tcW w:w="1215" w:type="dxa"/>
            <w:tcBorders>
              <w:top w:val="single" w:sz="8" w:space="0" w:color="000000"/>
              <w:bottom w:val="double" w:sz="8" w:space="0" w:color="000000"/>
            </w:tcBorders>
            <w:shd w:val="clear" w:color="auto" w:fill="CCEDFF"/>
          </w:tcPr>
          <w:p>
            <w:pPr>
              <w:pStyle w:val="TableParagraph"/>
              <w:spacing w:line="132" w:lineRule="exact" w:before="72"/>
              <w:ind w:right="77"/>
              <w:rPr>
                <w:sz w:val="15"/>
              </w:rPr>
            </w:pPr>
            <w:r>
              <w:rPr>
                <w:sz w:val="15"/>
              </w:rPr>
              <w:t>26,983,984</w:t>
            </w:r>
          </w:p>
        </w:tc>
        <w:tc>
          <w:tcPr>
            <w:tcW w:w="1284" w:type="dxa"/>
            <w:tcBorders>
              <w:top w:val="single" w:sz="8" w:space="0" w:color="000000"/>
              <w:bottom w:val="double" w:sz="8" w:space="0" w:color="000000"/>
            </w:tcBorders>
            <w:shd w:val="clear" w:color="auto" w:fill="CCEDFF"/>
          </w:tcPr>
          <w:p>
            <w:pPr>
              <w:pStyle w:val="TableParagraph"/>
              <w:spacing w:line="132" w:lineRule="exact" w:before="72"/>
              <w:ind w:right="101"/>
              <w:rPr>
                <w:sz w:val="15"/>
              </w:rPr>
            </w:pPr>
            <w:r>
              <w:rPr>
                <w:sz w:val="15"/>
              </w:rPr>
              <w:t>25,402,402</w:t>
            </w:r>
          </w:p>
        </w:tc>
        <w:tc>
          <w:tcPr>
            <w:tcW w:w="1221" w:type="dxa"/>
            <w:tcBorders>
              <w:top w:val="single" w:sz="8" w:space="0" w:color="000000"/>
              <w:bottom w:val="doub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595" w:val="left" w:leader="none"/>
              </w:tabs>
              <w:spacing w:line="132" w:lineRule="exact" w:before="72"/>
              <w:ind w:right="62"/>
              <w:rPr>
                <w:sz w:val="15"/>
              </w:rPr>
            </w:pPr>
            <w:r>
              <w:rPr>
                <w:sz w:val="15"/>
              </w:rPr>
              <w:t>$</w:t>
              <w:tab/>
              <w:t>243,854</w:t>
            </w:r>
          </w:p>
        </w:tc>
      </w:tr>
    </w:tbl>
    <w:p>
      <w:pPr>
        <w:pStyle w:val="BodyText"/>
        <w:spacing w:before="5"/>
        <w:ind w:left="0" w:firstLine="0"/>
        <w:rPr>
          <w:sz w:val="19"/>
        </w:rPr>
      </w:pPr>
    </w:p>
    <w:p>
      <w:pPr>
        <w:pStyle w:val="BodyText"/>
        <w:spacing w:line="249" w:lineRule="auto" w:before="0"/>
        <w:ind w:right="180"/>
      </w:pPr>
      <w:r>
        <w:rPr/>
        <w:t>Upon the completion of the Company’s IPO in September 2021, all 29,912,264 shares of its then-outstanding</w:t>
      </w:r>
      <w:r>
        <w:rPr>
          <w:spacing w:val="1"/>
        </w:rPr>
        <w:t> </w:t>
      </w:r>
      <w:r>
        <w:rPr/>
        <w:t>redeemable convertible preferred stock automatically converted into 29,912,264 shares of common stock and it</w:t>
      </w:r>
      <w:r>
        <w:rPr>
          <w:spacing w:val="1"/>
        </w:rPr>
        <w:t> </w:t>
      </w:r>
      <w:r>
        <w:rPr/>
        <w:t>reclassified</w:t>
      </w:r>
      <w:r>
        <w:rPr>
          <w:spacing w:val="-4"/>
        </w:rPr>
        <w:t> </w:t>
      </w:r>
      <w:r>
        <w:rPr/>
        <w:t>$329.5</w:t>
      </w:r>
      <w:r>
        <w:rPr>
          <w:spacing w:val="-3"/>
        </w:rPr>
        <w:t> </w:t>
      </w:r>
      <w:r>
        <w:rPr/>
        <w:t>million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redeemable</w:t>
      </w:r>
      <w:r>
        <w:rPr>
          <w:spacing w:val="-4"/>
        </w:rPr>
        <w:t> </w:t>
      </w:r>
      <w:r>
        <w:rPr/>
        <w:t>convertible</w:t>
      </w:r>
      <w:r>
        <w:rPr>
          <w:spacing w:val="-4"/>
        </w:rPr>
        <w:t> </w:t>
      </w:r>
      <w:r>
        <w:rPr/>
        <w:t>preferred</w:t>
      </w:r>
      <w:r>
        <w:rPr>
          <w:spacing w:val="-3"/>
        </w:rPr>
        <w:t> </w:t>
      </w:r>
      <w:r>
        <w:rPr/>
        <w:t>stock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additional</w:t>
      </w:r>
      <w:r>
        <w:rPr>
          <w:spacing w:val="-4"/>
        </w:rPr>
        <w:t> </w:t>
      </w:r>
      <w:r>
        <w:rPr/>
        <w:t>paid-in</w:t>
      </w:r>
      <w:r>
        <w:rPr>
          <w:spacing w:val="-4"/>
        </w:rPr>
        <w:t> </w:t>
      </w:r>
      <w:r>
        <w:rPr/>
        <w:t>capital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condensed</w:t>
      </w:r>
      <w:r>
        <w:rPr>
          <w:spacing w:val="-47"/>
        </w:rPr>
        <w:t> </w:t>
      </w:r>
      <w:r>
        <w:rPr/>
        <w:t>consolidated</w:t>
      </w:r>
      <w:r>
        <w:rPr>
          <w:spacing w:val="-1"/>
        </w:rPr>
        <w:t> </w:t>
      </w:r>
      <w:r>
        <w:rPr/>
        <w:t>balance</w:t>
      </w:r>
      <w:r>
        <w:rPr>
          <w:spacing w:val="-1"/>
        </w:rPr>
        <w:t> </w:t>
      </w:r>
      <w:r>
        <w:rPr/>
        <w:t>sheet.</w:t>
      </w:r>
    </w:p>
    <w:p>
      <w:pPr>
        <w:pStyle w:val="BodyText"/>
        <w:spacing w:line="249" w:lineRule="auto" w:before="183"/>
      </w:pPr>
      <w:r>
        <w:rPr/>
        <w:t>In</w:t>
      </w:r>
      <w:r>
        <w:rPr>
          <w:spacing w:val="-3"/>
        </w:rPr>
        <w:t> </w:t>
      </w:r>
      <w:r>
        <w:rPr/>
        <w:t>July</w:t>
      </w:r>
      <w:r>
        <w:rPr>
          <w:spacing w:val="-2"/>
        </w:rPr>
        <w:t> </w:t>
      </w:r>
      <w:r>
        <w:rPr/>
        <w:t>2020,</w:t>
      </w:r>
      <w:r>
        <w:rPr>
          <w:spacing w:val="-2"/>
        </w:rPr>
        <w:t> </w:t>
      </w:r>
      <w:r>
        <w:rPr/>
        <w:t>an</w:t>
      </w:r>
      <w:r>
        <w:rPr>
          <w:spacing w:val="-3"/>
        </w:rPr>
        <w:t> </w:t>
      </w:r>
      <w:r>
        <w:rPr/>
        <w:t>aggregate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$1.5</w:t>
      </w:r>
      <w:r>
        <w:rPr>
          <w:spacing w:val="-3"/>
        </w:rPr>
        <w:t> </w:t>
      </w:r>
      <w:r>
        <w:rPr/>
        <w:t>million</w:t>
      </w:r>
      <w:r>
        <w:rPr>
          <w:spacing w:val="-2"/>
        </w:rPr>
        <w:t> </w:t>
      </w:r>
      <w:r>
        <w:rPr/>
        <w:t>shares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redeemable</w:t>
      </w:r>
      <w:r>
        <w:rPr>
          <w:spacing w:val="-3"/>
        </w:rPr>
        <w:t> </w:t>
      </w:r>
      <w:r>
        <w:rPr/>
        <w:t>convertible</w:t>
      </w:r>
      <w:r>
        <w:rPr>
          <w:spacing w:val="-3"/>
        </w:rPr>
        <w:t> </w:t>
      </w:r>
      <w:r>
        <w:rPr/>
        <w:t>preferred</w:t>
      </w:r>
      <w:r>
        <w:rPr>
          <w:spacing w:val="-3"/>
        </w:rPr>
        <w:t> </w:t>
      </w:r>
      <w:r>
        <w:rPr/>
        <w:t>stock</w:t>
      </w:r>
      <w:r>
        <w:rPr>
          <w:spacing w:val="-2"/>
        </w:rPr>
        <w:t> </w:t>
      </w:r>
      <w:r>
        <w:rPr/>
        <w:t>was</w:t>
      </w:r>
      <w:r>
        <w:rPr>
          <w:spacing w:val="-3"/>
        </w:rPr>
        <w:t> </w:t>
      </w:r>
      <w:r>
        <w:rPr/>
        <w:t>converted</w:t>
      </w:r>
      <w:r>
        <w:rPr>
          <w:spacing w:val="-3"/>
        </w:rPr>
        <w:t> </w:t>
      </w:r>
      <w:r>
        <w:rPr/>
        <w:t>to</w:t>
      </w:r>
      <w:r>
        <w:rPr>
          <w:spacing w:val="-47"/>
        </w:rPr>
        <w:t> </w:t>
      </w:r>
      <w:r>
        <w:rPr/>
        <w:t>common stock as requested by the holder. The corresponding carrying value was reclassified from redeemable</w:t>
      </w:r>
      <w:r>
        <w:rPr>
          <w:spacing w:val="1"/>
        </w:rPr>
        <w:t> </w:t>
      </w:r>
      <w:r>
        <w:rPr/>
        <w:t>convertible</w:t>
      </w:r>
      <w:r>
        <w:rPr>
          <w:spacing w:val="-2"/>
        </w:rPr>
        <w:t> </w:t>
      </w:r>
      <w:r>
        <w:rPr/>
        <w:t>preferred stock</w:t>
      </w:r>
      <w:r>
        <w:rPr>
          <w:spacing w:val="-1"/>
        </w:rPr>
        <w:t> </w:t>
      </w:r>
      <w:r>
        <w:rPr/>
        <w:t>to common</w:t>
      </w:r>
      <w:r>
        <w:rPr>
          <w:spacing w:val="-1"/>
        </w:rPr>
        <w:t> </w:t>
      </w:r>
      <w:r>
        <w:rPr/>
        <w:t>stock and</w:t>
      </w:r>
      <w:r>
        <w:rPr>
          <w:spacing w:val="-1"/>
        </w:rPr>
        <w:t> </w:t>
      </w:r>
      <w:r>
        <w:rPr/>
        <w:t>additional</w:t>
      </w:r>
      <w:r>
        <w:rPr>
          <w:spacing w:val="-1"/>
        </w:rPr>
        <w:t> </w:t>
      </w:r>
      <w:r>
        <w:rPr/>
        <w:t>paid</w:t>
      </w:r>
      <w:r>
        <w:rPr>
          <w:spacing w:val="-1"/>
        </w:rPr>
        <w:t> </w:t>
      </w:r>
      <w:r>
        <w:rPr/>
        <w:t>in capital.</w:t>
      </w:r>
    </w:p>
    <w:p>
      <w:pPr>
        <w:pStyle w:val="Heading3"/>
        <w:rPr>
          <w:i/>
        </w:rPr>
      </w:pPr>
      <w:r>
        <w:rPr>
          <w:i/>
        </w:rPr>
        <w:t>Series</w:t>
      </w:r>
      <w:r>
        <w:rPr>
          <w:i/>
          <w:spacing w:val="-6"/>
        </w:rPr>
        <w:t> </w:t>
      </w:r>
      <w:r>
        <w:rPr>
          <w:i/>
        </w:rPr>
        <w:t>G</w:t>
      </w:r>
      <w:r>
        <w:rPr>
          <w:i/>
          <w:spacing w:val="-6"/>
        </w:rPr>
        <w:t> </w:t>
      </w:r>
      <w:r>
        <w:rPr>
          <w:i/>
        </w:rPr>
        <w:t>Redeemable</w:t>
      </w:r>
      <w:r>
        <w:rPr>
          <w:i/>
          <w:spacing w:val="-5"/>
        </w:rPr>
        <w:t> </w:t>
      </w:r>
      <w:r>
        <w:rPr>
          <w:i/>
        </w:rPr>
        <w:t>Convertible</w:t>
      </w:r>
      <w:r>
        <w:rPr>
          <w:i/>
          <w:spacing w:val="-6"/>
        </w:rPr>
        <w:t> </w:t>
      </w:r>
      <w:r>
        <w:rPr>
          <w:i/>
        </w:rPr>
        <w:t>Preferred</w:t>
      </w:r>
      <w:r>
        <w:rPr>
          <w:i/>
          <w:spacing w:val="-4"/>
        </w:rPr>
        <w:t> </w:t>
      </w:r>
      <w:r>
        <w:rPr>
          <w:i/>
        </w:rPr>
        <w:t>Stock</w:t>
      </w:r>
    </w:p>
    <w:p>
      <w:pPr>
        <w:pStyle w:val="BodyText"/>
        <w:spacing w:line="249" w:lineRule="auto" w:before="193"/>
        <w:ind w:right="121"/>
      </w:pPr>
      <w:r>
        <w:rPr/>
        <w:t>In</w:t>
      </w:r>
      <w:r>
        <w:rPr>
          <w:spacing w:val="1"/>
        </w:rPr>
        <w:t> </w:t>
      </w:r>
      <w:r>
        <w:rPr/>
        <w:t>June 2021,</w:t>
      </w:r>
      <w:r>
        <w:rPr>
          <w:spacing w:val="2"/>
        </w:rPr>
        <w:t> </w:t>
      </w:r>
      <w:r>
        <w:rPr/>
        <w:t>the Company</w:t>
      </w:r>
      <w:r>
        <w:rPr>
          <w:spacing w:val="1"/>
        </w:rPr>
        <w:t> </w:t>
      </w:r>
      <w:r>
        <w:rPr/>
        <w:t>issued</w:t>
      </w:r>
      <w:r>
        <w:rPr>
          <w:spacing w:val="2"/>
        </w:rPr>
        <w:t> </w:t>
      </w:r>
      <w:r>
        <w:rPr/>
        <w:t>4,447,530</w:t>
      </w:r>
      <w:r>
        <w:rPr>
          <w:spacing w:val="1"/>
        </w:rPr>
        <w:t> </w:t>
      </w:r>
      <w:r>
        <w:rPr/>
        <w:t>shares of</w:t>
      </w:r>
      <w:r>
        <w:rPr>
          <w:spacing w:val="2"/>
        </w:rPr>
        <w:t> </w:t>
      </w:r>
      <w:r>
        <w:rPr/>
        <w:t>Series G</w:t>
      </w:r>
      <w:r>
        <w:rPr>
          <w:spacing w:val="1"/>
        </w:rPr>
        <w:t> </w:t>
      </w:r>
      <w:r>
        <w:rPr/>
        <w:t>redeemable convertible preferred</w:t>
      </w:r>
      <w:r>
        <w:rPr>
          <w:spacing w:val="2"/>
        </w:rPr>
        <w:t> </w:t>
      </w:r>
      <w:r>
        <w:rPr/>
        <w:t>stock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gross</w:t>
      </w:r>
      <w:r>
        <w:rPr>
          <w:spacing w:val="-4"/>
        </w:rPr>
        <w:t> </w:t>
      </w:r>
      <w:r>
        <w:rPr/>
        <w:t>proceeds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$85.0</w:t>
      </w:r>
      <w:r>
        <w:rPr>
          <w:spacing w:val="-2"/>
        </w:rPr>
        <w:t> </w:t>
      </w:r>
      <w:r>
        <w:rPr/>
        <w:t>million.</w:t>
      </w:r>
      <w:r>
        <w:rPr>
          <w:spacing w:val="-3"/>
        </w:rPr>
        <w:t> </w:t>
      </w:r>
      <w:r>
        <w:rPr/>
        <w:t>Issuance</w:t>
      </w:r>
      <w:r>
        <w:rPr>
          <w:spacing w:val="-3"/>
        </w:rPr>
        <w:t> </w:t>
      </w:r>
      <w:r>
        <w:rPr/>
        <w:t>costs</w:t>
      </w:r>
      <w:r>
        <w:rPr>
          <w:spacing w:val="-3"/>
        </w:rPr>
        <w:t> </w:t>
      </w:r>
      <w:r>
        <w:rPr/>
        <w:t>totaled</w:t>
      </w:r>
      <w:r>
        <w:rPr>
          <w:spacing w:val="-2"/>
        </w:rPr>
        <w:t> </w:t>
      </w:r>
      <w:r>
        <w:rPr/>
        <w:t>$0.3</w:t>
      </w:r>
      <w:r>
        <w:rPr>
          <w:spacing w:val="-2"/>
        </w:rPr>
        <w:t> </w:t>
      </w:r>
      <w:r>
        <w:rPr/>
        <w:t>million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were</w:t>
      </w:r>
      <w:r>
        <w:rPr>
          <w:spacing w:val="-3"/>
        </w:rPr>
        <w:t> </w:t>
      </w:r>
      <w:r>
        <w:rPr/>
        <w:t>recorded</w:t>
      </w:r>
      <w:r>
        <w:rPr>
          <w:spacing w:val="-2"/>
        </w:rPr>
        <w:t> </w:t>
      </w:r>
      <w:r>
        <w:rPr/>
        <w:t>as</w:t>
      </w:r>
      <w:r>
        <w:rPr>
          <w:spacing w:val="-4"/>
        </w:rPr>
        <w:t> </w:t>
      </w:r>
      <w:r>
        <w:rPr/>
        <w:t>an</w:t>
      </w:r>
      <w:r>
        <w:rPr>
          <w:spacing w:val="-2"/>
        </w:rPr>
        <w:t> </w:t>
      </w:r>
      <w:r>
        <w:rPr/>
        <w:t>offset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gross</w:t>
      </w:r>
      <w:r>
        <w:rPr>
          <w:spacing w:val="-3"/>
        </w:rPr>
        <w:t> </w:t>
      </w:r>
      <w:r>
        <w:rPr/>
        <w:t>proceeds.</w:t>
      </w:r>
    </w:p>
    <w:p>
      <w:pPr>
        <w:pStyle w:val="Heading3"/>
        <w:spacing w:before="178"/>
        <w:rPr>
          <w:i/>
        </w:rPr>
      </w:pPr>
      <w:r>
        <w:rPr>
          <w:i/>
        </w:rPr>
        <w:t>Series</w:t>
      </w:r>
      <w:r>
        <w:rPr>
          <w:i/>
          <w:spacing w:val="-6"/>
        </w:rPr>
        <w:t> </w:t>
      </w:r>
      <w:r>
        <w:rPr>
          <w:i/>
        </w:rPr>
        <w:t>F</w:t>
      </w:r>
      <w:r>
        <w:rPr>
          <w:i/>
          <w:spacing w:val="-6"/>
        </w:rPr>
        <w:t> </w:t>
      </w:r>
      <w:r>
        <w:rPr>
          <w:i/>
        </w:rPr>
        <w:t>Redeemable</w:t>
      </w:r>
      <w:r>
        <w:rPr>
          <w:i/>
          <w:spacing w:val="-5"/>
        </w:rPr>
        <w:t> </w:t>
      </w:r>
      <w:r>
        <w:rPr>
          <w:i/>
        </w:rPr>
        <w:t>Convertible</w:t>
      </w:r>
      <w:r>
        <w:rPr>
          <w:i/>
          <w:spacing w:val="-6"/>
        </w:rPr>
        <w:t> </w:t>
      </w:r>
      <w:r>
        <w:rPr>
          <w:i/>
        </w:rPr>
        <w:t>Preferred</w:t>
      </w:r>
      <w:r>
        <w:rPr>
          <w:i/>
          <w:spacing w:val="-4"/>
        </w:rPr>
        <w:t> </w:t>
      </w:r>
      <w:r>
        <w:rPr>
          <w:i/>
        </w:rPr>
        <w:t>Stock</w:t>
      </w:r>
    </w:p>
    <w:p>
      <w:pPr>
        <w:pStyle w:val="BodyText"/>
        <w:spacing w:line="249" w:lineRule="auto" w:before="193"/>
        <w:ind w:right="148"/>
      </w:pPr>
      <w:r>
        <w:rPr/>
        <w:t>In July and August 2020, the Company issued 5,226,969 shares of Series F redeemable convertible preferred</w:t>
      </w:r>
      <w:r>
        <w:rPr>
          <w:spacing w:val="1"/>
        </w:rPr>
        <w:t> </w:t>
      </w:r>
      <w:r>
        <w:rPr/>
        <w:t>stock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gross</w:t>
      </w:r>
      <w:r>
        <w:rPr>
          <w:spacing w:val="-3"/>
        </w:rPr>
        <w:t> </w:t>
      </w:r>
      <w:r>
        <w:rPr/>
        <w:t>proceeds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$77.0</w:t>
      </w:r>
      <w:r>
        <w:rPr>
          <w:spacing w:val="-2"/>
        </w:rPr>
        <w:t> </w:t>
      </w:r>
      <w:r>
        <w:rPr/>
        <w:t>million.</w:t>
      </w:r>
      <w:r>
        <w:rPr>
          <w:spacing w:val="-2"/>
        </w:rPr>
        <w:t> </w:t>
      </w:r>
      <w:r>
        <w:rPr/>
        <w:t>Issuance</w:t>
      </w:r>
      <w:r>
        <w:rPr>
          <w:spacing w:val="-3"/>
        </w:rPr>
        <w:t> </w:t>
      </w:r>
      <w:r>
        <w:rPr/>
        <w:t>costs</w:t>
      </w:r>
      <w:r>
        <w:rPr>
          <w:spacing w:val="-3"/>
        </w:rPr>
        <w:t> </w:t>
      </w:r>
      <w:r>
        <w:rPr/>
        <w:t>totaled</w:t>
      </w:r>
      <w:r>
        <w:rPr>
          <w:spacing w:val="-2"/>
        </w:rPr>
        <w:t> </w:t>
      </w:r>
      <w:r>
        <w:rPr/>
        <w:t>$0.5</w:t>
      </w:r>
      <w:r>
        <w:rPr>
          <w:spacing w:val="-2"/>
        </w:rPr>
        <w:t> </w:t>
      </w:r>
      <w:r>
        <w:rPr/>
        <w:t>million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were</w:t>
      </w:r>
      <w:r>
        <w:rPr>
          <w:spacing w:val="-3"/>
        </w:rPr>
        <w:t> </w:t>
      </w:r>
      <w:r>
        <w:rPr/>
        <w:t>recorded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offset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gross</w:t>
      </w:r>
      <w:r>
        <w:rPr>
          <w:spacing w:val="-47"/>
        </w:rPr>
        <w:t> </w:t>
      </w:r>
      <w:r>
        <w:rPr/>
        <w:t>proceeds.</w:t>
      </w:r>
    </w:p>
    <w:p>
      <w:pPr>
        <w:pStyle w:val="BodyText"/>
        <w:spacing w:before="183"/>
        <w:ind w:left="460" w:firstLine="0"/>
      </w:pPr>
      <w:r>
        <w:rPr/>
        <w:t>A</w:t>
      </w:r>
      <w:r>
        <w:rPr>
          <w:spacing w:val="-4"/>
        </w:rPr>
        <w:t> </w:t>
      </w:r>
      <w:r>
        <w:rPr/>
        <w:t>summary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Company’s</w:t>
      </w:r>
      <w:r>
        <w:rPr>
          <w:spacing w:val="-4"/>
        </w:rPr>
        <w:t> </w:t>
      </w:r>
      <w:r>
        <w:rPr/>
        <w:t>redeemable</w:t>
      </w:r>
      <w:r>
        <w:rPr>
          <w:spacing w:val="-3"/>
        </w:rPr>
        <w:t> </w:t>
      </w:r>
      <w:r>
        <w:rPr/>
        <w:t>convertible</w:t>
      </w:r>
      <w:r>
        <w:rPr>
          <w:spacing w:val="-4"/>
        </w:rPr>
        <w:t> </w:t>
      </w:r>
      <w:r>
        <w:rPr/>
        <w:t>preferred</w:t>
      </w:r>
      <w:r>
        <w:rPr>
          <w:spacing w:val="-2"/>
        </w:rPr>
        <w:t> </w:t>
      </w:r>
      <w:r>
        <w:rPr/>
        <w:t>stock</w:t>
      </w:r>
      <w:r>
        <w:rPr>
          <w:spacing w:val="-3"/>
        </w:rPr>
        <w:t> </w:t>
      </w:r>
      <w:r>
        <w:rPr/>
        <w:t>terms</w:t>
      </w:r>
      <w:r>
        <w:rPr>
          <w:spacing w:val="-4"/>
        </w:rPr>
        <w:t> </w:t>
      </w:r>
      <w:r>
        <w:rPr/>
        <w:t>were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follows:</w:t>
      </w:r>
    </w:p>
    <w:p>
      <w:pPr>
        <w:pStyle w:val="BodyText"/>
        <w:spacing w:before="3"/>
        <w:ind w:left="0" w:firstLine="0"/>
        <w:rPr>
          <w:sz w:val="22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8"/>
        <w:gridCol w:w="1322"/>
        <w:gridCol w:w="1349"/>
      </w:tblGrid>
      <w:tr>
        <w:trPr>
          <w:trHeight w:val="526" w:hRule="atLeast"/>
        </w:trPr>
        <w:tc>
          <w:tcPr>
            <w:tcW w:w="66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7" w:lineRule="exact"/>
              <w:ind w:left="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Series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8" w:lineRule="auto" w:before="12"/>
              <w:ind w:left="286" w:right="260" w:hanging="36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Liquidation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Preference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Share</w:t>
            </w:r>
          </w:p>
        </w:tc>
        <w:tc>
          <w:tcPr>
            <w:tcW w:w="134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left="210" w:right="1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8%</w:t>
            </w:r>
          </w:p>
          <w:p>
            <w:pPr>
              <w:pStyle w:val="TableParagraph"/>
              <w:spacing w:line="208" w:lineRule="auto" w:before="7"/>
              <w:ind w:left="357" w:right="30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Dividend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Per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Share</w:t>
            </w:r>
          </w:p>
        </w:tc>
      </w:tr>
      <w:tr>
        <w:trPr>
          <w:trHeight w:val="275" w:hRule="atLeast"/>
        </w:trPr>
        <w:tc>
          <w:tcPr>
            <w:tcW w:w="6688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224" w:lineRule="exact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36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 . . . . . . . . . . . . . . . . . . . . . . . . . . . . . . . . . . . . . . . . . . . . . . . . . . . . .</w:t>
            </w:r>
          </w:p>
        </w:tc>
        <w:tc>
          <w:tcPr>
            <w:tcW w:w="1322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620" w:val="left" w:leader="none"/>
              </w:tabs>
              <w:spacing w:line="224" w:lineRule="exact"/>
              <w:ind w:right="94"/>
              <w:rPr>
                <w:sz w:val="20"/>
              </w:rPr>
            </w:pPr>
            <w:r>
              <w:rPr>
                <w:sz w:val="20"/>
              </w:rPr>
              <w:t>$</w:t>
              <w:tab/>
              <w:t>2.5175</w:t>
            </w:r>
          </w:p>
        </w:tc>
        <w:tc>
          <w:tcPr>
            <w:tcW w:w="1349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620" w:val="left" w:leader="none"/>
              </w:tabs>
              <w:spacing w:line="224" w:lineRule="exact"/>
              <w:ind w:right="78"/>
              <w:rPr>
                <w:sz w:val="20"/>
              </w:rPr>
            </w:pPr>
            <w:r>
              <w:rPr>
                <w:sz w:val="20"/>
              </w:rPr>
              <w:t>$</w:t>
              <w:tab/>
              <w:t>0.2014</w:t>
            </w:r>
          </w:p>
        </w:tc>
      </w:tr>
      <w:tr>
        <w:trPr>
          <w:trHeight w:val="285" w:hRule="atLeast"/>
        </w:trPr>
        <w:tc>
          <w:tcPr>
            <w:tcW w:w="6688" w:type="dxa"/>
          </w:tcPr>
          <w:p>
            <w:pPr>
              <w:pStyle w:val="TableParagraph"/>
              <w:spacing w:before="4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46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 . . . . . . . . . . . . . . . . . . . . . . . . . . . . . . . . . . . . . . . . . . . . . . . . . . . . .</w:t>
            </w:r>
          </w:p>
        </w:tc>
        <w:tc>
          <w:tcPr>
            <w:tcW w:w="1322" w:type="dxa"/>
          </w:tcPr>
          <w:p>
            <w:pPr>
              <w:pStyle w:val="TableParagraph"/>
              <w:spacing w:before="4"/>
              <w:ind w:right="94"/>
              <w:rPr>
                <w:sz w:val="20"/>
              </w:rPr>
            </w:pPr>
            <w:r>
              <w:rPr>
                <w:sz w:val="20"/>
              </w:rPr>
              <w:t>3.2376</w:t>
            </w:r>
          </w:p>
        </w:tc>
        <w:tc>
          <w:tcPr>
            <w:tcW w:w="1349" w:type="dxa"/>
          </w:tcPr>
          <w:p>
            <w:pPr>
              <w:pStyle w:val="TableParagraph"/>
              <w:spacing w:before="4"/>
              <w:ind w:right="78"/>
              <w:rPr>
                <w:sz w:val="20"/>
              </w:rPr>
            </w:pPr>
            <w:r>
              <w:rPr>
                <w:sz w:val="20"/>
              </w:rPr>
              <w:t>0.2590</w:t>
            </w:r>
          </w:p>
        </w:tc>
      </w:tr>
      <w:tr>
        <w:trPr>
          <w:trHeight w:val="285" w:hRule="atLeast"/>
        </w:trPr>
        <w:tc>
          <w:tcPr>
            <w:tcW w:w="6688" w:type="dxa"/>
            <w:shd w:val="clear" w:color="auto" w:fill="CCEDFF"/>
          </w:tcPr>
          <w:p>
            <w:pPr>
              <w:pStyle w:val="TableParagraph"/>
              <w:spacing w:before="4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C</w:t>
            </w:r>
            <w:r>
              <w:rPr>
                <w:spacing w:val="46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 . . . . . . . . . . . . . . . . . . . . . . . . . . . . . . . . . . . . . . . . . . . . . . . . . . . . .</w:t>
            </w:r>
          </w:p>
        </w:tc>
        <w:tc>
          <w:tcPr>
            <w:tcW w:w="1322" w:type="dxa"/>
            <w:shd w:val="clear" w:color="auto" w:fill="CCEDFF"/>
          </w:tcPr>
          <w:p>
            <w:pPr>
              <w:pStyle w:val="TableParagraph"/>
              <w:spacing w:before="4"/>
              <w:ind w:right="94"/>
              <w:rPr>
                <w:sz w:val="20"/>
              </w:rPr>
            </w:pPr>
            <w:r>
              <w:rPr>
                <w:sz w:val="20"/>
              </w:rPr>
              <w:t>4.5600</w:t>
            </w:r>
          </w:p>
        </w:tc>
        <w:tc>
          <w:tcPr>
            <w:tcW w:w="1349" w:type="dxa"/>
            <w:shd w:val="clear" w:color="auto" w:fill="CCEDFF"/>
          </w:tcPr>
          <w:p>
            <w:pPr>
              <w:pStyle w:val="TableParagraph"/>
              <w:spacing w:before="4"/>
              <w:ind w:right="78"/>
              <w:rPr>
                <w:sz w:val="20"/>
              </w:rPr>
            </w:pPr>
            <w:r>
              <w:rPr>
                <w:sz w:val="20"/>
              </w:rPr>
              <w:t>0.3648</w:t>
            </w:r>
          </w:p>
        </w:tc>
      </w:tr>
      <w:tr>
        <w:trPr>
          <w:trHeight w:val="285" w:hRule="atLeast"/>
        </w:trPr>
        <w:tc>
          <w:tcPr>
            <w:tcW w:w="6688" w:type="dxa"/>
          </w:tcPr>
          <w:p>
            <w:pPr>
              <w:pStyle w:val="TableParagraph"/>
              <w:spacing w:before="4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D</w:t>
            </w:r>
            <w:r>
              <w:rPr>
                <w:spacing w:val="36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 . . . . . . . . . . . . . . . . . . . . . . . . . . . . . . . . . . . . . . . . . . . . . . . . . . . . .</w:t>
            </w:r>
          </w:p>
        </w:tc>
        <w:tc>
          <w:tcPr>
            <w:tcW w:w="1322" w:type="dxa"/>
          </w:tcPr>
          <w:p>
            <w:pPr>
              <w:pStyle w:val="TableParagraph"/>
              <w:spacing w:before="4"/>
              <w:ind w:right="94"/>
              <w:rPr>
                <w:sz w:val="20"/>
              </w:rPr>
            </w:pPr>
            <w:r>
              <w:rPr>
                <w:sz w:val="20"/>
              </w:rPr>
              <w:t>5.0825</w:t>
            </w:r>
          </w:p>
        </w:tc>
        <w:tc>
          <w:tcPr>
            <w:tcW w:w="1349" w:type="dxa"/>
          </w:tcPr>
          <w:p>
            <w:pPr>
              <w:pStyle w:val="TableParagraph"/>
              <w:spacing w:before="4"/>
              <w:ind w:right="78"/>
              <w:rPr>
                <w:sz w:val="20"/>
              </w:rPr>
            </w:pPr>
            <w:r>
              <w:rPr>
                <w:sz w:val="20"/>
              </w:rPr>
              <w:t>0.4066</w:t>
            </w:r>
          </w:p>
        </w:tc>
      </w:tr>
      <w:tr>
        <w:trPr>
          <w:trHeight w:val="285" w:hRule="atLeast"/>
        </w:trPr>
        <w:tc>
          <w:tcPr>
            <w:tcW w:w="6688" w:type="dxa"/>
            <w:shd w:val="clear" w:color="auto" w:fill="CCEDFF"/>
          </w:tcPr>
          <w:p>
            <w:pPr>
              <w:pStyle w:val="TableParagraph"/>
              <w:spacing w:before="4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7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 . . . . . . . . . . . . . . . . . . . . . . . . . . . . . . . . . . . . . . . . . . . . . . . . . . . . .</w:t>
            </w:r>
          </w:p>
        </w:tc>
        <w:tc>
          <w:tcPr>
            <w:tcW w:w="1322" w:type="dxa"/>
            <w:shd w:val="clear" w:color="auto" w:fill="CCEDFF"/>
          </w:tcPr>
          <w:p>
            <w:pPr>
              <w:pStyle w:val="TableParagraph"/>
              <w:spacing w:before="4"/>
              <w:ind w:right="94"/>
              <w:rPr>
                <w:sz w:val="20"/>
              </w:rPr>
            </w:pPr>
            <w:r>
              <w:rPr>
                <w:sz w:val="20"/>
              </w:rPr>
              <w:t>13.7275</w:t>
            </w:r>
          </w:p>
        </w:tc>
        <w:tc>
          <w:tcPr>
            <w:tcW w:w="1349" w:type="dxa"/>
            <w:shd w:val="clear" w:color="auto" w:fill="CCEDFF"/>
          </w:tcPr>
          <w:p>
            <w:pPr>
              <w:pStyle w:val="TableParagraph"/>
              <w:spacing w:before="4"/>
              <w:ind w:right="78"/>
              <w:rPr>
                <w:sz w:val="20"/>
              </w:rPr>
            </w:pPr>
            <w:r>
              <w:rPr>
                <w:sz w:val="20"/>
              </w:rPr>
              <w:t>1.0982</w:t>
            </w:r>
          </w:p>
        </w:tc>
      </w:tr>
      <w:tr>
        <w:trPr>
          <w:trHeight w:val="285" w:hRule="atLeast"/>
        </w:trPr>
        <w:tc>
          <w:tcPr>
            <w:tcW w:w="6688" w:type="dxa"/>
          </w:tcPr>
          <w:p>
            <w:pPr>
              <w:pStyle w:val="TableParagraph"/>
              <w:spacing w:before="4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F</w:t>
            </w:r>
            <w:r>
              <w:rPr>
                <w:spacing w:val="17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 . . . . . . . . . . . . . . . . . . . . . . . . . . . . . . . . . . . . . . . . . . . . . . . . . . . . .</w:t>
            </w:r>
          </w:p>
        </w:tc>
        <w:tc>
          <w:tcPr>
            <w:tcW w:w="1322" w:type="dxa"/>
          </w:tcPr>
          <w:p>
            <w:pPr>
              <w:pStyle w:val="TableParagraph"/>
              <w:spacing w:before="4"/>
              <w:ind w:right="94"/>
              <w:rPr>
                <w:sz w:val="20"/>
              </w:rPr>
            </w:pPr>
            <w:r>
              <w:rPr>
                <w:sz w:val="20"/>
              </w:rPr>
              <w:t>14.7279</w:t>
            </w:r>
          </w:p>
        </w:tc>
        <w:tc>
          <w:tcPr>
            <w:tcW w:w="1349" w:type="dxa"/>
          </w:tcPr>
          <w:p>
            <w:pPr>
              <w:pStyle w:val="TableParagraph"/>
              <w:spacing w:before="4"/>
              <w:ind w:right="78"/>
              <w:rPr>
                <w:sz w:val="20"/>
              </w:rPr>
            </w:pPr>
            <w:r>
              <w:rPr>
                <w:sz w:val="20"/>
              </w:rPr>
              <w:t>1.1782</w:t>
            </w:r>
          </w:p>
        </w:tc>
      </w:tr>
      <w:tr>
        <w:trPr>
          <w:trHeight w:val="270" w:hRule="atLeast"/>
        </w:trPr>
        <w:tc>
          <w:tcPr>
            <w:tcW w:w="6688" w:type="dxa"/>
            <w:shd w:val="clear" w:color="auto" w:fill="CCEDFF"/>
          </w:tcPr>
          <w:p>
            <w:pPr>
              <w:pStyle w:val="TableParagraph"/>
              <w:spacing w:before="4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G</w:t>
            </w:r>
            <w:r>
              <w:rPr>
                <w:spacing w:val="36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 . . . . . . . . . . . . . . . . . . . . . . . . . . . . . . . . . . . . . . . . . . . . . . . . . . . . .</w:t>
            </w:r>
          </w:p>
        </w:tc>
        <w:tc>
          <w:tcPr>
            <w:tcW w:w="1322" w:type="dxa"/>
            <w:shd w:val="clear" w:color="auto" w:fill="CCEDFF"/>
          </w:tcPr>
          <w:p>
            <w:pPr>
              <w:pStyle w:val="TableParagraph"/>
              <w:spacing w:before="4"/>
              <w:ind w:right="94"/>
              <w:rPr>
                <w:sz w:val="20"/>
              </w:rPr>
            </w:pPr>
            <w:r>
              <w:rPr>
                <w:sz w:val="20"/>
              </w:rPr>
              <w:t>19.1116</w:t>
            </w:r>
          </w:p>
        </w:tc>
        <w:tc>
          <w:tcPr>
            <w:tcW w:w="1349" w:type="dxa"/>
            <w:shd w:val="clear" w:color="auto" w:fill="CCEDFF"/>
          </w:tcPr>
          <w:p>
            <w:pPr>
              <w:pStyle w:val="TableParagraph"/>
              <w:spacing w:before="4"/>
              <w:ind w:right="78"/>
              <w:rPr>
                <w:sz w:val="20"/>
              </w:rPr>
            </w:pPr>
            <w:r>
              <w:rPr>
                <w:sz w:val="20"/>
              </w:rPr>
              <w:t>1.5289</w:t>
            </w:r>
          </w:p>
        </w:tc>
      </w:tr>
    </w:tbl>
    <w:p>
      <w:pPr>
        <w:pStyle w:val="BodyText"/>
        <w:spacing w:before="2"/>
        <w:ind w:left="0" w:firstLine="0"/>
      </w:pPr>
    </w:p>
    <w:p>
      <w:pPr>
        <w:pStyle w:val="BodyText"/>
        <w:spacing w:line="249" w:lineRule="auto" w:before="0"/>
      </w:pPr>
      <w:r>
        <w:rPr/>
        <w:t>The Company recorded its redeemable convertible preferred stock at fair value on the dates of issuance, net of</w:t>
      </w:r>
      <w:r>
        <w:rPr>
          <w:spacing w:val="1"/>
        </w:rPr>
        <w:t> </w:t>
      </w:r>
      <w:r>
        <w:rPr/>
        <w:t>issuance costs. A redemption event would only occur upon the liquidation or winding up of the Company, a greater</w:t>
      </w:r>
      <w:r>
        <w:rPr>
          <w:spacing w:val="1"/>
        </w:rPr>
        <w:t> </w:t>
      </w:r>
      <w:r>
        <w:rPr/>
        <w:t>than 50% change in control, or sale of substantially all of the assets of the Company. As the redemption event was</w:t>
      </w:r>
      <w:r>
        <w:rPr>
          <w:spacing w:val="1"/>
        </w:rPr>
        <w:t> </w:t>
      </w:r>
      <w:r>
        <w:rPr/>
        <w:t>outside the control of the Company, all shares of redeemable convertible preferred stock were presented outside of</w:t>
      </w:r>
      <w:r>
        <w:rPr>
          <w:spacing w:val="1"/>
        </w:rPr>
        <w:t> </w:t>
      </w:r>
      <w:r>
        <w:rPr/>
        <w:t>permanent</w:t>
      </w:r>
      <w:r>
        <w:rPr>
          <w:spacing w:val="-4"/>
        </w:rPr>
        <w:t> </w:t>
      </w:r>
      <w:r>
        <w:rPr/>
        <w:t>equity.</w:t>
      </w:r>
      <w:r>
        <w:rPr>
          <w:spacing w:val="-3"/>
        </w:rPr>
        <w:t> </w:t>
      </w:r>
      <w:r>
        <w:rPr/>
        <w:t>Further,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Company</w:t>
      </w:r>
      <w:r>
        <w:rPr>
          <w:spacing w:val="-3"/>
        </w:rPr>
        <w:t> </w:t>
      </w:r>
      <w:r>
        <w:rPr/>
        <w:t>had</w:t>
      </w:r>
      <w:r>
        <w:rPr>
          <w:spacing w:val="-3"/>
        </w:rPr>
        <w:t> </w:t>
      </w:r>
      <w:r>
        <w:rPr/>
        <w:t>determined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carrying</w:t>
      </w:r>
      <w:r>
        <w:rPr>
          <w:spacing w:val="-3"/>
        </w:rPr>
        <w:t> </w:t>
      </w:r>
      <w:r>
        <w:rPr/>
        <w:t>values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redeemable</w:t>
      </w:r>
      <w:r>
        <w:rPr>
          <w:spacing w:val="-4"/>
        </w:rPr>
        <w:t> </w:t>
      </w:r>
      <w:r>
        <w:rPr/>
        <w:t>convertible</w:t>
      </w:r>
      <w:r>
        <w:rPr>
          <w:spacing w:val="-4"/>
        </w:rPr>
        <w:t> </w:t>
      </w:r>
      <w:r>
        <w:rPr/>
        <w:t>preferred</w:t>
      </w:r>
      <w:r>
        <w:rPr>
          <w:spacing w:val="-47"/>
        </w:rPr>
        <w:t> </w:t>
      </w:r>
      <w:r>
        <w:rPr/>
        <w:t>stock</w:t>
      </w:r>
      <w:r>
        <w:rPr>
          <w:spacing w:val="-2"/>
        </w:rPr>
        <w:t> </w:t>
      </w:r>
      <w:r>
        <w:rPr/>
        <w:t>should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adjusted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redemption</w:t>
      </w:r>
      <w:r>
        <w:rPr>
          <w:spacing w:val="-1"/>
        </w:rPr>
        <w:t> </w:t>
      </w:r>
      <w:r>
        <w:rPr/>
        <w:t>value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such</w:t>
      </w:r>
      <w:r>
        <w:rPr>
          <w:spacing w:val="-1"/>
        </w:rPr>
        <w:t> </w:t>
      </w:r>
      <w:r>
        <w:rPr/>
        <w:t>shares,</w:t>
      </w:r>
      <w:r>
        <w:rPr>
          <w:spacing w:val="-2"/>
        </w:rPr>
        <w:t> </w:t>
      </w:r>
      <w:r>
        <w:rPr/>
        <w:t>since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/>
        <w:t>uncertain</w:t>
      </w:r>
      <w:r>
        <w:rPr>
          <w:spacing w:val="-2"/>
        </w:rPr>
        <w:t> </w:t>
      </w:r>
      <w:r>
        <w:rPr/>
        <w:t>whether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when</w:t>
      </w:r>
      <w:r>
        <w:rPr>
          <w:spacing w:val="-2"/>
        </w:rPr>
        <w:t> </w:t>
      </w:r>
      <w:r>
        <w:rPr/>
        <w:t>a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  <w:ind w:right="212" w:firstLine="0"/>
      </w:pPr>
      <w:r>
        <w:rPr/>
        <w:t>redemption event would occur. Subsequent adjustments to increase the carrying values of the redeemable</w:t>
      </w:r>
      <w:r>
        <w:rPr>
          <w:spacing w:val="1"/>
        </w:rPr>
        <w:t> </w:t>
      </w:r>
      <w:r>
        <w:rPr/>
        <w:t>convertible</w:t>
      </w:r>
      <w:r>
        <w:rPr>
          <w:spacing w:val="-4"/>
        </w:rPr>
        <w:t> </w:t>
      </w:r>
      <w:r>
        <w:rPr/>
        <w:t>preferred</w:t>
      </w:r>
      <w:r>
        <w:rPr>
          <w:spacing w:val="-2"/>
        </w:rPr>
        <w:t> </w:t>
      </w:r>
      <w:r>
        <w:rPr/>
        <w:t>stock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redemption</w:t>
      </w:r>
      <w:r>
        <w:rPr>
          <w:spacing w:val="-2"/>
        </w:rPr>
        <w:t> </w:t>
      </w:r>
      <w:r>
        <w:rPr/>
        <w:t>values</w:t>
      </w:r>
      <w:r>
        <w:rPr>
          <w:spacing w:val="-4"/>
        </w:rPr>
        <w:t> </w:t>
      </w:r>
      <w:r>
        <w:rPr/>
        <w:t>would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been</w:t>
      </w:r>
      <w:r>
        <w:rPr>
          <w:spacing w:val="-3"/>
        </w:rPr>
        <w:t> </w:t>
      </w:r>
      <w:r>
        <w:rPr/>
        <w:t>made</w:t>
      </w:r>
      <w:r>
        <w:rPr>
          <w:spacing w:val="-3"/>
        </w:rPr>
        <w:t> </w:t>
      </w:r>
      <w:r>
        <w:rPr/>
        <w:t>when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became</w:t>
      </w:r>
      <w:r>
        <w:rPr>
          <w:spacing w:val="-3"/>
        </w:rPr>
        <w:t> </w:t>
      </w:r>
      <w:r>
        <w:rPr/>
        <w:t>probable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such</w:t>
      </w:r>
      <w:r>
        <w:rPr>
          <w:spacing w:val="-47"/>
        </w:rPr>
        <w:t> </w:t>
      </w:r>
      <w:r>
        <w:rPr/>
        <w:t>redemption would occur. As of September 30, 2021, no shares of redeemable convertible preferred stock were</w:t>
      </w:r>
      <w:r>
        <w:rPr>
          <w:spacing w:val="-47"/>
        </w:rPr>
        <w:t> </w:t>
      </w:r>
      <w:r>
        <w:rPr/>
        <w:t>outstanding,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December</w:t>
      </w:r>
      <w:r>
        <w:rPr>
          <w:spacing w:val="-1"/>
        </w:rPr>
        <w:t> </w:t>
      </w:r>
      <w:r>
        <w:rPr/>
        <w:t>31,</w:t>
      </w:r>
      <w:r>
        <w:rPr>
          <w:spacing w:val="-1"/>
        </w:rPr>
        <w:t> </w:t>
      </w:r>
      <w:r>
        <w:rPr/>
        <w:t>2020, it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probable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such redemption</w:t>
      </w:r>
      <w:r>
        <w:rPr>
          <w:spacing w:val="-1"/>
        </w:rPr>
        <w:t> </w:t>
      </w:r>
      <w:r>
        <w:rPr/>
        <w:t>would</w:t>
      </w:r>
      <w:r>
        <w:rPr>
          <w:spacing w:val="-1"/>
        </w:rPr>
        <w:t> </w:t>
      </w:r>
      <w:r>
        <w:rPr/>
        <w:t>occur.</w:t>
      </w:r>
    </w:p>
    <w:p>
      <w:pPr>
        <w:pStyle w:val="Heading3"/>
        <w:rPr>
          <w:i/>
        </w:rPr>
      </w:pPr>
      <w:r>
        <w:rPr>
          <w:i/>
        </w:rPr>
        <w:t>Dividends</w:t>
      </w:r>
    </w:p>
    <w:p>
      <w:pPr>
        <w:pStyle w:val="BodyText"/>
        <w:spacing w:line="249" w:lineRule="auto" w:before="193"/>
        <w:ind w:right="212"/>
      </w:pPr>
      <w:r>
        <w:rPr/>
        <w:t>The holders of the Series D, E, F and G redeemable convertible preferred stock, in preference to the holders of</w:t>
      </w:r>
      <w:r>
        <w:rPr>
          <w:spacing w:val="1"/>
        </w:rPr>
        <w:t> </w:t>
      </w:r>
      <w:r>
        <w:rPr/>
        <w:t>Series A, B and C redeemable convertible preferred stock and common stock, were entitled to receive</w:t>
      </w:r>
      <w:r>
        <w:rPr>
          <w:spacing w:val="1"/>
        </w:rPr>
        <w:t> </w:t>
      </w:r>
      <w:r>
        <w:rPr/>
        <w:t>noncumulative dividends at the rate of 8% per share of the original issuance price, when and as declared by the</w:t>
      </w:r>
      <w:r>
        <w:rPr>
          <w:spacing w:val="1"/>
        </w:rPr>
        <w:t> </w:t>
      </w:r>
      <w:r>
        <w:rPr/>
        <w:t>board of directors. After the payment of any dividends to holders of Series D, E, F and G redeemable convertible</w:t>
      </w:r>
      <w:r>
        <w:rPr>
          <w:spacing w:val="1"/>
        </w:rPr>
        <w:t> </w:t>
      </w:r>
      <w:r>
        <w:rPr/>
        <w:t>preferred stock, and in preference to the holders of common stock, the holders of Series A, B, and C redeemable</w:t>
      </w:r>
      <w:r>
        <w:rPr>
          <w:spacing w:val="1"/>
        </w:rPr>
        <w:t> </w:t>
      </w:r>
      <w:r>
        <w:rPr/>
        <w:t>convertible</w:t>
      </w:r>
      <w:r>
        <w:rPr>
          <w:spacing w:val="-4"/>
        </w:rPr>
        <w:t> </w:t>
      </w:r>
      <w:r>
        <w:rPr/>
        <w:t>preferred</w:t>
      </w:r>
      <w:r>
        <w:rPr>
          <w:spacing w:val="-2"/>
        </w:rPr>
        <w:t> </w:t>
      </w:r>
      <w:r>
        <w:rPr/>
        <w:t>stock</w:t>
      </w:r>
      <w:r>
        <w:rPr>
          <w:spacing w:val="-3"/>
        </w:rPr>
        <w:t> </w:t>
      </w:r>
      <w:r>
        <w:rPr/>
        <w:t>would</w:t>
      </w:r>
      <w:r>
        <w:rPr>
          <w:spacing w:val="-2"/>
        </w:rPr>
        <w:t> </w:t>
      </w:r>
      <w:r>
        <w:rPr/>
        <w:t>have</w:t>
      </w:r>
      <w:r>
        <w:rPr>
          <w:spacing w:val="-4"/>
        </w:rPr>
        <w:t> </w:t>
      </w:r>
      <w:r>
        <w:rPr/>
        <w:t>been</w:t>
      </w:r>
      <w:r>
        <w:rPr>
          <w:spacing w:val="-2"/>
        </w:rPr>
        <w:t> </w:t>
      </w:r>
      <w:r>
        <w:rPr/>
        <w:t>entitled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receive</w:t>
      </w:r>
      <w:r>
        <w:rPr>
          <w:spacing w:val="-3"/>
        </w:rPr>
        <w:t> </w:t>
      </w:r>
      <w:r>
        <w:rPr/>
        <w:t>noncumulative</w:t>
      </w:r>
      <w:r>
        <w:rPr>
          <w:spacing w:val="-4"/>
        </w:rPr>
        <w:t> </w:t>
      </w:r>
      <w:r>
        <w:rPr/>
        <w:t>dividends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rate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8%</w:t>
      </w:r>
      <w:r>
        <w:rPr>
          <w:spacing w:val="-3"/>
        </w:rPr>
        <w:t> </w:t>
      </w:r>
      <w:r>
        <w:rPr/>
        <w:t>per</w:t>
      </w:r>
      <w:r>
        <w:rPr>
          <w:spacing w:val="-2"/>
        </w:rPr>
        <w:t> </w:t>
      </w:r>
      <w:r>
        <w:rPr/>
        <w:t>share</w:t>
      </w:r>
      <w:r>
        <w:rPr>
          <w:spacing w:val="-47"/>
        </w:rPr>
        <w:t> </w:t>
      </w:r>
      <w:r>
        <w:rPr/>
        <w:t>of the original issuance price, when and as declared by the board of directors. No dividends were declared and</w:t>
      </w:r>
      <w:r>
        <w:rPr>
          <w:spacing w:val="1"/>
        </w:rPr>
        <w:t> </w:t>
      </w:r>
      <w:r>
        <w:rPr/>
        <w:t>payable</w:t>
      </w:r>
      <w:r>
        <w:rPr>
          <w:spacing w:val="-2"/>
        </w:rPr>
        <w:t> </w:t>
      </w:r>
      <w:r>
        <w:rPr/>
        <w:t>for the</w:t>
      </w:r>
      <w:r>
        <w:rPr>
          <w:spacing w:val="-2"/>
        </w:rPr>
        <w:t> </w:t>
      </w:r>
      <w:r>
        <w:rPr/>
        <w:t>nine</w:t>
      </w:r>
      <w:r>
        <w:rPr>
          <w:spacing w:val="-1"/>
        </w:rPr>
        <w:t> </w:t>
      </w:r>
      <w:r>
        <w:rPr/>
        <w:t>months</w:t>
      </w:r>
      <w:r>
        <w:rPr>
          <w:spacing w:val="-2"/>
        </w:rPr>
        <w:t> </w:t>
      </w:r>
      <w:r>
        <w:rPr/>
        <w:t>ended September</w:t>
      </w:r>
      <w:r>
        <w:rPr>
          <w:spacing w:val="-1"/>
        </w:rPr>
        <w:t> </w:t>
      </w:r>
      <w:r>
        <w:rPr/>
        <w:t>30, 2021</w:t>
      </w:r>
      <w:r>
        <w:rPr>
          <w:spacing w:val="-1"/>
        </w:rPr>
        <w:t> </w:t>
      </w:r>
      <w:r>
        <w:rPr/>
        <w:t>and year</w:t>
      </w:r>
      <w:r>
        <w:rPr>
          <w:spacing w:val="-1"/>
        </w:rPr>
        <w:t> </w:t>
      </w:r>
      <w:r>
        <w:rPr/>
        <w:t>ended December</w:t>
      </w:r>
      <w:r>
        <w:rPr>
          <w:spacing w:val="-1"/>
        </w:rPr>
        <w:t> </w:t>
      </w:r>
      <w:r>
        <w:rPr/>
        <w:t>31, 2020.</w:t>
      </w:r>
    </w:p>
    <w:p>
      <w:pPr>
        <w:pStyle w:val="Heading3"/>
        <w:spacing w:before="183"/>
        <w:rPr>
          <w:i/>
        </w:rPr>
      </w:pPr>
      <w:r>
        <w:rPr>
          <w:i/>
        </w:rPr>
        <w:t>Liquidation</w:t>
      </w:r>
    </w:p>
    <w:p>
      <w:pPr>
        <w:pStyle w:val="BodyText"/>
        <w:spacing w:line="249" w:lineRule="auto" w:before="193"/>
        <w:ind w:right="148"/>
      </w:pPr>
      <w:r>
        <w:rPr/>
        <w:t>In the event of any liquidation, dissolution, or winding-up of the Company, including a merger, acquisition, or</w:t>
      </w:r>
      <w:r>
        <w:rPr>
          <w:spacing w:val="1"/>
        </w:rPr>
        <w:t> </w:t>
      </w:r>
      <w:r>
        <w:rPr/>
        <w:t>sale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assets,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defined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certificate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incorporation,</w:t>
      </w:r>
      <w:r>
        <w:rPr>
          <w:spacing w:val="-3"/>
        </w:rPr>
        <w:t> </w:t>
      </w:r>
      <w:r>
        <w:rPr/>
        <w:t>each</w:t>
      </w:r>
      <w:r>
        <w:rPr>
          <w:spacing w:val="-3"/>
        </w:rPr>
        <w:t> </w:t>
      </w:r>
      <w:r>
        <w:rPr/>
        <w:t>holder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Series</w:t>
      </w:r>
      <w:r>
        <w:rPr>
          <w:spacing w:val="-4"/>
        </w:rPr>
        <w:t> </w:t>
      </w:r>
      <w:r>
        <w:rPr/>
        <w:t>G</w:t>
      </w:r>
      <w:r>
        <w:rPr>
          <w:spacing w:val="-4"/>
        </w:rPr>
        <w:t> </w:t>
      </w:r>
      <w:r>
        <w:rPr/>
        <w:t>redeemable</w:t>
      </w:r>
      <w:r>
        <w:rPr>
          <w:spacing w:val="-4"/>
        </w:rPr>
        <w:t> </w:t>
      </w:r>
      <w:r>
        <w:rPr/>
        <w:t>convertible</w:t>
      </w:r>
      <w:r>
        <w:rPr>
          <w:spacing w:val="-4"/>
        </w:rPr>
        <w:t> </w:t>
      </w:r>
      <w:r>
        <w:rPr/>
        <w:t>preferred</w:t>
      </w:r>
      <w:r>
        <w:rPr>
          <w:spacing w:val="1"/>
        </w:rPr>
        <w:t> </w:t>
      </w:r>
      <w:r>
        <w:rPr/>
        <w:t>stock was entitled to receive a liquidation preference amount, plus any dividends declared but unpaid before any</w:t>
      </w:r>
      <w:r>
        <w:rPr>
          <w:spacing w:val="1"/>
        </w:rPr>
        <w:t> </w:t>
      </w:r>
      <w:r>
        <w:rPr/>
        <w:t>payments to holders of Series A, B, C, D, E or F redeemable convertible preferred stock and common stock. If the</w:t>
      </w:r>
      <w:r>
        <w:rPr>
          <w:spacing w:val="1"/>
        </w:rPr>
        <w:t> </w:t>
      </w:r>
      <w:r>
        <w:rPr/>
        <w:t>assets of the Company were insufficient to make payment in full to all Series G redeemable convertible preferred</w:t>
      </w:r>
      <w:r>
        <w:rPr>
          <w:spacing w:val="1"/>
        </w:rPr>
        <w:t> </w:t>
      </w:r>
      <w:r>
        <w:rPr/>
        <w:t>stockholders, then the assets or consideration would have been distributed ratably among such holders in proportion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full</w:t>
      </w:r>
      <w:r>
        <w:rPr>
          <w:spacing w:val="-2"/>
        </w:rPr>
        <w:t> </w:t>
      </w:r>
      <w:r>
        <w:rPr/>
        <w:t>liquidation</w:t>
      </w:r>
      <w:r>
        <w:rPr>
          <w:spacing w:val="-1"/>
        </w:rPr>
        <w:t> </w:t>
      </w:r>
      <w:r>
        <w:rPr/>
        <w:t>preference</w:t>
      </w:r>
      <w:r>
        <w:rPr>
          <w:spacing w:val="-2"/>
        </w:rPr>
        <w:t> </w:t>
      </w:r>
      <w:r>
        <w:rPr/>
        <w:t>amounts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holders</w:t>
      </w:r>
      <w:r>
        <w:rPr>
          <w:spacing w:val="-2"/>
        </w:rPr>
        <w:t> </w:t>
      </w:r>
      <w:r>
        <w:rPr/>
        <w:t>would</w:t>
      </w:r>
      <w:r>
        <w:rPr>
          <w:spacing w:val="-1"/>
        </w:rPr>
        <w:t> </w:t>
      </w:r>
      <w:r>
        <w:rPr/>
        <w:t>otherwise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been</w:t>
      </w:r>
      <w:r>
        <w:rPr>
          <w:spacing w:val="-1"/>
        </w:rPr>
        <w:t> </w:t>
      </w:r>
      <w:r>
        <w:rPr/>
        <w:t>entitled</w:t>
      </w:r>
      <w:r>
        <w:rPr>
          <w:spacing w:val="-1"/>
        </w:rPr>
        <w:t> </w:t>
      </w:r>
      <w:r>
        <w:rPr/>
        <w:t>to.</w:t>
      </w:r>
    </w:p>
    <w:p>
      <w:pPr>
        <w:pStyle w:val="BodyText"/>
        <w:spacing w:line="249" w:lineRule="auto" w:before="186"/>
        <w:ind w:right="212"/>
      </w:pPr>
      <w:r>
        <w:rPr/>
        <w:t>After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full</w:t>
      </w:r>
      <w:r>
        <w:rPr>
          <w:spacing w:val="-4"/>
        </w:rPr>
        <w:t> </w:t>
      </w:r>
      <w:r>
        <w:rPr/>
        <w:t>payment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liquidation</w:t>
      </w:r>
      <w:r>
        <w:rPr>
          <w:spacing w:val="-2"/>
        </w:rPr>
        <w:t> </w:t>
      </w:r>
      <w:r>
        <w:rPr/>
        <w:t>preference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holders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Series</w:t>
      </w:r>
      <w:r>
        <w:rPr>
          <w:spacing w:val="-4"/>
        </w:rPr>
        <w:t> </w:t>
      </w:r>
      <w:r>
        <w:rPr/>
        <w:t>G</w:t>
      </w:r>
      <w:r>
        <w:rPr>
          <w:spacing w:val="-3"/>
        </w:rPr>
        <w:t> </w:t>
      </w:r>
      <w:r>
        <w:rPr/>
        <w:t>redeemable</w:t>
      </w:r>
      <w:r>
        <w:rPr>
          <w:spacing w:val="-4"/>
        </w:rPr>
        <w:t> </w:t>
      </w:r>
      <w:r>
        <w:rPr/>
        <w:t>convertible</w:t>
      </w:r>
      <w:r>
        <w:rPr>
          <w:spacing w:val="-3"/>
        </w:rPr>
        <w:t> </w:t>
      </w:r>
      <w:r>
        <w:rPr/>
        <w:t>preferred</w:t>
      </w:r>
      <w:r>
        <w:rPr>
          <w:spacing w:val="1"/>
        </w:rPr>
        <w:t> </w:t>
      </w:r>
      <w:r>
        <w:rPr/>
        <w:t>stock, each holder of Series F redeemable convertible preferred stock would have been entitled to be paid a</w:t>
      </w:r>
      <w:r>
        <w:rPr>
          <w:spacing w:val="1"/>
        </w:rPr>
        <w:t> </w:t>
      </w:r>
      <w:r>
        <w:rPr/>
        <w:t>liquidation preference amount, plus any dividends declared but unpaid before any payments to holders of Series A,</w:t>
      </w:r>
      <w:r>
        <w:rPr>
          <w:spacing w:val="1"/>
        </w:rPr>
        <w:t> </w:t>
      </w:r>
      <w:r>
        <w:rPr/>
        <w:t>B, C, D or E redeemable convertible preferred stock and common stock. If the assets of the Company were</w:t>
      </w:r>
      <w:r>
        <w:rPr>
          <w:spacing w:val="1"/>
        </w:rPr>
        <w:t> </w:t>
      </w:r>
      <w:r>
        <w:rPr/>
        <w:t>insufficient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make</w:t>
      </w:r>
      <w:r>
        <w:rPr>
          <w:spacing w:val="-4"/>
        </w:rPr>
        <w:t> </w:t>
      </w:r>
      <w:r>
        <w:rPr/>
        <w:t>payment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full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all</w:t>
      </w:r>
      <w:r>
        <w:rPr>
          <w:spacing w:val="-4"/>
        </w:rPr>
        <w:t> </w:t>
      </w:r>
      <w:r>
        <w:rPr/>
        <w:t>Series</w:t>
      </w:r>
      <w:r>
        <w:rPr>
          <w:spacing w:val="-4"/>
        </w:rPr>
        <w:t> </w:t>
      </w:r>
      <w:r>
        <w:rPr/>
        <w:t>F</w:t>
      </w:r>
      <w:r>
        <w:rPr>
          <w:spacing w:val="-4"/>
        </w:rPr>
        <w:t> </w:t>
      </w:r>
      <w:r>
        <w:rPr/>
        <w:t>redeemable</w:t>
      </w:r>
      <w:r>
        <w:rPr>
          <w:spacing w:val="-3"/>
        </w:rPr>
        <w:t> </w:t>
      </w:r>
      <w:r>
        <w:rPr/>
        <w:t>convertible</w:t>
      </w:r>
      <w:r>
        <w:rPr>
          <w:spacing w:val="-4"/>
        </w:rPr>
        <w:t> </w:t>
      </w:r>
      <w:r>
        <w:rPr/>
        <w:t>preferred</w:t>
      </w:r>
      <w:r>
        <w:rPr>
          <w:spacing w:val="-3"/>
        </w:rPr>
        <w:t> </w:t>
      </w:r>
      <w:r>
        <w:rPr/>
        <w:t>stockholders,</w:t>
      </w:r>
      <w:r>
        <w:rPr>
          <w:spacing w:val="-2"/>
        </w:rPr>
        <w:t> </w:t>
      </w:r>
      <w:r>
        <w:rPr/>
        <w:t>then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assets</w:t>
      </w:r>
      <w:r>
        <w:rPr>
          <w:spacing w:val="-4"/>
        </w:rPr>
        <w:t> </w:t>
      </w:r>
      <w:r>
        <w:rPr/>
        <w:t>or</w:t>
      </w:r>
      <w:r>
        <w:rPr>
          <w:spacing w:val="1"/>
        </w:rPr>
        <w:t> </w:t>
      </w:r>
      <w:r>
        <w:rPr/>
        <w:t>consideration would have been distributed ratably among such holders in proportion to the full liquidation</w:t>
      </w:r>
      <w:r>
        <w:rPr>
          <w:spacing w:val="1"/>
        </w:rPr>
        <w:t> </w:t>
      </w:r>
      <w:r>
        <w:rPr/>
        <w:t>preference</w:t>
      </w:r>
      <w:r>
        <w:rPr>
          <w:spacing w:val="-2"/>
        </w:rPr>
        <w:t> </w:t>
      </w:r>
      <w:r>
        <w:rPr/>
        <w:t>amounts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which the</w:t>
      </w:r>
      <w:r>
        <w:rPr>
          <w:spacing w:val="-2"/>
        </w:rPr>
        <w:t> </w:t>
      </w:r>
      <w:r>
        <w:rPr/>
        <w:t>holders</w:t>
      </w:r>
      <w:r>
        <w:rPr>
          <w:spacing w:val="-1"/>
        </w:rPr>
        <w:t> </w:t>
      </w:r>
      <w:r>
        <w:rPr/>
        <w:t>would</w:t>
      </w:r>
      <w:r>
        <w:rPr>
          <w:spacing w:val="-1"/>
        </w:rPr>
        <w:t> </w:t>
      </w:r>
      <w:r>
        <w:rPr/>
        <w:t>otherwise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been</w:t>
      </w:r>
      <w:r>
        <w:rPr>
          <w:spacing w:val="-1"/>
        </w:rPr>
        <w:t> </w:t>
      </w:r>
      <w:r>
        <w:rPr/>
        <w:t>entitled to.</w:t>
      </w:r>
    </w:p>
    <w:p>
      <w:pPr>
        <w:pStyle w:val="BodyText"/>
        <w:spacing w:line="249" w:lineRule="auto" w:before="186"/>
        <w:ind w:right="169"/>
      </w:pPr>
      <w:r>
        <w:rPr/>
        <w:t>After the full payment of the liquidation preference to the holders of Series F redeemable convertible preferred</w:t>
      </w:r>
      <w:r>
        <w:rPr>
          <w:spacing w:val="1"/>
        </w:rPr>
        <w:t> </w:t>
      </w:r>
      <w:r>
        <w:rPr/>
        <w:t>stock, each holder of Series E redeemable convertible preferred stock would have been entitled to be paid a</w:t>
      </w:r>
      <w:r>
        <w:rPr>
          <w:spacing w:val="1"/>
        </w:rPr>
        <w:t> </w:t>
      </w:r>
      <w:r>
        <w:rPr/>
        <w:t>liquidation preference amount, plus any dividends declared but unpaid before any payments to holders of Series A,</w:t>
      </w:r>
      <w:r>
        <w:rPr>
          <w:spacing w:val="1"/>
        </w:rPr>
        <w:t> </w:t>
      </w:r>
      <w:r>
        <w:rPr/>
        <w:t>B,</w:t>
      </w:r>
      <w:r>
        <w:rPr>
          <w:spacing w:val="-3"/>
        </w:rPr>
        <w:t> </w:t>
      </w:r>
      <w:r>
        <w:rPr/>
        <w:t>C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D</w:t>
      </w:r>
      <w:r>
        <w:rPr>
          <w:spacing w:val="-4"/>
        </w:rPr>
        <w:t> </w:t>
      </w:r>
      <w:r>
        <w:rPr/>
        <w:t>redeemable</w:t>
      </w:r>
      <w:r>
        <w:rPr>
          <w:spacing w:val="-3"/>
        </w:rPr>
        <w:t> </w:t>
      </w:r>
      <w:r>
        <w:rPr/>
        <w:t>convertible</w:t>
      </w:r>
      <w:r>
        <w:rPr>
          <w:spacing w:val="-3"/>
        </w:rPr>
        <w:t> </w:t>
      </w:r>
      <w:r>
        <w:rPr/>
        <w:t>preferred</w:t>
      </w:r>
      <w:r>
        <w:rPr>
          <w:spacing w:val="-2"/>
        </w:rPr>
        <w:t> </w:t>
      </w:r>
      <w:r>
        <w:rPr/>
        <w:t>stock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common</w:t>
      </w:r>
      <w:r>
        <w:rPr>
          <w:spacing w:val="-2"/>
        </w:rPr>
        <w:t> </w:t>
      </w:r>
      <w:r>
        <w:rPr/>
        <w:t>stock.</w:t>
      </w:r>
      <w:r>
        <w:rPr>
          <w:spacing w:val="-3"/>
        </w:rPr>
        <w:t> </w:t>
      </w: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assets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Company</w:t>
      </w:r>
      <w:r>
        <w:rPr>
          <w:spacing w:val="-2"/>
        </w:rPr>
        <w:t> </w:t>
      </w:r>
      <w:r>
        <w:rPr/>
        <w:t>were</w:t>
      </w:r>
      <w:r>
        <w:rPr>
          <w:spacing w:val="-3"/>
        </w:rPr>
        <w:t> </w:t>
      </w:r>
      <w:r>
        <w:rPr/>
        <w:t>insufficient</w:t>
      </w:r>
      <w:r>
        <w:rPr>
          <w:spacing w:val="-47"/>
        </w:rPr>
        <w:t> </w:t>
      </w:r>
      <w:r>
        <w:rPr/>
        <w:t>to make payment in full to all Series E redeemable convertible preferred stockholders, then the assets or</w:t>
      </w:r>
      <w:r>
        <w:rPr>
          <w:spacing w:val="1"/>
        </w:rPr>
        <w:t> </w:t>
      </w:r>
      <w:r>
        <w:rPr/>
        <w:t>consideration would have been distributed ratably among such holders in proportion to the full liquidation</w:t>
      </w:r>
      <w:r>
        <w:rPr>
          <w:spacing w:val="1"/>
        </w:rPr>
        <w:t> </w:t>
      </w:r>
      <w:r>
        <w:rPr/>
        <w:t>preference</w:t>
      </w:r>
      <w:r>
        <w:rPr>
          <w:spacing w:val="-2"/>
        </w:rPr>
        <w:t> </w:t>
      </w:r>
      <w:r>
        <w:rPr/>
        <w:t>amounts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which the</w:t>
      </w:r>
      <w:r>
        <w:rPr>
          <w:spacing w:val="-2"/>
        </w:rPr>
        <w:t> </w:t>
      </w:r>
      <w:r>
        <w:rPr/>
        <w:t>holders</w:t>
      </w:r>
      <w:r>
        <w:rPr>
          <w:spacing w:val="-1"/>
        </w:rPr>
        <w:t> </w:t>
      </w:r>
      <w:r>
        <w:rPr/>
        <w:t>would</w:t>
      </w:r>
      <w:r>
        <w:rPr>
          <w:spacing w:val="-1"/>
        </w:rPr>
        <w:t> </w:t>
      </w:r>
      <w:r>
        <w:rPr/>
        <w:t>otherwise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been</w:t>
      </w:r>
      <w:r>
        <w:rPr>
          <w:spacing w:val="-1"/>
        </w:rPr>
        <w:t> </w:t>
      </w:r>
      <w:r>
        <w:rPr/>
        <w:t>entitled to.</w:t>
      </w:r>
    </w:p>
    <w:p>
      <w:pPr>
        <w:pStyle w:val="BodyText"/>
        <w:spacing w:line="249" w:lineRule="auto" w:before="186"/>
        <w:ind w:right="225"/>
      </w:pPr>
      <w:r>
        <w:rPr/>
        <w:t>After the full payment of the liquidation preference to the holders of Series E redeemable convertible preferred</w:t>
      </w:r>
      <w:r>
        <w:rPr>
          <w:spacing w:val="-47"/>
        </w:rPr>
        <w:t> </w:t>
      </w:r>
      <w:r>
        <w:rPr/>
        <w:t>stock, each holder of Series D redeemable convertible preferred stock would have been entitled to be paid a</w:t>
      </w:r>
      <w:r>
        <w:rPr>
          <w:spacing w:val="1"/>
        </w:rPr>
        <w:t> </w:t>
      </w:r>
      <w:r>
        <w:rPr/>
        <w:t>liquidation preference amount, plus any dividends declared but unpaid before any payments to holders of Series A,</w:t>
      </w:r>
      <w:r>
        <w:rPr>
          <w:spacing w:val="1"/>
        </w:rPr>
        <w:t> </w:t>
      </w:r>
      <w:r>
        <w:rPr/>
        <w:t>B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C</w:t>
      </w:r>
      <w:r>
        <w:rPr>
          <w:spacing w:val="-3"/>
        </w:rPr>
        <w:t> </w:t>
      </w:r>
      <w:r>
        <w:rPr/>
        <w:t>redeemable</w:t>
      </w:r>
      <w:r>
        <w:rPr>
          <w:spacing w:val="-4"/>
        </w:rPr>
        <w:t> </w:t>
      </w:r>
      <w:r>
        <w:rPr/>
        <w:t>convertible</w:t>
      </w:r>
      <w:r>
        <w:rPr>
          <w:spacing w:val="-3"/>
        </w:rPr>
        <w:t> </w:t>
      </w:r>
      <w:r>
        <w:rPr/>
        <w:t>preferred</w:t>
      </w:r>
      <w:r>
        <w:rPr>
          <w:spacing w:val="-2"/>
        </w:rPr>
        <w:t> </w:t>
      </w:r>
      <w:r>
        <w:rPr/>
        <w:t>stock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common</w:t>
      </w:r>
      <w:r>
        <w:rPr>
          <w:spacing w:val="-2"/>
        </w:rPr>
        <w:t> </w:t>
      </w:r>
      <w:r>
        <w:rPr/>
        <w:t>stock.</w:t>
      </w:r>
      <w:r>
        <w:rPr>
          <w:spacing w:val="-2"/>
        </w:rPr>
        <w:t> </w:t>
      </w:r>
      <w:r>
        <w:rPr/>
        <w:t>If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assets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Company</w:t>
      </w:r>
      <w:r>
        <w:rPr>
          <w:spacing w:val="-2"/>
        </w:rPr>
        <w:t> </w:t>
      </w:r>
      <w:r>
        <w:rPr/>
        <w:t>were</w:t>
      </w:r>
      <w:r>
        <w:rPr>
          <w:spacing w:val="-3"/>
        </w:rPr>
        <w:t> </w:t>
      </w:r>
      <w:r>
        <w:rPr/>
        <w:t>insufficient</w:t>
      </w:r>
      <w:r>
        <w:rPr>
          <w:spacing w:val="-3"/>
        </w:rPr>
        <w:t> </w:t>
      </w:r>
      <w:r>
        <w:rPr/>
        <w:t>to</w:t>
      </w:r>
      <w:r>
        <w:rPr>
          <w:spacing w:val="-47"/>
        </w:rPr>
        <w:t> </w:t>
      </w:r>
      <w:r>
        <w:rPr/>
        <w:t>make</w:t>
      </w:r>
      <w:r>
        <w:rPr>
          <w:spacing w:val="-4"/>
        </w:rPr>
        <w:t> </w:t>
      </w:r>
      <w:r>
        <w:rPr/>
        <w:t>payment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full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all</w:t>
      </w:r>
      <w:r>
        <w:rPr>
          <w:spacing w:val="-4"/>
        </w:rPr>
        <w:t> </w:t>
      </w:r>
      <w:r>
        <w:rPr/>
        <w:t>Series</w:t>
      </w:r>
      <w:r>
        <w:rPr>
          <w:spacing w:val="-4"/>
        </w:rPr>
        <w:t> </w:t>
      </w:r>
      <w:r>
        <w:rPr/>
        <w:t>D</w:t>
      </w:r>
      <w:r>
        <w:rPr>
          <w:spacing w:val="-3"/>
        </w:rPr>
        <w:t> </w:t>
      </w:r>
      <w:r>
        <w:rPr/>
        <w:t>redeemable</w:t>
      </w:r>
      <w:r>
        <w:rPr>
          <w:spacing w:val="-4"/>
        </w:rPr>
        <w:t> </w:t>
      </w:r>
      <w:r>
        <w:rPr/>
        <w:t>convertible</w:t>
      </w:r>
      <w:r>
        <w:rPr>
          <w:spacing w:val="-4"/>
        </w:rPr>
        <w:t> </w:t>
      </w:r>
      <w:r>
        <w:rPr/>
        <w:t>preferred</w:t>
      </w:r>
      <w:r>
        <w:rPr>
          <w:spacing w:val="-3"/>
        </w:rPr>
        <w:t> </w:t>
      </w:r>
      <w:r>
        <w:rPr/>
        <w:t>stockholders,</w:t>
      </w:r>
      <w:r>
        <w:rPr>
          <w:spacing w:val="-3"/>
        </w:rPr>
        <w:t> </w:t>
      </w:r>
      <w:r>
        <w:rPr/>
        <w:t>then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assets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consideration</w:t>
      </w:r>
      <w:r>
        <w:rPr>
          <w:spacing w:val="1"/>
        </w:rPr>
        <w:t> </w:t>
      </w:r>
      <w:r>
        <w:rPr/>
        <w:t>would have been distributed ratably among such holders in proportion to the full liquidation preference amounts to</w:t>
      </w:r>
      <w:r>
        <w:rPr>
          <w:spacing w:val="1"/>
        </w:rPr>
        <w:t> </w:t>
      </w:r>
      <w:r>
        <w:rPr/>
        <w:t>which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holders</w:t>
      </w:r>
      <w:r>
        <w:rPr>
          <w:spacing w:val="-1"/>
        </w:rPr>
        <w:t> </w:t>
      </w:r>
      <w:r>
        <w:rPr/>
        <w:t>would otherwise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/>
        <w:t>been entitled to.</w:t>
      </w:r>
    </w:p>
    <w:p>
      <w:pPr>
        <w:pStyle w:val="BodyText"/>
        <w:spacing w:line="249" w:lineRule="auto" w:before="185"/>
      </w:pPr>
      <w:r>
        <w:rPr/>
        <w:t>After the full payment of the liquidation preference to the holders of Series D redeemable convertible preferred</w:t>
      </w:r>
      <w:r>
        <w:rPr>
          <w:spacing w:val="1"/>
        </w:rPr>
        <w:t> </w:t>
      </w:r>
      <w:r>
        <w:rPr/>
        <w:t>stock,</w:t>
      </w:r>
      <w:r>
        <w:rPr>
          <w:spacing w:val="-3"/>
        </w:rPr>
        <w:t> </w:t>
      </w:r>
      <w:r>
        <w:rPr/>
        <w:t>each</w:t>
      </w:r>
      <w:r>
        <w:rPr>
          <w:spacing w:val="-2"/>
        </w:rPr>
        <w:t> </w:t>
      </w:r>
      <w:r>
        <w:rPr/>
        <w:t>holder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Series</w:t>
      </w:r>
      <w:r>
        <w:rPr>
          <w:spacing w:val="-3"/>
        </w:rPr>
        <w:t> </w:t>
      </w:r>
      <w:r>
        <w:rPr/>
        <w:t>A,</w:t>
      </w:r>
      <w:r>
        <w:rPr>
          <w:spacing w:val="-2"/>
        </w:rPr>
        <w:t> </w:t>
      </w:r>
      <w:r>
        <w:rPr/>
        <w:t>B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C</w:t>
      </w:r>
      <w:r>
        <w:rPr>
          <w:spacing w:val="-3"/>
        </w:rPr>
        <w:t> </w:t>
      </w:r>
      <w:r>
        <w:rPr/>
        <w:t>redeemable</w:t>
      </w:r>
      <w:r>
        <w:rPr>
          <w:spacing w:val="-3"/>
        </w:rPr>
        <w:t> </w:t>
      </w:r>
      <w:r>
        <w:rPr/>
        <w:t>convertible</w:t>
      </w:r>
      <w:r>
        <w:rPr>
          <w:spacing w:val="-3"/>
        </w:rPr>
        <w:t> </w:t>
      </w:r>
      <w:r>
        <w:rPr/>
        <w:t>preferred</w:t>
      </w:r>
      <w:r>
        <w:rPr>
          <w:spacing w:val="-2"/>
        </w:rPr>
        <w:t> </w:t>
      </w:r>
      <w:r>
        <w:rPr/>
        <w:t>stock</w:t>
      </w:r>
      <w:r>
        <w:rPr>
          <w:spacing w:val="-2"/>
        </w:rPr>
        <w:t> </w:t>
      </w:r>
      <w:r>
        <w:rPr/>
        <w:t>would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been</w:t>
      </w:r>
      <w:r>
        <w:rPr>
          <w:spacing w:val="-2"/>
        </w:rPr>
        <w:t> </w:t>
      </w:r>
      <w:r>
        <w:rPr/>
        <w:t>entitled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paid</w:t>
      </w:r>
      <w:r>
        <w:rPr>
          <w:spacing w:val="-2"/>
        </w:rPr>
        <w:t> </w:t>
      </w:r>
      <w:r>
        <w:rPr/>
        <w:t>a</w:t>
      </w:r>
      <w:r>
        <w:rPr>
          <w:spacing w:val="-47"/>
        </w:rPr>
        <w:t> </w:t>
      </w:r>
      <w:r>
        <w:rPr/>
        <w:t>liquidation preference amount, plus any dividends declared but unpaid before any payments to holders of common</w:t>
      </w:r>
      <w:r>
        <w:rPr>
          <w:spacing w:val="1"/>
        </w:rPr>
        <w:t> </w:t>
      </w:r>
      <w:r>
        <w:rPr/>
        <w:t>stock. If the assets of the Company were insufficient to make payment in full to all holders of Series A, B or C</w:t>
      </w:r>
      <w:r>
        <w:rPr>
          <w:spacing w:val="1"/>
        </w:rPr>
        <w:t> </w:t>
      </w:r>
      <w:r>
        <w:rPr/>
        <w:t>redeemable</w:t>
      </w:r>
      <w:r>
        <w:rPr>
          <w:spacing w:val="-4"/>
        </w:rPr>
        <w:t> </w:t>
      </w:r>
      <w:r>
        <w:rPr/>
        <w:t>convertible</w:t>
      </w:r>
      <w:r>
        <w:rPr>
          <w:spacing w:val="-4"/>
        </w:rPr>
        <w:t> </w:t>
      </w:r>
      <w:r>
        <w:rPr/>
        <w:t>preferred</w:t>
      </w:r>
      <w:r>
        <w:rPr>
          <w:spacing w:val="-3"/>
        </w:rPr>
        <w:t> </w:t>
      </w:r>
      <w:r>
        <w:rPr/>
        <w:t>stock,</w:t>
      </w:r>
      <w:r>
        <w:rPr>
          <w:spacing w:val="-3"/>
        </w:rPr>
        <w:t> </w:t>
      </w:r>
      <w:r>
        <w:rPr/>
        <w:t>then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assets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consideration</w:t>
      </w:r>
      <w:r>
        <w:rPr>
          <w:spacing w:val="-3"/>
        </w:rPr>
        <w:t> </w:t>
      </w:r>
      <w:r>
        <w:rPr/>
        <w:t>would</w:t>
      </w:r>
      <w:r>
        <w:rPr>
          <w:spacing w:val="-2"/>
        </w:rPr>
        <w:t> </w:t>
      </w:r>
      <w:r>
        <w:rPr/>
        <w:t>have</w:t>
      </w:r>
      <w:r>
        <w:rPr>
          <w:spacing w:val="-4"/>
        </w:rPr>
        <w:t> </w:t>
      </w:r>
      <w:r>
        <w:rPr/>
        <w:t>been</w:t>
      </w:r>
      <w:r>
        <w:rPr>
          <w:spacing w:val="-3"/>
        </w:rPr>
        <w:t> </w:t>
      </w:r>
      <w:r>
        <w:rPr/>
        <w:t>distributed</w:t>
      </w:r>
      <w:r>
        <w:rPr>
          <w:spacing w:val="-3"/>
        </w:rPr>
        <w:t> </w:t>
      </w:r>
      <w:r>
        <w:rPr/>
        <w:t>ratably</w:t>
      </w:r>
      <w:r>
        <w:rPr>
          <w:spacing w:val="-3"/>
        </w:rPr>
        <w:t> </w:t>
      </w:r>
      <w:r>
        <w:rPr/>
        <w:t>among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  <w:ind w:right="508" w:firstLine="0"/>
      </w:pPr>
      <w:r>
        <w:rPr/>
        <w:t>such</w:t>
      </w:r>
      <w:r>
        <w:rPr>
          <w:spacing w:val="-3"/>
        </w:rPr>
        <w:t> </w:t>
      </w:r>
      <w:r>
        <w:rPr/>
        <w:t>holders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proportion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full</w:t>
      </w:r>
      <w:r>
        <w:rPr>
          <w:spacing w:val="-3"/>
        </w:rPr>
        <w:t> </w:t>
      </w:r>
      <w:r>
        <w:rPr/>
        <w:t>liquidation</w:t>
      </w:r>
      <w:r>
        <w:rPr>
          <w:spacing w:val="-3"/>
        </w:rPr>
        <w:t> </w:t>
      </w:r>
      <w:r>
        <w:rPr/>
        <w:t>preference</w:t>
      </w:r>
      <w:r>
        <w:rPr>
          <w:spacing w:val="-3"/>
        </w:rPr>
        <w:t> </w:t>
      </w:r>
      <w:r>
        <w:rPr/>
        <w:t>amounts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holders</w:t>
      </w:r>
      <w:r>
        <w:rPr>
          <w:spacing w:val="-3"/>
        </w:rPr>
        <w:t> </w:t>
      </w:r>
      <w:r>
        <w:rPr/>
        <w:t>would</w:t>
      </w:r>
      <w:r>
        <w:rPr>
          <w:spacing w:val="-2"/>
        </w:rPr>
        <w:t> </w:t>
      </w:r>
      <w:r>
        <w:rPr/>
        <w:t>otherwise</w:t>
      </w:r>
      <w:r>
        <w:rPr>
          <w:spacing w:val="-4"/>
        </w:rPr>
        <w:t> </w:t>
      </w:r>
      <w:r>
        <w:rPr/>
        <w:t>have</w:t>
      </w:r>
      <w:r>
        <w:rPr>
          <w:spacing w:val="-47"/>
        </w:rPr>
        <w:t> </w:t>
      </w:r>
      <w:r>
        <w:rPr/>
        <w:t>been</w:t>
      </w:r>
      <w:r>
        <w:rPr>
          <w:spacing w:val="-1"/>
        </w:rPr>
        <w:t> </w:t>
      </w:r>
      <w:r>
        <w:rPr/>
        <w:t>entitled to.</w:t>
      </w:r>
    </w:p>
    <w:p>
      <w:pPr>
        <w:pStyle w:val="BodyText"/>
        <w:spacing w:line="249" w:lineRule="auto" w:before="181"/>
        <w:ind w:right="129"/>
      </w:pPr>
      <w:r>
        <w:rPr/>
        <w:t>After the payment of the full liquidation preference to holders of redeemable convertible preferred stock, the</w:t>
      </w:r>
      <w:r>
        <w:rPr>
          <w:spacing w:val="1"/>
        </w:rPr>
        <w:t> </w:t>
      </w:r>
      <w:r>
        <w:rPr/>
        <w:t>remaining</w:t>
      </w:r>
      <w:r>
        <w:rPr>
          <w:spacing w:val="-3"/>
        </w:rPr>
        <w:t> </w:t>
      </w:r>
      <w:r>
        <w:rPr/>
        <w:t>assets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Company</w:t>
      </w:r>
      <w:r>
        <w:rPr>
          <w:spacing w:val="-3"/>
        </w:rPr>
        <w:t> </w:t>
      </w:r>
      <w:r>
        <w:rPr/>
        <w:t>legally</w:t>
      </w:r>
      <w:r>
        <w:rPr>
          <w:spacing w:val="-3"/>
        </w:rPr>
        <w:t> </w:t>
      </w:r>
      <w:r>
        <w:rPr/>
        <w:t>available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distribution</w:t>
      </w:r>
      <w:r>
        <w:rPr>
          <w:spacing w:val="-3"/>
        </w:rPr>
        <w:t> </w:t>
      </w:r>
      <w:r>
        <w:rPr/>
        <w:t>would</w:t>
      </w:r>
      <w:r>
        <w:rPr>
          <w:spacing w:val="-3"/>
        </w:rPr>
        <w:t> </w:t>
      </w:r>
      <w:r>
        <w:rPr/>
        <w:t>have</w:t>
      </w:r>
      <w:r>
        <w:rPr>
          <w:spacing w:val="-4"/>
        </w:rPr>
        <w:t> </w:t>
      </w:r>
      <w:r>
        <w:rPr/>
        <w:t>been</w:t>
      </w:r>
      <w:r>
        <w:rPr>
          <w:spacing w:val="-3"/>
        </w:rPr>
        <w:t> </w:t>
      </w:r>
      <w:r>
        <w:rPr/>
        <w:t>distributed</w:t>
      </w:r>
      <w:r>
        <w:rPr>
          <w:spacing w:val="-3"/>
        </w:rPr>
        <w:t> </w:t>
      </w:r>
      <w:r>
        <w:rPr/>
        <w:t>ratably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holders</w:t>
      </w:r>
      <w:r>
        <w:rPr>
          <w:spacing w:val="-47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common stock.</w:t>
      </w:r>
    </w:p>
    <w:p>
      <w:pPr>
        <w:pStyle w:val="Heading3"/>
        <w:spacing w:before="179"/>
        <w:rPr>
          <w:i/>
        </w:rPr>
      </w:pPr>
      <w:r>
        <w:rPr>
          <w:i/>
        </w:rPr>
        <w:t>Voting</w:t>
      </w:r>
    </w:p>
    <w:p>
      <w:pPr>
        <w:pStyle w:val="BodyText"/>
        <w:spacing w:line="249" w:lineRule="auto" w:before="194"/>
        <w:ind w:right="148"/>
      </w:pPr>
      <w:r>
        <w:rPr/>
        <w:t>Each holder had the right to one vote for each share of common stock into which such redeemable convertible</w:t>
      </w:r>
      <w:r>
        <w:rPr>
          <w:spacing w:val="1"/>
        </w:rPr>
        <w:t> </w:t>
      </w:r>
      <w:r>
        <w:rPr/>
        <w:t>preferred stock would have been converted. So long as any shares of redeemable convertible preferred stock were</w:t>
      </w:r>
      <w:r>
        <w:rPr>
          <w:spacing w:val="1"/>
        </w:rPr>
        <w:t> </w:t>
      </w:r>
      <w:r>
        <w:rPr/>
        <w:t>outstanding, the Company was prohibited, without first obtaining the approval of more than 50% of the holders of</w:t>
      </w:r>
      <w:r>
        <w:rPr>
          <w:spacing w:val="1"/>
        </w:rPr>
        <w:t> </w:t>
      </w:r>
      <w:r>
        <w:rPr/>
        <w:t>redeemable convertible preferred stock then outstanding, voting together as a separate class to (a) amend certificate</w:t>
      </w:r>
      <w:r>
        <w:rPr>
          <w:spacing w:val="1"/>
        </w:rPr>
        <w:t> </w:t>
      </w:r>
      <w:r>
        <w:rPr/>
        <w:t>of</w:t>
      </w:r>
      <w:r>
        <w:rPr>
          <w:spacing w:val="-3"/>
        </w:rPr>
        <w:t> </w:t>
      </w:r>
      <w:r>
        <w:rPr/>
        <w:t>incorporation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/>
        <w:t>way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would</w:t>
      </w:r>
      <w:r>
        <w:rPr>
          <w:spacing w:val="-2"/>
        </w:rPr>
        <w:t> </w:t>
      </w:r>
      <w:r>
        <w:rPr/>
        <w:t>materially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adversely</w:t>
      </w:r>
      <w:r>
        <w:rPr>
          <w:spacing w:val="-2"/>
        </w:rPr>
        <w:t> </w:t>
      </w:r>
      <w:r>
        <w:rPr/>
        <w:t>alter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change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rights,</w:t>
      </w:r>
      <w:r>
        <w:rPr>
          <w:spacing w:val="-3"/>
        </w:rPr>
        <w:t> </w:t>
      </w:r>
      <w:r>
        <w:rPr/>
        <w:t>preferences,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privileges</w:t>
      </w:r>
      <w:r>
        <w:rPr>
          <w:spacing w:val="-47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series</w:t>
      </w:r>
      <w:r>
        <w:rPr>
          <w:spacing w:val="-3"/>
        </w:rPr>
        <w:t> </w:t>
      </w:r>
      <w:r>
        <w:rPr/>
        <w:t>preferred</w:t>
      </w:r>
      <w:r>
        <w:rPr>
          <w:spacing w:val="-2"/>
        </w:rPr>
        <w:t> </w:t>
      </w:r>
      <w:r>
        <w:rPr/>
        <w:t>stock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(b)</w:t>
      </w:r>
      <w:r>
        <w:rPr>
          <w:spacing w:val="-1"/>
        </w:rPr>
        <w:t> </w:t>
      </w:r>
      <w:r>
        <w:rPr/>
        <w:t>increase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total</w:t>
      </w:r>
      <w:r>
        <w:rPr>
          <w:spacing w:val="-3"/>
        </w:rPr>
        <w:t> </w:t>
      </w:r>
      <w:r>
        <w:rPr/>
        <w:t>number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authorized</w:t>
      </w:r>
      <w:r>
        <w:rPr>
          <w:spacing w:val="-1"/>
        </w:rPr>
        <w:t> </w:t>
      </w:r>
      <w:r>
        <w:rPr/>
        <w:t>shares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any</w:t>
      </w:r>
      <w:r>
        <w:rPr>
          <w:spacing w:val="-2"/>
        </w:rPr>
        <w:t> </w:t>
      </w:r>
      <w:r>
        <w:rPr/>
        <w:t>Series</w:t>
      </w:r>
      <w:r>
        <w:rPr>
          <w:spacing w:val="-2"/>
        </w:rPr>
        <w:t> </w:t>
      </w:r>
      <w:r>
        <w:rPr/>
        <w:t>Preferred</w:t>
      </w:r>
      <w:r>
        <w:rPr>
          <w:spacing w:val="-2"/>
        </w:rPr>
        <w:t> </w:t>
      </w:r>
      <w:r>
        <w:rPr/>
        <w:t>stock.</w:t>
      </w:r>
    </w:p>
    <w:p>
      <w:pPr>
        <w:pStyle w:val="BodyText"/>
        <w:spacing w:line="249" w:lineRule="auto" w:before="5"/>
        <w:ind w:firstLine="0"/>
      </w:pPr>
      <w:r>
        <w:rPr/>
        <w:t>Additionally, the vote of at least a majority of the holders of Series D, E, F and G redeemable convertible preferred</w:t>
      </w:r>
      <w:r>
        <w:rPr>
          <w:spacing w:val="1"/>
        </w:rPr>
        <w:t> </w:t>
      </w:r>
      <w:r>
        <w:rPr/>
        <w:t>stock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needed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materially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adversely</w:t>
      </w:r>
      <w:r>
        <w:rPr>
          <w:spacing w:val="-2"/>
        </w:rPr>
        <w:t> </w:t>
      </w:r>
      <w:r>
        <w:rPr/>
        <w:t>affect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rights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holders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each</w:t>
      </w:r>
      <w:r>
        <w:rPr>
          <w:spacing w:val="-3"/>
        </w:rPr>
        <w:t> </w:t>
      </w:r>
      <w:r>
        <w:rPr/>
        <w:t>series,</w:t>
      </w:r>
      <w:r>
        <w:rPr>
          <w:spacing w:val="-2"/>
        </w:rPr>
        <w:t> </w:t>
      </w:r>
      <w:r>
        <w:rPr/>
        <w:t>including</w:t>
      </w:r>
      <w:r>
        <w:rPr>
          <w:spacing w:val="-3"/>
        </w:rPr>
        <w:t> </w:t>
      </w:r>
      <w:r>
        <w:rPr/>
        <w:t>increasing</w:t>
      </w:r>
      <w:r>
        <w:rPr>
          <w:spacing w:val="-3"/>
        </w:rPr>
        <w:t> </w:t>
      </w:r>
      <w:r>
        <w:rPr/>
        <w:t>or</w:t>
      </w:r>
      <w:r>
        <w:rPr>
          <w:spacing w:val="-47"/>
        </w:rPr>
        <w:t> </w:t>
      </w:r>
      <w:r>
        <w:rPr/>
        <w:t>decreasing the number of authorized shares of Series D, E, F and G redeemable convertible preferred stock, as</w:t>
      </w:r>
      <w:r>
        <w:rPr>
          <w:spacing w:val="1"/>
        </w:rPr>
        <w:t> </w:t>
      </w:r>
      <w:r>
        <w:rPr/>
        <w:t>applicable.</w:t>
      </w:r>
    </w:p>
    <w:p>
      <w:pPr>
        <w:pStyle w:val="Heading3"/>
        <w:rPr>
          <w:i/>
        </w:rPr>
      </w:pPr>
      <w:r>
        <w:rPr>
          <w:i/>
        </w:rPr>
        <w:t>Redemption</w:t>
      </w:r>
    </w:p>
    <w:p>
      <w:pPr>
        <w:pStyle w:val="BodyText"/>
        <w:spacing w:before="193"/>
        <w:ind w:left="460" w:firstLine="0"/>
      </w:pPr>
      <w:r>
        <w:rPr/>
        <w:t>The</w:t>
      </w:r>
      <w:r>
        <w:rPr>
          <w:spacing w:val="-5"/>
        </w:rPr>
        <w:t> </w:t>
      </w:r>
      <w:r>
        <w:rPr/>
        <w:t>redeemable</w:t>
      </w:r>
      <w:r>
        <w:rPr>
          <w:spacing w:val="-5"/>
        </w:rPr>
        <w:t> </w:t>
      </w:r>
      <w:r>
        <w:rPr/>
        <w:t>convertible</w:t>
      </w:r>
      <w:r>
        <w:rPr>
          <w:spacing w:val="-4"/>
        </w:rPr>
        <w:t> </w:t>
      </w:r>
      <w:r>
        <w:rPr/>
        <w:t>preferred</w:t>
      </w:r>
      <w:r>
        <w:rPr>
          <w:spacing w:val="-4"/>
        </w:rPr>
        <w:t> </w:t>
      </w:r>
      <w:r>
        <w:rPr/>
        <w:t>shares</w:t>
      </w:r>
      <w:r>
        <w:rPr>
          <w:spacing w:val="-4"/>
        </w:rPr>
        <w:t> </w:t>
      </w:r>
      <w:r>
        <w:rPr/>
        <w:t>were</w:t>
      </w:r>
      <w:r>
        <w:rPr>
          <w:spacing w:val="-5"/>
        </w:rPr>
        <w:t> </w:t>
      </w:r>
      <w:r>
        <w:rPr/>
        <w:t>not</w:t>
      </w:r>
      <w:r>
        <w:rPr>
          <w:spacing w:val="-4"/>
        </w:rPr>
        <w:t> </w:t>
      </w:r>
      <w:r>
        <w:rPr/>
        <w:t>mandatorily</w:t>
      </w:r>
      <w:r>
        <w:rPr>
          <w:spacing w:val="-4"/>
        </w:rPr>
        <w:t> </w:t>
      </w:r>
      <w:r>
        <w:rPr/>
        <w:t>redeemable.</w:t>
      </w:r>
    </w:p>
    <w:p>
      <w:pPr>
        <w:pStyle w:val="Heading3"/>
        <w:spacing w:before="187"/>
        <w:rPr>
          <w:i/>
        </w:rPr>
      </w:pPr>
      <w:r>
        <w:rPr>
          <w:i/>
        </w:rPr>
        <w:t>Conversion</w:t>
      </w:r>
    </w:p>
    <w:p>
      <w:pPr>
        <w:pStyle w:val="BodyText"/>
        <w:spacing w:line="249" w:lineRule="auto" w:before="193"/>
        <w:ind w:right="180"/>
      </w:pPr>
      <w:r>
        <w:rPr/>
        <w:t>Upon the completion of the Company’s IPO in September 2021, all 29,912,264 shares of its then-outstanding</w:t>
      </w:r>
      <w:r>
        <w:rPr>
          <w:spacing w:val="1"/>
        </w:rPr>
        <w:t> </w:t>
      </w:r>
      <w:r>
        <w:rPr/>
        <w:t>redeemable convertible preferred stock automatically converted into 29,912,264 shares of common stock and it</w:t>
      </w:r>
      <w:r>
        <w:rPr>
          <w:spacing w:val="1"/>
        </w:rPr>
        <w:t> </w:t>
      </w:r>
      <w:r>
        <w:rPr/>
        <w:t>reclassified</w:t>
      </w:r>
      <w:r>
        <w:rPr>
          <w:spacing w:val="-4"/>
        </w:rPr>
        <w:t> </w:t>
      </w:r>
      <w:r>
        <w:rPr/>
        <w:t>$329.5</w:t>
      </w:r>
      <w:r>
        <w:rPr>
          <w:spacing w:val="-3"/>
        </w:rPr>
        <w:t> </w:t>
      </w:r>
      <w:r>
        <w:rPr/>
        <w:t>million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redeemable</w:t>
      </w:r>
      <w:r>
        <w:rPr>
          <w:spacing w:val="-4"/>
        </w:rPr>
        <w:t> </w:t>
      </w:r>
      <w:r>
        <w:rPr/>
        <w:t>convertible</w:t>
      </w:r>
      <w:r>
        <w:rPr>
          <w:spacing w:val="-4"/>
        </w:rPr>
        <w:t> </w:t>
      </w:r>
      <w:r>
        <w:rPr/>
        <w:t>preferred</w:t>
      </w:r>
      <w:r>
        <w:rPr>
          <w:spacing w:val="-3"/>
        </w:rPr>
        <w:t> </w:t>
      </w:r>
      <w:r>
        <w:rPr/>
        <w:t>stock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additional</w:t>
      </w:r>
      <w:r>
        <w:rPr>
          <w:spacing w:val="-4"/>
        </w:rPr>
        <w:t> </w:t>
      </w:r>
      <w:r>
        <w:rPr/>
        <w:t>paid-in</w:t>
      </w:r>
      <w:r>
        <w:rPr>
          <w:spacing w:val="-4"/>
        </w:rPr>
        <w:t> </w:t>
      </w:r>
      <w:r>
        <w:rPr/>
        <w:t>capital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condensed</w:t>
      </w:r>
      <w:r>
        <w:rPr>
          <w:spacing w:val="-47"/>
        </w:rPr>
        <w:t> </w:t>
      </w:r>
      <w:r>
        <w:rPr/>
        <w:t>consolidated</w:t>
      </w:r>
      <w:r>
        <w:rPr>
          <w:spacing w:val="-1"/>
        </w:rPr>
        <w:t> </w:t>
      </w:r>
      <w:r>
        <w:rPr/>
        <w:t>balance</w:t>
      </w:r>
      <w:r>
        <w:rPr>
          <w:spacing w:val="-1"/>
        </w:rPr>
        <w:t> </w:t>
      </w:r>
      <w:r>
        <w:rPr/>
        <w:t>sheet.</w:t>
      </w:r>
    </w:p>
    <w:p>
      <w:pPr>
        <w:pStyle w:val="Heading2"/>
        <w:numPr>
          <w:ilvl w:val="0"/>
          <w:numId w:val="4"/>
        </w:numPr>
        <w:tabs>
          <w:tab w:pos="819" w:val="left" w:leader="none"/>
          <w:tab w:pos="820" w:val="left" w:leader="none"/>
        </w:tabs>
        <w:spacing w:line="240" w:lineRule="auto" w:before="180" w:after="0"/>
        <w:ind w:left="820" w:right="0" w:hanging="720"/>
        <w:jc w:val="left"/>
      </w:pPr>
      <w:bookmarkStart w:name="8. Stockholder’s Equity " w:id="31"/>
      <w:bookmarkEnd w:id="31"/>
      <w:r>
        <w:rPr>
          <w:b w:val="0"/>
        </w:rPr>
      </w:r>
      <w:bookmarkStart w:name="8. Stockholder’s Equity " w:id="32"/>
      <w:bookmarkEnd w:id="32"/>
      <w:r>
        <w:rPr>
          <w:spacing w:val="-1"/>
        </w:rPr>
        <w:t>S</w:t>
      </w:r>
      <w:r>
        <w:rPr>
          <w:spacing w:val="-1"/>
        </w:rPr>
        <w:t>tockholder’s</w:t>
      </w:r>
      <w:r>
        <w:rPr/>
        <w:t> Equity</w:t>
      </w:r>
    </w:p>
    <w:p>
      <w:pPr>
        <w:pStyle w:val="Heading3"/>
        <w:spacing w:before="190"/>
        <w:rPr>
          <w:i/>
        </w:rPr>
      </w:pPr>
      <w:r>
        <w:rPr>
          <w:i/>
        </w:rPr>
        <w:t>2021</w:t>
      </w:r>
      <w:r>
        <w:rPr>
          <w:i/>
          <w:spacing w:val="-4"/>
        </w:rPr>
        <w:t> </w:t>
      </w:r>
      <w:r>
        <w:rPr>
          <w:i/>
        </w:rPr>
        <w:t>Equity</w:t>
      </w:r>
      <w:r>
        <w:rPr>
          <w:i/>
          <w:spacing w:val="-4"/>
        </w:rPr>
        <w:t> </w:t>
      </w:r>
      <w:r>
        <w:rPr>
          <w:i/>
        </w:rPr>
        <w:t>Incentive</w:t>
      </w:r>
      <w:r>
        <w:rPr>
          <w:i/>
          <w:spacing w:val="-4"/>
        </w:rPr>
        <w:t> </w:t>
      </w:r>
      <w:r>
        <w:rPr>
          <w:i/>
        </w:rPr>
        <w:t>Award</w:t>
      </w:r>
      <w:r>
        <w:rPr>
          <w:i/>
          <w:spacing w:val="-3"/>
        </w:rPr>
        <w:t> </w:t>
      </w:r>
      <w:r>
        <w:rPr>
          <w:i/>
        </w:rPr>
        <w:t>Plan</w:t>
      </w:r>
    </w:p>
    <w:p>
      <w:pPr>
        <w:pStyle w:val="BodyText"/>
        <w:spacing w:line="249" w:lineRule="auto" w:before="193"/>
        <w:ind w:right="212"/>
      </w:pPr>
      <w:r>
        <w:rPr/>
        <w:t>In September 2021, the Company adopted the 2021 Equity Incentive Award Plan (the “2021 Plan”), which</w:t>
      </w:r>
      <w:r>
        <w:rPr>
          <w:spacing w:val="1"/>
        </w:rPr>
        <w:t> </w:t>
      </w:r>
      <w:r>
        <w:rPr/>
        <w:t>allows for the granting of stock options and stock purchase rights to the employees, members of the board of</w:t>
      </w:r>
      <w:r>
        <w:rPr>
          <w:spacing w:val="1"/>
        </w:rPr>
        <w:t> </w:t>
      </w:r>
      <w:r>
        <w:rPr/>
        <w:t>directors, and consultants of the Company. A total of 3,303,910 shares of common stock were initially reserved for</w:t>
      </w:r>
      <w:r>
        <w:rPr>
          <w:spacing w:val="1"/>
        </w:rPr>
        <w:t> </w:t>
      </w:r>
      <w:r>
        <w:rPr/>
        <w:t>issuance under the 2021 Plan. Options granted under the 2021 Plan may be either incentive stock options (“ISOs”)</w:t>
      </w:r>
      <w:r>
        <w:rPr>
          <w:spacing w:val="1"/>
        </w:rPr>
        <w:t> </w:t>
      </w:r>
      <w:r>
        <w:rPr/>
        <w:t>or</w:t>
      </w:r>
      <w:r>
        <w:rPr>
          <w:spacing w:val="-3"/>
        </w:rPr>
        <w:t> </w:t>
      </w:r>
      <w:r>
        <w:rPr/>
        <w:t>nonqualified</w:t>
      </w:r>
      <w:r>
        <w:rPr>
          <w:spacing w:val="-3"/>
        </w:rPr>
        <w:t> </w:t>
      </w:r>
      <w:r>
        <w:rPr/>
        <w:t>stock</w:t>
      </w:r>
      <w:r>
        <w:rPr>
          <w:spacing w:val="-2"/>
        </w:rPr>
        <w:t> </w:t>
      </w:r>
      <w:r>
        <w:rPr/>
        <w:t>options</w:t>
      </w:r>
      <w:r>
        <w:rPr>
          <w:spacing w:val="-4"/>
        </w:rPr>
        <w:t> </w:t>
      </w:r>
      <w:r>
        <w:rPr/>
        <w:t>(“NSOs”).</w:t>
      </w:r>
      <w:r>
        <w:rPr>
          <w:spacing w:val="-3"/>
        </w:rPr>
        <w:t> </w:t>
      </w:r>
      <w:r>
        <w:rPr/>
        <w:t>ISOs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granted</w:t>
      </w:r>
      <w:r>
        <w:rPr>
          <w:spacing w:val="-2"/>
        </w:rPr>
        <w:t> </w:t>
      </w:r>
      <w:r>
        <w:rPr/>
        <w:t>only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Company’s</w:t>
      </w:r>
      <w:r>
        <w:rPr>
          <w:spacing w:val="-4"/>
        </w:rPr>
        <w:t> </w:t>
      </w:r>
      <w:r>
        <w:rPr/>
        <w:t>employees,</w:t>
      </w:r>
      <w:r>
        <w:rPr>
          <w:spacing w:val="-3"/>
        </w:rPr>
        <w:t> </w:t>
      </w:r>
      <w:r>
        <w:rPr/>
        <w:t>including</w:t>
      </w:r>
      <w:r>
        <w:rPr>
          <w:spacing w:val="-2"/>
        </w:rPr>
        <w:t> </w:t>
      </w:r>
      <w:r>
        <w:rPr/>
        <w:t>officers</w:t>
      </w:r>
      <w:r>
        <w:rPr>
          <w:spacing w:val="-47"/>
        </w:rPr>
        <w:t> </w:t>
      </w:r>
      <w:r>
        <w:rPr/>
        <w:t>and</w:t>
      </w:r>
      <w:r>
        <w:rPr>
          <w:spacing w:val="-1"/>
        </w:rPr>
        <w:t> </w:t>
      </w:r>
      <w:r>
        <w:rPr/>
        <w:t>directors</w:t>
      </w:r>
      <w:r>
        <w:rPr>
          <w:spacing w:val="-2"/>
        </w:rPr>
        <w:t> </w:t>
      </w:r>
      <w:r>
        <w:rPr/>
        <w:t>who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also</w:t>
      </w:r>
      <w:r>
        <w:rPr>
          <w:spacing w:val="-1"/>
        </w:rPr>
        <w:t> </w:t>
      </w:r>
      <w:r>
        <w:rPr/>
        <w:t>employees.</w:t>
      </w:r>
      <w:r>
        <w:rPr>
          <w:spacing w:val="-1"/>
        </w:rPr>
        <w:t> </w:t>
      </w:r>
      <w:r>
        <w:rPr/>
        <w:t>NSOs</w:t>
      </w:r>
      <w:r>
        <w:rPr>
          <w:spacing w:val="-2"/>
        </w:rPr>
        <w:t> </w:t>
      </w:r>
      <w:r>
        <w:rPr/>
        <w:t>may be</w:t>
      </w:r>
      <w:r>
        <w:rPr>
          <w:spacing w:val="-2"/>
        </w:rPr>
        <w:t> </w:t>
      </w:r>
      <w:r>
        <w:rPr/>
        <w:t>granted</w:t>
      </w:r>
      <w:r>
        <w:rPr>
          <w:spacing w:val="-1"/>
        </w:rPr>
        <w:t> </w:t>
      </w:r>
      <w:r>
        <w:rPr/>
        <w:t>to employees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consultants.</w:t>
      </w:r>
    </w:p>
    <w:p>
      <w:pPr>
        <w:pStyle w:val="BodyText"/>
        <w:spacing w:line="249" w:lineRule="auto" w:before="185"/>
        <w:ind w:right="140"/>
      </w:pPr>
      <w:r>
        <w:rPr/>
        <w:t>Options</w:t>
      </w:r>
      <w:r>
        <w:rPr>
          <w:spacing w:val="-3"/>
        </w:rPr>
        <w:t> </w:t>
      </w:r>
      <w:r>
        <w:rPr/>
        <w:t>under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2021</w:t>
      </w:r>
      <w:r>
        <w:rPr>
          <w:spacing w:val="-1"/>
        </w:rPr>
        <w:t> </w:t>
      </w:r>
      <w:r>
        <w:rPr/>
        <w:t>Plan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granted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periods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up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10</w:t>
      </w:r>
      <w:r>
        <w:rPr>
          <w:spacing w:val="-2"/>
        </w:rPr>
        <w:t> </w:t>
      </w:r>
      <w:r>
        <w:rPr/>
        <w:t>years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at</w:t>
      </w:r>
      <w:r>
        <w:rPr>
          <w:spacing w:val="-2"/>
        </w:rPr>
        <w:t> </w:t>
      </w:r>
      <w:r>
        <w:rPr/>
        <w:t>prices</w:t>
      </w:r>
      <w:r>
        <w:rPr>
          <w:spacing w:val="-3"/>
        </w:rPr>
        <w:t> </w:t>
      </w:r>
      <w:r>
        <w:rPr/>
        <w:t>no</w:t>
      </w:r>
      <w:r>
        <w:rPr>
          <w:spacing w:val="-1"/>
        </w:rPr>
        <w:t> </w:t>
      </w:r>
      <w:r>
        <w:rPr/>
        <w:t>less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/>
        <w:t>100%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7"/>
        </w:rPr>
        <w:t> </w:t>
      </w:r>
      <w:r>
        <w:rPr/>
        <w:t>estimated fair value of the shares on the date of grant as determined by the board of directors, provided, however,</w:t>
      </w:r>
      <w:r>
        <w:rPr>
          <w:spacing w:val="1"/>
        </w:rPr>
        <w:t> </w:t>
      </w:r>
      <w:r>
        <w:rPr/>
        <w:t>that the exercise price of an ISO and NSO granted to a 10% shareholder shall not be less than 110% of the estimated</w:t>
      </w:r>
      <w:r>
        <w:rPr>
          <w:spacing w:val="-47"/>
        </w:rPr>
        <w:t> </w:t>
      </w:r>
      <w:r>
        <w:rPr/>
        <w:t>fair</w:t>
      </w:r>
      <w:r>
        <w:rPr>
          <w:spacing w:val="-1"/>
        </w:rPr>
        <w:t> </w:t>
      </w:r>
      <w:r>
        <w:rPr/>
        <w:t>value</w:t>
      </w:r>
      <w:r>
        <w:rPr>
          <w:spacing w:val="-1"/>
        </w:rPr>
        <w:t> </w:t>
      </w:r>
      <w:r>
        <w:rPr/>
        <w:t>of the</w:t>
      </w:r>
      <w:r>
        <w:rPr>
          <w:spacing w:val="-1"/>
        </w:rPr>
        <w:t> </w:t>
      </w:r>
      <w:r>
        <w:rPr/>
        <w:t>shares</w:t>
      </w:r>
      <w:r>
        <w:rPr>
          <w:spacing w:val="-1"/>
        </w:rPr>
        <w:t> </w:t>
      </w:r>
      <w:r>
        <w:rPr/>
        <w:t>on the</w:t>
      </w:r>
      <w:r>
        <w:rPr>
          <w:spacing w:val="-1"/>
        </w:rPr>
        <w:t> </w:t>
      </w:r>
      <w:r>
        <w:rPr/>
        <w:t>date</w:t>
      </w:r>
      <w:r>
        <w:rPr>
          <w:spacing w:val="-1"/>
        </w:rPr>
        <w:t> </w:t>
      </w:r>
      <w:r>
        <w:rPr/>
        <w:t>of grant.</w:t>
      </w:r>
    </w:p>
    <w:p>
      <w:pPr>
        <w:pStyle w:val="BodyText"/>
        <w:spacing w:line="249" w:lineRule="auto" w:before="183"/>
        <w:ind w:right="169"/>
      </w:pPr>
      <w:r>
        <w:rPr/>
        <w:t>Granted options for newly hired employees usually vest over four years monthly with a one-year cliff vesting,</w:t>
      </w:r>
      <w:r>
        <w:rPr>
          <w:spacing w:val="1"/>
        </w:rPr>
        <w:t> </w:t>
      </w:r>
      <w:r>
        <w:rPr/>
        <w:t>and follow-on options vest monthly over four years with no cliff vesting. Options granted to consultants have</w:t>
      </w:r>
      <w:r>
        <w:rPr>
          <w:spacing w:val="1"/>
        </w:rPr>
        <w:t> </w:t>
      </w:r>
      <w:r>
        <w:rPr/>
        <w:t>various</w:t>
      </w:r>
      <w:r>
        <w:rPr>
          <w:spacing w:val="-4"/>
        </w:rPr>
        <w:t> </w:t>
      </w:r>
      <w:r>
        <w:rPr/>
        <w:t>vesting</w:t>
      </w:r>
      <w:r>
        <w:rPr>
          <w:spacing w:val="-4"/>
        </w:rPr>
        <w:t> </w:t>
      </w:r>
      <w:r>
        <w:rPr/>
        <w:t>schedules</w:t>
      </w:r>
      <w:r>
        <w:rPr>
          <w:spacing w:val="-3"/>
        </w:rPr>
        <w:t> </w:t>
      </w:r>
      <w:r>
        <w:rPr/>
        <w:t>depending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underlying</w:t>
      </w:r>
      <w:r>
        <w:rPr>
          <w:spacing w:val="-3"/>
        </w:rPr>
        <w:t> </w:t>
      </w:r>
      <w:r>
        <w:rPr/>
        <w:t>consulting</w:t>
      </w:r>
      <w:r>
        <w:rPr>
          <w:spacing w:val="-3"/>
        </w:rPr>
        <w:t> </w:t>
      </w:r>
      <w:r>
        <w:rPr/>
        <w:t>arrangement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anticipated</w:t>
      </w:r>
      <w:r>
        <w:rPr>
          <w:spacing w:val="-3"/>
        </w:rPr>
        <w:t> </w:t>
      </w:r>
      <w:r>
        <w:rPr/>
        <w:t>period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service.</w:t>
      </w:r>
      <w:r>
        <w:rPr>
          <w:spacing w:val="-3"/>
        </w:rPr>
        <w:t> </w:t>
      </w:r>
      <w:r>
        <w:rPr/>
        <w:t>As</w:t>
      </w:r>
      <w:r>
        <w:rPr>
          <w:spacing w:val="-47"/>
        </w:rPr>
        <w:t> </w:t>
      </w:r>
      <w:r>
        <w:rPr/>
        <w:t>of</w:t>
      </w:r>
      <w:r>
        <w:rPr>
          <w:spacing w:val="-1"/>
        </w:rPr>
        <w:t> </w:t>
      </w:r>
      <w:r>
        <w:rPr/>
        <w:t>September 30,</w:t>
      </w:r>
      <w:r>
        <w:rPr>
          <w:spacing w:val="-1"/>
        </w:rPr>
        <w:t> </w:t>
      </w:r>
      <w:r>
        <w:rPr/>
        <w:t>2021, 3.2</w:t>
      </w:r>
      <w:r>
        <w:rPr>
          <w:spacing w:val="-1"/>
        </w:rPr>
        <w:t> </w:t>
      </w:r>
      <w:r>
        <w:rPr/>
        <w:t>million shares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available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grant</w:t>
      </w:r>
      <w:r>
        <w:rPr>
          <w:spacing w:val="-1"/>
        </w:rPr>
        <w:t> </w:t>
      </w:r>
      <w:r>
        <w:rPr/>
        <w:t>under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2021 Plan.</w:t>
      </w:r>
    </w:p>
    <w:p>
      <w:pPr>
        <w:pStyle w:val="Heading3"/>
        <w:spacing w:before="181"/>
        <w:rPr>
          <w:i/>
        </w:rPr>
      </w:pPr>
      <w:r>
        <w:rPr>
          <w:i/>
        </w:rPr>
        <w:t>2008</w:t>
      </w:r>
      <w:r>
        <w:rPr>
          <w:i/>
          <w:spacing w:val="-2"/>
        </w:rPr>
        <w:t> </w:t>
      </w:r>
      <w:r>
        <w:rPr>
          <w:i/>
        </w:rPr>
        <w:t>Stock</w:t>
      </w:r>
      <w:r>
        <w:rPr>
          <w:i/>
          <w:spacing w:val="-1"/>
        </w:rPr>
        <w:t> </w:t>
      </w:r>
      <w:r>
        <w:rPr>
          <w:i/>
        </w:rPr>
        <w:t>Plan</w:t>
      </w:r>
    </w:p>
    <w:p>
      <w:pPr>
        <w:pStyle w:val="BodyText"/>
        <w:spacing w:line="249" w:lineRule="auto" w:before="193"/>
        <w:ind w:right="186"/>
      </w:pPr>
      <w:r>
        <w:rPr/>
        <w:t>The</w:t>
      </w:r>
      <w:r>
        <w:rPr>
          <w:spacing w:val="-4"/>
        </w:rPr>
        <w:t> </w:t>
      </w:r>
      <w:r>
        <w:rPr/>
        <w:t>Company</w:t>
      </w:r>
      <w:r>
        <w:rPr>
          <w:spacing w:val="-2"/>
        </w:rPr>
        <w:t> </w:t>
      </w:r>
      <w:r>
        <w:rPr/>
        <w:t>ceased</w:t>
      </w:r>
      <w:r>
        <w:rPr>
          <w:spacing w:val="-2"/>
        </w:rPr>
        <w:t> </w:t>
      </w:r>
      <w:r>
        <w:rPr/>
        <w:t>making</w:t>
      </w:r>
      <w:r>
        <w:rPr>
          <w:spacing w:val="-2"/>
        </w:rPr>
        <w:t> </w:t>
      </w:r>
      <w:r>
        <w:rPr/>
        <w:t>awards</w:t>
      </w:r>
      <w:r>
        <w:rPr>
          <w:spacing w:val="-3"/>
        </w:rPr>
        <w:t> </w:t>
      </w:r>
      <w:r>
        <w:rPr/>
        <w:t>under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2008</w:t>
      </w:r>
      <w:r>
        <w:rPr>
          <w:spacing w:val="-2"/>
        </w:rPr>
        <w:t> </w:t>
      </w:r>
      <w:r>
        <w:rPr/>
        <w:t>Stock</w:t>
      </w:r>
      <w:r>
        <w:rPr>
          <w:spacing w:val="-2"/>
        </w:rPr>
        <w:t> </w:t>
      </w:r>
      <w:r>
        <w:rPr/>
        <w:t>Plan</w:t>
      </w:r>
      <w:r>
        <w:rPr>
          <w:spacing w:val="-2"/>
        </w:rPr>
        <w:t> </w:t>
      </w:r>
      <w:r>
        <w:rPr/>
        <w:t>upon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effective</w:t>
      </w:r>
      <w:r>
        <w:rPr>
          <w:spacing w:val="-4"/>
        </w:rPr>
        <w:t> </w:t>
      </w:r>
      <w:r>
        <w:rPr/>
        <w:t>date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Company’s</w:t>
      </w:r>
      <w:r>
        <w:rPr>
          <w:spacing w:val="-3"/>
        </w:rPr>
        <w:t> </w:t>
      </w:r>
      <w:r>
        <w:rPr/>
        <w:t>IPO.</w:t>
      </w:r>
      <w:r>
        <w:rPr>
          <w:spacing w:val="-47"/>
        </w:rPr>
        <w:t> </w:t>
      </w:r>
      <w:r>
        <w:rPr/>
        <w:t>In 2008, the Company adopted the 2008 Stock Plan (the “2008 Plan”), which allows for the granting of stock</w:t>
      </w:r>
      <w:r>
        <w:rPr>
          <w:spacing w:val="1"/>
        </w:rPr>
        <w:t> </w:t>
      </w:r>
      <w:r>
        <w:rPr/>
        <w:t>options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stock</w:t>
      </w:r>
      <w:r>
        <w:rPr>
          <w:spacing w:val="-1"/>
        </w:rPr>
        <w:t> </w:t>
      </w:r>
      <w:r>
        <w:rPr/>
        <w:t>purchase</w:t>
      </w:r>
      <w:r>
        <w:rPr>
          <w:spacing w:val="-3"/>
        </w:rPr>
        <w:t> </w:t>
      </w:r>
      <w:r>
        <w:rPr/>
        <w:t>rights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employees,</w:t>
      </w:r>
      <w:r>
        <w:rPr>
          <w:spacing w:val="-1"/>
        </w:rPr>
        <w:t> </w:t>
      </w:r>
      <w:r>
        <w:rPr/>
        <w:t>members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board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directors,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consultants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  <w:ind w:firstLine="0"/>
      </w:pPr>
      <w:r>
        <w:rPr/>
        <w:t>Company.</w:t>
      </w:r>
      <w:r>
        <w:rPr>
          <w:spacing w:val="-3"/>
        </w:rPr>
        <w:t> </w:t>
      </w:r>
      <w:r>
        <w:rPr/>
        <w:t>Options</w:t>
      </w:r>
      <w:r>
        <w:rPr>
          <w:spacing w:val="-4"/>
        </w:rPr>
        <w:t> </w:t>
      </w:r>
      <w:r>
        <w:rPr/>
        <w:t>granted</w:t>
      </w:r>
      <w:r>
        <w:rPr>
          <w:spacing w:val="-2"/>
        </w:rPr>
        <w:t> </w:t>
      </w:r>
      <w:r>
        <w:rPr/>
        <w:t>under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2008</w:t>
      </w:r>
      <w:r>
        <w:rPr>
          <w:spacing w:val="-3"/>
        </w:rPr>
        <w:t> </w:t>
      </w:r>
      <w:r>
        <w:rPr/>
        <w:t>Plan</w:t>
      </w:r>
      <w:r>
        <w:rPr>
          <w:spacing w:val="-2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either</w:t>
      </w:r>
      <w:r>
        <w:rPr>
          <w:spacing w:val="-3"/>
        </w:rPr>
        <w:t> </w:t>
      </w:r>
      <w:r>
        <w:rPr/>
        <w:t>incentive</w:t>
      </w:r>
      <w:r>
        <w:rPr>
          <w:spacing w:val="-3"/>
        </w:rPr>
        <w:t> </w:t>
      </w:r>
      <w:r>
        <w:rPr/>
        <w:t>stock</w:t>
      </w:r>
      <w:r>
        <w:rPr>
          <w:spacing w:val="-3"/>
        </w:rPr>
        <w:t> </w:t>
      </w:r>
      <w:r>
        <w:rPr/>
        <w:t>options</w:t>
      </w:r>
      <w:r>
        <w:rPr>
          <w:spacing w:val="-4"/>
        </w:rPr>
        <w:t> </w:t>
      </w:r>
      <w:r>
        <w:rPr/>
        <w:t>(“ISOs”)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nonqualified</w:t>
      </w:r>
      <w:r>
        <w:rPr>
          <w:spacing w:val="-2"/>
        </w:rPr>
        <w:t> </w:t>
      </w:r>
      <w:r>
        <w:rPr/>
        <w:t>stock</w:t>
      </w:r>
      <w:r>
        <w:rPr>
          <w:spacing w:val="-47"/>
        </w:rPr>
        <w:t> </w:t>
      </w:r>
      <w:r>
        <w:rPr/>
        <w:t>options (“NSOs”). ISOs may be granted only to the Company’s employees, including officers and directors who are</w:t>
      </w:r>
      <w:r>
        <w:rPr>
          <w:spacing w:val="1"/>
        </w:rPr>
        <w:t> </w:t>
      </w:r>
      <w:r>
        <w:rPr/>
        <w:t>also employees. NSOs may be granted to employees and consultants. Options granted under the 2008 Plan will start</w:t>
      </w:r>
      <w:r>
        <w:rPr>
          <w:spacing w:val="1"/>
        </w:rPr>
        <w:t> </w:t>
      </w:r>
      <w:r>
        <w:rPr/>
        <w:t>expiring in August 2021. Options outstanding under the 2008 Plan will expire upon forfeiture. As of September 30,</w:t>
      </w:r>
      <w:r>
        <w:rPr>
          <w:spacing w:val="1"/>
        </w:rPr>
        <w:t> </w:t>
      </w:r>
      <w:r>
        <w:rPr/>
        <w:t>2021,</w:t>
      </w:r>
      <w:r>
        <w:rPr>
          <w:spacing w:val="-1"/>
        </w:rPr>
        <w:t> </w:t>
      </w:r>
      <w:r>
        <w:rPr/>
        <w:t>6.5 million options</w:t>
      </w:r>
      <w:r>
        <w:rPr>
          <w:spacing w:val="-1"/>
        </w:rPr>
        <w:t> </w:t>
      </w:r>
      <w:r>
        <w:rPr/>
        <w:t>were</w:t>
      </w:r>
      <w:r>
        <w:rPr>
          <w:spacing w:val="-1"/>
        </w:rPr>
        <w:t> </w:t>
      </w:r>
      <w:r>
        <w:rPr/>
        <w:t>outstanding</w:t>
      </w:r>
      <w:r>
        <w:rPr>
          <w:spacing w:val="-1"/>
        </w:rPr>
        <w:t> </w:t>
      </w:r>
      <w:r>
        <w:rPr/>
        <w:t>under the</w:t>
      </w:r>
      <w:r>
        <w:rPr>
          <w:spacing w:val="-1"/>
        </w:rPr>
        <w:t> </w:t>
      </w:r>
      <w:r>
        <w:rPr/>
        <w:t>2008 Plan.</w:t>
      </w:r>
    </w:p>
    <w:p>
      <w:pPr>
        <w:pStyle w:val="BodyText"/>
        <w:spacing w:line="249" w:lineRule="auto" w:before="184"/>
        <w:ind w:right="212"/>
      </w:pPr>
      <w:r>
        <w:rPr/>
        <w:t>A</w:t>
      </w:r>
      <w:r>
        <w:rPr>
          <w:spacing w:val="-4"/>
        </w:rPr>
        <w:t> </w:t>
      </w:r>
      <w:r>
        <w:rPr/>
        <w:t>summary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Company’s</w:t>
      </w:r>
      <w:r>
        <w:rPr>
          <w:spacing w:val="-3"/>
        </w:rPr>
        <w:t> </w:t>
      </w:r>
      <w:r>
        <w:rPr/>
        <w:t>stock</w:t>
      </w:r>
      <w:r>
        <w:rPr>
          <w:spacing w:val="-3"/>
        </w:rPr>
        <w:t> </w:t>
      </w:r>
      <w:r>
        <w:rPr/>
        <w:t>option</w:t>
      </w:r>
      <w:r>
        <w:rPr>
          <w:spacing w:val="-2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related</w:t>
      </w:r>
      <w:r>
        <w:rPr>
          <w:spacing w:val="-3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follows</w:t>
      </w:r>
      <w:r>
        <w:rPr>
          <w:spacing w:val="-3"/>
        </w:rPr>
        <w:t> </w:t>
      </w:r>
      <w:r>
        <w:rPr/>
        <w:t>(options</w:t>
      </w:r>
      <w:r>
        <w:rPr>
          <w:spacing w:val="-3"/>
        </w:rPr>
        <w:t> </w:t>
      </w:r>
      <w:r>
        <w:rPr/>
        <w:t>in</w:t>
      </w:r>
      <w:r>
        <w:rPr>
          <w:spacing w:val="-47"/>
        </w:rPr>
        <w:t> </w:t>
      </w:r>
      <w:r>
        <w:rPr/>
        <w:t>thousands):</w:t>
      </w:r>
    </w:p>
    <w:p>
      <w:pPr>
        <w:pStyle w:val="BodyText"/>
        <w:spacing w:before="1"/>
        <w:ind w:left="0" w:firstLine="0"/>
        <w:rPr>
          <w:sz w:val="14"/>
        </w:rPr>
      </w:pPr>
    </w:p>
    <w:p>
      <w:pPr>
        <w:spacing w:line="312" w:lineRule="auto" w:before="94"/>
        <w:ind w:left="7965" w:right="241" w:hanging="1033"/>
        <w:jc w:val="left"/>
        <w:rPr>
          <w:b/>
          <w:sz w:val="16"/>
        </w:rPr>
      </w:pPr>
      <w:r>
        <w:rPr>
          <w:b/>
          <w:sz w:val="16"/>
        </w:rPr>
        <w:t>Nine Months Ended September 30,</w:t>
      </w:r>
      <w:r>
        <w:rPr>
          <w:b/>
          <w:spacing w:val="-38"/>
          <w:sz w:val="16"/>
        </w:rPr>
        <w:t> </w:t>
      </w:r>
      <w:r>
        <w:rPr>
          <w:b/>
          <w:sz w:val="16"/>
        </w:rPr>
        <w:t>2021</w:t>
      </w: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90"/>
        <w:gridCol w:w="1354"/>
        <w:gridCol w:w="1316"/>
      </w:tblGrid>
      <w:tr>
        <w:trPr>
          <w:trHeight w:val="220" w:hRule="atLeast"/>
        </w:trPr>
        <w:tc>
          <w:tcPr>
            <w:tcW w:w="6690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5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76" w:lineRule="exact"/>
              <w:ind w:left="3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Options</w:t>
            </w:r>
          </w:p>
        </w:tc>
        <w:tc>
          <w:tcPr>
            <w:tcW w:w="131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76" w:lineRule="exact"/>
              <w:ind w:left="177" w:right="1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Price</w:t>
            </w:r>
          </w:p>
        </w:tc>
      </w:tr>
      <w:tr>
        <w:trPr>
          <w:trHeight w:val="260" w:hRule="atLeast"/>
        </w:trPr>
        <w:tc>
          <w:tcPr>
            <w:tcW w:w="6690" w:type="dxa"/>
            <w:shd w:val="clear" w:color="auto" w:fill="CCEDFF"/>
          </w:tcPr>
          <w:p>
            <w:pPr>
              <w:pStyle w:val="TableParagraph"/>
              <w:spacing w:line="206" w:lineRule="exact"/>
              <w:ind w:right="53"/>
              <w:rPr>
                <w:sz w:val="20"/>
              </w:rPr>
            </w:pPr>
            <w:r>
              <w:rPr>
                <w:sz w:val="20"/>
              </w:rPr>
              <w:t>Outstanding,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beginning of period</w:t>
            </w:r>
            <w:r>
              <w:rPr>
                <w:spacing w:val="27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</w:p>
        </w:tc>
        <w:tc>
          <w:tcPr>
            <w:tcW w:w="1354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206" w:lineRule="exact"/>
              <w:ind w:right="128"/>
              <w:rPr>
                <w:sz w:val="20"/>
              </w:rPr>
            </w:pPr>
            <w:r>
              <w:rPr>
                <w:sz w:val="20"/>
              </w:rPr>
              <w:t>6,507</w:t>
            </w:r>
          </w:p>
        </w:tc>
        <w:tc>
          <w:tcPr>
            <w:tcW w:w="1316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820" w:val="left" w:leader="none"/>
              </w:tabs>
              <w:spacing w:line="206" w:lineRule="exact"/>
              <w:ind w:right="79"/>
              <w:rPr>
                <w:sz w:val="20"/>
              </w:rPr>
            </w:pPr>
            <w:r>
              <w:rPr>
                <w:sz w:val="20"/>
              </w:rPr>
              <w:t>$</w:t>
              <w:tab/>
              <w:t>3.94</w:t>
            </w:r>
          </w:p>
        </w:tc>
      </w:tr>
      <w:tr>
        <w:trPr>
          <w:trHeight w:val="285" w:hRule="atLeast"/>
        </w:trPr>
        <w:tc>
          <w:tcPr>
            <w:tcW w:w="6690" w:type="dxa"/>
          </w:tcPr>
          <w:p>
            <w:pPr>
              <w:pStyle w:val="TableParagraph"/>
              <w:ind w:right="56"/>
              <w:rPr>
                <w:sz w:val="20"/>
              </w:rPr>
            </w:pPr>
            <w:r>
              <w:rPr>
                <w:sz w:val="20"/>
              </w:rPr>
              <w:t>Granted</w:t>
            </w:r>
            <w:r>
              <w:rPr>
                <w:spacing w:val="6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 .</w:t>
            </w:r>
          </w:p>
        </w:tc>
        <w:tc>
          <w:tcPr>
            <w:tcW w:w="1354" w:type="dxa"/>
          </w:tcPr>
          <w:p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1,511</w:t>
            </w:r>
          </w:p>
        </w:tc>
        <w:tc>
          <w:tcPr>
            <w:tcW w:w="1316" w:type="dxa"/>
          </w:tcPr>
          <w:p>
            <w:pPr>
              <w:pStyle w:val="TableParagraph"/>
              <w:ind w:right="79"/>
              <w:rPr>
                <w:sz w:val="20"/>
              </w:rPr>
            </w:pPr>
            <w:r>
              <w:rPr>
                <w:sz w:val="20"/>
              </w:rPr>
              <w:t>8.03</w:t>
            </w:r>
          </w:p>
        </w:tc>
      </w:tr>
      <w:tr>
        <w:trPr>
          <w:trHeight w:val="285" w:hRule="atLeast"/>
        </w:trPr>
        <w:tc>
          <w:tcPr>
            <w:tcW w:w="6690" w:type="dxa"/>
            <w:shd w:val="clear" w:color="auto" w:fill="CCEDFF"/>
          </w:tcPr>
          <w:p>
            <w:pPr>
              <w:pStyle w:val="TableParagraph"/>
              <w:ind w:right="53"/>
              <w:rPr>
                <w:sz w:val="20"/>
              </w:rPr>
            </w:pPr>
            <w:r>
              <w:rPr>
                <w:sz w:val="20"/>
              </w:rPr>
              <w:t>Exercised</w:t>
            </w:r>
            <w:r>
              <w:rPr>
                <w:spacing w:val="14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</w:t>
            </w:r>
          </w:p>
        </w:tc>
        <w:tc>
          <w:tcPr>
            <w:tcW w:w="1354" w:type="dxa"/>
            <w:shd w:val="clear" w:color="auto" w:fill="CCEDFF"/>
          </w:tcPr>
          <w:p>
            <w:pPr>
              <w:pStyle w:val="TableParagraph"/>
              <w:ind w:right="63"/>
              <w:rPr>
                <w:sz w:val="20"/>
              </w:rPr>
            </w:pPr>
            <w:r>
              <w:rPr>
                <w:sz w:val="20"/>
              </w:rPr>
              <w:t>(1,307)</w:t>
            </w:r>
          </w:p>
        </w:tc>
        <w:tc>
          <w:tcPr>
            <w:tcW w:w="1316" w:type="dxa"/>
            <w:shd w:val="clear" w:color="auto" w:fill="CCEDFF"/>
          </w:tcPr>
          <w:p>
            <w:pPr>
              <w:pStyle w:val="TableParagraph"/>
              <w:ind w:right="79"/>
              <w:rPr>
                <w:sz w:val="20"/>
              </w:rPr>
            </w:pPr>
            <w:r>
              <w:rPr>
                <w:sz w:val="20"/>
              </w:rPr>
              <w:t>2.70</w:t>
            </w:r>
          </w:p>
        </w:tc>
      </w:tr>
      <w:tr>
        <w:trPr>
          <w:trHeight w:val="285" w:hRule="atLeast"/>
        </w:trPr>
        <w:tc>
          <w:tcPr>
            <w:tcW w:w="6690" w:type="dxa"/>
          </w:tcPr>
          <w:p>
            <w:pPr>
              <w:pStyle w:val="TableParagraph"/>
              <w:ind w:right="57"/>
              <w:rPr>
                <w:sz w:val="20"/>
              </w:rPr>
            </w:pPr>
            <w:r>
              <w:rPr>
                <w:sz w:val="20"/>
              </w:rPr>
              <w:t>Forfeited</w:t>
            </w:r>
            <w:r>
              <w:rPr>
                <w:spacing w:val="16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</w:t>
            </w:r>
          </w:p>
        </w:tc>
        <w:tc>
          <w:tcPr>
            <w:tcW w:w="1354" w:type="dxa"/>
          </w:tcPr>
          <w:p>
            <w:pPr>
              <w:pStyle w:val="TableParagraph"/>
              <w:ind w:right="63"/>
              <w:rPr>
                <w:sz w:val="20"/>
              </w:rPr>
            </w:pPr>
            <w:r>
              <w:rPr>
                <w:sz w:val="20"/>
              </w:rPr>
              <w:t>(104)</w:t>
            </w:r>
          </w:p>
        </w:tc>
        <w:tc>
          <w:tcPr>
            <w:tcW w:w="1316" w:type="dxa"/>
          </w:tcPr>
          <w:p>
            <w:pPr>
              <w:pStyle w:val="TableParagraph"/>
              <w:ind w:right="79"/>
              <w:rPr>
                <w:sz w:val="20"/>
              </w:rPr>
            </w:pPr>
            <w:r>
              <w:rPr>
                <w:sz w:val="20"/>
              </w:rPr>
              <w:t>6.01</w:t>
            </w:r>
          </w:p>
        </w:tc>
      </w:tr>
      <w:tr>
        <w:trPr>
          <w:trHeight w:val="285" w:hRule="atLeast"/>
        </w:trPr>
        <w:tc>
          <w:tcPr>
            <w:tcW w:w="8044" w:type="dxa"/>
            <w:gridSpan w:val="2"/>
            <w:shd w:val="clear" w:color="auto" w:fill="CCEDFF"/>
          </w:tcPr>
          <w:p>
            <w:pPr>
              <w:pStyle w:val="TableParagraph"/>
              <w:tabs>
                <w:tab w:pos="6689" w:val="left" w:leader="dot"/>
                <w:tab w:pos="7463" w:val="left" w:leader="none"/>
              </w:tabs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Outstanding,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period </w:t>
              <w:tab/>
            </w:r>
            <w:r>
              <w:rPr>
                <w:sz w:val="20"/>
                <w:u w:val="double"/>
              </w:rPr>
              <w:t> </w:t>
              <w:tab/>
              <w:t>6,607</w:t>
            </w:r>
          </w:p>
        </w:tc>
        <w:tc>
          <w:tcPr>
            <w:tcW w:w="1316" w:type="dxa"/>
            <w:shd w:val="clear" w:color="auto" w:fill="CCEDFF"/>
          </w:tcPr>
          <w:p>
            <w:pPr>
              <w:pStyle w:val="TableParagraph"/>
              <w:ind w:right="79"/>
              <w:rPr>
                <w:sz w:val="20"/>
              </w:rPr>
            </w:pPr>
            <w:r>
              <w:rPr>
                <w:sz w:val="20"/>
              </w:rPr>
              <w:t>5.08</w:t>
            </w:r>
          </w:p>
        </w:tc>
      </w:tr>
      <w:tr>
        <w:trPr>
          <w:trHeight w:val="285" w:hRule="atLeast"/>
        </w:trPr>
        <w:tc>
          <w:tcPr>
            <w:tcW w:w="8044" w:type="dxa"/>
            <w:gridSpan w:val="2"/>
          </w:tcPr>
          <w:p>
            <w:pPr>
              <w:pStyle w:val="TableParagraph"/>
              <w:tabs>
                <w:tab w:pos="6689" w:val="left" w:leader="dot"/>
                <w:tab w:pos="7463" w:val="left" w:leader="none"/>
              </w:tabs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Vested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expected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vest </w:t>
              <w:tab/>
            </w:r>
            <w:r>
              <w:rPr>
                <w:sz w:val="20"/>
                <w:u w:val="double"/>
              </w:rPr>
              <w:t> </w:t>
              <w:tab/>
              <w:t>6,607</w:t>
            </w:r>
          </w:p>
        </w:tc>
        <w:tc>
          <w:tcPr>
            <w:tcW w:w="1316" w:type="dxa"/>
          </w:tcPr>
          <w:p>
            <w:pPr>
              <w:pStyle w:val="TableParagraph"/>
              <w:ind w:right="79"/>
              <w:rPr>
                <w:sz w:val="20"/>
              </w:rPr>
            </w:pPr>
            <w:r>
              <w:rPr>
                <w:sz w:val="20"/>
              </w:rPr>
              <w:t>5.08</w:t>
            </w:r>
          </w:p>
        </w:tc>
      </w:tr>
      <w:tr>
        <w:trPr>
          <w:trHeight w:val="285" w:hRule="atLeast"/>
        </w:trPr>
        <w:tc>
          <w:tcPr>
            <w:tcW w:w="8044" w:type="dxa"/>
            <w:gridSpan w:val="2"/>
            <w:shd w:val="clear" w:color="auto" w:fill="CCEDFF"/>
          </w:tcPr>
          <w:p>
            <w:pPr>
              <w:pStyle w:val="TableParagraph"/>
              <w:tabs>
                <w:tab w:pos="6689" w:val="left" w:leader="dot"/>
                <w:tab w:pos="7463" w:val="left" w:leader="none"/>
              </w:tabs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Exercisable </w:t>
              <w:tab/>
            </w:r>
            <w:r>
              <w:rPr>
                <w:sz w:val="20"/>
                <w:u w:val="double"/>
              </w:rPr>
              <w:t> </w:t>
              <w:tab/>
              <w:t>2,885</w:t>
            </w:r>
          </w:p>
        </w:tc>
        <w:tc>
          <w:tcPr>
            <w:tcW w:w="1316" w:type="dxa"/>
            <w:shd w:val="clear" w:color="auto" w:fill="CCEDFF"/>
          </w:tcPr>
          <w:p>
            <w:pPr>
              <w:pStyle w:val="TableParagraph"/>
              <w:ind w:right="79"/>
              <w:rPr>
                <w:sz w:val="20"/>
              </w:rPr>
            </w:pPr>
            <w:r>
              <w:rPr>
                <w:sz w:val="20"/>
              </w:rPr>
              <w:t>3.95</w:t>
            </w:r>
          </w:p>
        </w:tc>
      </w:tr>
    </w:tbl>
    <w:p>
      <w:pPr>
        <w:pStyle w:val="BodyText"/>
        <w:spacing w:before="1"/>
        <w:ind w:left="0" w:firstLine="0"/>
        <w:rPr>
          <w:b/>
          <w:sz w:val="17"/>
        </w:rPr>
      </w:pPr>
    </w:p>
    <w:p>
      <w:pPr>
        <w:pStyle w:val="BodyText"/>
        <w:spacing w:line="249" w:lineRule="auto" w:before="0"/>
        <w:ind w:right="180"/>
      </w:pPr>
      <w:r>
        <w:rPr/>
        <w:t>As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September</w:t>
      </w:r>
      <w:r>
        <w:rPr>
          <w:spacing w:val="-2"/>
        </w:rPr>
        <w:t> </w:t>
      </w:r>
      <w:r>
        <w:rPr/>
        <w:t>30,</w:t>
      </w:r>
      <w:r>
        <w:rPr>
          <w:spacing w:val="-2"/>
        </w:rPr>
        <w:t> </w:t>
      </w:r>
      <w:r>
        <w:rPr/>
        <w:t>2021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December</w:t>
      </w:r>
      <w:r>
        <w:rPr>
          <w:spacing w:val="-3"/>
        </w:rPr>
        <w:t> </w:t>
      </w:r>
      <w:r>
        <w:rPr/>
        <w:t>31,</w:t>
      </w:r>
      <w:r>
        <w:rPr>
          <w:spacing w:val="-2"/>
        </w:rPr>
        <w:t> </w:t>
      </w:r>
      <w:r>
        <w:rPr/>
        <w:t>2020,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aggregate</w:t>
      </w:r>
      <w:r>
        <w:rPr>
          <w:spacing w:val="-3"/>
        </w:rPr>
        <w:t> </w:t>
      </w:r>
      <w:r>
        <w:rPr/>
        <w:t>pre-tax</w:t>
      </w:r>
      <w:r>
        <w:rPr>
          <w:spacing w:val="-2"/>
        </w:rPr>
        <w:t> </w:t>
      </w:r>
      <w:r>
        <w:rPr/>
        <w:t>intrinsic</w:t>
      </w:r>
      <w:r>
        <w:rPr>
          <w:spacing w:val="-3"/>
        </w:rPr>
        <w:t> </w:t>
      </w:r>
      <w:r>
        <w:rPr/>
        <w:t>value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options</w:t>
      </w:r>
      <w:r>
        <w:rPr>
          <w:spacing w:val="-3"/>
        </w:rPr>
        <w:t> </w:t>
      </w:r>
      <w:r>
        <w:rPr/>
        <w:t>outstanding</w:t>
      </w:r>
      <w:r>
        <w:rPr>
          <w:spacing w:val="-47"/>
        </w:rPr>
        <w:t> </w:t>
      </w:r>
      <w:r>
        <w:rPr/>
        <w:t>and</w:t>
      </w:r>
      <w:r>
        <w:rPr>
          <w:spacing w:val="-3"/>
        </w:rPr>
        <w:t> </w:t>
      </w:r>
      <w:r>
        <w:rPr/>
        <w:t>exercisable</w:t>
      </w:r>
      <w:r>
        <w:rPr>
          <w:spacing w:val="-4"/>
        </w:rPr>
        <w:t> </w:t>
      </w:r>
      <w:r>
        <w:rPr/>
        <w:t>was</w:t>
      </w:r>
      <w:r>
        <w:rPr>
          <w:spacing w:val="-3"/>
        </w:rPr>
        <w:t> </w:t>
      </w:r>
      <w:r>
        <w:rPr/>
        <w:t>$98.7</w:t>
      </w:r>
      <w:r>
        <w:rPr>
          <w:spacing w:val="-3"/>
        </w:rPr>
        <w:t> </w:t>
      </w:r>
      <w:r>
        <w:rPr/>
        <w:t>million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$6.9</w:t>
      </w:r>
      <w:r>
        <w:rPr>
          <w:spacing w:val="-3"/>
        </w:rPr>
        <w:t> </w:t>
      </w:r>
      <w:r>
        <w:rPr/>
        <w:t>million,</w:t>
      </w:r>
      <w:r>
        <w:rPr>
          <w:spacing w:val="-3"/>
        </w:rPr>
        <w:t> </w:t>
      </w:r>
      <w:r>
        <w:rPr/>
        <w:t>respectively,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options</w:t>
      </w:r>
      <w:r>
        <w:rPr>
          <w:spacing w:val="-4"/>
        </w:rPr>
        <w:t> </w:t>
      </w:r>
      <w:r>
        <w:rPr/>
        <w:t>outstanding</w:t>
      </w:r>
      <w:r>
        <w:rPr>
          <w:spacing w:val="-2"/>
        </w:rPr>
        <w:t> </w:t>
      </w:r>
      <w:r>
        <w:rPr/>
        <w:t>were</w:t>
      </w:r>
      <w:r>
        <w:rPr>
          <w:spacing w:val="-4"/>
        </w:rPr>
        <w:t> </w:t>
      </w:r>
      <w:r>
        <w:rPr/>
        <w:t>$218.5</w:t>
      </w:r>
      <w:r>
        <w:rPr>
          <w:spacing w:val="-3"/>
        </w:rPr>
        <w:t> </w:t>
      </w:r>
      <w:r>
        <w:rPr/>
        <w:t>million</w:t>
      </w:r>
      <w:r>
        <w:rPr>
          <w:spacing w:val="-2"/>
        </w:rPr>
        <w:t> </w:t>
      </w:r>
      <w:r>
        <w:rPr/>
        <w:t>and</w:t>
      </w:r>
    </w:p>
    <w:p>
      <w:pPr>
        <w:pStyle w:val="BodyText"/>
        <w:spacing w:line="249" w:lineRule="auto" w:before="2"/>
        <w:ind w:right="212" w:firstLine="0"/>
      </w:pPr>
      <w:r>
        <w:rPr/>
        <w:t>$9.9 million, respectively. The aggregate pre-tax intrinsic value of options exercised was $5.1 million and $1.8</w:t>
      </w:r>
      <w:r>
        <w:rPr>
          <w:spacing w:val="1"/>
        </w:rPr>
        <w:t> </w:t>
      </w:r>
      <w:r>
        <w:rPr/>
        <w:t>million during the nine months ended September 30, 2021 and 2020, respectively. The aggregate pre-tax intrinsic</w:t>
      </w:r>
      <w:r>
        <w:rPr>
          <w:spacing w:val="1"/>
        </w:rPr>
        <w:t> </w:t>
      </w:r>
      <w:r>
        <w:rPr/>
        <w:t>value was calculated as the difference between the exercise prices of the underlying options and the estimated fair</w:t>
      </w:r>
      <w:r>
        <w:rPr>
          <w:spacing w:val="1"/>
        </w:rPr>
        <w:t> </w:t>
      </w:r>
      <w:r>
        <w:rPr/>
        <w:t>value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common</w:t>
      </w:r>
      <w:r>
        <w:rPr>
          <w:spacing w:val="-2"/>
        </w:rPr>
        <w:t> </w:t>
      </w:r>
      <w:r>
        <w:rPr/>
        <w:t>stock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date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exercise.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total</w:t>
      </w:r>
      <w:r>
        <w:rPr>
          <w:spacing w:val="-2"/>
        </w:rPr>
        <w:t> </w:t>
      </w:r>
      <w:r>
        <w:rPr/>
        <w:t>fair</w:t>
      </w:r>
      <w:r>
        <w:rPr>
          <w:spacing w:val="-2"/>
        </w:rPr>
        <w:t> </w:t>
      </w:r>
      <w:r>
        <w:rPr/>
        <w:t>value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options</w:t>
      </w:r>
      <w:r>
        <w:rPr>
          <w:spacing w:val="-3"/>
        </w:rPr>
        <w:t> </w:t>
      </w:r>
      <w:r>
        <w:rPr/>
        <w:t>vested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/>
        <w:t>$2.4</w:t>
      </w:r>
      <w:r>
        <w:rPr>
          <w:spacing w:val="-2"/>
        </w:rPr>
        <w:t> </w:t>
      </w:r>
      <w:r>
        <w:rPr/>
        <w:t>million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$1.2</w:t>
      </w:r>
      <w:r>
        <w:rPr>
          <w:spacing w:val="-47"/>
        </w:rPr>
        <w:t> </w:t>
      </w:r>
      <w:r>
        <w:rPr/>
        <w:t>million</w:t>
      </w:r>
      <w:r>
        <w:rPr>
          <w:spacing w:val="-1"/>
        </w:rPr>
        <w:t> </w:t>
      </w:r>
      <w:r>
        <w:rPr/>
        <w:t>during the</w:t>
      </w:r>
      <w:r>
        <w:rPr>
          <w:spacing w:val="-2"/>
        </w:rPr>
        <w:t> </w:t>
      </w:r>
      <w:r>
        <w:rPr/>
        <w:t>nine</w:t>
      </w:r>
      <w:r>
        <w:rPr>
          <w:spacing w:val="-1"/>
        </w:rPr>
        <w:t> </w:t>
      </w:r>
      <w:r>
        <w:rPr/>
        <w:t>months</w:t>
      </w:r>
      <w:r>
        <w:rPr>
          <w:spacing w:val="-2"/>
        </w:rPr>
        <w:t> </w:t>
      </w:r>
      <w:r>
        <w:rPr/>
        <w:t>ended September 30,</w:t>
      </w:r>
      <w:r>
        <w:rPr>
          <w:spacing w:val="-1"/>
        </w:rPr>
        <w:t> </w:t>
      </w:r>
      <w:r>
        <w:rPr/>
        <w:t>2021 and</w:t>
      </w:r>
      <w:r>
        <w:rPr>
          <w:spacing w:val="-1"/>
        </w:rPr>
        <w:t> </w:t>
      </w:r>
      <w:r>
        <w:rPr/>
        <w:t>2020, respectively.</w:t>
      </w:r>
    </w:p>
    <w:p>
      <w:pPr>
        <w:pStyle w:val="BodyText"/>
        <w:spacing w:line="249" w:lineRule="auto" w:before="184"/>
        <w:ind w:right="118"/>
      </w:pPr>
      <w:r>
        <w:rPr/>
        <w:t>The Company estimates the fair value of stock-based compensation on the date of grant using the Black-Scholes</w:t>
      </w:r>
      <w:r>
        <w:rPr>
          <w:spacing w:val="-47"/>
        </w:rPr>
        <w:t> </w:t>
      </w:r>
      <w:r>
        <w:rPr/>
        <w:t>option-pricing model. The Black-Scholes model determines the fair value of stock-based payment awards based on</w:t>
      </w:r>
      <w:r>
        <w:rPr>
          <w:spacing w:val="1"/>
        </w:rPr>
        <w:t> </w:t>
      </w:r>
      <w:r>
        <w:rPr/>
        <w:t>the fair market value of the Company’s common stock on the date of grant and is affected by assumptions regarding</w:t>
      </w:r>
      <w:r>
        <w:rPr>
          <w:spacing w:val="1"/>
        </w:rPr>
        <w:t> </w:t>
      </w:r>
      <w:r>
        <w:rPr/>
        <w:t>a number of highly complex and subjective variables. These variables include, but are not limited to, the fair market</w:t>
      </w:r>
      <w:r>
        <w:rPr>
          <w:spacing w:val="1"/>
        </w:rPr>
        <w:t> </w:t>
      </w:r>
      <w:r>
        <w:rPr/>
        <w:t>value of the Company’s common stock, volatility over the expected term of the awards and actual and projected</w:t>
      </w:r>
      <w:r>
        <w:rPr>
          <w:spacing w:val="1"/>
        </w:rPr>
        <w:t> </w:t>
      </w:r>
      <w:r>
        <w:rPr/>
        <w:t>employee stock option exercise behaviors. The Company has opted to use the “simplified method” for estimating the</w:t>
      </w:r>
      <w:r>
        <w:rPr>
          <w:spacing w:val="-47"/>
        </w:rPr>
        <w:t> </w:t>
      </w:r>
      <w:r>
        <w:rPr/>
        <w:t>expected term of options, whereby the expected term equals the arithmetic average of the vesting term and the</w:t>
      </w:r>
      <w:r>
        <w:rPr>
          <w:spacing w:val="1"/>
        </w:rPr>
        <w:t> </w:t>
      </w:r>
      <w:r>
        <w:rPr/>
        <w:t>original contractual term of the option. Due to the Company’s limited operating history and a lack of company</w:t>
      </w:r>
      <w:r>
        <w:rPr>
          <w:spacing w:val="1"/>
        </w:rPr>
        <w:t> </w:t>
      </w:r>
      <w:r>
        <w:rPr/>
        <w:t>specific historical and implied volatility data, the Company has based its estimate of expected volatility on the</w:t>
      </w:r>
      <w:r>
        <w:rPr>
          <w:spacing w:val="1"/>
        </w:rPr>
        <w:t> </w:t>
      </w:r>
      <w:r>
        <w:rPr/>
        <w:t>historical volatility of a group of similar companies that are publicly traded. When selecting these public companies</w:t>
      </w:r>
      <w:r>
        <w:rPr>
          <w:spacing w:val="1"/>
        </w:rPr>
        <w:t> </w:t>
      </w:r>
      <w:r>
        <w:rPr/>
        <w:t>on</w:t>
      </w:r>
      <w:r>
        <w:rPr>
          <w:spacing w:val="-4"/>
        </w:rPr>
        <w:t> </w:t>
      </w:r>
      <w:r>
        <w:rPr/>
        <w:t>which</w:t>
      </w:r>
      <w:r>
        <w:rPr>
          <w:spacing w:val="-3"/>
        </w:rPr>
        <w:t> </w:t>
      </w:r>
      <w:r>
        <w:rPr/>
        <w:t>it</w:t>
      </w:r>
      <w:r>
        <w:rPr>
          <w:spacing w:val="-4"/>
        </w:rPr>
        <w:t> </w:t>
      </w:r>
      <w:r>
        <w:rPr/>
        <w:t>has</w:t>
      </w:r>
      <w:r>
        <w:rPr>
          <w:spacing w:val="-5"/>
        </w:rPr>
        <w:t> </w:t>
      </w:r>
      <w:r>
        <w:rPr/>
        <w:t>based</w:t>
      </w:r>
      <w:r>
        <w:rPr>
          <w:spacing w:val="-3"/>
        </w:rPr>
        <w:t> </w:t>
      </w:r>
      <w:r>
        <w:rPr/>
        <w:t>its</w:t>
      </w:r>
      <w:r>
        <w:rPr>
          <w:spacing w:val="-4"/>
        </w:rPr>
        <w:t> </w:t>
      </w:r>
      <w:r>
        <w:rPr/>
        <w:t>expected</w:t>
      </w:r>
      <w:r>
        <w:rPr>
          <w:spacing w:val="-3"/>
        </w:rPr>
        <w:t> </w:t>
      </w:r>
      <w:r>
        <w:rPr/>
        <w:t>stock</w:t>
      </w:r>
      <w:r>
        <w:rPr>
          <w:spacing w:val="-4"/>
        </w:rPr>
        <w:t> </w:t>
      </w:r>
      <w:r>
        <w:rPr/>
        <w:t>price</w:t>
      </w:r>
      <w:r>
        <w:rPr>
          <w:spacing w:val="-4"/>
        </w:rPr>
        <w:t> </w:t>
      </w:r>
      <w:r>
        <w:rPr/>
        <w:t>volatility,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Company</w:t>
      </w:r>
      <w:r>
        <w:rPr>
          <w:spacing w:val="-4"/>
        </w:rPr>
        <w:t> </w:t>
      </w:r>
      <w:r>
        <w:rPr/>
        <w:t>generally</w:t>
      </w:r>
      <w:r>
        <w:rPr>
          <w:spacing w:val="-3"/>
        </w:rPr>
        <w:t> </w:t>
      </w:r>
      <w:r>
        <w:rPr/>
        <w:t>selected</w:t>
      </w:r>
      <w:r>
        <w:rPr>
          <w:spacing w:val="-3"/>
        </w:rPr>
        <w:t> </w:t>
      </w:r>
      <w:r>
        <w:rPr/>
        <w:t>companies</w:t>
      </w:r>
      <w:r>
        <w:rPr>
          <w:spacing w:val="-5"/>
        </w:rPr>
        <w:t> </w:t>
      </w:r>
      <w:r>
        <w:rPr/>
        <w:t>with</w:t>
      </w:r>
      <w:r>
        <w:rPr>
          <w:spacing w:val="-3"/>
        </w:rPr>
        <w:t> </w:t>
      </w:r>
      <w:r>
        <w:rPr/>
        <w:t>comparable</w:t>
      </w:r>
      <w:r>
        <w:rPr>
          <w:spacing w:val="1"/>
        </w:rPr>
        <w:t> </w:t>
      </w:r>
      <w:r>
        <w:rPr/>
        <w:t>characteristics to it, including enterprise value, stages of clinical development, risk profiles, position within the</w:t>
      </w:r>
      <w:r>
        <w:rPr>
          <w:spacing w:val="1"/>
        </w:rPr>
        <w:t> </w:t>
      </w:r>
      <w:r>
        <w:rPr/>
        <w:t>industry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historical</w:t>
      </w:r>
      <w:r>
        <w:rPr>
          <w:spacing w:val="-3"/>
        </w:rPr>
        <w:t> </w:t>
      </w:r>
      <w:r>
        <w:rPr/>
        <w:t>share</w:t>
      </w:r>
      <w:r>
        <w:rPr>
          <w:spacing w:val="-4"/>
        </w:rPr>
        <w:t> </w:t>
      </w:r>
      <w:r>
        <w:rPr/>
        <w:t>price</w:t>
      </w:r>
      <w:r>
        <w:rPr>
          <w:spacing w:val="-3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sufficient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meet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expected</w:t>
      </w:r>
      <w:r>
        <w:rPr>
          <w:spacing w:val="-2"/>
        </w:rPr>
        <w:t> </w:t>
      </w:r>
      <w:r>
        <w:rPr/>
        <w:t>life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stock-based</w:t>
      </w:r>
      <w:r>
        <w:rPr>
          <w:spacing w:val="-2"/>
        </w:rPr>
        <w:t> </w:t>
      </w:r>
      <w:r>
        <w:rPr/>
        <w:t>awards.</w:t>
      </w:r>
    </w:p>
    <w:p>
      <w:pPr>
        <w:pStyle w:val="BodyText"/>
        <w:spacing w:line="249" w:lineRule="auto" w:before="11"/>
        <w:ind w:right="129" w:firstLine="0"/>
      </w:pPr>
      <w:r>
        <w:rPr/>
        <w:t>The historical volatility data was computed using the daily closing prices for the selected companies’ shares during</w:t>
      </w:r>
      <w:r>
        <w:rPr>
          <w:spacing w:val="1"/>
        </w:rPr>
        <w:t> </w:t>
      </w:r>
      <w:r>
        <w:rPr/>
        <w:t>the equivalent period of the calculated expected term of the share-based payments. The Company will continue to</w:t>
      </w:r>
      <w:r>
        <w:rPr>
          <w:spacing w:val="1"/>
        </w:rPr>
        <w:t> </w:t>
      </w:r>
      <w:r>
        <w:rPr/>
        <w:t>analyze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historical</w:t>
      </w:r>
      <w:r>
        <w:rPr>
          <w:spacing w:val="-4"/>
        </w:rPr>
        <w:t> </w:t>
      </w:r>
      <w:r>
        <w:rPr/>
        <w:t>stock</w:t>
      </w:r>
      <w:r>
        <w:rPr>
          <w:spacing w:val="-3"/>
        </w:rPr>
        <w:t> </w:t>
      </w:r>
      <w:r>
        <w:rPr/>
        <w:t>price</w:t>
      </w:r>
      <w:r>
        <w:rPr>
          <w:spacing w:val="-4"/>
        </w:rPr>
        <w:t> </w:t>
      </w:r>
      <w:r>
        <w:rPr/>
        <w:t>volatility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expected</w:t>
      </w:r>
      <w:r>
        <w:rPr>
          <w:spacing w:val="-3"/>
        </w:rPr>
        <w:t> </w:t>
      </w:r>
      <w:r>
        <w:rPr/>
        <w:t>term</w:t>
      </w:r>
      <w:r>
        <w:rPr>
          <w:spacing w:val="-4"/>
        </w:rPr>
        <w:t> </w:t>
      </w:r>
      <w:r>
        <w:rPr/>
        <w:t>assumptions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more</w:t>
      </w:r>
      <w:r>
        <w:rPr>
          <w:spacing w:val="-4"/>
        </w:rPr>
        <w:t> </w:t>
      </w:r>
      <w:r>
        <w:rPr/>
        <w:t>historical</w:t>
      </w:r>
      <w:r>
        <w:rPr>
          <w:spacing w:val="-4"/>
        </w:rPr>
        <w:t> </w:t>
      </w:r>
      <w:r>
        <w:rPr/>
        <w:t>data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Company’s</w:t>
      </w:r>
      <w:r>
        <w:rPr>
          <w:spacing w:val="1"/>
        </w:rPr>
        <w:t> </w:t>
      </w:r>
      <w:r>
        <w:rPr/>
        <w:t>common stock becomes available. The risk-free rate assumption is based on the U.S. Treasury instruments with</w:t>
      </w:r>
      <w:r>
        <w:rPr>
          <w:spacing w:val="1"/>
        </w:rPr>
        <w:t> </w:t>
      </w:r>
      <w:r>
        <w:rPr/>
        <w:t>maturities similar to the expected term of the Company’s stock options. The expected dividend assumption is based</w:t>
      </w:r>
      <w:r>
        <w:rPr>
          <w:spacing w:val="1"/>
        </w:rPr>
        <w:t> </w:t>
      </w:r>
      <w:r>
        <w:rPr/>
        <w:t>on the Company’s history of not paying dividends and its expectation that it will not declare dividends for the</w:t>
      </w:r>
      <w:r>
        <w:rPr>
          <w:spacing w:val="1"/>
        </w:rPr>
        <w:t> </w:t>
      </w:r>
      <w:r>
        <w:rPr/>
        <w:t>foreseeable</w:t>
      </w:r>
      <w:r>
        <w:rPr>
          <w:spacing w:val="-2"/>
        </w:rPr>
        <w:t> </w:t>
      </w:r>
      <w:r>
        <w:rPr/>
        <w:t>future.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before="72"/>
        <w:ind w:left="460" w:firstLine="0"/>
      </w:pPr>
      <w:r>
        <w:rPr/>
        <w:t>Total</w:t>
      </w:r>
      <w:r>
        <w:rPr>
          <w:spacing w:val="-5"/>
        </w:rPr>
        <w:t> </w:t>
      </w:r>
      <w:r>
        <w:rPr/>
        <w:t>stock-based</w:t>
      </w:r>
      <w:r>
        <w:rPr>
          <w:spacing w:val="-3"/>
        </w:rPr>
        <w:t> </w:t>
      </w:r>
      <w:r>
        <w:rPr/>
        <w:t>compensation</w:t>
      </w:r>
      <w:r>
        <w:rPr>
          <w:spacing w:val="-3"/>
        </w:rPr>
        <w:t> </w:t>
      </w:r>
      <w:r>
        <w:rPr/>
        <w:t>recognized,</w:t>
      </w:r>
      <w:r>
        <w:rPr>
          <w:spacing w:val="-3"/>
        </w:rPr>
        <w:t> </w:t>
      </w:r>
      <w:r>
        <w:rPr/>
        <w:t>before</w:t>
      </w:r>
      <w:r>
        <w:rPr>
          <w:spacing w:val="-4"/>
        </w:rPr>
        <w:t> </w:t>
      </w:r>
      <w:r>
        <w:rPr/>
        <w:t>taxes,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follows</w:t>
      </w:r>
      <w:r>
        <w:rPr>
          <w:spacing w:val="-4"/>
        </w:rPr>
        <w:t> </w:t>
      </w:r>
      <w:r>
        <w:rPr/>
        <w:t>(in</w:t>
      </w:r>
      <w:r>
        <w:rPr>
          <w:spacing w:val="-3"/>
        </w:rPr>
        <w:t> </w:t>
      </w:r>
      <w:r>
        <w:rPr/>
        <w:t>thousands):</w:t>
      </w:r>
    </w:p>
    <w:p>
      <w:pPr>
        <w:pStyle w:val="BodyText"/>
        <w:spacing w:before="10"/>
        <w:ind w:left="0" w:firstLine="0"/>
        <w:rPr>
          <w:sz w:val="14"/>
        </w:rPr>
      </w:pPr>
    </w:p>
    <w:p>
      <w:pPr>
        <w:tabs>
          <w:tab w:pos="6932" w:val="left" w:leader="none"/>
        </w:tabs>
        <w:spacing w:before="93" w:after="30"/>
        <w:ind w:left="4158" w:right="0" w:firstLine="0"/>
        <w:jc w:val="left"/>
        <w:rPr>
          <w:b/>
          <w:sz w:val="16"/>
        </w:rPr>
      </w:pPr>
      <w:r>
        <w:rPr>
          <w:b/>
          <w:sz w:val="16"/>
        </w:rPr>
        <w:t>Three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Months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Ended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September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30,</w:t>
        <w:tab/>
        <w:t>Nine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Months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Ended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September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30,</w:t>
      </w: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0"/>
        <w:gridCol w:w="868"/>
        <w:gridCol w:w="453"/>
        <w:gridCol w:w="913"/>
        <w:gridCol w:w="453"/>
        <w:gridCol w:w="913"/>
        <w:gridCol w:w="453"/>
        <w:gridCol w:w="913"/>
        <w:gridCol w:w="438"/>
      </w:tblGrid>
      <w:tr>
        <w:trPr>
          <w:trHeight w:val="220" w:hRule="atLeast"/>
        </w:trPr>
        <w:tc>
          <w:tcPr>
            <w:tcW w:w="3960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6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4" w:lineRule="exact" w:before="16"/>
              <w:ind w:left="4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1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4" w:lineRule="exact" w:before="16"/>
              <w:ind w:left="53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1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4" w:lineRule="exact" w:before="16"/>
              <w:ind w:left="5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1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4" w:lineRule="exact" w:before="16"/>
              <w:ind w:left="53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</w:p>
        </w:tc>
        <w:tc>
          <w:tcPr>
            <w:tcW w:w="43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3960" w:type="dxa"/>
            <w:shd w:val="clear" w:color="auto" w:fill="CCEDFF"/>
          </w:tcPr>
          <w:p>
            <w:pPr>
              <w:pStyle w:val="TableParagraph"/>
              <w:spacing w:before="15"/>
              <w:ind w:left="33" w:right="35"/>
              <w:jc w:val="center"/>
              <w:rPr>
                <w:sz w:val="20"/>
              </w:rPr>
            </w:pPr>
            <w:r>
              <w:rPr>
                <w:sz w:val="20"/>
              </w:rPr>
              <w:t>Cost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 sales</w:t>
            </w:r>
            <w:r>
              <w:rPr>
                <w:spacing w:val="30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</w:p>
        </w:tc>
        <w:tc>
          <w:tcPr>
            <w:tcW w:w="868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15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53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15"/>
              <w:ind w:right="95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913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15"/>
              <w:ind w:left="96"/>
              <w:jc w:val="left"/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53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15"/>
              <w:ind w:right="9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13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15"/>
              <w:ind w:left="95"/>
              <w:jc w:val="left"/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53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15"/>
              <w:ind w:left="34" w:right="78"/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913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15"/>
              <w:ind w:left="94"/>
              <w:jc w:val="left"/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8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15"/>
              <w:ind w:right="83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285" w:hRule="atLeast"/>
        </w:trPr>
        <w:tc>
          <w:tcPr>
            <w:tcW w:w="3960" w:type="dxa"/>
          </w:tcPr>
          <w:p>
            <w:pPr>
              <w:pStyle w:val="TableParagraph"/>
              <w:spacing w:before="25"/>
              <w:ind w:left="35" w:right="35"/>
              <w:jc w:val="center"/>
              <w:rPr>
                <w:sz w:val="20"/>
              </w:rPr>
            </w:pPr>
            <w:r>
              <w:rPr>
                <w:sz w:val="20"/>
              </w:rPr>
              <w:t>Research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development</w:t>
            </w:r>
            <w:r>
              <w:rPr>
                <w:spacing w:val="2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</w:p>
        </w:tc>
        <w:tc>
          <w:tcPr>
            <w:tcW w:w="868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spacing w:before="25"/>
              <w:ind w:right="95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spacing w:before="25"/>
              <w:ind w:right="96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spacing w:before="25"/>
              <w:ind w:left="34" w:right="78"/>
              <w:jc w:val="center"/>
              <w:rPr>
                <w:sz w:val="20"/>
              </w:rPr>
            </w:pPr>
            <w:r>
              <w:rPr>
                <w:sz w:val="20"/>
              </w:rPr>
              <w:t>482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38" w:type="dxa"/>
          </w:tcPr>
          <w:p>
            <w:pPr>
              <w:pStyle w:val="TableParagraph"/>
              <w:spacing w:before="25"/>
              <w:ind w:right="83"/>
              <w:rPr>
                <w:sz w:val="20"/>
              </w:rPr>
            </w:pPr>
            <w:r>
              <w:rPr>
                <w:sz w:val="20"/>
              </w:rPr>
              <w:t>397</w:t>
            </w:r>
          </w:p>
        </w:tc>
      </w:tr>
      <w:tr>
        <w:trPr>
          <w:trHeight w:val="275" w:hRule="atLeast"/>
        </w:trPr>
        <w:tc>
          <w:tcPr>
            <w:tcW w:w="3960" w:type="dxa"/>
            <w:shd w:val="clear" w:color="auto" w:fill="CCEDFF"/>
          </w:tcPr>
          <w:p>
            <w:pPr>
              <w:pStyle w:val="TableParagraph"/>
              <w:spacing w:line="230" w:lineRule="exact" w:before="25"/>
              <w:ind w:left="34" w:right="35"/>
              <w:jc w:val="center"/>
              <w:rPr>
                <w:sz w:val="20"/>
              </w:rPr>
            </w:pPr>
            <w:r>
              <w:rPr>
                <w:sz w:val="20"/>
              </w:rPr>
              <w:t>Sales,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administrative</w:t>
            </w:r>
            <w:r>
              <w:rPr>
                <w:spacing w:val="1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2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</w:p>
        </w:tc>
        <w:tc>
          <w:tcPr>
            <w:tcW w:w="1321" w:type="dxa"/>
            <w:gridSpan w:val="2"/>
            <w:tcBorders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230" w:lineRule="exact" w:before="25"/>
              <w:ind w:right="95"/>
              <w:rPr>
                <w:sz w:val="20"/>
              </w:rPr>
            </w:pPr>
            <w:r>
              <w:rPr>
                <w:sz w:val="20"/>
              </w:rPr>
              <w:t>689</w:t>
            </w:r>
          </w:p>
        </w:tc>
        <w:tc>
          <w:tcPr>
            <w:tcW w:w="1366" w:type="dxa"/>
            <w:gridSpan w:val="2"/>
            <w:tcBorders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230" w:lineRule="exact" w:before="25"/>
              <w:ind w:right="96"/>
              <w:rPr>
                <w:sz w:val="20"/>
              </w:rPr>
            </w:pPr>
            <w:r>
              <w:rPr>
                <w:sz w:val="20"/>
              </w:rPr>
              <w:t>411</w:t>
            </w:r>
          </w:p>
        </w:tc>
        <w:tc>
          <w:tcPr>
            <w:tcW w:w="1366" w:type="dxa"/>
            <w:gridSpan w:val="2"/>
            <w:tcBorders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230" w:lineRule="exact" w:before="25"/>
              <w:ind w:left="816"/>
              <w:jc w:val="left"/>
              <w:rPr>
                <w:sz w:val="20"/>
              </w:rPr>
            </w:pPr>
            <w:r>
              <w:rPr>
                <w:sz w:val="20"/>
              </w:rPr>
              <w:t>1,683</w:t>
            </w:r>
          </w:p>
        </w:tc>
        <w:tc>
          <w:tcPr>
            <w:tcW w:w="1351" w:type="dxa"/>
            <w:gridSpan w:val="2"/>
            <w:tcBorders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230" w:lineRule="exact" w:before="25"/>
              <w:ind w:left="815"/>
              <w:jc w:val="left"/>
              <w:rPr>
                <w:sz w:val="20"/>
              </w:rPr>
            </w:pPr>
            <w:r>
              <w:rPr>
                <w:sz w:val="20"/>
              </w:rPr>
              <w:t>1,104</w:t>
            </w:r>
          </w:p>
        </w:tc>
      </w:tr>
    </w:tbl>
    <w:p>
      <w:pPr>
        <w:pStyle w:val="BodyText"/>
        <w:tabs>
          <w:tab w:pos="4983" w:val="left" w:leader="none"/>
          <w:tab w:pos="6348" w:val="left" w:leader="none"/>
          <w:tab w:pos="7563" w:val="left" w:leader="none"/>
          <w:tab w:pos="8928" w:val="left" w:leader="none"/>
        </w:tabs>
        <w:spacing w:before="5"/>
        <w:ind w:left="332" w:firstLine="0"/>
      </w:pPr>
      <w:r>
        <w:rPr/>
        <w:t>Total</w:t>
      </w:r>
      <w:r>
        <w:rPr>
          <w:spacing w:val="-2"/>
        </w:rPr>
        <w:t> </w:t>
      </w:r>
      <w:r>
        <w:rPr/>
        <w:t>stock-based</w:t>
      </w:r>
      <w:r>
        <w:rPr>
          <w:spacing w:val="-1"/>
        </w:rPr>
        <w:t> </w:t>
      </w:r>
      <w:r>
        <w:rPr/>
        <w:t>compensation</w:t>
      </w:r>
      <w:r>
        <w:rPr>
          <w:spacing w:val="-1"/>
        </w:rPr>
        <w:t> </w:t>
      </w:r>
      <w:r>
        <w:rPr>
          <w:color w:val="B3B3B3"/>
        </w:rPr>
        <w:t>.</w:t>
      </w:r>
      <w:r>
        <w:rPr>
          <w:color w:val="B3B3B3"/>
          <w:spacing w:val="-1"/>
        </w:rPr>
        <w:t> </w:t>
      </w:r>
      <w:r>
        <w:rPr>
          <w:color w:val="B3B3B3"/>
        </w:rPr>
        <w:t>.</w:t>
      </w:r>
      <w:r>
        <w:rPr>
          <w:color w:val="B3B3B3"/>
          <w:spacing w:val="-1"/>
        </w:rPr>
        <w:t> </w:t>
      </w:r>
      <w:r>
        <w:rPr>
          <w:color w:val="B3B3B3"/>
        </w:rPr>
        <w:t>.</w:t>
      </w:r>
      <w:r>
        <w:rPr>
          <w:color w:val="B3B3B3"/>
          <w:spacing w:val="-1"/>
        </w:rPr>
        <w:t> </w:t>
      </w:r>
      <w:r>
        <w:rPr>
          <w:color w:val="B3B3B3"/>
        </w:rPr>
        <w:t>.</w:t>
      </w:r>
      <w:r>
        <w:rPr>
          <w:color w:val="B3B3B3"/>
          <w:spacing w:val="-1"/>
        </w:rPr>
        <w:t> </w:t>
      </w:r>
      <w:r>
        <w:rPr>
          <w:color w:val="B3B3B3"/>
        </w:rPr>
        <w:t>.</w:t>
      </w:r>
      <w:r>
        <w:rPr>
          <w:color w:val="B3B3B3"/>
          <w:spacing w:val="-1"/>
        </w:rPr>
        <w:t> </w:t>
      </w:r>
      <w:r>
        <w:rPr>
          <w:color w:val="B3B3B3"/>
        </w:rPr>
        <w:t>.</w:t>
      </w:r>
      <w:r>
        <w:rPr>
          <w:color w:val="B3B3B3"/>
          <w:spacing w:val="-1"/>
        </w:rPr>
        <w:t> </w:t>
      </w:r>
      <w:r>
        <w:rPr>
          <w:color w:val="B3B3B3"/>
        </w:rPr>
        <w:t>.</w:t>
      </w:r>
      <w:r>
        <w:rPr>
          <w:color w:val="B3B3B3"/>
          <w:spacing w:val="-1"/>
        </w:rPr>
        <w:t> </w:t>
      </w:r>
      <w:r>
        <w:rPr>
          <w:color w:val="B3B3B3"/>
        </w:rPr>
        <w:t>.</w:t>
      </w:r>
      <w:r>
        <w:rPr>
          <w:color w:val="B3B3B3"/>
          <w:spacing w:val="-1"/>
        </w:rPr>
        <w:t> </w:t>
      </w:r>
      <w:r>
        <w:rPr>
          <w:color w:val="B3B3B3"/>
        </w:rPr>
        <w:t>.</w:t>
      </w:r>
      <w:r>
        <w:rPr>
          <w:color w:val="B3B3B3"/>
          <w:spacing w:val="-1"/>
        </w:rPr>
        <w:t> </w:t>
      </w:r>
      <w:r>
        <w:rPr>
          <w:color w:val="B3B3B3"/>
        </w:rPr>
        <w:t>. .</w:t>
      </w:r>
      <w:r>
        <w:rPr>
          <w:color w:val="B3B3B3"/>
          <w:spacing w:val="53"/>
        </w:rPr>
        <w:t> </w:t>
      </w:r>
      <w:r>
        <w:rPr>
          <w:u w:val="double"/>
        </w:rPr>
        <w:t>$</w:t>
        <w:tab/>
        <w:t>925  </w:t>
      </w:r>
      <w:r>
        <w:rPr>
          <w:spacing w:val="44"/>
          <w:u w:val="double"/>
        </w:rPr>
        <w:t> </w:t>
      </w:r>
      <w:r>
        <w:rPr>
          <w:u w:val="double"/>
        </w:rPr>
        <w:t>$</w:t>
        <w:tab/>
        <w:t>563  </w:t>
      </w:r>
      <w:r>
        <w:rPr>
          <w:spacing w:val="44"/>
          <w:u w:val="double"/>
        </w:rPr>
        <w:t> </w:t>
      </w:r>
      <w:r>
        <w:rPr>
          <w:u w:val="double"/>
        </w:rPr>
        <w:t>$</w:t>
        <w:tab/>
        <w:t>2,300  </w:t>
      </w:r>
      <w:r>
        <w:rPr>
          <w:spacing w:val="44"/>
          <w:u w:val="double"/>
        </w:rPr>
        <w:t> </w:t>
      </w:r>
      <w:r>
        <w:rPr>
          <w:u w:val="double"/>
        </w:rPr>
        <w:t>$</w:t>
        <w:tab/>
        <w:t>1,569</w:t>
      </w:r>
    </w:p>
    <w:p>
      <w:pPr>
        <w:pStyle w:val="BodyText"/>
        <w:spacing w:before="9"/>
        <w:ind w:left="0" w:firstLine="0"/>
        <w:rPr>
          <w:sz w:val="14"/>
        </w:rPr>
      </w:pPr>
    </w:p>
    <w:p>
      <w:pPr>
        <w:pStyle w:val="BodyText"/>
        <w:spacing w:line="249" w:lineRule="auto" w:before="92"/>
        <w:ind w:right="148"/>
      </w:pPr>
      <w:r>
        <w:rPr/>
        <w:t>The amount of unearned stock-based compensation related to unvested employee stock-based payment awards</w:t>
      </w:r>
      <w:r>
        <w:rPr>
          <w:spacing w:val="1"/>
        </w:rPr>
        <w:t> </w:t>
      </w:r>
      <w:r>
        <w:rPr/>
        <w:t>as of September 30, 2021 and December 31, 2020 is $9.7 million and $6.5 million, respectively. The weighted-</w:t>
      </w:r>
      <w:r>
        <w:rPr>
          <w:spacing w:val="1"/>
        </w:rPr>
        <w:t> </w:t>
      </w:r>
      <w:r>
        <w:rPr/>
        <w:t>average</w:t>
      </w:r>
      <w:r>
        <w:rPr>
          <w:spacing w:val="-4"/>
        </w:rPr>
        <w:t> </w:t>
      </w:r>
      <w:r>
        <w:rPr/>
        <w:t>period</w:t>
      </w:r>
      <w:r>
        <w:rPr>
          <w:spacing w:val="-3"/>
        </w:rPr>
        <w:t> </w:t>
      </w:r>
      <w:r>
        <w:rPr/>
        <w:t>over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unearned</w:t>
      </w:r>
      <w:r>
        <w:rPr>
          <w:spacing w:val="-2"/>
        </w:rPr>
        <w:t> </w:t>
      </w:r>
      <w:r>
        <w:rPr/>
        <w:t>stock-based</w:t>
      </w:r>
      <w:r>
        <w:rPr>
          <w:spacing w:val="-3"/>
        </w:rPr>
        <w:t> </w:t>
      </w:r>
      <w:r>
        <w:rPr/>
        <w:t>compensation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expected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recognized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September</w:t>
      </w:r>
      <w:r>
        <w:rPr>
          <w:spacing w:val="-3"/>
        </w:rPr>
        <w:t> </w:t>
      </w:r>
      <w:r>
        <w:rPr/>
        <w:t>30,</w:t>
      </w:r>
      <w:r>
        <w:rPr>
          <w:spacing w:val="-47"/>
        </w:rPr>
        <w:t> </w:t>
      </w:r>
      <w:r>
        <w:rPr/>
        <w:t>2021</w:t>
      </w:r>
      <w:r>
        <w:rPr>
          <w:spacing w:val="-1"/>
        </w:rPr>
        <w:t> </w:t>
      </w:r>
      <w:r>
        <w:rPr/>
        <w:t>and December 31, 2020 is</w:t>
      </w:r>
      <w:r>
        <w:rPr>
          <w:spacing w:val="-1"/>
        </w:rPr>
        <w:t> </w:t>
      </w:r>
      <w:r>
        <w:rPr/>
        <w:t>2.9 years</w:t>
      </w:r>
      <w:r>
        <w:rPr>
          <w:spacing w:val="-2"/>
        </w:rPr>
        <w:t> </w:t>
      </w:r>
      <w:r>
        <w:rPr/>
        <w:t>for both periods.</w:t>
      </w:r>
    </w:p>
    <w:p>
      <w:pPr>
        <w:pStyle w:val="BodyText"/>
        <w:spacing w:line="249" w:lineRule="auto" w:before="183"/>
        <w:ind w:right="600"/>
      </w:pPr>
      <w:r>
        <w:rPr/>
        <w:t>The</w:t>
      </w:r>
      <w:r>
        <w:rPr>
          <w:spacing w:val="-3"/>
        </w:rPr>
        <w:t> </w:t>
      </w:r>
      <w:r>
        <w:rPr/>
        <w:t>fair</w:t>
      </w:r>
      <w:r>
        <w:rPr>
          <w:spacing w:val="-2"/>
        </w:rPr>
        <w:t> </w:t>
      </w:r>
      <w:r>
        <w:rPr/>
        <w:t>value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options</w:t>
      </w:r>
      <w:r>
        <w:rPr>
          <w:spacing w:val="-3"/>
        </w:rPr>
        <w:t> </w:t>
      </w:r>
      <w:r>
        <w:rPr/>
        <w:t>granted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employees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directors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estimated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grant</w:t>
      </w:r>
      <w:r>
        <w:rPr>
          <w:spacing w:val="-3"/>
        </w:rPr>
        <w:t> </w:t>
      </w:r>
      <w:r>
        <w:rPr/>
        <w:t>date</w:t>
      </w:r>
      <w:r>
        <w:rPr>
          <w:spacing w:val="-3"/>
        </w:rPr>
        <w:t> </w:t>
      </w:r>
      <w:r>
        <w:rPr/>
        <w:t>using</w:t>
      </w:r>
      <w:r>
        <w:rPr>
          <w:spacing w:val="-2"/>
        </w:rPr>
        <w:t> </w:t>
      </w:r>
      <w:r>
        <w:rPr/>
        <w:t>the</w:t>
      </w:r>
      <w:r>
        <w:rPr>
          <w:spacing w:val="-47"/>
        </w:rPr>
        <w:t> </w:t>
      </w:r>
      <w:r>
        <w:rPr/>
        <w:t>Black-Scholes</w:t>
      </w:r>
      <w:r>
        <w:rPr>
          <w:spacing w:val="-3"/>
        </w:rPr>
        <w:t> </w:t>
      </w:r>
      <w:r>
        <w:rPr/>
        <w:t>model</w:t>
      </w:r>
      <w:r>
        <w:rPr>
          <w:spacing w:val="-2"/>
        </w:rPr>
        <w:t> </w:t>
      </w:r>
      <w:r>
        <w:rPr/>
        <w:t>assuming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weighted-average</w:t>
      </w:r>
      <w:r>
        <w:rPr>
          <w:spacing w:val="-3"/>
        </w:rPr>
        <w:t> </w:t>
      </w:r>
      <w:r>
        <w:rPr/>
        <w:t>assumptions</w:t>
      </w:r>
      <w:r>
        <w:rPr>
          <w:spacing w:val="-2"/>
        </w:rPr>
        <w:t> </w:t>
      </w:r>
      <w:r>
        <w:rPr/>
        <w:t>listed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table:</w:t>
      </w:r>
    </w:p>
    <w:p>
      <w:pPr>
        <w:pStyle w:val="BodyText"/>
        <w:spacing w:before="2"/>
        <w:ind w:left="0" w:firstLine="0"/>
        <w:rPr>
          <w:sz w:val="14"/>
        </w:rPr>
      </w:pPr>
    </w:p>
    <w:p>
      <w:pPr>
        <w:tabs>
          <w:tab w:pos="6932" w:val="left" w:leader="none"/>
        </w:tabs>
        <w:spacing w:before="93" w:after="30"/>
        <w:ind w:left="4158" w:right="0" w:firstLine="0"/>
        <w:jc w:val="left"/>
        <w:rPr>
          <w:b/>
          <w:sz w:val="16"/>
        </w:rPr>
      </w:pPr>
      <w:r>
        <w:rPr>
          <w:b/>
          <w:sz w:val="16"/>
        </w:rPr>
        <w:t>Three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Months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Ended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September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30,</w:t>
        <w:tab/>
        <w:t>Nine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Months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Ended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September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30,</w:t>
      </w: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0"/>
        <w:gridCol w:w="1354"/>
        <w:gridCol w:w="1365"/>
        <w:gridCol w:w="1365"/>
        <w:gridCol w:w="1316"/>
      </w:tblGrid>
      <w:tr>
        <w:trPr>
          <w:trHeight w:val="220" w:hRule="atLeast"/>
        </w:trPr>
        <w:tc>
          <w:tcPr>
            <w:tcW w:w="5314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line="184" w:lineRule="exact" w:before="16"/>
              <w:ind w:right="539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</w:p>
        </w:tc>
        <w:tc>
          <w:tcPr>
            <w:tcW w:w="13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4" w:lineRule="exact" w:before="16"/>
              <w:ind w:left="484" w:right="5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</w:p>
        </w:tc>
        <w:tc>
          <w:tcPr>
            <w:tcW w:w="13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4" w:lineRule="exact" w:before="16"/>
              <w:ind w:left="484" w:right="5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</w:p>
        </w:tc>
        <w:tc>
          <w:tcPr>
            <w:tcW w:w="13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4" w:lineRule="exact" w:before="16"/>
              <w:ind w:left="176" w:right="1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2019</w:t>
            </w:r>
          </w:p>
        </w:tc>
      </w:tr>
      <w:tr>
        <w:trPr>
          <w:trHeight w:val="275" w:hRule="atLeast"/>
        </w:trPr>
        <w:tc>
          <w:tcPr>
            <w:tcW w:w="3960" w:type="dxa"/>
            <w:shd w:val="clear" w:color="auto" w:fill="CCEDFF"/>
          </w:tcPr>
          <w:p>
            <w:pPr>
              <w:pStyle w:val="TableParagraph"/>
              <w:spacing w:before="15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Expected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life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(years)</w:t>
            </w:r>
            <w:r>
              <w:rPr>
                <w:spacing w:val="32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</w:p>
        </w:tc>
        <w:tc>
          <w:tcPr>
            <w:tcW w:w="1354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15"/>
              <w:ind w:right="99"/>
              <w:rPr>
                <w:sz w:val="20"/>
              </w:rPr>
            </w:pPr>
            <w:r>
              <w:rPr>
                <w:sz w:val="20"/>
              </w:rPr>
              <w:t>5.9</w:t>
            </w:r>
          </w:p>
        </w:tc>
        <w:tc>
          <w:tcPr>
            <w:tcW w:w="1365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15"/>
              <w:ind w:right="99"/>
              <w:rPr>
                <w:sz w:val="20"/>
              </w:rPr>
            </w:pPr>
            <w:r>
              <w:rPr>
                <w:sz w:val="20"/>
              </w:rPr>
              <w:t>6.0</w:t>
            </w:r>
          </w:p>
        </w:tc>
        <w:tc>
          <w:tcPr>
            <w:tcW w:w="1365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15"/>
              <w:ind w:right="99"/>
              <w:rPr>
                <w:sz w:val="20"/>
              </w:rPr>
            </w:pPr>
            <w:r>
              <w:rPr>
                <w:sz w:val="20"/>
              </w:rPr>
              <w:t>6.0</w:t>
            </w:r>
          </w:p>
        </w:tc>
        <w:tc>
          <w:tcPr>
            <w:tcW w:w="1316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15"/>
              <w:ind w:right="50"/>
              <w:rPr>
                <w:sz w:val="20"/>
              </w:rPr>
            </w:pPr>
            <w:r>
              <w:rPr>
                <w:sz w:val="20"/>
              </w:rPr>
              <w:t>6.0</w:t>
            </w:r>
          </w:p>
        </w:tc>
      </w:tr>
      <w:tr>
        <w:trPr>
          <w:trHeight w:val="285" w:hRule="atLeast"/>
        </w:trPr>
        <w:tc>
          <w:tcPr>
            <w:tcW w:w="3960" w:type="dxa"/>
          </w:tcPr>
          <w:p>
            <w:pPr>
              <w:pStyle w:val="TableParagraph"/>
              <w:spacing w:before="25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Expected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volatility</w:t>
            </w:r>
            <w:r>
              <w:rPr>
                <w:spacing w:val="8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</w:p>
        </w:tc>
        <w:tc>
          <w:tcPr>
            <w:tcW w:w="1354" w:type="dxa"/>
          </w:tcPr>
          <w:p>
            <w:pPr>
              <w:pStyle w:val="TableParagraph"/>
              <w:spacing w:before="25"/>
              <w:ind w:right="63"/>
              <w:rPr>
                <w:sz w:val="20"/>
              </w:rPr>
            </w:pPr>
            <w:r>
              <w:rPr>
                <w:sz w:val="20"/>
              </w:rPr>
              <w:t>53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  <w:tc>
          <w:tcPr>
            <w:tcW w:w="1365" w:type="dxa"/>
          </w:tcPr>
          <w:p>
            <w:pPr>
              <w:pStyle w:val="TableParagraph"/>
              <w:spacing w:before="25"/>
              <w:ind w:right="63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  <w:tc>
          <w:tcPr>
            <w:tcW w:w="1365" w:type="dxa"/>
          </w:tcPr>
          <w:p>
            <w:pPr>
              <w:pStyle w:val="TableParagraph"/>
              <w:spacing w:before="25"/>
              <w:ind w:right="63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  <w:tc>
          <w:tcPr>
            <w:tcW w:w="1316" w:type="dxa"/>
          </w:tcPr>
          <w:p>
            <w:pPr>
              <w:pStyle w:val="TableParagraph"/>
              <w:spacing w:before="25"/>
              <w:ind w:right="14"/>
              <w:rPr>
                <w:sz w:val="20"/>
              </w:rPr>
            </w:pPr>
            <w:r>
              <w:rPr>
                <w:sz w:val="20"/>
              </w:rPr>
              <w:t>40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285" w:hRule="atLeast"/>
        </w:trPr>
        <w:tc>
          <w:tcPr>
            <w:tcW w:w="3960" w:type="dxa"/>
            <w:shd w:val="clear" w:color="auto" w:fill="CCEDFF"/>
          </w:tcPr>
          <w:p>
            <w:pPr>
              <w:pStyle w:val="TableParagraph"/>
              <w:spacing w:before="25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Risk-free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interest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rate</w:t>
            </w:r>
            <w:r>
              <w:rPr>
                <w:spacing w:val="66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</w:p>
        </w:tc>
        <w:tc>
          <w:tcPr>
            <w:tcW w:w="1354" w:type="dxa"/>
            <w:shd w:val="clear" w:color="auto" w:fill="CCEDFF"/>
          </w:tcPr>
          <w:p>
            <w:pPr>
              <w:pStyle w:val="TableParagraph"/>
              <w:spacing w:before="25"/>
              <w:ind w:right="63"/>
              <w:rPr>
                <w:sz w:val="20"/>
              </w:rPr>
            </w:pPr>
            <w:r>
              <w:rPr>
                <w:sz w:val="20"/>
              </w:rPr>
              <w:t>0.9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  <w:tc>
          <w:tcPr>
            <w:tcW w:w="1365" w:type="dxa"/>
            <w:shd w:val="clear" w:color="auto" w:fill="CCEDFF"/>
          </w:tcPr>
          <w:p>
            <w:pPr>
              <w:pStyle w:val="TableParagraph"/>
              <w:spacing w:before="25"/>
              <w:ind w:right="63"/>
              <w:rPr>
                <w:sz w:val="20"/>
              </w:rPr>
            </w:pPr>
            <w:r>
              <w:rPr>
                <w:sz w:val="20"/>
              </w:rPr>
              <w:t>0.3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  <w:tc>
          <w:tcPr>
            <w:tcW w:w="1365" w:type="dxa"/>
            <w:shd w:val="clear" w:color="auto" w:fill="CCEDFF"/>
          </w:tcPr>
          <w:p>
            <w:pPr>
              <w:pStyle w:val="TableParagraph"/>
              <w:spacing w:before="25"/>
              <w:ind w:right="63"/>
              <w:rPr>
                <w:sz w:val="20"/>
              </w:rPr>
            </w:pPr>
            <w:r>
              <w:rPr>
                <w:sz w:val="20"/>
              </w:rPr>
              <w:t>1.0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  <w:tc>
          <w:tcPr>
            <w:tcW w:w="1316" w:type="dxa"/>
            <w:shd w:val="clear" w:color="auto" w:fill="CCEDFF"/>
          </w:tcPr>
          <w:p>
            <w:pPr>
              <w:pStyle w:val="TableParagraph"/>
              <w:spacing w:before="25"/>
              <w:ind w:right="14"/>
              <w:rPr>
                <w:sz w:val="20"/>
              </w:rPr>
            </w:pPr>
            <w:r>
              <w:rPr>
                <w:sz w:val="20"/>
              </w:rPr>
              <w:t>1.1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285" w:hRule="atLeast"/>
        </w:trPr>
        <w:tc>
          <w:tcPr>
            <w:tcW w:w="3960" w:type="dxa"/>
          </w:tcPr>
          <w:p>
            <w:pPr>
              <w:pStyle w:val="TableParagraph"/>
              <w:spacing w:before="25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Expected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dividend rate</w:t>
            </w:r>
            <w:r>
              <w:rPr>
                <w:spacing w:val="57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</w:p>
        </w:tc>
        <w:tc>
          <w:tcPr>
            <w:tcW w:w="1354" w:type="dxa"/>
          </w:tcPr>
          <w:p>
            <w:pPr>
              <w:pStyle w:val="TableParagraph"/>
              <w:spacing w:before="25"/>
              <w:ind w:right="63"/>
              <w:rPr>
                <w:sz w:val="20"/>
              </w:rPr>
            </w:pPr>
            <w:r>
              <w:rPr>
                <w:sz w:val="20"/>
              </w:rPr>
              <w:t>—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  <w:tc>
          <w:tcPr>
            <w:tcW w:w="1365" w:type="dxa"/>
          </w:tcPr>
          <w:p>
            <w:pPr>
              <w:pStyle w:val="TableParagraph"/>
              <w:spacing w:before="25"/>
              <w:ind w:right="63"/>
              <w:rPr>
                <w:sz w:val="20"/>
              </w:rPr>
            </w:pPr>
            <w:r>
              <w:rPr>
                <w:sz w:val="20"/>
              </w:rPr>
              <w:t>—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  <w:tc>
          <w:tcPr>
            <w:tcW w:w="1365" w:type="dxa"/>
          </w:tcPr>
          <w:p>
            <w:pPr>
              <w:pStyle w:val="TableParagraph"/>
              <w:spacing w:before="25"/>
              <w:ind w:right="63"/>
              <w:rPr>
                <w:sz w:val="20"/>
              </w:rPr>
            </w:pPr>
            <w:r>
              <w:rPr>
                <w:sz w:val="20"/>
              </w:rPr>
              <w:t>—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  <w:tc>
          <w:tcPr>
            <w:tcW w:w="1316" w:type="dxa"/>
          </w:tcPr>
          <w:p>
            <w:pPr>
              <w:pStyle w:val="TableParagraph"/>
              <w:spacing w:before="25"/>
              <w:ind w:right="14"/>
              <w:rPr>
                <w:sz w:val="20"/>
              </w:rPr>
            </w:pPr>
            <w:r>
              <w:rPr>
                <w:sz w:val="20"/>
              </w:rPr>
              <w:t>—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285" w:hRule="atLeast"/>
        </w:trPr>
        <w:tc>
          <w:tcPr>
            <w:tcW w:w="3960" w:type="dxa"/>
            <w:shd w:val="clear" w:color="auto" w:fill="CCEDFF"/>
          </w:tcPr>
          <w:p>
            <w:pPr>
              <w:pStyle w:val="TableParagraph"/>
              <w:spacing w:before="25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Weighted-average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fair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value</w:t>
            </w:r>
            <w:r>
              <w:rPr>
                <w:spacing w:val="22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</w:p>
        </w:tc>
        <w:tc>
          <w:tcPr>
            <w:tcW w:w="1354" w:type="dxa"/>
            <w:shd w:val="clear" w:color="auto" w:fill="CCEDFF"/>
          </w:tcPr>
          <w:p>
            <w:pPr>
              <w:pStyle w:val="TableParagraph"/>
              <w:tabs>
                <w:tab w:pos="706" w:val="left" w:leader="none"/>
              </w:tabs>
              <w:spacing w:before="25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$</w:t>
              <w:tab/>
              <w:t>7.00</w:t>
            </w:r>
          </w:p>
        </w:tc>
        <w:tc>
          <w:tcPr>
            <w:tcW w:w="1365" w:type="dxa"/>
            <w:shd w:val="clear" w:color="auto" w:fill="CCEDFF"/>
          </w:tcPr>
          <w:p>
            <w:pPr>
              <w:pStyle w:val="TableParagraph"/>
              <w:tabs>
                <w:tab w:pos="717" w:val="left" w:leader="none"/>
              </w:tabs>
              <w:spacing w:before="25"/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$</w:t>
              <w:tab/>
              <w:t>2.41</w:t>
            </w:r>
          </w:p>
        </w:tc>
        <w:tc>
          <w:tcPr>
            <w:tcW w:w="1365" w:type="dxa"/>
            <w:shd w:val="clear" w:color="auto" w:fill="CCEDFF"/>
          </w:tcPr>
          <w:p>
            <w:pPr>
              <w:pStyle w:val="TableParagraph"/>
              <w:tabs>
                <w:tab w:pos="717" w:val="left" w:leader="none"/>
              </w:tabs>
              <w:spacing w:before="25"/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$</w:t>
              <w:tab/>
              <w:t>3.88</w:t>
            </w:r>
          </w:p>
        </w:tc>
        <w:tc>
          <w:tcPr>
            <w:tcW w:w="1316" w:type="dxa"/>
            <w:shd w:val="clear" w:color="auto" w:fill="CCEDFF"/>
          </w:tcPr>
          <w:p>
            <w:pPr>
              <w:pStyle w:val="TableParagraph"/>
              <w:tabs>
                <w:tab w:pos="717" w:val="left" w:leader="none"/>
              </w:tabs>
              <w:spacing w:before="25"/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$</w:t>
              <w:tab/>
              <w:t>1.85</w:t>
            </w:r>
          </w:p>
        </w:tc>
      </w:tr>
      <w:tr>
        <w:trPr>
          <w:trHeight w:val="458" w:hRule="atLeast"/>
        </w:trPr>
        <w:tc>
          <w:tcPr>
            <w:tcW w:w="3960" w:type="dxa"/>
          </w:tcPr>
          <w:p>
            <w:pPr>
              <w:pStyle w:val="TableParagraph"/>
              <w:spacing w:before="1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210" w:lineRule="exact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2021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Employee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Stock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Purchase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Plan</w:t>
            </w:r>
          </w:p>
        </w:tc>
        <w:tc>
          <w:tcPr>
            <w:tcW w:w="1354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</w:tbl>
    <w:p>
      <w:pPr>
        <w:pStyle w:val="BodyText"/>
        <w:spacing w:before="11"/>
        <w:ind w:left="0" w:firstLine="0"/>
        <w:rPr>
          <w:b/>
          <w:sz w:val="15"/>
        </w:rPr>
      </w:pPr>
    </w:p>
    <w:p>
      <w:pPr>
        <w:pStyle w:val="BodyText"/>
        <w:spacing w:line="249" w:lineRule="auto" w:before="0"/>
        <w:ind w:right="148"/>
      </w:pPr>
      <w:r>
        <w:rPr/>
        <w:t>In September 2021, the Company adopted the 2021 Employee Stock Purchase Plan (the “2021 ESPP”). The</w:t>
      </w:r>
      <w:r>
        <w:rPr>
          <w:spacing w:val="1"/>
        </w:rPr>
        <w:t> </w:t>
      </w:r>
      <w:r>
        <w:rPr/>
        <w:t>2021 ESPP became effective on the effective date of the IPO. A total of 412,988 shares were initially reserved for</w:t>
      </w:r>
      <w:r>
        <w:rPr>
          <w:spacing w:val="1"/>
        </w:rPr>
        <w:t> </w:t>
      </w:r>
      <w:r>
        <w:rPr/>
        <w:t>issuance</w:t>
      </w:r>
      <w:r>
        <w:rPr>
          <w:spacing w:val="-4"/>
        </w:rPr>
        <w:t> </w:t>
      </w:r>
      <w:r>
        <w:rPr/>
        <w:t>under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2021</w:t>
      </w:r>
      <w:r>
        <w:rPr>
          <w:spacing w:val="-3"/>
        </w:rPr>
        <w:t> </w:t>
      </w:r>
      <w:r>
        <w:rPr/>
        <w:t>ESPP.</w:t>
      </w:r>
      <w:r>
        <w:rPr>
          <w:spacing w:val="-2"/>
        </w:rPr>
        <w:t> </w:t>
      </w:r>
      <w:r>
        <w:rPr/>
        <w:t>Additionally,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shares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common</w:t>
      </w:r>
      <w:r>
        <w:rPr>
          <w:spacing w:val="-2"/>
        </w:rPr>
        <w:t> </w:t>
      </w:r>
      <w:r>
        <w:rPr/>
        <w:t>stock</w:t>
      </w:r>
      <w:r>
        <w:rPr>
          <w:spacing w:val="-2"/>
        </w:rPr>
        <w:t> </w:t>
      </w:r>
      <w:r>
        <w:rPr/>
        <w:t>reserved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issuance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the</w:t>
      </w:r>
      <w:r>
        <w:rPr>
          <w:spacing w:val="-47"/>
        </w:rPr>
        <w:t> </w:t>
      </w:r>
      <w:r>
        <w:rPr/>
        <w:t>2021 ESPP will increase automatically each year, beginning on January 1, 2022, and continuing through and</w:t>
      </w:r>
      <w:r>
        <w:rPr>
          <w:spacing w:val="1"/>
        </w:rPr>
        <w:t> </w:t>
      </w:r>
      <w:r>
        <w:rPr/>
        <w:t>including January 1, 2031, by the lesser of (1) 1% of the total number of shares of common stock outstanding on</w:t>
      </w:r>
      <w:r>
        <w:rPr>
          <w:spacing w:val="1"/>
        </w:rPr>
        <w:t> </w:t>
      </w:r>
      <w:r>
        <w:rPr/>
        <w:t>December 31 of the preceding calendar year; or (2) such lesser number as determined by the Company’s board of</w:t>
      </w:r>
      <w:r>
        <w:rPr>
          <w:spacing w:val="1"/>
        </w:rPr>
        <w:t> </w:t>
      </w:r>
      <w:r>
        <w:rPr/>
        <w:t>directors. The number of shares that may be issued under the 2021 ESPP shall not exceed a total of 10,526,315</w:t>
      </w:r>
      <w:r>
        <w:rPr>
          <w:spacing w:val="1"/>
        </w:rPr>
        <w:t> </w:t>
      </w:r>
      <w:r>
        <w:rPr/>
        <w:t>shares.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September 30,</w:t>
      </w:r>
      <w:r>
        <w:rPr>
          <w:spacing w:val="-1"/>
        </w:rPr>
        <w:t> </w:t>
      </w:r>
      <w:r>
        <w:rPr/>
        <w:t>2021, the</w:t>
      </w:r>
      <w:r>
        <w:rPr>
          <w:spacing w:val="-2"/>
        </w:rPr>
        <w:t> </w:t>
      </w:r>
      <w:r>
        <w:rPr/>
        <w:t>Company has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implemented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2021</w:t>
      </w:r>
      <w:r>
        <w:rPr>
          <w:spacing w:val="-1"/>
        </w:rPr>
        <w:t> </w:t>
      </w:r>
      <w:r>
        <w:rPr/>
        <w:t>ESPP.</w:t>
      </w:r>
    </w:p>
    <w:p>
      <w:pPr>
        <w:pStyle w:val="Heading3"/>
        <w:spacing w:before="183"/>
        <w:rPr>
          <w:i/>
        </w:rPr>
      </w:pPr>
      <w:r>
        <w:rPr>
          <w:i/>
        </w:rPr>
        <w:t>Common</w:t>
      </w:r>
      <w:r>
        <w:rPr>
          <w:i/>
          <w:spacing w:val="-5"/>
        </w:rPr>
        <w:t> </w:t>
      </w:r>
      <w:r>
        <w:rPr>
          <w:i/>
        </w:rPr>
        <w:t>Stock</w:t>
      </w:r>
      <w:r>
        <w:rPr>
          <w:i/>
          <w:spacing w:val="-3"/>
        </w:rPr>
        <w:t> </w:t>
      </w:r>
      <w:r>
        <w:rPr>
          <w:i/>
        </w:rPr>
        <w:t>Warrants</w:t>
      </w:r>
    </w:p>
    <w:p>
      <w:pPr>
        <w:pStyle w:val="BodyText"/>
        <w:spacing w:line="249" w:lineRule="auto" w:before="194"/>
        <w:ind w:right="212"/>
      </w:pPr>
      <w:r>
        <w:rPr/>
        <w:t>In May 2015, the Company issued warrants to purchase 12,308 shares of the Company’s common stock in</w:t>
      </w:r>
      <w:r>
        <w:rPr>
          <w:spacing w:val="1"/>
        </w:rPr>
        <w:t> </w:t>
      </w:r>
      <w:r>
        <w:rPr/>
        <w:t>exchange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recruiting</w:t>
      </w:r>
      <w:r>
        <w:rPr>
          <w:spacing w:val="-3"/>
        </w:rPr>
        <w:t> </w:t>
      </w:r>
      <w:r>
        <w:rPr/>
        <w:t>services.</w:t>
      </w:r>
      <w:r>
        <w:rPr>
          <w:spacing w:val="-3"/>
        </w:rPr>
        <w:t> </w:t>
      </w:r>
      <w:r>
        <w:rPr/>
        <w:t>These</w:t>
      </w:r>
      <w:r>
        <w:rPr>
          <w:spacing w:val="-4"/>
        </w:rPr>
        <w:t> </w:t>
      </w:r>
      <w:r>
        <w:rPr/>
        <w:t>warrants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exercisable</w:t>
      </w:r>
      <w:r>
        <w:rPr>
          <w:spacing w:val="-3"/>
        </w:rPr>
        <w:t> </w:t>
      </w:r>
      <w:r>
        <w:rPr/>
        <w:t>immediately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expire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April</w:t>
      </w:r>
      <w:r>
        <w:rPr>
          <w:spacing w:val="-4"/>
        </w:rPr>
        <w:t> </w:t>
      </w:r>
      <w:r>
        <w:rPr/>
        <w:t>30,</w:t>
      </w:r>
      <w:r>
        <w:rPr>
          <w:spacing w:val="-3"/>
        </w:rPr>
        <w:t> </w:t>
      </w:r>
      <w:r>
        <w:rPr/>
        <w:t>2025.</w:t>
      </w:r>
      <w:r>
        <w:rPr>
          <w:spacing w:val="-3"/>
        </w:rPr>
        <w:t> </w:t>
      </w:r>
      <w:r>
        <w:rPr/>
        <w:t>These</w:t>
      </w:r>
      <w:r>
        <w:rPr>
          <w:spacing w:val="-47"/>
        </w:rPr>
        <w:t> </w:t>
      </w:r>
      <w:r>
        <w:rPr/>
        <w:t>common stock warrants of $15,000 were recorded as general and administrative expense and additional paid-in</w:t>
      </w:r>
      <w:r>
        <w:rPr>
          <w:spacing w:val="1"/>
        </w:rPr>
        <w:t> </w:t>
      </w:r>
      <w:r>
        <w:rPr/>
        <w:t>capital, as this warrant met the equity classification requirements. In November 2020, these warrants were fully</w:t>
      </w:r>
      <w:r>
        <w:rPr>
          <w:spacing w:val="1"/>
        </w:rPr>
        <w:t> </w:t>
      </w:r>
      <w:r>
        <w:rPr/>
        <w:t>exercised.</w:t>
      </w:r>
    </w:p>
    <w:p>
      <w:pPr>
        <w:pStyle w:val="Heading2"/>
        <w:numPr>
          <w:ilvl w:val="0"/>
          <w:numId w:val="4"/>
        </w:numPr>
        <w:tabs>
          <w:tab w:pos="819" w:val="left" w:leader="none"/>
          <w:tab w:pos="820" w:val="left" w:leader="none"/>
        </w:tabs>
        <w:spacing w:line="240" w:lineRule="auto" w:before="181" w:after="0"/>
        <w:ind w:left="820" w:right="0" w:hanging="720"/>
        <w:jc w:val="left"/>
      </w:pPr>
      <w:bookmarkStart w:name="9. Commitments and Contingencies " w:id="33"/>
      <w:bookmarkEnd w:id="33"/>
      <w:r>
        <w:rPr>
          <w:b w:val="0"/>
        </w:rPr>
      </w:r>
      <w:bookmarkStart w:name="9. Commitments and Contingencies " w:id="34"/>
      <w:bookmarkEnd w:id="34"/>
      <w:r>
        <w:rPr/>
        <w:t>C</w:t>
      </w:r>
      <w:r>
        <w:rPr/>
        <w:t>ommitments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Contingencies</w:t>
      </w:r>
    </w:p>
    <w:p>
      <w:pPr>
        <w:pStyle w:val="Heading3"/>
        <w:spacing w:before="190"/>
        <w:rPr>
          <w:i/>
        </w:rPr>
      </w:pPr>
      <w:r>
        <w:rPr>
          <w:i/>
        </w:rPr>
        <w:t>Guarantees</w:t>
      </w:r>
      <w:r>
        <w:rPr>
          <w:i/>
          <w:spacing w:val="-7"/>
        </w:rPr>
        <w:t> </w:t>
      </w:r>
      <w:r>
        <w:rPr>
          <w:i/>
        </w:rPr>
        <w:t>and</w:t>
      </w:r>
      <w:r>
        <w:rPr>
          <w:i/>
          <w:spacing w:val="-6"/>
        </w:rPr>
        <w:t> </w:t>
      </w:r>
      <w:r>
        <w:rPr>
          <w:i/>
        </w:rPr>
        <w:t>Indemnifications</w:t>
      </w:r>
    </w:p>
    <w:p>
      <w:pPr>
        <w:pStyle w:val="BodyText"/>
        <w:spacing w:line="249" w:lineRule="auto" w:before="193"/>
        <w:ind w:right="180"/>
      </w:pPr>
      <w:r>
        <w:rPr/>
        <w:t>In the normal course of business, the Company enters into agreements that contain a variety of representations</w:t>
      </w:r>
      <w:r>
        <w:rPr>
          <w:spacing w:val="1"/>
        </w:rPr>
        <w:t> </w:t>
      </w:r>
      <w:r>
        <w:rPr/>
        <w:t>and provide for general indemnification. The Company’s exposure under these agreements is unknown because it</w:t>
      </w:r>
      <w:r>
        <w:rPr>
          <w:spacing w:val="1"/>
        </w:rPr>
        <w:t> </w:t>
      </w:r>
      <w:r>
        <w:rPr/>
        <w:t>involves</w:t>
      </w:r>
      <w:r>
        <w:rPr>
          <w:spacing w:val="-4"/>
        </w:rPr>
        <w:t> </w:t>
      </w:r>
      <w:r>
        <w:rPr/>
        <w:t>claims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made</w:t>
      </w:r>
      <w:r>
        <w:rPr>
          <w:spacing w:val="-3"/>
        </w:rPr>
        <w:t> </w:t>
      </w:r>
      <w:r>
        <w:rPr/>
        <w:t>against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Company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future.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date,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Company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paid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claims</w:t>
      </w:r>
      <w:r>
        <w:rPr>
          <w:spacing w:val="-47"/>
        </w:rPr>
        <w:t> </w:t>
      </w:r>
      <w:r>
        <w:rPr/>
        <w:t>or been required to defend any action related to its indemnification obligations. As of September 30, 2021 and</w:t>
      </w:r>
      <w:r>
        <w:rPr>
          <w:spacing w:val="1"/>
        </w:rPr>
        <w:t> </w:t>
      </w:r>
      <w:r>
        <w:rPr/>
        <w:t>December 31, 2020, the Company does not have any material indemnification claims that were probable or</w:t>
      </w:r>
      <w:r>
        <w:rPr>
          <w:spacing w:val="1"/>
        </w:rPr>
        <w:t> </w:t>
      </w:r>
      <w:r>
        <w:rPr/>
        <w:t>reasonably</w:t>
      </w:r>
      <w:r>
        <w:rPr>
          <w:spacing w:val="-1"/>
        </w:rPr>
        <w:t> </w:t>
      </w:r>
      <w:r>
        <w:rPr/>
        <w:t>possible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consequently has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recorded</w:t>
      </w:r>
      <w:r>
        <w:rPr>
          <w:spacing w:val="-1"/>
        </w:rPr>
        <w:t> </w:t>
      </w:r>
      <w:r>
        <w:rPr/>
        <w:t>related liabilities.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Heading3"/>
        <w:spacing w:before="68"/>
        <w:rPr>
          <w:i/>
        </w:rPr>
      </w:pPr>
      <w:r>
        <w:rPr>
          <w:i/>
        </w:rPr>
        <w:t>Facility</w:t>
      </w:r>
      <w:r>
        <w:rPr>
          <w:i/>
          <w:spacing w:val="-5"/>
        </w:rPr>
        <w:t> </w:t>
      </w:r>
      <w:r>
        <w:rPr>
          <w:i/>
        </w:rPr>
        <w:t>Lease</w:t>
      </w:r>
    </w:p>
    <w:p>
      <w:pPr>
        <w:pStyle w:val="BodyText"/>
        <w:spacing w:line="249" w:lineRule="auto" w:before="194"/>
        <w:ind w:right="157"/>
      </w:pPr>
      <w:r>
        <w:rPr/>
        <w:t>In July 2013, the Company entered into a three-year lease agreement for its current facility located in Redwood</w:t>
      </w:r>
      <w:r>
        <w:rPr>
          <w:spacing w:val="-47"/>
        </w:rPr>
        <w:t> </w:t>
      </w:r>
      <w:r>
        <w:rPr/>
        <w:t>City, California. In 2018, the Company expanded the lease space and extended the lease agreement through October</w:t>
      </w:r>
      <w:r>
        <w:rPr>
          <w:spacing w:val="-47"/>
        </w:rPr>
        <w:t> </w:t>
      </w:r>
      <w:r>
        <w:rPr/>
        <w:t>2023. The lease agreement provides for an escalation of rent payments each year and the Company records rent</w:t>
      </w:r>
      <w:r>
        <w:rPr>
          <w:spacing w:val="1"/>
        </w:rPr>
        <w:t> </w:t>
      </w:r>
      <w:r>
        <w:rPr/>
        <w:t>expense on a straight-line basis over the term of the lease. Rent is payable monthly. As of September 30, 2021 and</w:t>
      </w:r>
      <w:r>
        <w:rPr>
          <w:spacing w:val="1"/>
        </w:rPr>
        <w:t> </w:t>
      </w:r>
      <w:r>
        <w:rPr/>
        <w:t>December</w:t>
      </w:r>
      <w:r>
        <w:rPr>
          <w:spacing w:val="-3"/>
        </w:rPr>
        <w:t> </w:t>
      </w:r>
      <w:r>
        <w:rPr/>
        <w:t>31,</w:t>
      </w:r>
      <w:r>
        <w:rPr>
          <w:spacing w:val="-2"/>
        </w:rPr>
        <w:t> </w:t>
      </w:r>
      <w:r>
        <w:rPr/>
        <w:t>2020,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remaining</w:t>
      </w:r>
      <w:r>
        <w:rPr>
          <w:spacing w:val="-3"/>
        </w:rPr>
        <w:t> </w:t>
      </w:r>
      <w:r>
        <w:rPr/>
        <w:t>future</w:t>
      </w:r>
      <w:r>
        <w:rPr>
          <w:spacing w:val="-3"/>
        </w:rPr>
        <w:t> </w:t>
      </w:r>
      <w:r>
        <w:rPr/>
        <w:t>minimum</w:t>
      </w:r>
      <w:r>
        <w:rPr>
          <w:spacing w:val="-4"/>
        </w:rPr>
        <w:t> </w:t>
      </w:r>
      <w:r>
        <w:rPr/>
        <w:t>lease</w:t>
      </w:r>
      <w:r>
        <w:rPr>
          <w:spacing w:val="-3"/>
        </w:rPr>
        <w:t> </w:t>
      </w:r>
      <w:r>
        <w:rPr/>
        <w:t>payments</w:t>
      </w:r>
      <w:r>
        <w:rPr>
          <w:spacing w:val="-4"/>
        </w:rPr>
        <w:t> </w:t>
      </w:r>
      <w:r>
        <w:rPr/>
        <w:t>under</w:t>
      </w:r>
      <w:r>
        <w:rPr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/>
        <w:t>lease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$5.1</w:t>
      </w:r>
      <w:r>
        <w:rPr>
          <w:spacing w:val="-3"/>
        </w:rPr>
        <w:t> </w:t>
      </w:r>
      <w:r>
        <w:rPr/>
        <w:t>million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$6.7</w:t>
      </w:r>
      <w:r>
        <w:rPr>
          <w:spacing w:val="-2"/>
        </w:rPr>
        <w:t> </w:t>
      </w:r>
      <w:r>
        <w:rPr/>
        <w:t>million,</w:t>
      </w:r>
      <w:r>
        <w:rPr>
          <w:spacing w:val="-47"/>
        </w:rPr>
        <w:t> </w:t>
      </w:r>
      <w:r>
        <w:rPr/>
        <w:t>respectively.</w:t>
      </w:r>
    </w:p>
    <w:p>
      <w:pPr>
        <w:pStyle w:val="BodyText"/>
        <w:spacing w:line="249" w:lineRule="auto" w:before="185"/>
      </w:pPr>
      <w:r>
        <w:rPr/>
        <w:t>In connection with the Company’s adoption of ASC Topic 842, Leases, on January 1, 2020, the Company</w:t>
      </w:r>
      <w:r>
        <w:rPr>
          <w:spacing w:val="1"/>
        </w:rPr>
        <w:t> </w:t>
      </w:r>
      <w:r>
        <w:rPr/>
        <w:t>recorded a right-of-use leased asset of $6.0 million and a corresponding lease liability of $7.4 million and</w:t>
      </w:r>
      <w:r>
        <w:rPr>
          <w:spacing w:val="1"/>
        </w:rPr>
        <w:t> </w:t>
      </w:r>
      <w:r>
        <w:rPr/>
        <w:t>derecognized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deferred</w:t>
      </w:r>
      <w:r>
        <w:rPr>
          <w:spacing w:val="-2"/>
        </w:rPr>
        <w:t> </w:t>
      </w:r>
      <w:r>
        <w:rPr/>
        <w:t>rent</w:t>
      </w:r>
      <w:r>
        <w:rPr>
          <w:spacing w:val="-3"/>
        </w:rPr>
        <w:t> </w:t>
      </w:r>
      <w:r>
        <w:rPr/>
        <w:t>obligation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$1.4</w:t>
      </w:r>
      <w:r>
        <w:rPr>
          <w:spacing w:val="-2"/>
        </w:rPr>
        <w:t> </w:t>
      </w:r>
      <w:r>
        <w:rPr/>
        <w:t>million.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Company</w:t>
      </w:r>
      <w:r>
        <w:rPr>
          <w:spacing w:val="-2"/>
        </w:rPr>
        <w:t> </w:t>
      </w:r>
      <w:r>
        <w:rPr/>
        <w:t>used</w:t>
      </w:r>
      <w:r>
        <w:rPr>
          <w:spacing w:val="-2"/>
        </w:rPr>
        <w:t> </w:t>
      </w:r>
      <w:r>
        <w:rPr/>
        <w:t>its</w:t>
      </w:r>
      <w:r>
        <w:rPr>
          <w:spacing w:val="-3"/>
        </w:rPr>
        <w:t> </w:t>
      </w:r>
      <w:r>
        <w:rPr/>
        <w:t>borrowing</w:t>
      </w:r>
      <w:r>
        <w:rPr>
          <w:spacing w:val="-2"/>
        </w:rPr>
        <w:t> </w:t>
      </w:r>
      <w:r>
        <w:rPr/>
        <w:t>rate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10%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its</w:t>
      </w:r>
      <w:r>
        <w:rPr>
          <w:spacing w:val="-3"/>
        </w:rPr>
        <w:t> </w:t>
      </w:r>
      <w:r>
        <w:rPr/>
        <w:t>discount</w:t>
      </w:r>
      <w:r>
        <w:rPr>
          <w:spacing w:val="-47"/>
        </w:rPr>
        <w:t> </w:t>
      </w:r>
      <w:r>
        <w:rPr/>
        <w:t>rate and the remaining operating lease term was 3.8 years. The results for the year ended December 31, 2020</w:t>
      </w:r>
      <w:r>
        <w:rPr>
          <w:spacing w:val="1"/>
        </w:rPr>
        <w:t> </w:t>
      </w:r>
      <w:r>
        <w:rPr/>
        <w:t>subsequent</w:t>
      </w:r>
      <w:r>
        <w:rPr>
          <w:spacing w:val="-2"/>
        </w:rPr>
        <w:t> </w:t>
      </w:r>
      <w:r>
        <w:rPr/>
        <w:t>periods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presented under Topic</w:t>
      </w:r>
      <w:r>
        <w:rPr>
          <w:spacing w:val="-1"/>
        </w:rPr>
        <w:t> </w:t>
      </w:r>
      <w:r>
        <w:rPr/>
        <w:t>842.</w:t>
      </w:r>
    </w:p>
    <w:p>
      <w:pPr>
        <w:pStyle w:val="BodyText"/>
        <w:spacing w:line="249" w:lineRule="auto" w:before="184"/>
        <w:ind w:right="346"/>
        <w:jc w:val="both"/>
      </w:pPr>
      <w:r>
        <w:rPr/>
        <w:t>Rent</w:t>
      </w:r>
      <w:r>
        <w:rPr>
          <w:spacing w:val="-5"/>
        </w:rPr>
        <w:t> </w:t>
      </w:r>
      <w:r>
        <w:rPr/>
        <w:t>expense</w:t>
      </w:r>
      <w:r>
        <w:rPr>
          <w:spacing w:val="-4"/>
        </w:rPr>
        <w:t> </w:t>
      </w:r>
      <w:r>
        <w:rPr/>
        <w:t>recognized</w:t>
      </w:r>
      <w:r>
        <w:rPr>
          <w:spacing w:val="-4"/>
        </w:rPr>
        <w:t> </w:t>
      </w:r>
      <w:r>
        <w:rPr/>
        <w:t>under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lease,</w:t>
      </w:r>
      <w:r>
        <w:rPr>
          <w:spacing w:val="-3"/>
        </w:rPr>
        <w:t> </w:t>
      </w:r>
      <w:r>
        <w:rPr/>
        <w:t>including</w:t>
      </w:r>
      <w:r>
        <w:rPr>
          <w:spacing w:val="-4"/>
        </w:rPr>
        <w:t> </w:t>
      </w:r>
      <w:r>
        <w:rPr/>
        <w:t>additional</w:t>
      </w:r>
      <w:r>
        <w:rPr>
          <w:spacing w:val="-4"/>
        </w:rPr>
        <w:t> </w:t>
      </w:r>
      <w:r>
        <w:rPr/>
        <w:t>rent</w:t>
      </w:r>
      <w:r>
        <w:rPr>
          <w:spacing w:val="-4"/>
        </w:rPr>
        <w:t> </w:t>
      </w:r>
      <w:r>
        <w:rPr/>
        <w:t>charges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utilities,</w:t>
      </w:r>
      <w:r>
        <w:rPr>
          <w:spacing w:val="-4"/>
        </w:rPr>
        <w:t> </w:t>
      </w:r>
      <w:r>
        <w:rPr/>
        <w:t>parking,</w:t>
      </w:r>
      <w:r>
        <w:rPr>
          <w:spacing w:val="-3"/>
        </w:rPr>
        <w:t> </w:t>
      </w:r>
      <w:r>
        <w:rPr/>
        <w:t>maintenance,</w:t>
      </w:r>
      <w:r>
        <w:rPr>
          <w:spacing w:val="-48"/>
        </w:rPr>
        <w:t> </w:t>
      </w:r>
      <w:r>
        <w:rPr/>
        <w:t>and real estate taxes, was $0.5 million for each of the three months ended September 30, 2021 and 2020, and $1.5</w:t>
      </w:r>
      <w:r>
        <w:rPr>
          <w:spacing w:val="-47"/>
        </w:rPr>
        <w:t> </w:t>
      </w:r>
      <w:r>
        <w:rPr/>
        <w:t>million</w:t>
      </w:r>
      <w:r>
        <w:rPr>
          <w:spacing w:val="-1"/>
        </w:rPr>
        <w:t> </w:t>
      </w:r>
      <w:r>
        <w:rPr/>
        <w:t>for each</w:t>
      </w:r>
      <w:r>
        <w:rPr>
          <w:spacing w:val="-1"/>
        </w:rPr>
        <w:t> </w:t>
      </w:r>
      <w:r>
        <w:rPr/>
        <w:t>of the</w:t>
      </w:r>
      <w:r>
        <w:rPr>
          <w:spacing w:val="-2"/>
        </w:rPr>
        <w:t> </w:t>
      </w:r>
      <w:r>
        <w:rPr/>
        <w:t>nine</w:t>
      </w:r>
      <w:r>
        <w:rPr>
          <w:spacing w:val="-1"/>
        </w:rPr>
        <w:t> </w:t>
      </w:r>
      <w:r>
        <w:rPr/>
        <w:t>months</w:t>
      </w:r>
      <w:r>
        <w:rPr>
          <w:spacing w:val="-2"/>
        </w:rPr>
        <w:t> </w:t>
      </w:r>
      <w:r>
        <w:rPr/>
        <w:t>ended September</w:t>
      </w:r>
      <w:r>
        <w:rPr>
          <w:spacing w:val="-1"/>
        </w:rPr>
        <w:t> </w:t>
      </w:r>
      <w:r>
        <w:rPr/>
        <w:t>30, 2021</w:t>
      </w:r>
      <w:r>
        <w:rPr>
          <w:spacing w:val="-1"/>
        </w:rPr>
        <w:t> </w:t>
      </w:r>
      <w:r>
        <w:rPr/>
        <w:t>and 2020,</w:t>
      </w:r>
      <w:r>
        <w:rPr>
          <w:spacing w:val="-1"/>
        </w:rPr>
        <w:t> </w:t>
      </w:r>
      <w:r>
        <w:rPr/>
        <w:t>respectively.</w:t>
      </w:r>
    </w:p>
    <w:p>
      <w:pPr>
        <w:pStyle w:val="BodyText"/>
        <w:spacing w:before="182"/>
        <w:ind w:left="460" w:firstLine="0"/>
      </w:pPr>
      <w:r>
        <w:rPr/>
        <w:t>As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September</w:t>
      </w:r>
      <w:r>
        <w:rPr>
          <w:spacing w:val="-2"/>
        </w:rPr>
        <w:t> </w:t>
      </w:r>
      <w:r>
        <w:rPr/>
        <w:t>30,</w:t>
      </w:r>
      <w:r>
        <w:rPr>
          <w:spacing w:val="-2"/>
        </w:rPr>
        <w:t> </w:t>
      </w:r>
      <w:r>
        <w:rPr/>
        <w:t>2021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December</w:t>
      </w:r>
      <w:r>
        <w:rPr>
          <w:spacing w:val="-2"/>
        </w:rPr>
        <w:t> </w:t>
      </w:r>
      <w:r>
        <w:rPr/>
        <w:t>31,</w:t>
      </w:r>
      <w:r>
        <w:rPr>
          <w:spacing w:val="-1"/>
        </w:rPr>
        <w:t> </w:t>
      </w:r>
      <w:r>
        <w:rPr/>
        <w:t>2020,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Company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future</w:t>
      </w:r>
      <w:r>
        <w:rPr>
          <w:spacing w:val="-3"/>
        </w:rPr>
        <w:t> </w:t>
      </w:r>
      <w:r>
        <w:rPr/>
        <w:t>commitments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$55.1</w:t>
      </w:r>
      <w:r>
        <w:rPr>
          <w:spacing w:val="-2"/>
        </w:rPr>
        <w:t> </w:t>
      </w:r>
      <w:r>
        <w:rPr/>
        <w:t>million</w:t>
      </w:r>
      <w:r>
        <w:rPr>
          <w:spacing w:val="-2"/>
        </w:rPr>
        <w:t> </w:t>
      </w:r>
      <w:r>
        <w:rPr/>
        <w:t>and</w:t>
      </w:r>
    </w:p>
    <w:p>
      <w:pPr>
        <w:pStyle w:val="BodyText"/>
        <w:spacing w:line="249" w:lineRule="auto" w:before="10"/>
        <w:ind w:firstLine="0"/>
      </w:pPr>
      <w:r>
        <w:rPr/>
        <w:t>$56.7</w:t>
      </w:r>
      <w:r>
        <w:rPr>
          <w:spacing w:val="-3"/>
        </w:rPr>
        <w:t> </w:t>
      </w:r>
      <w:r>
        <w:rPr/>
        <w:t>million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debt</w:t>
      </w:r>
      <w:r>
        <w:rPr>
          <w:spacing w:val="-4"/>
        </w:rPr>
        <w:t> </w:t>
      </w:r>
      <w:r>
        <w:rPr/>
        <w:t>repayments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office</w:t>
      </w:r>
      <w:r>
        <w:rPr>
          <w:spacing w:val="-3"/>
        </w:rPr>
        <w:t> </w:t>
      </w:r>
      <w:r>
        <w:rPr/>
        <w:t>space</w:t>
      </w:r>
      <w:r>
        <w:rPr>
          <w:spacing w:val="-4"/>
        </w:rPr>
        <w:t> </w:t>
      </w:r>
      <w:r>
        <w:rPr/>
        <w:t>under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non-cancelable</w:t>
      </w:r>
      <w:r>
        <w:rPr>
          <w:spacing w:val="-3"/>
        </w:rPr>
        <w:t> </w:t>
      </w:r>
      <w:r>
        <w:rPr/>
        <w:t>operating</w:t>
      </w:r>
      <w:r>
        <w:rPr>
          <w:spacing w:val="-3"/>
        </w:rPr>
        <w:t> </w:t>
      </w:r>
      <w:r>
        <w:rPr/>
        <w:t>lease</w:t>
      </w:r>
      <w:r>
        <w:rPr>
          <w:spacing w:val="-3"/>
        </w:rPr>
        <w:t> </w:t>
      </w:r>
      <w:r>
        <w:rPr/>
        <w:t>expiring</w:t>
      </w:r>
      <w:r>
        <w:rPr>
          <w:spacing w:val="-3"/>
        </w:rPr>
        <w:t> </w:t>
      </w:r>
      <w:r>
        <w:rPr/>
        <w:t>October</w:t>
      </w:r>
      <w:r>
        <w:rPr>
          <w:spacing w:val="-2"/>
        </w:rPr>
        <w:t> </w:t>
      </w:r>
      <w:r>
        <w:rPr/>
        <w:t>2023,</w:t>
      </w:r>
      <w:r>
        <w:rPr>
          <w:spacing w:val="-47"/>
        </w:rPr>
        <w:t> </w:t>
      </w:r>
      <w:r>
        <w:rPr/>
        <w:t>respectively.</w:t>
      </w:r>
    </w:p>
    <w:p>
      <w:pPr>
        <w:pStyle w:val="BodyText"/>
        <w:spacing w:before="182"/>
        <w:ind w:left="460" w:firstLine="0"/>
      </w:pPr>
      <w:r>
        <w:rPr/>
        <w:t>Future</w:t>
      </w:r>
      <w:r>
        <w:rPr>
          <w:spacing w:val="-4"/>
        </w:rPr>
        <w:t> </w:t>
      </w:r>
      <w:r>
        <w:rPr/>
        <w:t>minimum</w:t>
      </w:r>
      <w:r>
        <w:rPr>
          <w:spacing w:val="-3"/>
        </w:rPr>
        <w:t> </w:t>
      </w:r>
      <w:r>
        <w:rPr/>
        <w:t>annual</w:t>
      </w:r>
      <w:r>
        <w:rPr>
          <w:spacing w:val="-4"/>
        </w:rPr>
        <w:t> </w:t>
      </w:r>
      <w:r>
        <w:rPr/>
        <w:t>operating</w:t>
      </w:r>
      <w:r>
        <w:rPr>
          <w:spacing w:val="-2"/>
        </w:rPr>
        <w:t> </w:t>
      </w:r>
      <w:r>
        <w:rPr/>
        <w:t>lease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debt</w:t>
      </w:r>
      <w:r>
        <w:rPr>
          <w:spacing w:val="-4"/>
        </w:rPr>
        <w:t> </w:t>
      </w:r>
      <w:r>
        <w:rPr/>
        <w:t>repayments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follows</w:t>
      </w:r>
      <w:r>
        <w:rPr>
          <w:spacing w:val="-4"/>
        </w:rPr>
        <w:t> </w:t>
      </w:r>
      <w:r>
        <w:rPr/>
        <w:t>(in</w:t>
      </w:r>
      <w:r>
        <w:rPr>
          <w:spacing w:val="-2"/>
        </w:rPr>
        <w:t> </w:t>
      </w:r>
      <w:r>
        <w:rPr/>
        <w:t>thousands):</w:t>
      </w:r>
    </w:p>
    <w:p>
      <w:pPr>
        <w:pStyle w:val="BodyText"/>
        <w:spacing w:before="8"/>
        <w:ind w:left="0" w:firstLine="0"/>
        <w:rPr>
          <w:sz w:val="22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4"/>
        <w:gridCol w:w="1354"/>
        <w:gridCol w:w="1365"/>
        <w:gridCol w:w="1316"/>
      </w:tblGrid>
      <w:tr>
        <w:trPr>
          <w:trHeight w:val="356" w:hRule="atLeast"/>
        </w:trPr>
        <w:tc>
          <w:tcPr>
            <w:tcW w:w="5324" w:type="dxa"/>
          </w:tcPr>
          <w:p>
            <w:pPr>
              <w:pStyle w:val="TableParagraph"/>
              <w:spacing w:line="184" w:lineRule="exact" w:before="153"/>
              <w:ind w:left="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September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30, 2021</w:t>
            </w:r>
          </w:p>
        </w:tc>
        <w:tc>
          <w:tcPr>
            <w:tcW w:w="13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8" w:lineRule="auto" w:before="12"/>
              <w:ind w:left="320" w:right="131" w:hanging="225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Minimum </w:t>
            </w:r>
            <w:r>
              <w:rPr>
                <w:b/>
                <w:sz w:val="16"/>
              </w:rPr>
              <w:t>Lease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Payments</w:t>
            </w:r>
          </w:p>
        </w:tc>
        <w:tc>
          <w:tcPr>
            <w:tcW w:w="13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8" w:lineRule="auto" w:before="12"/>
              <w:ind w:left="242" w:right="258" w:firstLine="2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Debt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Repayments</w:t>
            </w:r>
          </w:p>
        </w:tc>
        <w:tc>
          <w:tcPr>
            <w:tcW w:w="13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4" w:lineRule="exact" w:before="153"/>
              <w:ind w:left="177" w:right="1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>
        <w:trPr>
          <w:trHeight w:val="275" w:hRule="atLeast"/>
        </w:trPr>
        <w:tc>
          <w:tcPr>
            <w:tcW w:w="5324" w:type="dxa"/>
            <w:shd w:val="clear" w:color="auto" w:fill="CCEDFF"/>
          </w:tcPr>
          <w:p>
            <w:pPr>
              <w:pStyle w:val="TableParagraph"/>
              <w:spacing w:before="15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2021</w:t>
            </w:r>
            <w:r>
              <w:rPr>
                <w:spacing w:val="18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 . . . . . . . . . . . . . . . . . . . . . . . . . . . . . . . . . . . . .</w:t>
            </w:r>
          </w:p>
        </w:tc>
        <w:tc>
          <w:tcPr>
            <w:tcW w:w="1354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924" w:val="left" w:leader="none"/>
              </w:tabs>
              <w:spacing w:before="15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$</w:t>
              <w:tab/>
              <w:t>604</w:t>
            </w:r>
          </w:p>
        </w:tc>
        <w:tc>
          <w:tcPr>
            <w:tcW w:w="1365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1035" w:val="left" w:leader="none"/>
              </w:tabs>
              <w:spacing w:before="15"/>
              <w:ind w:left="64"/>
              <w:jc w:val="left"/>
              <w:rPr>
                <w:sz w:val="20"/>
              </w:rPr>
            </w:pPr>
            <w:r>
              <w:rPr>
                <w:sz w:val="20"/>
              </w:rPr>
              <w:t>$</w:t>
              <w:tab/>
              <w:t>—</w:t>
            </w:r>
          </w:p>
        </w:tc>
        <w:tc>
          <w:tcPr>
            <w:tcW w:w="1316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935" w:val="left" w:leader="none"/>
              </w:tabs>
              <w:spacing w:before="15"/>
              <w:ind w:left="64"/>
              <w:jc w:val="left"/>
              <w:rPr>
                <w:sz w:val="20"/>
              </w:rPr>
            </w:pPr>
            <w:r>
              <w:rPr>
                <w:sz w:val="20"/>
              </w:rPr>
              <w:t>$</w:t>
              <w:tab/>
              <w:t>604</w:t>
            </w:r>
          </w:p>
        </w:tc>
      </w:tr>
      <w:tr>
        <w:trPr>
          <w:trHeight w:val="285" w:hRule="atLeast"/>
        </w:trPr>
        <w:tc>
          <w:tcPr>
            <w:tcW w:w="5324" w:type="dxa"/>
          </w:tcPr>
          <w:p>
            <w:pPr>
              <w:pStyle w:val="TableParagraph"/>
              <w:spacing w:before="25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2022</w:t>
            </w:r>
            <w:r>
              <w:rPr>
                <w:spacing w:val="18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 . . . . . . . . . . . . . . . . . . . . . . . . . . . . . . . . . . . . .</w:t>
            </w:r>
          </w:p>
        </w:tc>
        <w:tc>
          <w:tcPr>
            <w:tcW w:w="1354" w:type="dxa"/>
          </w:tcPr>
          <w:p>
            <w:pPr>
              <w:pStyle w:val="TableParagraph"/>
              <w:spacing w:before="25"/>
              <w:ind w:right="127"/>
              <w:rPr>
                <w:sz w:val="20"/>
              </w:rPr>
            </w:pPr>
            <w:r>
              <w:rPr>
                <w:sz w:val="20"/>
              </w:rPr>
              <w:t>2,445</w:t>
            </w:r>
          </w:p>
        </w:tc>
        <w:tc>
          <w:tcPr>
            <w:tcW w:w="1365" w:type="dxa"/>
          </w:tcPr>
          <w:p>
            <w:pPr>
              <w:pStyle w:val="TableParagraph"/>
              <w:spacing w:before="25"/>
              <w:ind w:right="127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316" w:type="dxa"/>
          </w:tcPr>
          <w:p>
            <w:pPr>
              <w:pStyle w:val="TableParagraph"/>
              <w:spacing w:before="25"/>
              <w:ind w:right="78"/>
              <w:rPr>
                <w:sz w:val="20"/>
              </w:rPr>
            </w:pPr>
            <w:r>
              <w:rPr>
                <w:sz w:val="20"/>
              </w:rPr>
              <w:t>2,445</w:t>
            </w:r>
          </w:p>
        </w:tc>
      </w:tr>
      <w:tr>
        <w:trPr>
          <w:trHeight w:val="285" w:hRule="atLeast"/>
        </w:trPr>
        <w:tc>
          <w:tcPr>
            <w:tcW w:w="5324" w:type="dxa"/>
            <w:shd w:val="clear" w:color="auto" w:fill="CCEDFF"/>
          </w:tcPr>
          <w:p>
            <w:pPr>
              <w:pStyle w:val="TableParagraph"/>
              <w:spacing w:before="25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2023</w:t>
            </w:r>
            <w:r>
              <w:rPr>
                <w:spacing w:val="18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 . . . . . . . . . . . . . . . . . . . . . . . . . . . . . . . . . . . . .</w:t>
            </w:r>
          </w:p>
        </w:tc>
        <w:tc>
          <w:tcPr>
            <w:tcW w:w="1354" w:type="dxa"/>
            <w:shd w:val="clear" w:color="auto" w:fill="CCEDFF"/>
          </w:tcPr>
          <w:p>
            <w:pPr>
              <w:pStyle w:val="TableParagraph"/>
              <w:spacing w:before="25"/>
              <w:ind w:right="127"/>
              <w:rPr>
                <w:sz w:val="20"/>
              </w:rPr>
            </w:pPr>
            <w:r>
              <w:rPr>
                <w:sz w:val="20"/>
              </w:rPr>
              <w:t>2,092</w:t>
            </w:r>
          </w:p>
        </w:tc>
        <w:tc>
          <w:tcPr>
            <w:tcW w:w="1365" w:type="dxa"/>
            <w:shd w:val="clear" w:color="auto" w:fill="CCEDFF"/>
          </w:tcPr>
          <w:p>
            <w:pPr>
              <w:pStyle w:val="TableParagraph"/>
              <w:spacing w:before="25"/>
              <w:ind w:right="127"/>
              <w:rPr>
                <w:sz w:val="20"/>
              </w:rPr>
            </w:pPr>
            <w:r>
              <w:rPr>
                <w:sz w:val="20"/>
              </w:rPr>
              <w:t>12,500</w:t>
            </w:r>
          </w:p>
        </w:tc>
        <w:tc>
          <w:tcPr>
            <w:tcW w:w="1316" w:type="dxa"/>
            <w:shd w:val="clear" w:color="auto" w:fill="CCEDFF"/>
          </w:tcPr>
          <w:p>
            <w:pPr>
              <w:pStyle w:val="TableParagraph"/>
              <w:spacing w:before="25"/>
              <w:ind w:right="78"/>
              <w:rPr>
                <w:sz w:val="20"/>
              </w:rPr>
            </w:pPr>
            <w:r>
              <w:rPr>
                <w:sz w:val="20"/>
              </w:rPr>
              <w:t>14,592</w:t>
            </w:r>
          </w:p>
        </w:tc>
      </w:tr>
      <w:tr>
        <w:trPr>
          <w:trHeight w:val="275" w:hRule="atLeast"/>
        </w:trPr>
        <w:tc>
          <w:tcPr>
            <w:tcW w:w="5324" w:type="dxa"/>
          </w:tcPr>
          <w:p>
            <w:pPr>
              <w:pStyle w:val="TableParagraph"/>
              <w:spacing w:line="230" w:lineRule="exact" w:before="25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2024</w:t>
            </w:r>
            <w:r>
              <w:rPr>
                <w:spacing w:val="18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 . . . . . . . . . . . . . . . . . . . . . . . . . . . . . . . . . . . . .</w:t>
            </w:r>
          </w:p>
        </w:tc>
        <w:tc>
          <w:tcPr>
            <w:tcW w:w="13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25"/>
              <w:ind w:right="127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3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25"/>
              <w:ind w:right="127"/>
              <w:rPr>
                <w:sz w:val="20"/>
              </w:rPr>
            </w:pPr>
            <w:r>
              <w:rPr>
                <w:sz w:val="20"/>
              </w:rPr>
              <w:t>37,500</w:t>
            </w:r>
          </w:p>
        </w:tc>
        <w:tc>
          <w:tcPr>
            <w:tcW w:w="13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25"/>
              <w:ind w:right="78"/>
              <w:rPr>
                <w:sz w:val="20"/>
              </w:rPr>
            </w:pPr>
            <w:r>
              <w:rPr>
                <w:sz w:val="20"/>
              </w:rPr>
              <w:t>37,500</w:t>
            </w:r>
          </w:p>
        </w:tc>
      </w:tr>
      <w:tr>
        <w:trPr>
          <w:trHeight w:val="275" w:hRule="atLeast"/>
        </w:trPr>
        <w:tc>
          <w:tcPr>
            <w:tcW w:w="5324" w:type="dxa"/>
            <w:shd w:val="clear" w:color="auto" w:fill="CCEDFF"/>
          </w:tcPr>
          <w:p>
            <w:pPr>
              <w:pStyle w:val="TableParagraph"/>
              <w:spacing w:before="15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minimum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payments</w:t>
            </w:r>
            <w:r>
              <w:rPr>
                <w:spacing w:val="49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</w:p>
        </w:tc>
        <w:tc>
          <w:tcPr>
            <w:tcW w:w="1354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15"/>
              <w:ind w:right="127"/>
              <w:rPr>
                <w:sz w:val="20"/>
              </w:rPr>
            </w:pPr>
            <w:r>
              <w:rPr>
                <w:sz w:val="20"/>
              </w:rPr>
              <w:t>5,141</w:t>
            </w:r>
          </w:p>
        </w:tc>
        <w:tc>
          <w:tcPr>
            <w:tcW w:w="1365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15"/>
              <w:ind w:right="127"/>
              <w:rPr>
                <w:sz w:val="20"/>
              </w:rPr>
            </w:pPr>
            <w:r>
              <w:rPr>
                <w:sz w:val="20"/>
              </w:rPr>
              <w:t>50,000</w:t>
            </w:r>
          </w:p>
        </w:tc>
        <w:tc>
          <w:tcPr>
            <w:tcW w:w="1316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15"/>
              <w:ind w:right="78"/>
              <w:rPr>
                <w:sz w:val="20"/>
              </w:rPr>
            </w:pPr>
            <w:r>
              <w:rPr>
                <w:sz w:val="20"/>
              </w:rPr>
              <w:t>55,141</w:t>
            </w:r>
          </w:p>
        </w:tc>
      </w:tr>
      <w:tr>
        <w:trPr>
          <w:trHeight w:val="275" w:hRule="atLeast"/>
        </w:trPr>
        <w:tc>
          <w:tcPr>
            <w:tcW w:w="5324" w:type="dxa"/>
          </w:tcPr>
          <w:p>
            <w:pPr>
              <w:pStyle w:val="TableParagraph"/>
              <w:spacing w:line="230" w:lineRule="exact" w:before="25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Less: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amount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representing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interest/unamortized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debt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discount</w:t>
            </w:r>
            <w:r>
              <w:rPr>
                <w:spacing w:val="3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3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</w:p>
        </w:tc>
        <w:tc>
          <w:tcPr>
            <w:tcW w:w="13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25"/>
              <w:ind w:right="62"/>
              <w:rPr>
                <w:sz w:val="20"/>
              </w:rPr>
            </w:pPr>
            <w:r>
              <w:rPr>
                <w:sz w:val="20"/>
              </w:rPr>
              <w:t>(559)</w:t>
            </w:r>
          </w:p>
        </w:tc>
        <w:tc>
          <w:tcPr>
            <w:tcW w:w="13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25"/>
              <w:ind w:right="62"/>
              <w:rPr>
                <w:sz w:val="20"/>
              </w:rPr>
            </w:pPr>
            <w:r>
              <w:rPr>
                <w:sz w:val="20"/>
              </w:rPr>
              <w:t>(238)</w:t>
            </w:r>
          </w:p>
        </w:tc>
        <w:tc>
          <w:tcPr>
            <w:tcW w:w="13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25"/>
              <w:ind w:right="13"/>
              <w:rPr>
                <w:sz w:val="20"/>
              </w:rPr>
            </w:pPr>
            <w:r>
              <w:rPr>
                <w:sz w:val="20"/>
              </w:rPr>
              <w:t>(797)</w:t>
            </w:r>
          </w:p>
        </w:tc>
      </w:tr>
      <w:tr>
        <w:trPr>
          <w:trHeight w:val="275" w:hRule="atLeast"/>
        </w:trPr>
        <w:tc>
          <w:tcPr>
            <w:tcW w:w="5324" w:type="dxa"/>
            <w:shd w:val="clear" w:color="auto" w:fill="CCEDFF"/>
          </w:tcPr>
          <w:p>
            <w:pPr>
              <w:pStyle w:val="TableParagraph"/>
              <w:spacing w:before="15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Present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value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future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payments</w:t>
            </w:r>
            <w:r>
              <w:rPr>
                <w:spacing w:val="3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</w:p>
        </w:tc>
        <w:tc>
          <w:tcPr>
            <w:tcW w:w="1354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15"/>
              <w:ind w:right="127"/>
              <w:rPr>
                <w:sz w:val="20"/>
              </w:rPr>
            </w:pPr>
            <w:r>
              <w:rPr>
                <w:sz w:val="20"/>
              </w:rPr>
              <w:t>4,582</w:t>
            </w:r>
          </w:p>
        </w:tc>
        <w:tc>
          <w:tcPr>
            <w:tcW w:w="1365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15"/>
              <w:ind w:right="127"/>
              <w:rPr>
                <w:sz w:val="20"/>
              </w:rPr>
            </w:pPr>
            <w:r>
              <w:rPr>
                <w:sz w:val="20"/>
              </w:rPr>
              <w:t>49,762</w:t>
            </w:r>
          </w:p>
        </w:tc>
        <w:tc>
          <w:tcPr>
            <w:tcW w:w="1316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15"/>
              <w:ind w:right="78"/>
              <w:rPr>
                <w:sz w:val="20"/>
              </w:rPr>
            </w:pPr>
            <w:r>
              <w:rPr>
                <w:sz w:val="20"/>
              </w:rPr>
              <w:t>54,344</w:t>
            </w:r>
          </w:p>
        </w:tc>
      </w:tr>
      <w:tr>
        <w:trPr>
          <w:trHeight w:val="275" w:hRule="atLeast"/>
        </w:trPr>
        <w:tc>
          <w:tcPr>
            <w:tcW w:w="5324" w:type="dxa"/>
          </w:tcPr>
          <w:p>
            <w:pPr>
              <w:pStyle w:val="TableParagraph"/>
              <w:spacing w:line="230" w:lineRule="exact" w:before="25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Less: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current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portion</w:t>
            </w:r>
            <w:r>
              <w:rPr>
                <w:spacing w:val="49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</w:p>
        </w:tc>
        <w:tc>
          <w:tcPr>
            <w:tcW w:w="13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25"/>
              <w:ind w:right="62"/>
              <w:rPr>
                <w:sz w:val="20"/>
              </w:rPr>
            </w:pPr>
            <w:r>
              <w:rPr>
                <w:sz w:val="20"/>
              </w:rPr>
              <w:t>(2,032)</w:t>
            </w:r>
          </w:p>
        </w:tc>
        <w:tc>
          <w:tcPr>
            <w:tcW w:w="13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25"/>
              <w:ind w:right="127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3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25"/>
              <w:ind w:right="13"/>
              <w:rPr>
                <w:sz w:val="20"/>
              </w:rPr>
            </w:pPr>
            <w:r>
              <w:rPr>
                <w:sz w:val="20"/>
              </w:rPr>
              <w:t>(2,032)</w:t>
            </w:r>
          </w:p>
        </w:tc>
      </w:tr>
      <w:tr>
        <w:trPr>
          <w:trHeight w:val="225" w:hRule="atLeast"/>
        </w:trPr>
        <w:tc>
          <w:tcPr>
            <w:tcW w:w="5324" w:type="dxa"/>
            <w:shd w:val="clear" w:color="auto" w:fill="CCEDFF"/>
          </w:tcPr>
          <w:p>
            <w:pPr>
              <w:pStyle w:val="TableParagraph"/>
              <w:spacing w:line="190" w:lineRule="exact" w:before="15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Non-current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portion</w:t>
            </w:r>
            <w:r>
              <w:rPr>
                <w:spacing w:val="14"/>
                <w:sz w:val="20"/>
              </w:rPr>
              <w:t> </w:t>
            </w:r>
            <w:r>
              <w:rPr>
                <w:color w:val="B3B3B3"/>
                <w:sz w:val="20"/>
              </w:rPr>
              <w:t>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</w:t>
            </w:r>
          </w:p>
        </w:tc>
        <w:tc>
          <w:tcPr>
            <w:tcW w:w="1354" w:type="dxa"/>
            <w:tcBorders>
              <w:top w:val="single" w:sz="8" w:space="0" w:color="000000"/>
              <w:bottom w:val="doub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774" w:val="left" w:leader="none"/>
              </w:tabs>
              <w:spacing w:line="190" w:lineRule="exact" w:before="15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$</w:t>
              <w:tab/>
              <w:t>2,550</w:t>
            </w:r>
          </w:p>
        </w:tc>
        <w:tc>
          <w:tcPr>
            <w:tcW w:w="1365" w:type="dxa"/>
            <w:tcBorders>
              <w:top w:val="single" w:sz="8" w:space="0" w:color="000000"/>
              <w:bottom w:val="doub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685" w:val="left" w:leader="none"/>
              </w:tabs>
              <w:spacing w:line="190" w:lineRule="exact" w:before="15"/>
              <w:ind w:left="64"/>
              <w:jc w:val="left"/>
              <w:rPr>
                <w:sz w:val="20"/>
              </w:rPr>
            </w:pPr>
            <w:r>
              <w:rPr>
                <w:sz w:val="20"/>
              </w:rPr>
              <w:t>$</w:t>
              <w:tab/>
              <w:t>49,762</w:t>
            </w:r>
          </w:p>
        </w:tc>
        <w:tc>
          <w:tcPr>
            <w:tcW w:w="1316" w:type="dxa"/>
            <w:tcBorders>
              <w:top w:val="single" w:sz="8" w:space="0" w:color="000000"/>
              <w:bottom w:val="doub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685" w:val="left" w:leader="none"/>
              </w:tabs>
              <w:spacing w:line="190" w:lineRule="exact" w:before="15"/>
              <w:ind w:left="64"/>
              <w:jc w:val="left"/>
              <w:rPr>
                <w:sz w:val="20"/>
              </w:rPr>
            </w:pPr>
            <w:r>
              <w:rPr>
                <w:sz w:val="20"/>
              </w:rPr>
              <w:t>$</w:t>
              <w:tab/>
              <w:t>52,312</w:t>
            </w:r>
          </w:p>
        </w:tc>
      </w:tr>
      <w:tr>
        <w:trPr>
          <w:trHeight w:val="650" w:hRule="atLeast"/>
        </w:trPr>
        <w:tc>
          <w:tcPr>
            <w:tcW w:w="5324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spacing w:before="9"/>
              <w:jc w:val="left"/>
              <w:rPr>
                <w:sz w:val="20"/>
              </w:rPr>
            </w:pPr>
          </w:p>
          <w:p>
            <w:pPr>
              <w:pStyle w:val="TableParagraph"/>
              <w:spacing w:line="184" w:lineRule="exact"/>
              <w:ind w:left="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December 31,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2020</w:t>
            </w:r>
          </w:p>
        </w:tc>
        <w:tc>
          <w:tcPr>
            <w:tcW w:w="13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sz w:val="26"/>
              </w:rPr>
            </w:pPr>
          </w:p>
          <w:p>
            <w:pPr>
              <w:pStyle w:val="TableParagraph"/>
              <w:spacing w:line="208" w:lineRule="auto"/>
              <w:ind w:left="320" w:right="131" w:hanging="225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Minimum </w:t>
            </w:r>
            <w:r>
              <w:rPr>
                <w:b/>
                <w:sz w:val="16"/>
              </w:rPr>
              <w:t>Lease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Payments</w:t>
            </w:r>
          </w:p>
        </w:tc>
        <w:tc>
          <w:tcPr>
            <w:tcW w:w="13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sz w:val="26"/>
              </w:rPr>
            </w:pPr>
          </w:p>
          <w:p>
            <w:pPr>
              <w:pStyle w:val="TableParagraph"/>
              <w:spacing w:line="208" w:lineRule="auto"/>
              <w:ind w:left="242" w:right="258" w:firstLine="2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Debt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Repayments</w:t>
            </w:r>
          </w:p>
        </w:tc>
        <w:tc>
          <w:tcPr>
            <w:tcW w:w="1316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spacing w:before="9"/>
              <w:jc w:val="left"/>
              <w:rPr>
                <w:sz w:val="20"/>
              </w:rPr>
            </w:pPr>
          </w:p>
          <w:p>
            <w:pPr>
              <w:pStyle w:val="TableParagraph"/>
              <w:spacing w:line="184" w:lineRule="exact"/>
              <w:ind w:left="177" w:right="1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>
        <w:trPr>
          <w:trHeight w:val="275" w:hRule="atLeast"/>
        </w:trPr>
        <w:tc>
          <w:tcPr>
            <w:tcW w:w="5324" w:type="dxa"/>
            <w:shd w:val="clear" w:color="auto" w:fill="CCEDFF"/>
          </w:tcPr>
          <w:p>
            <w:pPr>
              <w:pStyle w:val="TableParagraph"/>
              <w:spacing w:before="15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2021</w:t>
            </w:r>
            <w:r>
              <w:rPr>
                <w:spacing w:val="18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 . . . . . . . . . . . . . . . . . . . . . . . . . . . . . . . . . . . . .</w:t>
            </w:r>
          </w:p>
        </w:tc>
        <w:tc>
          <w:tcPr>
            <w:tcW w:w="1354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774" w:val="left" w:leader="none"/>
              </w:tabs>
              <w:spacing w:before="15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$</w:t>
              <w:tab/>
              <w:t>2,179</w:t>
            </w:r>
          </w:p>
        </w:tc>
        <w:tc>
          <w:tcPr>
            <w:tcW w:w="1365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1035" w:val="left" w:leader="none"/>
              </w:tabs>
              <w:spacing w:before="15"/>
              <w:ind w:left="64"/>
              <w:jc w:val="left"/>
              <w:rPr>
                <w:sz w:val="20"/>
              </w:rPr>
            </w:pPr>
            <w:r>
              <w:rPr>
                <w:sz w:val="20"/>
              </w:rPr>
              <w:t>$</w:t>
              <w:tab/>
              <w:t>—</w:t>
            </w:r>
          </w:p>
        </w:tc>
        <w:tc>
          <w:tcPr>
            <w:tcW w:w="1316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785" w:val="left" w:leader="none"/>
              </w:tabs>
              <w:spacing w:before="15"/>
              <w:ind w:left="64"/>
              <w:jc w:val="left"/>
              <w:rPr>
                <w:sz w:val="20"/>
              </w:rPr>
            </w:pPr>
            <w:r>
              <w:rPr>
                <w:sz w:val="20"/>
              </w:rPr>
              <w:t>$</w:t>
              <w:tab/>
              <w:t>2,179</w:t>
            </w:r>
          </w:p>
        </w:tc>
      </w:tr>
      <w:tr>
        <w:trPr>
          <w:trHeight w:val="285" w:hRule="atLeast"/>
        </w:trPr>
        <w:tc>
          <w:tcPr>
            <w:tcW w:w="5324" w:type="dxa"/>
          </w:tcPr>
          <w:p>
            <w:pPr>
              <w:pStyle w:val="TableParagraph"/>
              <w:spacing w:before="25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2022</w:t>
            </w:r>
            <w:r>
              <w:rPr>
                <w:spacing w:val="18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 . . . . . . . . . . . . . . . . . . . . . . . . . . . . . . . . . . . . .</w:t>
            </w:r>
          </w:p>
        </w:tc>
        <w:tc>
          <w:tcPr>
            <w:tcW w:w="1354" w:type="dxa"/>
          </w:tcPr>
          <w:p>
            <w:pPr>
              <w:pStyle w:val="TableParagraph"/>
              <w:spacing w:before="25"/>
              <w:ind w:right="127"/>
              <w:rPr>
                <w:sz w:val="20"/>
              </w:rPr>
            </w:pPr>
            <w:r>
              <w:rPr>
                <w:sz w:val="20"/>
              </w:rPr>
              <w:t>2,445</w:t>
            </w:r>
          </w:p>
        </w:tc>
        <w:tc>
          <w:tcPr>
            <w:tcW w:w="1365" w:type="dxa"/>
          </w:tcPr>
          <w:p>
            <w:pPr>
              <w:pStyle w:val="TableParagraph"/>
              <w:spacing w:before="25"/>
              <w:ind w:right="127"/>
              <w:rPr>
                <w:sz w:val="20"/>
              </w:rPr>
            </w:pPr>
            <w:r>
              <w:rPr>
                <w:sz w:val="20"/>
              </w:rPr>
              <w:t>6,250</w:t>
            </w:r>
          </w:p>
        </w:tc>
        <w:tc>
          <w:tcPr>
            <w:tcW w:w="1316" w:type="dxa"/>
          </w:tcPr>
          <w:p>
            <w:pPr>
              <w:pStyle w:val="TableParagraph"/>
              <w:spacing w:before="25"/>
              <w:ind w:right="78"/>
              <w:rPr>
                <w:sz w:val="20"/>
              </w:rPr>
            </w:pPr>
            <w:r>
              <w:rPr>
                <w:sz w:val="20"/>
              </w:rPr>
              <w:t>8,695</w:t>
            </w:r>
          </w:p>
        </w:tc>
      </w:tr>
      <w:tr>
        <w:trPr>
          <w:trHeight w:val="285" w:hRule="atLeast"/>
        </w:trPr>
        <w:tc>
          <w:tcPr>
            <w:tcW w:w="5324" w:type="dxa"/>
            <w:shd w:val="clear" w:color="auto" w:fill="CCEDFF"/>
          </w:tcPr>
          <w:p>
            <w:pPr>
              <w:pStyle w:val="TableParagraph"/>
              <w:spacing w:before="25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2023</w:t>
            </w:r>
            <w:r>
              <w:rPr>
                <w:spacing w:val="18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 . . . . . . . . . . . . . . . . . . . . . . . . . . . . . . . . . . . . .</w:t>
            </w:r>
          </w:p>
        </w:tc>
        <w:tc>
          <w:tcPr>
            <w:tcW w:w="1354" w:type="dxa"/>
            <w:shd w:val="clear" w:color="auto" w:fill="CCEDFF"/>
          </w:tcPr>
          <w:p>
            <w:pPr>
              <w:pStyle w:val="TableParagraph"/>
              <w:spacing w:before="25"/>
              <w:ind w:right="127"/>
              <w:rPr>
                <w:sz w:val="20"/>
              </w:rPr>
            </w:pPr>
            <w:r>
              <w:rPr>
                <w:sz w:val="20"/>
              </w:rPr>
              <w:t>2,092</w:t>
            </w:r>
          </w:p>
        </w:tc>
        <w:tc>
          <w:tcPr>
            <w:tcW w:w="1365" w:type="dxa"/>
            <w:shd w:val="clear" w:color="auto" w:fill="CCEDFF"/>
          </w:tcPr>
          <w:p>
            <w:pPr>
              <w:pStyle w:val="TableParagraph"/>
              <w:spacing w:before="25"/>
              <w:ind w:right="127"/>
              <w:rPr>
                <w:sz w:val="20"/>
              </w:rPr>
            </w:pPr>
            <w:r>
              <w:rPr>
                <w:sz w:val="20"/>
              </w:rPr>
              <w:t>25,000</w:t>
            </w:r>
          </w:p>
        </w:tc>
        <w:tc>
          <w:tcPr>
            <w:tcW w:w="1316" w:type="dxa"/>
            <w:shd w:val="clear" w:color="auto" w:fill="CCEDFF"/>
          </w:tcPr>
          <w:p>
            <w:pPr>
              <w:pStyle w:val="TableParagraph"/>
              <w:spacing w:before="25"/>
              <w:ind w:right="78"/>
              <w:rPr>
                <w:sz w:val="20"/>
              </w:rPr>
            </w:pPr>
            <w:r>
              <w:rPr>
                <w:sz w:val="20"/>
              </w:rPr>
              <w:t>27,092</w:t>
            </w:r>
          </w:p>
        </w:tc>
      </w:tr>
      <w:tr>
        <w:trPr>
          <w:trHeight w:val="275" w:hRule="atLeast"/>
        </w:trPr>
        <w:tc>
          <w:tcPr>
            <w:tcW w:w="5324" w:type="dxa"/>
          </w:tcPr>
          <w:p>
            <w:pPr>
              <w:pStyle w:val="TableParagraph"/>
              <w:spacing w:line="230" w:lineRule="exact" w:before="25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2024</w:t>
            </w:r>
            <w:r>
              <w:rPr>
                <w:spacing w:val="18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 . . . . . . . . . . . . . . . . . . . . . . . . . . . . . . . . . . . . .</w:t>
            </w:r>
          </w:p>
        </w:tc>
        <w:tc>
          <w:tcPr>
            <w:tcW w:w="13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25"/>
              <w:ind w:right="127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3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25"/>
              <w:ind w:right="127"/>
              <w:rPr>
                <w:sz w:val="20"/>
              </w:rPr>
            </w:pPr>
            <w:r>
              <w:rPr>
                <w:sz w:val="20"/>
              </w:rPr>
              <w:t>18,750</w:t>
            </w:r>
          </w:p>
        </w:tc>
        <w:tc>
          <w:tcPr>
            <w:tcW w:w="13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25"/>
              <w:ind w:right="78"/>
              <w:rPr>
                <w:sz w:val="20"/>
              </w:rPr>
            </w:pPr>
            <w:r>
              <w:rPr>
                <w:sz w:val="20"/>
              </w:rPr>
              <w:t>18,750</w:t>
            </w:r>
          </w:p>
        </w:tc>
      </w:tr>
      <w:tr>
        <w:trPr>
          <w:trHeight w:val="275" w:hRule="atLeast"/>
        </w:trPr>
        <w:tc>
          <w:tcPr>
            <w:tcW w:w="5324" w:type="dxa"/>
            <w:shd w:val="clear" w:color="auto" w:fill="CCEDFF"/>
          </w:tcPr>
          <w:p>
            <w:pPr>
              <w:pStyle w:val="TableParagraph"/>
              <w:spacing w:before="15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minimum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payments</w:t>
            </w:r>
            <w:r>
              <w:rPr>
                <w:spacing w:val="49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</w:p>
        </w:tc>
        <w:tc>
          <w:tcPr>
            <w:tcW w:w="1354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15"/>
              <w:ind w:right="127"/>
              <w:rPr>
                <w:sz w:val="20"/>
              </w:rPr>
            </w:pPr>
            <w:r>
              <w:rPr>
                <w:sz w:val="20"/>
              </w:rPr>
              <w:t>6,716</w:t>
            </w:r>
          </w:p>
        </w:tc>
        <w:tc>
          <w:tcPr>
            <w:tcW w:w="1365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15"/>
              <w:ind w:right="127"/>
              <w:rPr>
                <w:sz w:val="20"/>
              </w:rPr>
            </w:pPr>
            <w:r>
              <w:rPr>
                <w:sz w:val="20"/>
              </w:rPr>
              <w:t>50,000</w:t>
            </w:r>
          </w:p>
        </w:tc>
        <w:tc>
          <w:tcPr>
            <w:tcW w:w="1316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15"/>
              <w:ind w:right="78"/>
              <w:rPr>
                <w:sz w:val="20"/>
              </w:rPr>
            </w:pPr>
            <w:r>
              <w:rPr>
                <w:sz w:val="20"/>
              </w:rPr>
              <w:t>56,716</w:t>
            </w:r>
          </w:p>
        </w:tc>
      </w:tr>
      <w:tr>
        <w:trPr>
          <w:trHeight w:val="275" w:hRule="atLeast"/>
        </w:trPr>
        <w:tc>
          <w:tcPr>
            <w:tcW w:w="5324" w:type="dxa"/>
          </w:tcPr>
          <w:p>
            <w:pPr>
              <w:pStyle w:val="TableParagraph"/>
              <w:spacing w:line="230" w:lineRule="exact" w:before="25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Less: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amount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representing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interest/unamortized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debt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discount</w:t>
            </w:r>
            <w:r>
              <w:rPr>
                <w:spacing w:val="3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3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</w:p>
        </w:tc>
        <w:tc>
          <w:tcPr>
            <w:tcW w:w="13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25"/>
              <w:ind w:right="62"/>
              <w:rPr>
                <w:sz w:val="20"/>
              </w:rPr>
            </w:pPr>
            <w:r>
              <w:rPr>
                <w:sz w:val="20"/>
              </w:rPr>
              <w:t>(912)</w:t>
            </w:r>
          </w:p>
        </w:tc>
        <w:tc>
          <w:tcPr>
            <w:tcW w:w="13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25"/>
              <w:ind w:right="62"/>
              <w:rPr>
                <w:sz w:val="20"/>
              </w:rPr>
            </w:pPr>
            <w:r>
              <w:rPr>
                <w:sz w:val="20"/>
              </w:rPr>
              <w:t>(1,042)</w:t>
            </w:r>
          </w:p>
        </w:tc>
        <w:tc>
          <w:tcPr>
            <w:tcW w:w="13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25"/>
              <w:ind w:right="13"/>
              <w:rPr>
                <w:sz w:val="20"/>
              </w:rPr>
            </w:pPr>
            <w:r>
              <w:rPr>
                <w:sz w:val="20"/>
              </w:rPr>
              <w:t>(1,954)</w:t>
            </w:r>
          </w:p>
        </w:tc>
      </w:tr>
      <w:tr>
        <w:trPr>
          <w:trHeight w:val="275" w:hRule="atLeast"/>
        </w:trPr>
        <w:tc>
          <w:tcPr>
            <w:tcW w:w="5324" w:type="dxa"/>
            <w:shd w:val="clear" w:color="auto" w:fill="CCEDFF"/>
          </w:tcPr>
          <w:p>
            <w:pPr>
              <w:pStyle w:val="TableParagraph"/>
              <w:spacing w:before="15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Present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value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future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payments</w:t>
            </w:r>
            <w:r>
              <w:rPr>
                <w:spacing w:val="3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</w:p>
        </w:tc>
        <w:tc>
          <w:tcPr>
            <w:tcW w:w="1354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15"/>
              <w:ind w:right="127"/>
              <w:rPr>
                <w:sz w:val="20"/>
              </w:rPr>
            </w:pPr>
            <w:r>
              <w:rPr>
                <w:sz w:val="20"/>
              </w:rPr>
              <w:t>5,804</w:t>
            </w:r>
          </w:p>
        </w:tc>
        <w:tc>
          <w:tcPr>
            <w:tcW w:w="1365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15"/>
              <w:ind w:right="127"/>
              <w:rPr>
                <w:sz w:val="20"/>
              </w:rPr>
            </w:pPr>
            <w:r>
              <w:rPr>
                <w:sz w:val="20"/>
              </w:rPr>
              <w:t>48,958</w:t>
            </w:r>
          </w:p>
        </w:tc>
        <w:tc>
          <w:tcPr>
            <w:tcW w:w="1316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before="15"/>
              <w:ind w:right="78"/>
              <w:rPr>
                <w:sz w:val="20"/>
              </w:rPr>
            </w:pPr>
            <w:r>
              <w:rPr>
                <w:sz w:val="20"/>
              </w:rPr>
              <w:t>54,762</w:t>
            </w:r>
          </w:p>
        </w:tc>
      </w:tr>
      <w:tr>
        <w:trPr>
          <w:trHeight w:val="275" w:hRule="atLeast"/>
        </w:trPr>
        <w:tc>
          <w:tcPr>
            <w:tcW w:w="5324" w:type="dxa"/>
          </w:tcPr>
          <w:p>
            <w:pPr>
              <w:pStyle w:val="TableParagraph"/>
              <w:spacing w:line="230" w:lineRule="exact" w:before="25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Less: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current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portion</w:t>
            </w:r>
            <w:r>
              <w:rPr>
                <w:spacing w:val="49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</w:p>
        </w:tc>
        <w:tc>
          <w:tcPr>
            <w:tcW w:w="13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25"/>
              <w:ind w:right="62"/>
              <w:rPr>
                <w:sz w:val="20"/>
              </w:rPr>
            </w:pPr>
            <w:r>
              <w:rPr>
                <w:sz w:val="20"/>
              </w:rPr>
              <w:t>(1,708)</w:t>
            </w:r>
          </w:p>
        </w:tc>
        <w:tc>
          <w:tcPr>
            <w:tcW w:w="13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25"/>
              <w:ind w:right="62"/>
              <w:rPr>
                <w:sz w:val="20"/>
              </w:rPr>
            </w:pPr>
            <w:r>
              <w:rPr>
                <w:sz w:val="20"/>
              </w:rPr>
              <w:t>(4,551)</w:t>
            </w:r>
          </w:p>
        </w:tc>
        <w:tc>
          <w:tcPr>
            <w:tcW w:w="13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25"/>
              <w:ind w:right="13"/>
              <w:rPr>
                <w:sz w:val="20"/>
              </w:rPr>
            </w:pPr>
            <w:r>
              <w:rPr>
                <w:sz w:val="20"/>
              </w:rPr>
              <w:t>(6,259)</w:t>
            </w:r>
          </w:p>
        </w:tc>
      </w:tr>
      <w:tr>
        <w:trPr>
          <w:trHeight w:val="225" w:hRule="atLeast"/>
        </w:trPr>
        <w:tc>
          <w:tcPr>
            <w:tcW w:w="5324" w:type="dxa"/>
            <w:shd w:val="clear" w:color="auto" w:fill="CCEDFF"/>
          </w:tcPr>
          <w:p>
            <w:pPr>
              <w:pStyle w:val="TableParagraph"/>
              <w:spacing w:line="190" w:lineRule="exact" w:before="15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Non-current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portion</w:t>
            </w:r>
            <w:r>
              <w:rPr>
                <w:spacing w:val="14"/>
                <w:sz w:val="20"/>
              </w:rPr>
              <w:t> </w:t>
            </w:r>
            <w:r>
              <w:rPr>
                <w:color w:val="B3B3B3"/>
                <w:sz w:val="20"/>
              </w:rPr>
              <w:t>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</w:t>
            </w:r>
          </w:p>
        </w:tc>
        <w:tc>
          <w:tcPr>
            <w:tcW w:w="1354" w:type="dxa"/>
            <w:tcBorders>
              <w:top w:val="single" w:sz="8" w:space="0" w:color="000000"/>
              <w:bottom w:val="doub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774" w:val="left" w:leader="none"/>
              </w:tabs>
              <w:spacing w:line="190" w:lineRule="exact" w:before="15"/>
              <w:ind w:left="53"/>
              <w:jc w:val="left"/>
              <w:rPr>
                <w:sz w:val="20"/>
              </w:rPr>
            </w:pPr>
            <w:r>
              <w:rPr>
                <w:sz w:val="20"/>
              </w:rPr>
              <w:t>$</w:t>
              <w:tab/>
              <w:t>4,096</w:t>
            </w:r>
          </w:p>
        </w:tc>
        <w:tc>
          <w:tcPr>
            <w:tcW w:w="1365" w:type="dxa"/>
            <w:tcBorders>
              <w:top w:val="single" w:sz="8" w:space="0" w:color="000000"/>
              <w:bottom w:val="doub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685" w:val="left" w:leader="none"/>
              </w:tabs>
              <w:spacing w:line="190" w:lineRule="exact" w:before="15"/>
              <w:ind w:left="64"/>
              <w:jc w:val="left"/>
              <w:rPr>
                <w:sz w:val="20"/>
              </w:rPr>
            </w:pPr>
            <w:r>
              <w:rPr>
                <w:sz w:val="20"/>
              </w:rPr>
              <w:t>$</w:t>
              <w:tab/>
              <w:t>44,407</w:t>
            </w:r>
          </w:p>
        </w:tc>
        <w:tc>
          <w:tcPr>
            <w:tcW w:w="1316" w:type="dxa"/>
            <w:tcBorders>
              <w:top w:val="single" w:sz="8" w:space="0" w:color="000000"/>
              <w:bottom w:val="doub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685" w:val="left" w:leader="none"/>
              </w:tabs>
              <w:spacing w:line="190" w:lineRule="exact" w:before="15"/>
              <w:ind w:left="64"/>
              <w:jc w:val="left"/>
              <w:rPr>
                <w:sz w:val="20"/>
              </w:rPr>
            </w:pPr>
            <w:r>
              <w:rPr>
                <w:sz w:val="20"/>
              </w:rPr>
              <w:t>$</w:t>
              <w:tab/>
              <w:t>48,503</w:t>
            </w:r>
          </w:p>
        </w:tc>
      </w:tr>
    </w:tbl>
    <w:p>
      <w:pPr>
        <w:pStyle w:val="BodyText"/>
        <w:spacing w:before="4"/>
        <w:ind w:left="0" w:firstLine="0"/>
        <w:rPr>
          <w:sz w:val="19"/>
        </w:rPr>
      </w:pPr>
    </w:p>
    <w:p>
      <w:pPr>
        <w:pStyle w:val="BodyText"/>
        <w:spacing w:line="249" w:lineRule="auto" w:before="0"/>
        <w:ind w:right="212"/>
      </w:pPr>
      <w:r>
        <w:rPr/>
        <w:t>As of September 30, 2021 and December 31, 2020, the Company’s security deposit is in the form of, and</w:t>
      </w:r>
      <w:r>
        <w:rPr>
          <w:spacing w:val="1"/>
        </w:rPr>
        <w:t> </w:t>
      </w:r>
      <w:r>
        <w:rPr/>
        <w:t>recorded as, restricted cash. In January 2021, in connection with the Company’s amended loan agreement with</w:t>
      </w:r>
      <w:r>
        <w:rPr>
          <w:spacing w:val="1"/>
        </w:rPr>
        <w:t> </w:t>
      </w:r>
      <w:r>
        <w:rPr/>
        <w:t>modified</w:t>
      </w:r>
      <w:r>
        <w:rPr>
          <w:spacing w:val="-3"/>
        </w:rPr>
        <w:t> </w:t>
      </w:r>
      <w:r>
        <w:rPr/>
        <w:t>terms,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interest-only</w:t>
      </w:r>
      <w:r>
        <w:rPr>
          <w:spacing w:val="-2"/>
        </w:rPr>
        <w:t> </w:t>
      </w:r>
      <w:r>
        <w:rPr/>
        <w:t>period</w:t>
      </w:r>
      <w:r>
        <w:rPr>
          <w:spacing w:val="-2"/>
        </w:rPr>
        <w:t> </w:t>
      </w:r>
      <w:r>
        <w:rPr/>
        <w:t>was</w:t>
      </w:r>
      <w:r>
        <w:rPr>
          <w:spacing w:val="-3"/>
        </w:rPr>
        <w:t> </w:t>
      </w:r>
      <w:r>
        <w:rPr/>
        <w:t>modified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24</w:t>
      </w:r>
      <w:r>
        <w:rPr>
          <w:spacing w:val="-2"/>
        </w:rPr>
        <w:t> </w:t>
      </w:r>
      <w:r>
        <w:rPr/>
        <w:t>months</w:t>
      </w:r>
      <w:r>
        <w:rPr>
          <w:spacing w:val="-3"/>
        </w:rPr>
        <w:t> </w:t>
      </w:r>
      <w:r>
        <w:rPr/>
        <w:t>beginning</w:t>
      </w:r>
      <w:r>
        <w:rPr>
          <w:spacing w:val="-2"/>
        </w:rPr>
        <w:t> </w:t>
      </w:r>
      <w:r>
        <w:rPr/>
        <w:t>October</w:t>
      </w:r>
      <w:r>
        <w:rPr>
          <w:spacing w:val="-2"/>
        </w:rPr>
        <w:t> </w:t>
      </w:r>
      <w:r>
        <w:rPr/>
        <w:t>1,</w:t>
      </w:r>
      <w:r>
        <w:rPr>
          <w:spacing w:val="-2"/>
        </w:rPr>
        <w:t> </w:t>
      </w:r>
      <w:r>
        <w:rPr/>
        <w:t>2021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36</w:t>
      </w:r>
      <w:r>
        <w:rPr>
          <w:spacing w:val="-2"/>
        </w:rPr>
        <w:t> </w:t>
      </w:r>
      <w:r>
        <w:rPr/>
        <w:t>months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  <w:ind w:firstLine="0"/>
      </w:pPr>
      <w:bookmarkStart w:name="10. Income Taxes " w:id="35"/>
      <w:bookmarkEnd w:id="35"/>
      <w:r>
        <w:rPr/>
      </w:r>
      <w:bookmarkStart w:name="11. Subsequent Events " w:id="36"/>
      <w:bookmarkEnd w:id="36"/>
      <w:r>
        <w:rPr/>
      </w:r>
      <w:bookmarkStart w:name="12. Subsequent Events (unaudited) " w:id="37"/>
      <w:bookmarkEnd w:id="37"/>
      <w:r>
        <w:rPr/>
      </w:r>
      <w:r>
        <w:rPr/>
        <w:t>beginning October 1, 2022, and accordingly, the current portion of the amount due was reclassified to non-current.</w:t>
      </w:r>
      <w:r>
        <w:rPr>
          <w:spacing w:val="1"/>
        </w:rPr>
        <w:t> </w:t>
      </w:r>
      <w:r>
        <w:rPr/>
        <w:t>Upon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completion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Company</w:t>
      </w:r>
      <w:r>
        <w:rPr>
          <w:spacing w:val="-2"/>
        </w:rPr>
        <w:t> </w:t>
      </w:r>
      <w:r>
        <w:rPr/>
        <w:t>raising</w:t>
      </w:r>
      <w:r>
        <w:rPr>
          <w:spacing w:val="-3"/>
        </w:rPr>
        <w:t> </w:t>
      </w:r>
      <w:r>
        <w:rPr/>
        <w:t>over</w:t>
      </w:r>
      <w:r>
        <w:rPr>
          <w:spacing w:val="-2"/>
        </w:rPr>
        <w:t> </w:t>
      </w:r>
      <w:r>
        <w:rPr/>
        <w:t>$50</w:t>
      </w:r>
      <w:r>
        <w:rPr>
          <w:spacing w:val="-3"/>
        </w:rPr>
        <w:t> </w:t>
      </w:r>
      <w:r>
        <w:rPr/>
        <w:t>million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its</w:t>
      </w:r>
      <w:r>
        <w:rPr>
          <w:spacing w:val="-3"/>
        </w:rPr>
        <w:t> </w:t>
      </w:r>
      <w:r>
        <w:rPr/>
        <w:t>IPO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September</w:t>
      </w:r>
      <w:r>
        <w:rPr>
          <w:spacing w:val="-2"/>
        </w:rPr>
        <w:t> </w:t>
      </w:r>
      <w:r>
        <w:rPr/>
        <w:t>2021,</w:t>
      </w:r>
      <w:r>
        <w:rPr>
          <w:spacing w:val="-3"/>
        </w:rPr>
        <w:t> </w:t>
      </w:r>
      <w:r>
        <w:rPr/>
        <w:t>interest-only</w:t>
      </w:r>
      <w:r>
        <w:rPr>
          <w:spacing w:val="-2"/>
        </w:rPr>
        <w:t> </w:t>
      </w:r>
      <w:r>
        <w:rPr/>
        <w:t>payments</w:t>
      </w:r>
      <w:r>
        <w:rPr>
          <w:spacing w:val="-47"/>
        </w:rPr>
        <w:t> </w:t>
      </w:r>
      <w:r>
        <w:rPr/>
        <w:t>were</w:t>
      </w:r>
      <w:r>
        <w:rPr>
          <w:spacing w:val="-3"/>
        </w:rPr>
        <w:t> </w:t>
      </w:r>
      <w:r>
        <w:rPr/>
        <w:t>extended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additional</w:t>
      </w:r>
      <w:r>
        <w:rPr>
          <w:spacing w:val="-2"/>
        </w:rPr>
        <w:t> </w:t>
      </w:r>
      <w:r>
        <w:rPr/>
        <w:t>12</w:t>
      </w:r>
      <w:r>
        <w:rPr>
          <w:spacing w:val="-1"/>
        </w:rPr>
        <w:t> </w:t>
      </w:r>
      <w:r>
        <w:rPr/>
        <w:t>months</w:t>
      </w:r>
      <w:r>
        <w:rPr>
          <w:spacing w:val="-2"/>
        </w:rPr>
        <w:t> </w:t>
      </w:r>
      <w:r>
        <w:rPr/>
        <w:t>followed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12</w:t>
      </w:r>
      <w:r>
        <w:rPr>
          <w:spacing w:val="-1"/>
        </w:rPr>
        <w:t> </w:t>
      </w:r>
      <w:r>
        <w:rPr/>
        <w:t>months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amortization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principal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interest.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Heading1"/>
        <w:spacing w:line="249" w:lineRule="auto" w:before="68"/>
        <w:ind w:left="3475" w:hanging="2949"/>
        <w:jc w:val="left"/>
      </w:pPr>
      <w:bookmarkStart w:name="Item 2. Management’s Discussion and Anal" w:id="38"/>
      <w:bookmarkEnd w:id="38"/>
      <w:r>
        <w:rPr>
          <w:b w:val="0"/>
        </w:rPr>
      </w:r>
      <w:bookmarkStart w:name="_bookmark7" w:id="39"/>
      <w:bookmarkEnd w:id="39"/>
      <w:r>
        <w:rPr>
          <w:b w:val="0"/>
        </w:rPr>
      </w:r>
      <w:r>
        <w:rPr/>
        <w:t>ITEM</w:t>
      </w:r>
      <w:r>
        <w:rPr>
          <w:spacing w:val="-6"/>
        </w:rPr>
        <w:t> </w:t>
      </w:r>
      <w:r>
        <w:rPr/>
        <w:t>2.</w:t>
      </w:r>
      <w:r>
        <w:rPr>
          <w:spacing w:val="-5"/>
        </w:rPr>
        <w:t> </w:t>
      </w:r>
      <w:r>
        <w:rPr/>
        <w:t>MANAGEMENT’S</w:t>
      </w:r>
      <w:r>
        <w:rPr>
          <w:spacing w:val="-6"/>
        </w:rPr>
        <w:t> </w:t>
      </w:r>
      <w:r>
        <w:rPr/>
        <w:t>DISCUSSION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ANALYSIS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FINANCIAL</w:t>
      </w:r>
      <w:r>
        <w:rPr>
          <w:spacing w:val="-6"/>
        </w:rPr>
        <w:t> </w:t>
      </w:r>
      <w:r>
        <w:rPr/>
        <w:t>CONDITION</w:t>
      </w:r>
      <w:r>
        <w:rPr>
          <w:spacing w:val="-6"/>
        </w:rPr>
        <w:t> </w:t>
      </w:r>
      <w:r>
        <w:rPr/>
        <w:t>AND</w:t>
      </w:r>
      <w:r>
        <w:rPr>
          <w:spacing w:val="1"/>
        </w:rPr>
        <w:t> </w:t>
      </w:r>
      <w:r>
        <w:rPr/>
        <w:t>RESULTS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OPERATIONS</w:t>
      </w:r>
    </w:p>
    <w:p>
      <w:pPr>
        <w:spacing w:line="249" w:lineRule="auto" w:before="185"/>
        <w:ind w:left="100" w:right="225" w:firstLine="360"/>
        <w:jc w:val="left"/>
        <w:rPr>
          <w:i/>
          <w:sz w:val="20"/>
        </w:rPr>
      </w:pPr>
      <w:r>
        <w:rPr>
          <w:i/>
          <w:sz w:val="20"/>
        </w:rPr>
        <w:t>The following discussion and analysis of our financial condition and results of operations together with our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financial statements and related notes included elsewhere in this report. In addition to historical financial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information, the following discussion and analysis contains forward-looking statements that involve risks,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uncertainties and assumptions. Our actual results and timing of selected events may differ materially from those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anticipated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forward-looking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statements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result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factors,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including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those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discussed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section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titled “Risk Factors” and elsewhere in this report. Please also see the section titled “Cautionary Note Regarding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Forward-Looking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Statements.”</w:t>
      </w:r>
    </w:p>
    <w:p>
      <w:pPr>
        <w:pStyle w:val="Heading2"/>
        <w:spacing w:before="183"/>
      </w:pPr>
      <w:bookmarkStart w:name="Overview " w:id="40"/>
      <w:bookmarkEnd w:id="40"/>
      <w:r>
        <w:rPr>
          <w:b w:val="0"/>
        </w:rPr>
      </w:r>
      <w:r>
        <w:rPr/>
        <w:t>Overview</w:t>
      </w:r>
    </w:p>
    <w:p>
      <w:pPr>
        <w:pStyle w:val="BodyText"/>
        <w:spacing w:line="249" w:lineRule="auto" w:before="193"/>
        <w:ind w:right="127"/>
      </w:pPr>
      <w:r>
        <w:rPr/>
        <w:t>We are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surgical</w:t>
      </w:r>
      <w:r>
        <w:rPr>
          <w:spacing w:val="1"/>
        </w:rPr>
        <w:t> </w:t>
      </w:r>
      <w:r>
        <w:rPr/>
        <w:t>robotics</w:t>
      </w:r>
      <w:r>
        <w:rPr>
          <w:spacing w:val="1"/>
        </w:rPr>
        <w:t> </w:t>
      </w:r>
      <w:r>
        <w:rPr/>
        <w:t>company</w:t>
      </w:r>
      <w:r>
        <w:rPr>
          <w:spacing w:val="2"/>
        </w:rPr>
        <w:t> </w:t>
      </w:r>
      <w:r>
        <w:rPr/>
        <w:t>focused</w:t>
      </w:r>
      <w:r>
        <w:rPr>
          <w:spacing w:val="2"/>
        </w:rPr>
        <w:t> </w:t>
      </w:r>
      <w:r>
        <w:rPr/>
        <w:t>on</w:t>
      </w:r>
      <w:r>
        <w:rPr>
          <w:spacing w:val="2"/>
        </w:rPr>
        <w:t> </w:t>
      </w:r>
      <w:r>
        <w:rPr/>
        <w:t>advancing</w:t>
      </w:r>
      <w:r>
        <w:rPr>
          <w:spacing w:val="2"/>
        </w:rPr>
        <w:t> </w:t>
      </w:r>
      <w:r>
        <w:rPr/>
        <w:t>patient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by</w:t>
      </w:r>
      <w:r>
        <w:rPr>
          <w:spacing w:val="2"/>
        </w:rPr>
        <w:t> </w:t>
      </w:r>
      <w:r>
        <w:rPr/>
        <w:t>developing</w:t>
      </w:r>
      <w:r>
        <w:rPr>
          <w:spacing w:val="2"/>
        </w:rPr>
        <w:t> </w:t>
      </w:r>
      <w:r>
        <w:rPr/>
        <w:t>transformative</w:t>
      </w:r>
      <w:r>
        <w:rPr>
          <w:spacing w:val="1"/>
        </w:rPr>
        <w:t> </w:t>
      </w:r>
      <w:r>
        <w:rPr/>
        <w:t>solutions</w:t>
      </w:r>
      <w:r>
        <w:rPr>
          <w:spacing w:val="1"/>
        </w:rPr>
        <w:t> </w:t>
      </w:r>
      <w:r>
        <w:rPr/>
        <w:t>in urology. We develop, manufacture and sell the AquaBeam Robotic System, an advanced, image-guided, surgical</w:t>
      </w:r>
      <w:r>
        <w:rPr>
          <w:spacing w:val="1"/>
        </w:rPr>
        <w:t> </w:t>
      </w:r>
      <w:r>
        <w:rPr/>
        <w:t>robotic system for use in minimally invasive urologic surgery, with an initial focus on treating benign prostatic</w:t>
      </w:r>
      <w:r>
        <w:rPr>
          <w:spacing w:val="1"/>
        </w:rPr>
        <w:t> </w:t>
      </w:r>
      <w:r>
        <w:rPr/>
        <w:t>hyperplasia, or BPH. BPH is the most common prostate disease and impacts approximately 40 million men in the</w:t>
      </w:r>
      <w:r>
        <w:rPr>
          <w:spacing w:val="1"/>
        </w:rPr>
        <w:t> </w:t>
      </w:r>
      <w:r>
        <w:rPr/>
        <w:t>United States. The AquaBeam Robotic System employs a single-use disposable handpiece to deliver our proprietary</w:t>
      </w:r>
      <w:r>
        <w:rPr>
          <w:spacing w:val="1"/>
        </w:rPr>
        <w:t> </w:t>
      </w:r>
      <w:r>
        <w:rPr/>
        <w:t>Aquablation therapy, which combines real-time, multi-dimensional imaging, personalized treatment planning,</w:t>
      </w:r>
      <w:r>
        <w:rPr>
          <w:spacing w:val="1"/>
        </w:rPr>
        <w:t> </w:t>
      </w:r>
      <w:r>
        <w:rPr/>
        <w:t>automated</w:t>
      </w:r>
      <w:r>
        <w:rPr>
          <w:spacing w:val="-3"/>
        </w:rPr>
        <w:t> </w:t>
      </w:r>
      <w:r>
        <w:rPr/>
        <w:t>robotics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heat-free</w:t>
      </w:r>
      <w:r>
        <w:rPr>
          <w:spacing w:val="-4"/>
        </w:rPr>
        <w:t> </w:t>
      </w:r>
      <w:r>
        <w:rPr/>
        <w:t>waterjet</w:t>
      </w:r>
      <w:r>
        <w:rPr>
          <w:spacing w:val="-4"/>
        </w:rPr>
        <w:t> </w:t>
      </w:r>
      <w:r>
        <w:rPr/>
        <w:t>ablation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targeted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rapid</w:t>
      </w:r>
      <w:r>
        <w:rPr>
          <w:spacing w:val="-3"/>
        </w:rPr>
        <w:t> </w:t>
      </w:r>
      <w:r>
        <w:rPr/>
        <w:t>removal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prostate</w:t>
      </w:r>
      <w:r>
        <w:rPr>
          <w:spacing w:val="-4"/>
        </w:rPr>
        <w:t> </w:t>
      </w:r>
      <w:r>
        <w:rPr/>
        <w:t>tissue.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designed</w:t>
      </w:r>
      <w:r>
        <w:rPr>
          <w:spacing w:val="-3"/>
        </w:rPr>
        <w:t> </w:t>
      </w:r>
      <w:r>
        <w:rPr/>
        <w:t>our</w:t>
      </w:r>
      <w:r>
        <w:rPr>
          <w:spacing w:val="-47"/>
        </w:rPr>
        <w:t> </w:t>
      </w:r>
      <w:r>
        <w:rPr/>
        <w:t>AquaBeam Robotic System to enable consistent and reproducible BPH surgery outcomes. We believe that</w:t>
      </w:r>
      <w:r>
        <w:rPr>
          <w:spacing w:val="1"/>
        </w:rPr>
        <w:t> </w:t>
      </w:r>
      <w:r>
        <w:rPr/>
        <w:t>Aquablation therapy represents a paradigm shift in the surgical treatment of BPH by addressing compromises</w:t>
      </w:r>
      <w:r>
        <w:rPr>
          <w:spacing w:val="1"/>
        </w:rPr>
        <w:t> </w:t>
      </w:r>
      <w:r>
        <w:rPr/>
        <w:t>associated with alternative surgical interventions. We designed Aquablation therapy to deliver effective, safe and</w:t>
      </w:r>
      <w:r>
        <w:rPr>
          <w:spacing w:val="1"/>
        </w:rPr>
        <w:t> </w:t>
      </w:r>
      <w:r>
        <w:rPr/>
        <w:t>durable</w:t>
      </w:r>
      <w:r>
        <w:rPr>
          <w:spacing w:val="-4"/>
        </w:rPr>
        <w:t> </w:t>
      </w:r>
      <w:r>
        <w:rPr/>
        <w:t>outcomes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males</w:t>
      </w:r>
      <w:r>
        <w:rPr>
          <w:spacing w:val="-3"/>
        </w:rPr>
        <w:t> </w:t>
      </w:r>
      <w:r>
        <w:rPr/>
        <w:t>suffering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lower</w:t>
      </w:r>
      <w:r>
        <w:rPr>
          <w:spacing w:val="-2"/>
        </w:rPr>
        <w:t> </w:t>
      </w:r>
      <w:r>
        <w:rPr/>
        <w:t>urinary</w:t>
      </w:r>
      <w:r>
        <w:rPr>
          <w:spacing w:val="-2"/>
        </w:rPr>
        <w:t> </w:t>
      </w:r>
      <w:r>
        <w:rPr/>
        <w:t>tract</w:t>
      </w:r>
      <w:r>
        <w:rPr>
          <w:spacing w:val="-4"/>
        </w:rPr>
        <w:t> </w:t>
      </w:r>
      <w:r>
        <w:rPr/>
        <w:t>symptoms,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LUTS,</w:t>
      </w:r>
      <w:r>
        <w:rPr>
          <w:spacing w:val="-2"/>
        </w:rPr>
        <w:t> </w:t>
      </w:r>
      <w:r>
        <w:rPr/>
        <w:t>due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BPH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independent</w:t>
      </w:r>
      <w:r>
        <w:rPr>
          <w:spacing w:val="-47"/>
        </w:rPr>
        <w:t> </w:t>
      </w:r>
      <w:r>
        <w:rPr/>
        <w:t>of prostate size and shape or surgeon experience. We have developed a significant and growing body of clinical</w:t>
      </w:r>
      <w:r>
        <w:rPr>
          <w:spacing w:val="1"/>
        </w:rPr>
        <w:t> </w:t>
      </w:r>
      <w:r>
        <w:rPr/>
        <w:t>evidence, which includes nine clinical studies and over 100 peer-reviewed publications, supporting the benefits and</w:t>
      </w:r>
      <w:r>
        <w:rPr>
          <w:spacing w:val="1"/>
        </w:rPr>
        <w:t> </w:t>
      </w:r>
      <w:r>
        <w:rPr/>
        <w:t>clinical advantages of Aquablation therapy. As of September 30, 2021, we had an install base of 125 AquaBeam</w:t>
      </w:r>
      <w:r>
        <w:rPr>
          <w:spacing w:val="1"/>
        </w:rPr>
        <w:t> </w:t>
      </w:r>
      <w:r>
        <w:rPr/>
        <w:t>Robotic</w:t>
      </w:r>
      <w:r>
        <w:rPr>
          <w:spacing w:val="-2"/>
        </w:rPr>
        <w:t> </w:t>
      </w:r>
      <w:r>
        <w:rPr/>
        <w:t>Systems</w:t>
      </w:r>
      <w:r>
        <w:rPr>
          <w:spacing w:val="-1"/>
        </w:rPr>
        <w:t> </w:t>
      </w:r>
      <w:r>
        <w:rPr/>
        <w:t>globally and 75</w:t>
      </w:r>
      <w:r>
        <w:rPr>
          <w:spacing w:val="-1"/>
        </w:rPr>
        <w:t> </w:t>
      </w:r>
      <w:r>
        <w:rPr/>
        <w:t>in the</w:t>
      </w:r>
      <w:r>
        <w:rPr>
          <w:spacing w:val="-1"/>
        </w:rPr>
        <w:t> </w:t>
      </w:r>
      <w:r>
        <w:rPr/>
        <w:t>United States.</w:t>
      </w:r>
    </w:p>
    <w:p>
      <w:pPr>
        <w:pStyle w:val="BodyText"/>
        <w:spacing w:line="249" w:lineRule="auto" w:before="192"/>
        <w:ind w:right="118"/>
      </w:pPr>
      <w:r>
        <w:rPr/>
        <w:t>Our U.S. pivotal trial, the WATER study, is the only FDA pivotal study randomized against transurethral</w:t>
      </w:r>
      <w:r>
        <w:rPr>
          <w:spacing w:val="1"/>
        </w:rPr>
        <w:t> </w:t>
      </w:r>
      <w:r>
        <w:rPr/>
        <w:t>resection of prostate, or TURP, which is the historical standard of care for the surgical treatment of BPH. In this</w:t>
      </w:r>
      <w:r>
        <w:rPr>
          <w:spacing w:val="1"/>
        </w:rPr>
        <w:t> </w:t>
      </w:r>
      <w:r>
        <w:rPr/>
        <w:t>study, Aquablation therapy demonstrated superior safety and non-inferior efficacy compared to TURP across</w:t>
      </w:r>
      <w:r>
        <w:rPr>
          <w:spacing w:val="1"/>
        </w:rPr>
        <w:t> </w:t>
      </w:r>
      <w:r>
        <w:rPr/>
        <w:t>prostate</w:t>
      </w:r>
      <w:r>
        <w:rPr>
          <w:spacing w:val="-4"/>
        </w:rPr>
        <w:t> </w:t>
      </w:r>
      <w:r>
        <w:rPr/>
        <w:t>sizes</w:t>
      </w:r>
      <w:r>
        <w:rPr>
          <w:spacing w:val="-3"/>
        </w:rPr>
        <w:t> </w:t>
      </w:r>
      <w:r>
        <w:rPr/>
        <w:t>between</w:t>
      </w:r>
      <w:r>
        <w:rPr>
          <w:spacing w:val="-2"/>
        </w:rPr>
        <w:t> </w:t>
      </w:r>
      <w:r>
        <w:rPr/>
        <w:t>30</w:t>
      </w:r>
      <w:r>
        <w:rPr>
          <w:spacing w:val="-3"/>
        </w:rPr>
        <w:t> </w:t>
      </w:r>
      <w:r>
        <w:rPr/>
        <w:t>ml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80</w:t>
      </w:r>
      <w:r>
        <w:rPr>
          <w:spacing w:val="-2"/>
        </w:rPr>
        <w:t> </w:t>
      </w:r>
      <w:r>
        <w:rPr/>
        <w:t>ml,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superior</w:t>
      </w:r>
      <w:r>
        <w:rPr>
          <w:spacing w:val="-2"/>
        </w:rPr>
        <w:t> </w:t>
      </w:r>
      <w:r>
        <w:rPr/>
        <w:t>efficacy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subset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patients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prostates</w:t>
      </w:r>
      <w:r>
        <w:rPr>
          <w:spacing w:val="-3"/>
        </w:rPr>
        <w:t> </w:t>
      </w:r>
      <w:r>
        <w:rPr/>
        <w:t>larger</w:t>
      </w:r>
      <w:r>
        <w:rPr>
          <w:spacing w:val="-3"/>
        </w:rPr>
        <w:t> </w:t>
      </w:r>
      <w:r>
        <w:rPr/>
        <w:t>than</w:t>
      </w:r>
      <w:r>
        <w:rPr>
          <w:spacing w:val="-2"/>
        </w:rPr>
        <w:t> </w:t>
      </w:r>
      <w:r>
        <w:rPr/>
        <w:t>50</w:t>
      </w:r>
      <w:r>
        <w:rPr>
          <w:spacing w:val="-2"/>
        </w:rPr>
        <w:t> </w:t>
      </w:r>
      <w:r>
        <w:rPr/>
        <w:t>ml.</w:t>
      </w:r>
      <w:r>
        <w:rPr>
          <w:spacing w:val="-47"/>
        </w:rPr>
        <w:t> </w:t>
      </w:r>
      <w:r>
        <w:rPr/>
        <w:t>We have established strong relationships with key opinion leaders, or KOLs, within the urology community and</w:t>
      </w:r>
      <w:r>
        <w:rPr>
          <w:spacing w:val="1"/>
        </w:rPr>
        <w:t> </w:t>
      </w:r>
      <w:r>
        <w:rPr/>
        <w:t>collaborated with key urological societies in global markets. This support has been instrumental in facilitating</w:t>
      </w:r>
      <w:r>
        <w:rPr>
          <w:spacing w:val="1"/>
        </w:rPr>
        <w:t> </w:t>
      </w:r>
      <w:r>
        <w:rPr/>
        <w:t>broader acceptance and adoption of Aquablation therapy. As a result of our strong KOL network and our compelling</w:t>
      </w:r>
      <w:r>
        <w:rPr>
          <w:spacing w:val="-47"/>
        </w:rPr>
        <w:t> </w:t>
      </w:r>
      <w:r>
        <w:rPr/>
        <w:t>clinical evidence, Aquablation therapy has been added to clinical guidelines of various professional associations,</w:t>
      </w:r>
      <w:r>
        <w:rPr>
          <w:spacing w:val="1"/>
        </w:rPr>
        <w:t> </w:t>
      </w:r>
      <w:r>
        <w:rPr/>
        <w:t>including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American Urological</w:t>
      </w:r>
      <w:r>
        <w:rPr>
          <w:spacing w:val="-1"/>
        </w:rPr>
        <w:t> </w:t>
      </w:r>
      <w:r>
        <w:rPr/>
        <w:t>Association.</w:t>
      </w:r>
    </w:p>
    <w:p>
      <w:pPr>
        <w:pStyle w:val="BodyText"/>
        <w:spacing w:line="249" w:lineRule="auto" w:before="188"/>
        <w:ind w:right="194"/>
      </w:pPr>
      <w:r>
        <w:rPr/>
        <w:t>In the United States, we sell our products to hospitals. We are initially targeting 860 high-volume hospitals that</w:t>
      </w:r>
      <w:r>
        <w:rPr>
          <w:spacing w:val="-47"/>
        </w:rPr>
        <w:t> </w:t>
      </w:r>
      <w:r>
        <w:rPr/>
        <w:t>perform, on average, more than 200 resective procedures annually and account for approximately 70% of all</w:t>
      </w:r>
      <w:r>
        <w:rPr>
          <w:spacing w:val="1"/>
        </w:rPr>
        <w:t> </w:t>
      </w:r>
      <w:r>
        <w:rPr/>
        <w:t>hospital-based resective procedures. Over time, we will gradually expand our focus to also include mid- and low-</w:t>
      </w:r>
      <w:r>
        <w:rPr>
          <w:spacing w:val="1"/>
        </w:rPr>
        <w:t> </w:t>
      </w:r>
      <w:r>
        <w:rPr/>
        <w:t>volume hospitals. These customers in turn bill various third-party payors, such as commercial payors and</w:t>
      </w:r>
      <w:r>
        <w:rPr>
          <w:spacing w:val="1"/>
        </w:rPr>
        <w:t> </w:t>
      </w:r>
      <w:r>
        <w:rPr/>
        <w:t>government agencies, for treatment payment of each patient. Effective in 2021, all local Medicare Administrative</w:t>
      </w:r>
      <w:r>
        <w:rPr>
          <w:spacing w:val="1"/>
        </w:rPr>
        <w:t> </w:t>
      </w:r>
      <w:r>
        <w:rPr/>
        <w:t>Contractors, or MACs, which represent 100% of eligible Medicare patients, issued final positive local coverage</w:t>
      </w:r>
      <w:r>
        <w:rPr>
          <w:spacing w:val="1"/>
        </w:rPr>
        <w:t> </w:t>
      </w:r>
      <w:r>
        <w:rPr/>
        <w:t>determinations to provide Medicare beneficiaries with access to Aquablation therapy in all 50 states. We also have</w:t>
      </w:r>
      <w:r>
        <w:rPr>
          <w:spacing w:val="1"/>
        </w:rPr>
        <w:t> </w:t>
      </w:r>
      <w:r>
        <w:rPr/>
        <w:t>favorable</w:t>
      </w:r>
      <w:r>
        <w:rPr>
          <w:spacing w:val="-5"/>
        </w:rPr>
        <w:t> </w:t>
      </w:r>
      <w:r>
        <w:rPr/>
        <w:t>coverage</w:t>
      </w:r>
      <w:r>
        <w:rPr>
          <w:spacing w:val="-5"/>
        </w:rPr>
        <w:t> </w:t>
      </w:r>
      <w:r>
        <w:rPr/>
        <w:t>decisions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several</w:t>
      </w:r>
      <w:r>
        <w:rPr>
          <w:spacing w:val="-4"/>
        </w:rPr>
        <w:t> </w:t>
      </w:r>
      <w:r>
        <w:rPr/>
        <w:t>large</w:t>
      </w:r>
      <w:r>
        <w:rPr>
          <w:spacing w:val="-5"/>
        </w:rPr>
        <w:t> </w:t>
      </w:r>
      <w:r>
        <w:rPr/>
        <w:t>commercial</w:t>
      </w:r>
      <w:r>
        <w:rPr>
          <w:spacing w:val="-5"/>
        </w:rPr>
        <w:t> </w:t>
      </w:r>
      <w:r>
        <w:rPr/>
        <w:t>payors,</w:t>
      </w:r>
      <w:r>
        <w:rPr>
          <w:spacing w:val="-4"/>
        </w:rPr>
        <w:t> </w:t>
      </w:r>
      <w:r>
        <w:rPr/>
        <w:t>including</w:t>
      </w:r>
      <w:r>
        <w:rPr>
          <w:spacing w:val="-4"/>
        </w:rPr>
        <w:t> </w:t>
      </w:r>
      <w:r>
        <w:rPr/>
        <w:t>Anthem,</w:t>
      </w:r>
      <w:r>
        <w:rPr>
          <w:spacing w:val="-4"/>
        </w:rPr>
        <w:t> </w:t>
      </w:r>
      <w:r>
        <w:rPr/>
        <w:t>BlueCross</w:t>
      </w:r>
      <w:r>
        <w:rPr>
          <w:spacing w:val="-5"/>
        </w:rPr>
        <w:t> </w:t>
      </w:r>
      <w:r>
        <w:rPr/>
        <w:t>–</w:t>
      </w:r>
      <w:r>
        <w:rPr>
          <w:spacing w:val="-3"/>
        </w:rPr>
        <w:t> </w:t>
      </w:r>
      <w:r>
        <w:rPr/>
        <w:t>Massachusetts,</w:t>
      </w:r>
      <w:r>
        <w:rPr>
          <w:spacing w:val="-47"/>
        </w:rPr>
        <w:t> </w:t>
      </w:r>
      <w:r>
        <w:rPr/>
        <w:t>Cigna, Emblem Health, Health Care Service Corp, and Humana. We plan to leverage these recent successes in our</w:t>
      </w:r>
      <w:r>
        <w:rPr>
          <w:spacing w:val="1"/>
        </w:rPr>
        <w:t> </w:t>
      </w:r>
      <w:r>
        <w:rPr/>
        <w:t>active discussions with all commercial payors to establish additional positive national and regional coverage</w:t>
      </w:r>
      <w:r>
        <w:rPr>
          <w:spacing w:val="1"/>
        </w:rPr>
        <w:t> </w:t>
      </w:r>
      <w:r>
        <w:rPr/>
        <w:t>policies. Outside of the United States, we have ongoing efforts in key markets to expand established coverage and</w:t>
      </w:r>
      <w:r>
        <w:rPr>
          <w:spacing w:val="1"/>
        </w:rPr>
        <w:t> </w:t>
      </w:r>
      <w:r>
        <w:rPr/>
        <w:t>improve</w:t>
      </w:r>
      <w:r>
        <w:rPr>
          <w:spacing w:val="-2"/>
        </w:rPr>
        <w:t> </w:t>
      </w:r>
      <w:r>
        <w:rPr/>
        <w:t>payment</w:t>
      </w:r>
      <w:r>
        <w:rPr>
          <w:spacing w:val="-2"/>
        </w:rPr>
        <w:t> </w:t>
      </w:r>
      <w:r>
        <w:rPr/>
        <w:t>which we</w:t>
      </w:r>
      <w:r>
        <w:rPr>
          <w:spacing w:val="-2"/>
        </w:rPr>
        <w:t> </w:t>
      </w:r>
      <w:r>
        <w:rPr/>
        <w:t>believe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expand</w:t>
      </w:r>
      <w:r>
        <w:rPr>
          <w:spacing w:val="-1"/>
        </w:rPr>
        <w:t> </w:t>
      </w:r>
      <w:r>
        <w:rPr/>
        <w:t>patient</w:t>
      </w:r>
      <w:r>
        <w:rPr>
          <w:spacing w:val="-1"/>
        </w:rPr>
        <w:t> </w:t>
      </w:r>
      <w:r>
        <w:rPr/>
        <w:t>access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Aquablation therapy.</w:t>
      </w:r>
    </w:p>
    <w:p>
      <w:pPr>
        <w:pStyle w:val="BodyText"/>
        <w:spacing w:line="249" w:lineRule="auto"/>
        <w:ind w:right="180"/>
      </w:pPr>
      <w:r>
        <w:rPr/>
        <w:t>We manufacture the AquaBeam Robotic System, the handpiece, integrated scope and other accessories at our</w:t>
      </w:r>
      <w:r>
        <w:rPr>
          <w:spacing w:val="1"/>
        </w:rPr>
        <w:t> </w:t>
      </w:r>
      <w:r>
        <w:rPr/>
        <w:t>facility in Redwood City, California. This includes supporting the supply chain distribution and logistics of the</w:t>
      </w:r>
      <w:r>
        <w:rPr>
          <w:spacing w:val="1"/>
        </w:rPr>
        <w:t> </w:t>
      </w:r>
      <w:r>
        <w:rPr/>
        <w:t>various</w:t>
      </w:r>
      <w:r>
        <w:rPr>
          <w:spacing w:val="-5"/>
        </w:rPr>
        <w:t> </w:t>
      </w:r>
      <w:r>
        <w:rPr/>
        <w:t>components.</w:t>
      </w:r>
      <w:r>
        <w:rPr>
          <w:spacing w:val="-3"/>
        </w:rPr>
        <w:t> </w:t>
      </w:r>
      <w:r>
        <w:rPr/>
        <w:t>Components,</w:t>
      </w:r>
      <w:r>
        <w:rPr>
          <w:spacing w:val="-4"/>
        </w:rPr>
        <w:t> </w:t>
      </w:r>
      <w:r>
        <w:rPr/>
        <w:t>sub-assemblies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services</w:t>
      </w:r>
      <w:r>
        <w:rPr>
          <w:spacing w:val="-5"/>
        </w:rPr>
        <w:t> </w:t>
      </w:r>
      <w:r>
        <w:rPr/>
        <w:t>required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manufacture</w:t>
      </w:r>
      <w:r>
        <w:rPr>
          <w:spacing w:val="-5"/>
        </w:rPr>
        <w:t> </w:t>
      </w:r>
      <w:r>
        <w:rPr/>
        <w:t>our</w:t>
      </w:r>
      <w:r>
        <w:rPr>
          <w:spacing w:val="-3"/>
        </w:rPr>
        <w:t> </w:t>
      </w:r>
      <w:r>
        <w:rPr/>
        <w:t>products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purchased</w:t>
      </w:r>
    </w:p>
    <w:p>
      <w:pPr>
        <w:spacing w:after="0" w:line="249" w:lineRule="auto"/>
        <w:sectPr>
          <w:pgSz w:w="12240" w:h="15840"/>
          <w:pgMar w:header="0" w:footer="741" w:top="1320" w:bottom="1020" w:left="1340" w:right="1320"/>
        </w:sectPr>
      </w:pPr>
    </w:p>
    <w:p>
      <w:pPr>
        <w:pStyle w:val="BodyText"/>
        <w:spacing w:line="249" w:lineRule="auto" w:before="72"/>
        <w:ind w:right="475" w:firstLine="0"/>
        <w:jc w:val="both"/>
      </w:pPr>
      <w:r>
        <w:rPr/>
        <w:t>from</w:t>
      </w:r>
      <w:r>
        <w:rPr>
          <w:spacing w:val="-4"/>
        </w:rPr>
        <w:t> </w:t>
      </w:r>
      <w:r>
        <w:rPr/>
        <w:t>numerous</w:t>
      </w:r>
      <w:r>
        <w:rPr>
          <w:spacing w:val="-4"/>
        </w:rPr>
        <w:t> </w:t>
      </w:r>
      <w:r>
        <w:rPr/>
        <w:t>global</w:t>
      </w:r>
      <w:r>
        <w:rPr>
          <w:spacing w:val="-3"/>
        </w:rPr>
        <w:t> </w:t>
      </w:r>
      <w:r>
        <w:rPr/>
        <w:t>suppliers.</w:t>
      </w:r>
      <w:r>
        <w:rPr>
          <w:spacing w:val="-3"/>
        </w:rPr>
        <w:t> </w:t>
      </w:r>
      <w:r>
        <w:rPr/>
        <w:t>Each</w:t>
      </w:r>
      <w:r>
        <w:rPr>
          <w:spacing w:val="-2"/>
        </w:rPr>
        <w:t> </w:t>
      </w:r>
      <w:r>
        <w:rPr/>
        <w:t>AquaBeam</w:t>
      </w:r>
      <w:r>
        <w:rPr>
          <w:spacing w:val="-4"/>
        </w:rPr>
        <w:t> </w:t>
      </w:r>
      <w:r>
        <w:rPr/>
        <w:t>Robotic</w:t>
      </w:r>
      <w:r>
        <w:rPr>
          <w:spacing w:val="-3"/>
        </w:rPr>
        <w:t> </w:t>
      </w:r>
      <w:r>
        <w:rPr/>
        <w:t>System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shipped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customers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third-party</w:t>
      </w:r>
      <w:r>
        <w:rPr>
          <w:spacing w:val="-48"/>
        </w:rPr>
        <w:t> </w:t>
      </w:r>
      <w:r>
        <w:rPr/>
        <w:t>manufactured ultrasound system and probe. We utilize a well-known third-party logistics provider located in the</w:t>
      </w:r>
      <w:r>
        <w:rPr>
          <w:spacing w:val="-47"/>
        </w:rPr>
        <w:t> </w:t>
      </w:r>
      <w:r>
        <w:rPr/>
        <w:t>United</w:t>
      </w:r>
      <w:r>
        <w:rPr>
          <w:spacing w:val="-1"/>
        </w:rPr>
        <w:t> </w:t>
      </w:r>
      <w:r>
        <w:rPr/>
        <w:t>States</w:t>
      </w:r>
      <w:r>
        <w:rPr>
          <w:spacing w:val="-2"/>
        </w:rPr>
        <w:t> </w:t>
      </w:r>
      <w:r>
        <w:rPr/>
        <w:t>and the</w:t>
      </w:r>
      <w:r>
        <w:rPr>
          <w:spacing w:val="-2"/>
        </w:rPr>
        <w:t> </w:t>
      </w:r>
      <w:r>
        <w:rPr/>
        <w:t>Netherlands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ship our</w:t>
      </w:r>
      <w:r>
        <w:rPr>
          <w:spacing w:val="-1"/>
        </w:rPr>
        <w:t> </w:t>
      </w:r>
      <w:r>
        <w:rPr/>
        <w:t>products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our customers</w:t>
      </w:r>
      <w:r>
        <w:rPr>
          <w:spacing w:val="-2"/>
        </w:rPr>
        <w:t> </w:t>
      </w:r>
      <w:r>
        <w:rPr/>
        <w:t>globally.</w:t>
      </w:r>
    </w:p>
    <w:p>
      <w:pPr>
        <w:pStyle w:val="BodyText"/>
        <w:spacing w:line="249" w:lineRule="auto" w:before="182"/>
      </w:pPr>
      <w:r>
        <w:rPr/>
        <w:t>We generated revenue of $24.3 million and incurred a net loss of $41.5 million for the nine months ended</w:t>
      </w:r>
      <w:r>
        <w:rPr>
          <w:spacing w:val="1"/>
        </w:rPr>
        <w:t> </w:t>
      </w:r>
      <w:r>
        <w:rPr/>
        <w:t>September</w:t>
      </w:r>
      <w:r>
        <w:rPr>
          <w:spacing w:val="-2"/>
        </w:rPr>
        <w:t> </w:t>
      </w:r>
      <w:r>
        <w:rPr/>
        <w:t>30,</w:t>
      </w:r>
      <w:r>
        <w:rPr>
          <w:spacing w:val="-2"/>
        </w:rPr>
        <w:t> </w:t>
      </w:r>
      <w:r>
        <w:rPr/>
        <w:t>2021,</w:t>
      </w:r>
      <w:r>
        <w:rPr>
          <w:spacing w:val="-1"/>
        </w:rPr>
        <w:t> </w:t>
      </w:r>
      <w:r>
        <w:rPr/>
        <w:t>compared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revenue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$4.5</w:t>
      </w:r>
      <w:r>
        <w:rPr>
          <w:spacing w:val="-1"/>
        </w:rPr>
        <w:t> </w:t>
      </w:r>
      <w:r>
        <w:rPr/>
        <w:t>million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net</w:t>
      </w:r>
      <w:r>
        <w:rPr>
          <w:spacing w:val="-3"/>
        </w:rPr>
        <w:t> </w:t>
      </w:r>
      <w:r>
        <w:rPr/>
        <w:t>loss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$37.7</w:t>
      </w:r>
      <w:r>
        <w:rPr>
          <w:spacing w:val="-1"/>
        </w:rPr>
        <w:t> </w:t>
      </w:r>
      <w:r>
        <w:rPr/>
        <w:t>million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nine</w:t>
      </w:r>
      <w:r>
        <w:rPr>
          <w:spacing w:val="-3"/>
        </w:rPr>
        <w:t> </w:t>
      </w:r>
      <w:r>
        <w:rPr/>
        <w:t>months</w:t>
      </w:r>
      <w:r>
        <w:rPr>
          <w:spacing w:val="-2"/>
        </w:rPr>
        <w:t> </w:t>
      </w:r>
      <w:r>
        <w:rPr/>
        <w:t>ended</w:t>
      </w:r>
      <w:r>
        <w:rPr>
          <w:spacing w:val="-47"/>
        </w:rPr>
        <w:t> </w:t>
      </w:r>
      <w:r>
        <w:rPr/>
        <w:t>September 30, 2020. As of September 30, 2021, we had cash and cash equivalents of $320.5 million and an</w:t>
      </w:r>
      <w:r>
        <w:rPr>
          <w:spacing w:val="1"/>
        </w:rPr>
        <w:t> </w:t>
      </w:r>
      <w:r>
        <w:rPr/>
        <w:t>accumulated</w:t>
      </w:r>
      <w:r>
        <w:rPr>
          <w:spacing w:val="-1"/>
        </w:rPr>
        <w:t> </w:t>
      </w:r>
      <w:r>
        <w:rPr/>
        <w:t>deficit</w:t>
      </w:r>
      <w:r>
        <w:rPr>
          <w:spacing w:val="-1"/>
        </w:rPr>
        <w:t> </w:t>
      </w:r>
      <w:r>
        <w:rPr/>
        <w:t>of $243.2 million.</w:t>
      </w:r>
    </w:p>
    <w:p>
      <w:pPr>
        <w:pStyle w:val="BodyText"/>
        <w:spacing w:line="249" w:lineRule="auto" w:before="183"/>
        <w:ind w:right="150"/>
      </w:pPr>
      <w:r>
        <w:rPr/>
        <w:t>We completed our IPO in September 2021, which raised $172.4 million, net of issuance costs. Previously, our</w:t>
      </w:r>
      <w:r>
        <w:rPr>
          <w:spacing w:val="1"/>
        </w:rPr>
        <w:t> </w:t>
      </w:r>
      <w:r>
        <w:rPr/>
        <w:t>primary sources of capital have been from private placements of redeemable convertible preferred securities and</w:t>
      </w:r>
      <w:r>
        <w:rPr>
          <w:spacing w:val="1"/>
        </w:rPr>
        <w:t> </w:t>
      </w:r>
      <w:r>
        <w:rPr/>
        <w:t>debt financing agreements. As of September 30, 2021, we have raised $337.1 million from private placements of</w:t>
      </w:r>
      <w:r>
        <w:rPr>
          <w:spacing w:val="1"/>
        </w:rPr>
        <w:t> </w:t>
      </w:r>
      <w:r>
        <w:rPr/>
        <w:t>redeemable convertible preferred securities from our investors. We expect our expenses will increase for the</w:t>
      </w:r>
      <w:r>
        <w:rPr>
          <w:spacing w:val="1"/>
        </w:rPr>
        <w:t> </w:t>
      </w:r>
      <w:r>
        <w:rPr/>
        <w:t>foreseeable future, in particular as we continue to make substantial investments in sales and marketing, operations</w:t>
      </w:r>
      <w:r>
        <w:rPr>
          <w:spacing w:val="1"/>
        </w:rPr>
        <w:t> </w:t>
      </w:r>
      <w:r>
        <w:rPr/>
        <w:t>and research and development. Moreover, we expect to incur additional expenses as a result of operating as a public</w:t>
      </w:r>
      <w:r>
        <w:rPr>
          <w:spacing w:val="-47"/>
        </w:rPr>
        <w:t> </w:t>
      </w:r>
      <w:r>
        <w:rPr/>
        <w:t>company, including legal, accounting, insurance, compliance with the rules and regulations of the SEC and those of</w:t>
      </w:r>
      <w:r>
        <w:rPr>
          <w:spacing w:val="1"/>
        </w:rPr>
        <w:t> </w:t>
      </w:r>
      <w:r>
        <w:rPr/>
        <w:t>any stock exchange on which our securities are traded, investor relations, and other administrative and professional</w:t>
      </w:r>
      <w:r>
        <w:rPr>
          <w:spacing w:val="1"/>
        </w:rPr>
        <w:t> </w:t>
      </w:r>
      <w:r>
        <w:rPr/>
        <w:t>services expenses. Based on our operating plan, we currently believe that our existing cash and cash equivalents,</w:t>
      </w:r>
      <w:r>
        <w:rPr>
          <w:spacing w:val="1"/>
        </w:rPr>
        <w:t> </w:t>
      </w:r>
      <w:r>
        <w:rPr/>
        <w:t>anticipated revenue and available debt financing arrangements will be sufficient to meet our capital requirements</w:t>
      </w:r>
      <w:r>
        <w:rPr>
          <w:spacing w:val="1"/>
        </w:rPr>
        <w:t> </w:t>
      </w:r>
      <w:r>
        <w:rPr/>
        <w:t>and fund our operations through at least the next twelve months from the issuance date of these financial statements.</w:t>
      </w:r>
      <w:r>
        <w:rPr>
          <w:spacing w:val="-47"/>
        </w:rPr>
        <w:t> </w:t>
      </w:r>
      <w:r>
        <w:rPr/>
        <w:t>If these sources are insufficient to satisfy our liquidity requirements, we may seek to sell additional public equity or</w:t>
      </w:r>
      <w:r>
        <w:rPr>
          <w:spacing w:val="1"/>
        </w:rPr>
        <w:t> </w:t>
      </w:r>
      <w:r>
        <w:rPr/>
        <w:t>debt securities or obtain an additional credit facility. The sale of equity and convertible debt securities may result in</w:t>
      </w:r>
      <w:r>
        <w:rPr>
          <w:spacing w:val="1"/>
        </w:rPr>
        <w:t> </w:t>
      </w:r>
      <w:r>
        <w:rPr/>
        <w:t>dilution to our stockholders and, in the case of preferred equity securities or convertible debt, those securities could</w:t>
      </w:r>
      <w:r>
        <w:rPr>
          <w:spacing w:val="1"/>
        </w:rPr>
        <w:t> </w:t>
      </w:r>
      <w:r>
        <w:rPr/>
        <w:t>provide for rights, preferences or privileges senior to those of our common stock. Debt financing, if available, may</w:t>
      </w:r>
      <w:r>
        <w:rPr>
          <w:spacing w:val="1"/>
        </w:rPr>
        <w:t> </w:t>
      </w:r>
      <w:r>
        <w:rPr/>
        <w:t>involve covenants restricting our operations or our ability to incur additional debt. Any debt financing or additional</w:t>
      </w:r>
      <w:r>
        <w:rPr>
          <w:spacing w:val="1"/>
        </w:rPr>
        <w:t> </w:t>
      </w:r>
      <w:r>
        <w:rPr/>
        <w:t>equity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raise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contain</w:t>
      </w:r>
      <w:r>
        <w:rPr>
          <w:spacing w:val="-2"/>
        </w:rPr>
        <w:t> </w:t>
      </w:r>
      <w:r>
        <w:rPr/>
        <w:t>terms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favorable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us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stockholders.</w:t>
      </w:r>
      <w:r>
        <w:rPr>
          <w:spacing w:val="-2"/>
        </w:rPr>
        <w:t> </w:t>
      </w:r>
      <w:r>
        <w:rPr/>
        <w:t>Additional</w:t>
      </w:r>
      <w:r>
        <w:rPr>
          <w:spacing w:val="-3"/>
        </w:rPr>
        <w:t> </w:t>
      </w:r>
      <w:r>
        <w:rPr/>
        <w:t>financing</w:t>
      </w:r>
      <w:r>
        <w:rPr>
          <w:spacing w:val="-2"/>
        </w:rPr>
        <w:t> </w:t>
      </w:r>
      <w:r>
        <w:rPr/>
        <w:t>may</w:t>
      </w:r>
      <w:r>
        <w:rPr>
          <w:spacing w:val="-3"/>
        </w:rPr>
        <w:t> </w:t>
      </w:r>
      <w:r>
        <w:rPr/>
        <w:t>not</w:t>
      </w:r>
      <w:r>
        <w:rPr>
          <w:spacing w:val="-47"/>
        </w:rPr>
        <w:t> </w:t>
      </w:r>
      <w:r>
        <w:rPr/>
        <w:t>be available at all, or in amounts or on terms unacceptable to us. If we are unable to obtain additional financing, we</w:t>
      </w:r>
      <w:r>
        <w:rPr>
          <w:spacing w:val="1"/>
        </w:rPr>
        <w:t> </w:t>
      </w:r>
      <w:r>
        <w:rPr/>
        <w:t>may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required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delay the</w:t>
      </w:r>
      <w:r>
        <w:rPr>
          <w:spacing w:val="-2"/>
        </w:rPr>
        <w:t> </w:t>
      </w:r>
      <w:r>
        <w:rPr/>
        <w:t>development,</w:t>
      </w:r>
      <w:r>
        <w:rPr>
          <w:spacing w:val="-1"/>
        </w:rPr>
        <w:t> </w:t>
      </w:r>
      <w:r>
        <w:rPr/>
        <w:t>commercialization</w:t>
      </w:r>
      <w:r>
        <w:rPr>
          <w:spacing w:val="-1"/>
        </w:rPr>
        <w:t> </w:t>
      </w:r>
      <w:r>
        <w:rPr/>
        <w:t>and marketing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our</w:t>
      </w:r>
      <w:r>
        <w:rPr>
          <w:spacing w:val="-1"/>
        </w:rPr>
        <w:t> </w:t>
      </w:r>
      <w:r>
        <w:rPr/>
        <w:t>products.</w:t>
      </w:r>
    </w:p>
    <w:p>
      <w:pPr>
        <w:pStyle w:val="Heading3"/>
        <w:spacing w:before="193"/>
        <w:jc w:val="both"/>
        <w:rPr>
          <w:i/>
        </w:rPr>
      </w:pPr>
      <w:r>
        <w:rPr>
          <w:i/>
        </w:rPr>
        <w:t>Factors</w:t>
      </w:r>
      <w:r>
        <w:rPr>
          <w:i/>
          <w:spacing w:val="-6"/>
        </w:rPr>
        <w:t> </w:t>
      </w:r>
      <w:r>
        <w:rPr>
          <w:i/>
        </w:rPr>
        <w:t>Affecting</w:t>
      </w:r>
      <w:r>
        <w:rPr>
          <w:i/>
          <w:spacing w:val="-4"/>
        </w:rPr>
        <w:t> </w:t>
      </w:r>
      <w:r>
        <w:rPr>
          <w:i/>
        </w:rPr>
        <w:t>Our</w:t>
      </w:r>
      <w:r>
        <w:rPr>
          <w:i/>
          <w:spacing w:val="-6"/>
        </w:rPr>
        <w:t> </w:t>
      </w:r>
      <w:r>
        <w:rPr>
          <w:i/>
        </w:rPr>
        <w:t>Performance</w:t>
      </w:r>
    </w:p>
    <w:p>
      <w:pPr>
        <w:pStyle w:val="BodyText"/>
        <w:spacing w:line="249" w:lineRule="auto" w:before="193"/>
      </w:pPr>
      <w:r>
        <w:rPr/>
        <w:t>We believe there are several important factors that have impacted and that we expect will impact our operating</w:t>
      </w:r>
      <w:r>
        <w:rPr>
          <w:spacing w:val="1"/>
        </w:rPr>
        <w:t> </w:t>
      </w:r>
      <w:r>
        <w:rPr/>
        <w:t>performance and results of operations for the foreseeable future. While these factors may present significant</w:t>
      </w:r>
      <w:r>
        <w:rPr>
          <w:spacing w:val="1"/>
        </w:rPr>
        <w:t> </w:t>
      </w:r>
      <w:r>
        <w:rPr/>
        <w:t>opportunities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us,</w:t>
      </w:r>
      <w:r>
        <w:rPr>
          <w:spacing w:val="-3"/>
        </w:rPr>
        <w:t> </w:t>
      </w:r>
      <w:r>
        <w:rPr/>
        <w:t>they</w:t>
      </w:r>
      <w:r>
        <w:rPr>
          <w:spacing w:val="-3"/>
        </w:rPr>
        <w:t> </w:t>
      </w:r>
      <w:r>
        <w:rPr/>
        <w:t>also</w:t>
      </w:r>
      <w:r>
        <w:rPr>
          <w:spacing w:val="-2"/>
        </w:rPr>
        <w:t> </w:t>
      </w:r>
      <w:r>
        <w:rPr/>
        <w:t>pose</w:t>
      </w:r>
      <w:r>
        <w:rPr>
          <w:spacing w:val="-4"/>
        </w:rPr>
        <w:t> </w:t>
      </w:r>
      <w:r>
        <w:rPr/>
        <w:t>significant</w:t>
      </w:r>
      <w:r>
        <w:rPr>
          <w:spacing w:val="-4"/>
        </w:rPr>
        <w:t> </w:t>
      </w:r>
      <w:r>
        <w:rPr/>
        <w:t>risks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challenges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we</w:t>
      </w:r>
      <w:r>
        <w:rPr>
          <w:spacing w:val="-4"/>
        </w:rPr>
        <w:t> </w:t>
      </w:r>
      <w:r>
        <w:rPr/>
        <w:t>must</w:t>
      </w:r>
      <w:r>
        <w:rPr>
          <w:spacing w:val="-3"/>
        </w:rPr>
        <w:t> </w:t>
      </w:r>
      <w:r>
        <w:rPr/>
        <w:t>address.</w:t>
      </w:r>
      <w:r>
        <w:rPr>
          <w:spacing w:val="-3"/>
        </w:rPr>
        <w:t> </w:t>
      </w:r>
      <w:r>
        <w:rPr/>
        <w:t>See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section</w:t>
      </w:r>
      <w:r>
        <w:rPr>
          <w:spacing w:val="-3"/>
        </w:rPr>
        <w:t> </w:t>
      </w:r>
      <w:r>
        <w:rPr/>
        <w:t>titled</w:t>
      </w:r>
      <w:r>
        <w:rPr>
          <w:spacing w:val="-2"/>
        </w:rPr>
        <w:t> </w:t>
      </w:r>
      <w:r>
        <w:rPr/>
        <w:t>“Risk</w:t>
      </w:r>
      <w:r>
        <w:rPr>
          <w:spacing w:val="1"/>
        </w:rPr>
        <w:t> </w:t>
      </w:r>
      <w:r>
        <w:rPr/>
        <w:t>Factors”</w:t>
      </w:r>
      <w:r>
        <w:rPr>
          <w:spacing w:val="-2"/>
        </w:rPr>
        <w:t> </w:t>
      </w:r>
      <w:r>
        <w:rPr/>
        <w:t>for more</w:t>
      </w:r>
      <w:r>
        <w:rPr>
          <w:spacing w:val="-1"/>
        </w:rPr>
        <w:t> </w:t>
      </w:r>
      <w:r>
        <w:rPr/>
        <w:t>information. These</w:t>
      </w:r>
      <w:r>
        <w:rPr>
          <w:spacing w:val="-1"/>
        </w:rPr>
        <w:t> </w:t>
      </w:r>
      <w:r>
        <w:rPr/>
        <w:t>factors</w:t>
      </w:r>
      <w:r>
        <w:rPr>
          <w:spacing w:val="-2"/>
        </w:rPr>
        <w:t> </w:t>
      </w:r>
      <w:r>
        <w:rPr/>
        <w:t>include: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9" w:lineRule="auto" w:before="183" w:after="0"/>
        <w:ind w:left="820" w:right="146" w:hanging="360"/>
        <w:jc w:val="left"/>
        <w:rPr>
          <w:sz w:val="20"/>
        </w:rPr>
      </w:pPr>
      <w:r>
        <w:rPr>
          <w:i/>
          <w:sz w:val="20"/>
        </w:rPr>
        <w:t>Grow our install base of AquaBeam Robotic Systems: </w:t>
      </w:r>
      <w:r>
        <w:rPr>
          <w:sz w:val="20"/>
        </w:rPr>
        <w:t>As of September 30, 2021, we had an install base of</w:t>
      </w:r>
      <w:r>
        <w:rPr>
          <w:spacing w:val="1"/>
          <w:sz w:val="20"/>
        </w:rPr>
        <w:t> </w:t>
      </w:r>
      <w:r>
        <w:rPr>
          <w:sz w:val="20"/>
        </w:rPr>
        <w:t>125 AquaBeam Robotic Systems globally and 75 in the United States. In the United States, we are initially</w:t>
      </w:r>
      <w:r>
        <w:rPr>
          <w:spacing w:val="1"/>
          <w:sz w:val="20"/>
        </w:rPr>
        <w:t> </w:t>
      </w:r>
      <w:r>
        <w:rPr>
          <w:sz w:val="20"/>
        </w:rPr>
        <w:t>focused on driving adoption of Aquablation therapy among urologists that perform hospital-based resective</w:t>
      </w:r>
      <w:r>
        <w:rPr>
          <w:spacing w:val="-47"/>
          <w:sz w:val="20"/>
        </w:rPr>
        <w:t> </w:t>
      </w:r>
      <w:r>
        <w:rPr>
          <w:sz w:val="20"/>
        </w:rPr>
        <w:t>BPH surgery. We are initially targeting 860 high-volume hospitals that we estimate perform, on average,</w:t>
      </w:r>
      <w:r>
        <w:rPr>
          <w:spacing w:val="1"/>
          <w:sz w:val="20"/>
        </w:rPr>
        <w:t> </w:t>
      </w:r>
      <w:r>
        <w:rPr>
          <w:sz w:val="20"/>
        </w:rPr>
        <w:t>more than 200 resective procedures annually and account for approximately 70% of all hospital-based</w:t>
      </w:r>
      <w:r>
        <w:rPr>
          <w:spacing w:val="1"/>
          <w:sz w:val="20"/>
        </w:rPr>
        <w:t> </w:t>
      </w:r>
      <w:r>
        <w:rPr>
          <w:sz w:val="20"/>
        </w:rPr>
        <w:t>resective procedures. To penetrate these hospitals, we will continue to increase our direct team of capital</w:t>
      </w:r>
      <w:r>
        <w:rPr>
          <w:spacing w:val="1"/>
          <w:sz w:val="20"/>
        </w:rPr>
        <w:t> </w:t>
      </w:r>
      <w:r>
        <w:rPr>
          <w:sz w:val="20"/>
        </w:rPr>
        <w:t>sales representatives, who are focused on driving system placement within hospitals by engaging with key</w:t>
      </w:r>
      <w:r>
        <w:rPr>
          <w:spacing w:val="1"/>
          <w:sz w:val="20"/>
        </w:rPr>
        <w:t> </w:t>
      </w:r>
      <w:r>
        <w:rPr>
          <w:sz w:val="20"/>
        </w:rPr>
        <w:t>surgeons and decision makers to educate them about the compelling value proposition of Aquablation</w:t>
      </w:r>
      <w:r>
        <w:rPr>
          <w:spacing w:val="1"/>
          <w:sz w:val="20"/>
        </w:rPr>
        <w:t> </w:t>
      </w:r>
      <w:r>
        <w:rPr>
          <w:sz w:val="20"/>
        </w:rPr>
        <w:t>therapy.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we</w:t>
      </w:r>
      <w:r>
        <w:rPr>
          <w:spacing w:val="-4"/>
          <w:sz w:val="20"/>
        </w:rPr>
        <w:t> </w:t>
      </w:r>
      <w:r>
        <w:rPr>
          <w:sz w:val="20"/>
        </w:rPr>
        <w:t>increase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install</w:t>
      </w:r>
      <w:r>
        <w:rPr>
          <w:spacing w:val="-3"/>
          <w:sz w:val="20"/>
        </w:rPr>
        <w:t> </w:t>
      </w:r>
      <w:r>
        <w:rPr>
          <w:sz w:val="20"/>
        </w:rPr>
        <w:t>base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AquaBeam</w:t>
      </w:r>
      <w:r>
        <w:rPr>
          <w:spacing w:val="-3"/>
          <w:sz w:val="20"/>
        </w:rPr>
        <w:t> </w:t>
      </w:r>
      <w:r>
        <w:rPr>
          <w:sz w:val="20"/>
        </w:rPr>
        <w:t>Robotic</w:t>
      </w:r>
      <w:r>
        <w:rPr>
          <w:spacing w:val="-4"/>
          <w:sz w:val="20"/>
        </w:rPr>
        <w:t> </w:t>
      </w:r>
      <w:r>
        <w:rPr>
          <w:sz w:val="20"/>
        </w:rPr>
        <w:t>systems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revenue</w:t>
      </w:r>
      <w:r>
        <w:rPr>
          <w:spacing w:val="-3"/>
          <w:sz w:val="20"/>
        </w:rPr>
        <w:t> </w:t>
      </w:r>
      <w:r>
        <w:rPr>
          <w:sz w:val="20"/>
        </w:rPr>
        <w:t>will</w:t>
      </w:r>
      <w:r>
        <w:rPr>
          <w:spacing w:val="-4"/>
          <w:sz w:val="20"/>
        </w:rPr>
        <w:t> </w:t>
      </w:r>
      <w:r>
        <w:rPr>
          <w:sz w:val="20"/>
        </w:rPr>
        <w:t>increase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result</w:t>
      </w:r>
      <w:r>
        <w:rPr>
          <w:spacing w:val="-47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system</w:t>
      </w:r>
      <w:r>
        <w:rPr>
          <w:spacing w:val="-1"/>
          <w:sz w:val="20"/>
        </w:rPr>
        <w:t> </w:t>
      </w:r>
      <w:r>
        <w:rPr>
          <w:sz w:val="20"/>
        </w:rPr>
        <w:t>sale</w:t>
      </w:r>
      <w:r>
        <w:rPr>
          <w:spacing w:val="-1"/>
          <w:sz w:val="20"/>
        </w:rPr>
        <w:t> </w:t>
      </w:r>
      <w:r>
        <w:rPr>
          <w:sz w:val="20"/>
        </w:rPr>
        <w:t>and resulting</w:t>
      </w:r>
      <w:r>
        <w:rPr>
          <w:spacing w:val="-1"/>
          <w:sz w:val="20"/>
        </w:rPr>
        <w:t> </w:t>
      </w:r>
      <w:r>
        <w:rPr>
          <w:sz w:val="20"/>
        </w:rPr>
        <w:t>utilization.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9" w:lineRule="auto" w:before="189" w:after="0"/>
        <w:ind w:left="820" w:right="118" w:hanging="360"/>
        <w:jc w:val="left"/>
        <w:rPr>
          <w:sz w:val="20"/>
        </w:rPr>
      </w:pPr>
      <w:r>
        <w:rPr>
          <w:i/>
          <w:sz w:val="20"/>
        </w:rPr>
        <w:t>Increase system utilization: </w:t>
      </w:r>
      <w:r>
        <w:rPr>
          <w:sz w:val="20"/>
        </w:rPr>
        <w:t>Our revenue is significantly impacted by the utilization of our AquaBeam</w:t>
      </w:r>
      <w:r>
        <w:rPr>
          <w:spacing w:val="1"/>
          <w:sz w:val="20"/>
        </w:rPr>
        <w:t> </w:t>
      </w:r>
      <w:r>
        <w:rPr>
          <w:sz w:val="20"/>
        </w:rPr>
        <w:t>robotic system. Once we place a system within a hospital our objective is to establish Aquablation therapy</w:t>
      </w:r>
      <w:r>
        <w:rPr>
          <w:spacing w:val="1"/>
          <w:sz w:val="20"/>
        </w:rPr>
        <w:t> </w:t>
      </w:r>
      <w:r>
        <w:rPr>
          <w:sz w:val="20"/>
        </w:rPr>
        <w:t>as the surgical treatment of choice for BPH. Within each hospital we are initially focused on targeting</w:t>
      </w:r>
      <w:r>
        <w:rPr>
          <w:spacing w:val="1"/>
          <w:sz w:val="20"/>
        </w:rPr>
        <w:t> </w:t>
      </w:r>
      <w:r>
        <w:rPr>
          <w:sz w:val="20"/>
        </w:rPr>
        <w:t>urologists who perform medium-to-high volumes of resective procedures and converting their resective</w:t>
      </w:r>
      <w:r>
        <w:rPr>
          <w:spacing w:val="1"/>
          <w:sz w:val="20"/>
        </w:rPr>
        <w:t> </w:t>
      </w:r>
      <w:r>
        <w:rPr>
          <w:sz w:val="20"/>
        </w:rPr>
        <w:t>cases to Aquablation therapy. To accomplish this, we will continue expanding our team of highly trained</w:t>
      </w:r>
      <w:r>
        <w:rPr>
          <w:spacing w:val="1"/>
          <w:sz w:val="20"/>
        </w:rPr>
        <w:t> </w:t>
      </w:r>
      <w:r>
        <w:rPr>
          <w:sz w:val="20"/>
        </w:rPr>
        <w:t>Aquablation</w:t>
      </w:r>
      <w:r>
        <w:rPr>
          <w:spacing w:val="-4"/>
          <w:sz w:val="20"/>
        </w:rPr>
        <w:t> </w:t>
      </w:r>
      <w:r>
        <w:rPr>
          <w:sz w:val="20"/>
        </w:rPr>
        <w:t>representatives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clinical</w:t>
      </w:r>
      <w:r>
        <w:rPr>
          <w:spacing w:val="-5"/>
          <w:sz w:val="20"/>
        </w:rPr>
        <w:t> </w:t>
      </w:r>
      <w:r>
        <w:rPr>
          <w:sz w:val="20"/>
        </w:rPr>
        <w:t>specialists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focused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driving</w:t>
      </w:r>
      <w:r>
        <w:rPr>
          <w:spacing w:val="-4"/>
          <w:sz w:val="20"/>
        </w:rPr>
        <w:t> </w:t>
      </w:r>
      <w:r>
        <w:rPr>
          <w:sz w:val="20"/>
        </w:rPr>
        <w:t>system</w:t>
      </w:r>
      <w:r>
        <w:rPr>
          <w:spacing w:val="-4"/>
          <w:sz w:val="20"/>
        </w:rPr>
        <w:t> </w:t>
      </w:r>
      <w:r>
        <w:rPr>
          <w:sz w:val="20"/>
        </w:rPr>
        <w:t>utilization</w:t>
      </w:r>
      <w:r>
        <w:rPr>
          <w:spacing w:val="-4"/>
          <w:sz w:val="20"/>
        </w:rPr>
        <w:t> </w:t>
      </w:r>
      <w:r>
        <w:rPr>
          <w:sz w:val="20"/>
        </w:rPr>
        <w:t>within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hospital,</w:t>
      </w:r>
      <w:r>
        <w:rPr>
          <w:spacing w:val="-3"/>
          <w:sz w:val="20"/>
        </w:rPr>
        <w:t> </w:t>
      </w:r>
      <w:r>
        <w:rPr>
          <w:sz w:val="20"/>
        </w:rPr>
        <w:t>providing</w:t>
      </w:r>
      <w:r>
        <w:rPr>
          <w:spacing w:val="-2"/>
          <w:sz w:val="20"/>
        </w:rPr>
        <w:t> </w:t>
      </w:r>
      <w:r>
        <w:rPr>
          <w:sz w:val="20"/>
        </w:rPr>
        <w:t>education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training</w:t>
      </w:r>
      <w:r>
        <w:rPr>
          <w:spacing w:val="-2"/>
          <w:sz w:val="20"/>
        </w:rPr>
        <w:t> </w:t>
      </w:r>
      <w:r>
        <w:rPr>
          <w:sz w:val="20"/>
        </w:rPr>
        <w:t>support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ensuring</w:t>
      </w:r>
      <w:r>
        <w:rPr>
          <w:spacing w:val="-2"/>
          <w:sz w:val="20"/>
        </w:rPr>
        <w:t> </w:t>
      </w:r>
      <w:r>
        <w:rPr>
          <w:sz w:val="20"/>
        </w:rPr>
        <w:t>excellent</w:t>
      </w:r>
      <w:r>
        <w:rPr>
          <w:spacing w:val="-3"/>
          <w:sz w:val="20"/>
        </w:rPr>
        <w:t> </w:t>
      </w:r>
      <w:r>
        <w:rPr>
          <w:sz w:val="20"/>
        </w:rPr>
        <w:t>user</w:t>
      </w:r>
      <w:r>
        <w:rPr>
          <w:spacing w:val="-3"/>
          <w:sz w:val="20"/>
        </w:rPr>
        <w:t> </w:t>
      </w:r>
      <w:r>
        <w:rPr>
          <w:sz w:val="20"/>
        </w:rPr>
        <w:t>experiences.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urologists</w:t>
      </w:r>
    </w:p>
    <w:p>
      <w:pPr>
        <w:spacing w:after="0" w:line="249" w:lineRule="auto"/>
        <w:jc w:val="left"/>
        <w:rPr>
          <w:sz w:val="20"/>
        </w:rPr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  <w:ind w:left="820" w:right="212" w:firstLine="0"/>
      </w:pPr>
      <w:r>
        <w:rPr/>
        <w:t>gain</w:t>
      </w:r>
      <w:r>
        <w:rPr>
          <w:spacing w:val="-4"/>
        </w:rPr>
        <w:t> </w:t>
      </w:r>
      <w:r>
        <w:rPr/>
        <w:t>experience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Aquablation</w:t>
      </w:r>
      <w:r>
        <w:rPr>
          <w:spacing w:val="-3"/>
        </w:rPr>
        <w:t> </w:t>
      </w:r>
      <w:r>
        <w:rPr/>
        <w:t>therapy</w:t>
      </w:r>
      <w:r>
        <w:rPr>
          <w:spacing w:val="-4"/>
        </w:rPr>
        <w:t> </w:t>
      </w:r>
      <w:r>
        <w:rPr/>
        <w:t>we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leverage</w:t>
      </w:r>
      <w:r>
        <w:rPr>
          <w:spacing w:val="-4"/>
        </w:rPr>
        <w:t> </w:t>
      </w:r>
      <w:r>
        <w:rPr/>
        <w:t>their</w:t>
      </w:r>
      <w:r>
        <w:rPr>
          <w:spacing w:val="-4"/>
        </w:rPr>
        <w:t> </w:t>
      </w:r>
      <w:r>
        <w:rPr/>
        <w:t>experiences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capture</w:t>
      </w:r>
      <w:r>
        <w:rPr>
          <w:spacing w:val="-4"/>
        </w:rPr>
        <w:t> </w:t>
      </w:r>
      <w:r>
        <w:rPr/>
        <w:t>more</w:t>
      </w:r>
      <w:r>
        <w:rPr>
          <w:spacing w:val="-4"/>
        </w:rPr>
        <w:t> </w:t>
      </w:r>
      <w:r>
        <w:rPr/>
        <w:t>surgical</w:t>
      </w:r>
      <w:r>
        <w:rPr>
          <w:spacing w:val="-47"/>
        </w:rPr>
        <w:t> </w:t>
      </w:r>
      <w:r>
        <w:rPr/>
        <w:t>volumes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establish Aquablation</w:t>
      </w:r>
      <w:r>
        <w:rPr>
          <w:spacing w:val="-1"/>
        </w:rPr>
        <w:t> </w:t>
      </w:r>
      <w:r>
        <w:rPr/>
        <w:t>therapy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surgical</w:t>
      </w:r>
      <w:r>
        <w:rPr>
          <w:spacing w:val="-1"/>
        </w:rPr>
        <w:t> </w:t>
      </w:r>
      <w:r>
        <w:rPr/>
        <w:t>standard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care.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9" w:lineRule="auto" w:before="181" w:after="0"/>
        <w:ind w:left="820" w:right="129" w:hanging="360"/>
        <w:jc w:val="left"/>
        <w:rPr>
          <w:sz w:val="20"/>
        </w:rPr>
      </w:pPr>
      <w:r>
        <w:rPr>
          <w:i/>
          <w:sz w:val="20"/>
        </w:rPr>
        <w:t>Reimbursement and coverage decisions by third-party payors. </w:t>
      </w:r>
      <w:r>
        <w:rPr>
          <w:sz w:val="20"/>
        </w:rPr>
        <w:t>Healthcare providers in the United States</w:t>
      </w:r>
      <w:r>
        <w:rPr>
          <w:spacing w:val="1"/>
          <w:sz w:val="20"/>
        </w:rPr>
        <w:t> </w:t>
      </w:r>
      <w:r>
        <w:rPr>
          <w:sz w:val="20"/>
        </w:rPr>
        <w:t>generally rely on third-party payors, principally federal Medicare, state Medicaid and private health</w:t>
      </w:r>
      <w:r>
        <w:rPr>
          <w:spacing w:val="1"/>
          <w:sz w:val="20"/>
        </w:rPr>
        <w:t> </w:t>
      </w:r>
      <w:r>
        <w:rPr>
          <w:sz w:val="20"/>
        </w:rPr>
        <w:t>insurance plans, to cover all or part of the cost of procedures using our AquaBeam Robotic System. The</w:t>
      </w:r>
      <w:r>
        <w:rPr>
          <w:spacing w:val="1"/>
          <w:sz w:val="20"/>
        </w:rPr>
        <w:t> </w:t>
      </w:r>
      <w:r>
        <w:rPr>
          <w:sz w:val="20"/>
        </w:rPr>
        <w:t>revenue we are able to generate from sales of our products depends in large part on the availability of</w:t>
      </w:r>
      <w:r>
        <w:rPr>
          <w:spacing w:val="1"/>
          <w:sz w:val="20"/>
        </w:rPr>
        <w:t> </w:t>
      </w:r>
      <w:r>
        <w:rPr>
          <w:sz w:val="20"/>
        </w:rPr>
        <w:t>sufficient reimbursement from such payors. Effective in 2021, all local MACs, representing 100% of</w:t>
      </w:r>
      <w:r>
        <w:rPr>
          <w:spacing w:val="1"/>
          <w:sz w:val="20"/>
        </w:rPr>
        <w:t> </w:t>
      </w:r>
      <w:r>
        <w:rPr>
          <w:sz w:val="20"/>
        </w:rPr>
        <w:t>eligible Medicare patients, issued final positive local coverage determinations to provide Medicare</w:t>
      </w:r>
      <w:r>
        <w:rPr>
          <w:spacing w:val="1"/>
          <w:sz w:val="20"/>
        </w:rPr>
        <w:t> </w:t>
      </w:r>
      <w:r>
        <w:rPr>
          <w:sz w:val="20"/>
        </w:rPr>
        <w:t>beneficiaries with access to Aquablation therapy in all 50 states. We believe that these favorable coverage</w:t>
      </w:r>
      <w:r>
        <w:rPr>
          <w:spacing w:val="1"/>
          <w:sz w:val="20"/>
        </w:rPr>
        <w:t> </w:t>
      </w:r>
      <w:r>
        <w:rPr>
          <w:sz w:val="20"/>
        </w:rPr>
        <w:t>decisions have been a catalyst for hospital adoption of our AquaBeam Robotic System. Our strong body of</w:t>
      </w:r>
      <w:r>
        <w:rPr>
          <w:spacing w:val="1"/>
          <w:sz w:val="20"/>
        </w:rPr>
        <w:t> </w:t>
      </w:r>
      <w:r>
        <w:rPr>
          <w:sz w:val="20"/>
        </w:rPr>
        <w:t>clinical</w:t>
      </w:r>
      <w:r>
        <w:rPr>
          <w:spacing w:val="-4"/>
          <w:sz w:val="20"/>
        </w:rPr>
        <w:t> </w:t>
      </w:r>
      <w:r>
        <w:rPr>
          <w:sz w:val="20"/>
        </w:rPr>
        <w:t>evidence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support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key</w:t>
      </w:r>
      <w:r>
        <w:rPr>
          <w:spacing w:val="-3"/>
          <w:sz w:val="20"/>
        </w:rPr>
        <w:t> </w:t>
      </w:r>
      <w:r>
        <w:rPr>
          <w:sz w:val="20"/>
        </w:rPr>
        <w:t>societies,</w:t>
      </w:r>
      <w:r>
        <w:rPr>
          <w:spacing w:val="-3"/>
          <w:sz w:val="20"/>
        </w:rPr>
        <w:t> </w:t>
      </w:r>
      <w:r>
        <w:rPr>
          <w:sz w:val="20"/>
        </w:rPr>
        <w:t>supplemented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momentum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Medicare</w:t>
      </w:r>
      <w:r>
        <w:rPr>
          <w:spacing w:val="-4"/>
          <w:sz w:val="20"/>
        </w:rPr>
        <w:t> </w:t>
      </w:r>
      <w:r>
        <w:rPr>
          <w:sz w:val="20"/>
        </w:rPr>
        <w:t>coverage,</w:t>
      </w:r>
      <w:r>
        <w:rPr>
          <w:spacing w:val="-47"/>
          <w:sz w:val="20"/>
        </w:rPr>
        <w:t> </w:t>
      </w:r>
      <w:r>
        <w:rPr>
          <w:sz w:val="20"/>
        </w:rPr>
        <w:t>have led to favorable coverage decisions from several large commercial payors, including Anthem,</w:t>
      </w:r>
      <w:r>
        <w:rPr>
          <w:spacing w:val="1"/>
          <w:sz w:val="20"/>
        </w:rPr>
        <w:t> </w:t>
      </w:r>
      <w:r>
        <w:rPr>
          <w:sz w:val="20"/>
        </w:rPr>
        <w:t>BlueCross – Massachusetts, Cigna, Emblem Health, Health Care Service Corp and Humana. We plan to</w:t>
      </w:r>
      <w:r>
        <w:rPr>
          <w:spacing w:val="1"/>
          <w:sz w:val="20"/>
        </w:rPr>
        <w:t> </w:t>
      </w:r>
      <w:r>
        <w:rPr>
          <w:sz w:val="20"/>
        </w:rPr>
        <w:t>leverage these recent successes in our active discussions with commercial payors to establish additional</w:t>
      </w:r>
      <w:r>
        <w:rPr>
          <w:spacing w:val="1"/>
          <w:sz w:val="20"/>
        </w:rPr>
        <w:t> </w:t>
      </w:r>
      <w:r>
        <w:rPr>
          <w:sz w:val="20"/>
        </w:rPr>
        <w:t>positive</w:t>
      </w:r>
      <w:r>
        <w:rPr>
          <w:spacing w:val="2"/>
          <w:sz w:val="20"/>
        </w:rPr>
        <w:t> </w:t>
      </w:r>
      <w:r>
        <w:rPr>
          <w:sz w:val="20"/>
        </w:rPr>
        <w:t>national</w:t>
      </w:r>
      <w:r>
        <w:rPr>
          <w:spacing w:val="2"/>
          <w:sz w:val="20"/>
        </w:rPr>
        <w:t> </w:t>
      </w:r>
      <w:r>
        <w:rPr>
          <w:sz w:val="20"/>
        </w:rPr>
        <w:t>and</w:t>
      </w:r>
      <w:r>
        <w:rPr>
          <w:spacing w:val="3"/>
          <w:sz w:val="20"/>
        </w:rPr>
        <w:t> </w:t>
      </w:r>
      <w:r>
        <w:rPr>
          <w:sz w:val="20"/>
        </w:rPr>
        <w:t>regional</w:t>
      </w:r>
      <w:r>
        <w:rPr>
          <w:spacing w:val="2"/>
          <w:sz w:val="20"/>
        </w:rPr>
        <w:t> </w:t>
      </w:r>
      <w:r>
        <w:rPr>
          <w:sz w:val="20"/>
        </w:rPr>
        <w:t>coverage</w:t>
      </w:r>
      <w:r>
        <w:rPr>
          <w:spacing w:val="2"/>
          <w:sz w:val="20"/>
        </w:rPr>
        <w:t> </w:t>
      </w:r>
      <w:r>
        <w:rPr>
          <w:sz w:val="20"/>
        </w:rPr>
        <w:t>policies.</w:t>
      </w:r>
      <w:r>
        <w:rPr>
          <w:spacing w:val="3"/>
          <w:sz w:val="20"/>
        </w:rPr>
        <w:t> </w:t>
      </w:r>
      <w:r>
        <w:rPr>
          <w:sz w:val="20"/>
        </w:rPr>
        <w:t>We</w:t>
      </w:r>
      <w:r>
        <w:rPr>
          <w:spacing w:val="3"/>
          <w:sz w:val="20"/>
        </w:rPr>
        <w:t> </w:t>
      </w:r>
      <w:r>
        <w:rPr>
          <w:sz w:val="20"/>
        </w:rPr>
        <w:t>believe</w:t>
      </w:r>
      <w:r>
        <w:rPr>
          <w:spacing w:val="2"/>
          <w:sz w:val="20"/>
        </w:rPr>
        <w:t> </w:t>
      </w:r>
      <w:r>
        <w:rPr>
          <w:sz w:val="20"/>
        </w:rPr>
        <w:t>that</w:t>
      </w:r>
      <w:r>
        <w:rPr>
          <w:spacing w:val="2"/>
          <w:sz w:val="20"/>
        </w:rPr>
        <w:t> </w:t>
      </w:r>
      <w:r>
        <w:rPr>
          <w:sz w:val="20"/>
        </w:rPr>
        <w:t>additional</w:t>
      </w:r>
      <w:r>
        <w:rPr>
          <w:spacing w:val="2"/>
          <w:sz w:val="20"/>
        </w:rPr>
        <w:t> </w:t>
      </w:r>
      <w:r>
        <w:rPr>
          <w:sz w:val="20"/>
        </w:rPr>
        <w:t>commercial</w:t>
      </w:r>
      <w:r>
        <w:rPr>
          <w:spacing w:val="2"/>
          <w:sz w:val="20"/>
        </w:rPr>
        <w:t> </w:t>
      </w:r>
      <w:r>
        <w:rPr>
          <w:sz w:val="20"/>
        </w:rPr>
        <w:t>payor</w:t>
      </w:r>
      <w:r>
        <w:rPr>
          <w:spacing w:val="3"/>
          <w:sz w:val="20"/>
        </w:rPr>
        <w:t> </w:t>
      </w:r>
      <w:r>
        <w:rPr>
          <w:sz w:val="20"/>
        </w:rPr>
        <w:t>coverage</w:t>
      </w:r>
      <w:r>
        <w:rPr>
          <w:spacing w:val="1"/>
          <w:sz w:val="20"/>
        </w:rPr>
        <w:t> </w:t>
      </w:r>
      <w:r>
        <w:rPr>
          <w:sz w:val="20"/>
        </w:rPr>
        <w:t>will contribute to increasing utilization of our system over time. Outside of the United States, we have</w:t>
      </w:r>
      <w:r>
        <w:rPr>
          <w:spacing w:val="1"/>
          <w:sz w:val="20"/>
        </w:rPr>
        <w:t> </w:t>
      </w:r>
      <w:r>
        <w:rPr>
          <w:sz w:val="20"/>
        </w:rPr>
        <w:t>ongoing efforts in key markets to expand established coverage and further improve patient access to</w:t>
      </w:r>
      <w:r>
        <w:rPr>
          <w:spacing w:val="1"/>
          <w:sz w:val="20"/>
        </w:rPr>
        <w:t> </w:t>
      </w:r>
      <w:r>
        <w:rPr>
          <w:sz w:val="20"/>
        </w:rPr>
        <w:t>Aquablation</w:t>
      </w:r>
      <w:r>
        <w:rPr>
          <w:spacing w:val="-1"/>
          <w:sz w:val="20"/>
        </w:rPr>
        <w:t> </w:t>
      </w:r>
      <w:r>
        <w:rPr>
          <w:sz w:val="20"/>
        </w:rPr>
        <w:t>therapy.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9" w:lineRule="auto" w:before="194" w:after="0"/>
        <w:ind w:left="820" w:right="165" w:hanging="360"/>
        <w:jc w:val="left"/>
        <w:rPr>
          <w:sz w:val="20"/>
        </w:rPr>
      </w:pPr>
      <w:r>
        <w:rPr>
          <w:i/>
          <w:sz w:val="20"/>
        </w:rPr>
        <w:t>Cost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sales.</w:t>
      </w:r>
      <w:r>
        <w:rPr>
          <w:i/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results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our</w:t>
      </w:r>
      <w:r>
        <w:rPr>
          <w:spacing w:val="-2"/>
          <w:sz w:val="20"/>
        </w:rPr>
        <w:t> </w:t>
      </w:r>
      <w:r>
        <w:rPr>
          <w:sz w:val="20"/>
        </w:rPr>
        <w:t>operations</w:t>
      </w:r>
      <w:r>
        <w:rPr>
          <w:spacing w:val="-3"/>
          <w:sz w:val="20"/>
        </w:rPr>
        <w:t> </w:t>
      </w:r>
      <w:r>
        <w:rPr>
          <w:sz w:val="20"/>
        </w:rPr>
        <w:t>will</w:t>
      </w:r>
      <w:r>
        <w:rPr>
          <w:spacing w:val="-3"/>
          <w:sz w:val="20"/>
        </w:rPr>
        <w:t> </w:t>
      </w:r>
      <w:r>
        <w:rPr>
          <w:sz w:val="20"/>
        </w:rPr>
        <w:t>depend,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part,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our</w:t>
      </w:r>
      <w:r>
        <w:rPr>
          <w:spacing w:val="-2"/>
          <w:sz w:val="20"/>
        </w:rPr>
        <w:t> </w:t>
      </w:r>
      <w:r>
        <w:rPr>
          <w:sz w:val="20"/>
        </w:rPr>
        <w:t>ability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increase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2"/>
          <w:sz w:val="20"/>
        </w:rPr>
        <w:t> </w:t>
      </w:r>
      <w:r>
        <w:rPr>
          <w:sz w:val="20"/>
        </w:rPr>
        <w:t>gross</w:t>
      </w:r>
      <w:r>
        <w:rPr>
          <w:spacing w:val="-3"/>
          <w:sz w:val="20"/>
        </w:rPr>
        <w:t> </w:t>
      </w:r>
      <w:r>
        <w:rPr>
          <w:sz w:val="20"/>
        </w:rPr>
        <w:t>margins</w:t>
      </w:r>
      <w:r>
        <w:rPr>
          <w:spacing w:val="-47"/>
          <w:sz w:val="20"/>
        </w:rPr>
        <w:t> </w:t>
      </w:r>
      <w:r>
        <w:rPr>
          <w:sz w:val="20"/>
        </w:rPr>
        <w:t>by more effectively managing our costs to produce our AquaBeam Robotic System and single-use</w:t>
      </w:r>
      <w:r>
        <w:rPr>
          <w:spacing w:val="1"/>
          <w:sz w:val="20"/>
        </w:rPr>
        <w:t> </w:t>
      </w:r>
      <w:r>
        <w:rPr>
          <w:sz w:val="20"/>
        </w:rPr>
        <w:t>disposable handpieces, and to scale our manufacturing operations efficiently. We anticipate that as we</w:t>
      </w:r>
      <w:r>
        <w:rPr>
          <w:spacing w:val="1"/>
          <w:sz w:val="20"/>
        </w:rPr>
        <w:t> </w:t>
      </w:r>
      <w:r>
        <w:rPr>
          <w:sz w:val="20"/>
        </w:rPr>
        <w:t>expand our sales and marketing efforts and drive further sales growth, our purchasing costs on a per unit</w:t>
      </w:r>
      <w:r>
        <w:rPr>
          <w:spacing w:val="1"/>
          <w:sz w:val="20"/>
        </w:rPr>
        <w:t> </w:t>
      </w:r>
      <w:r>
        <w:rPr>
          <w:sz w:val="20"/>
        </w:rPr>
        <w:t>basis may decrease, and in turn improve our gross margin. As our commercial operations continue to grow,</w:t>
      </w:r>
      <w:r>
        <w:rPr>
          <w:spacing w:val="-48"/>
          <w:sz w:val="20"/>
        </w:rPr>
        <w:t> </w:t>
      </w:r>
      <w:r>
        <w:rPr>
          <w:sz w:val="20"/>
        </w:rPr>
        <w:t>we</w:t>
      </w:r>
      <w:r>
        <w:rPr>
          <w:spacing w:val="-2"/>
          <w:sz w:val="20"/>
        </w:rPr>
        <w:t> </w:t>
      </w:r>
      <w:r>
        <w:rPr>
          <w:sz w:val="20"/>
        </w:rPr>
        <w:t>expect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continue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realize</w:t>
      </w:r>
      <w:r>
        <w:rPr>
          <w:spacing w:val="-2"/>
          <w:sz w:val="20"/>
        </w:rPr>
        <w:t> </w:t>
      </w:r>
      <w:r>
        <w:rPr>
          <w:sz w:val="20"/>
        </w:rPr>
        <w:t>operating</w:t>
      </w:r>
      <w:r>
        <w:rPr>
          <w:spacing w:val="-1"/>
          <w:sz w:val="20"/>
        </w:rPr>
        <w:t> </w:t>
      </w:r>
      <w:r>
        <w:rPr>
          <w:sz w:val="20"/>
        </w:rPr>
        <w:t>leverage</w:t>
      </w:r>
      <w:r>
        <w:rPr>
          <w:spacing w:val="-2"/>
          <w:sz w:val="20"/>
        </w:rPr>
        <w:t> </w:t>
      </w:r>
      <w:r>
        <w:rPr>
          <w:sz w:val="20"/>
        </w:rPr>
        <w:t>through</w:t>
      </w:r>
      <w:r>
        <w:rPr>
          <w:spacing w:val="-1"/>
          <w:sz w:val="20"/>
        </w:rPr>
        <w:t> </w:t>
      </w:r>
      <w:r>
        <w:rPr>
          <w:sz w:val="20"/>
        </w:rPr>
        <w:t>increased</w:t>
      </w:r>
      <w:r>
        <w:rPr>
          <w:spacing w:val="-1"/>
          <w:sz w:val="20"/>
        </w:rPr>
        <w:t> </w:t>
      </w:r>
      <w:r>
        <w:rPr>
          <w:sz w:val="20"/>
        </w:rPr>
        <w:t>scale</w:t>
      </w:r>
      <w:r>
        <w:rPr>
          <w:spacing w:val="-2"/>
          <w:sz w:val="20"/>
        </w:rPr>
        <w:t> </w:t>
      </w:r>
      <w:r>
        <w:rPr>
          <w:sz w:val="20"/>
        </w:rPr>
        <w:t>efficiencies.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9" w:lineRule="auto" w:before="184" w:after="0"/>
        <w:ind w:left="820" w:right="139" w:hanging="360"/>
        <w:jc w:val="left"/>
        <w:rPr>
          <w:sz w:val="20"/>
        </w:rPr>
      </w:pPr>
      <w:r>
        <w:rPr>
          <w:i/>
          <w:sz w:val="20"/>
        </w:rPr>
        <w:t>Investment in research and development to drive continuous improvements and innovation. </w:t>
      </w:r>
      <w:r>
        <w:rPr>
          <w:sz w:val="20"/>
        </w:rPr>
        <w:t>We are</w:t>
      </w:r>
      <w:r>
        <w:rPr>
          <w:spacing w:val="1"/>
          <w:sz w:val="20"/>
        </w:rPr>
        <w:t> </w:t>
      </w:r>
      <w:r>
        <w:rPr>
          <w:sz w:val="20"/>
        </w:rPr>
        <w:t>currently developing additional and next generation technologies to support and improve Aquablation</w:t>
      </w:r>
      <w:r>
        <w:rPr>
          <w:spacing w:val="1"/>
          <w:sz w:val="20"/>
        </w:rPr>
        <w:t> </w:t>
      </w:r>
      <w:r>
        <w:rPr>
          <w:sz w:val="20"/>
        </w:rPr>
        <w:t>therapy to further satisfy the evolving needs of surgeons and their patients as well as to further enhance the</w:t>
      </w:r>
      <w:r>
        <w:rPr>
          <w:spacing w:val="1"/>
          <w:sz w:val="20"/>
        </w:rPr>
        <w:t> </w:t>
      </w:r>
      <w:r>
        <w:rPr>
          <w:sz w:val="20"/>
        </w:rPr>
        <w:t>usability and scalability of the AquaBeam Robotic System. We also plan to leverage our treatment data and</w:t>
      </w:r>
      <w:r>
        <w:rPr>
          <w:spacing w:val="-47"/>
          <w:sz w:val="20"/>
        </w:rPr>
        <w:t> </w:t>
      </w:r>
      <w:r>
        <w:rPr>
          <w:sz w:val="20"/>
        </w:rPr>
        <w:t>software development capabilities to integrate artificial intelligence and machine learning to enable</w:t>
      </w:r>
      <w:r>
        <w:rPr>
          <w:spacing w:val="1"/>
          <w:sz w:val="20"/>
        </w:rPr>
        <w:t> </w:t>
      </w:r>
      <w:r>
        <w:rPr>
          <w:sz w:val="20"/>
        </w:rPr>
        <w:t>computer-assisted anatomy recognition and improved treatment planning and personalization. Our future</w:t>
      </w:r>
      <w:r>
        <w:rPr>
          <w:spacing w:val="1"/>
          <w:sz w:val="20"/>
        </w:rPr>
        <w:t> </w:t>
      </w:r>
      <w:r>
        <w:rPr>
          <w:sz w:val="20"/>
        </w:rPr>
        <w:t>growth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dependent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these</w:t>
      </w:r>
      <w:r>
        <w:rPr>
          <w:spacing w:val="-4"/>
          <w:sz w:val="20"/>
        </w:rPr>
        <w:t> </w:t>
      </w:r>
      <w:r>
        <w:rPr>
          <w:sz w:val="20"/>
        </w:rPr>
        <w:t>continuous</w:t>
      </w:r>
      <w:r>
        <w:rPr>
          <w:spacing w:val="-5"/>
          <w:sz w:val="20"/>
        </w:rPr>
        <w:t> </w:t>
      </w:r>
      <w:r>
        <w:rPr>
          <w:sz w:val="20"/>
        </w:rPr>
        <w:t>improvements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require</w:t>
      </w:r>
      <w:r>
        <w:rPr>
          <w:spacing w:val="-4"/>
          <w:sz w:val="20"/>
        </w:rPr>
        <w:t> </w:t>
      </w:r>
      <w:r>
        <w:rPr>
          <w:sz w:val="20"/>
        </w:rPr>
        <w:t>significant</w:t>
      </w:r>
      <w:r>
        <w:rPr>
          <w:spacing w:val="-4"/>
          <w:sz w:val="20"/>
        </w:rPr>
        <w:t> </w:t>
      </w:r>
      <w:r>
        <w:rPr>
          <w:sz w:val="20"/>
        </w:rPr>
        <w:t>resources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investment.</w:t>
      </w:r>
    </w:p>
    <w:p>
      <w:pPr>
        <w:pStyle w:val="Heading3"/>
        <w:spacing w:before="183"/>
        <w:rPr>
          <w:i/>
        </w:rPr>
      </w:pPr>
      <w:r>
        <w:rPr>
          <w:i/>
        </w:rPr>
        <w:t>Impact</w:t>
      </w:r>
      <w:r>
        <w:rPr>
          <w:i/>
          <w:spacing w:val="-4"/>
        </w:rPr>
        <w:t> </w:t>
      </w:r>
      <w:r>
        <w:rPr>
          <w:i/>
        </w:rPr>
        <w:t>of</w:t>
      </w:r>
      <w:r>
        <w:rPr>
          <w:i/>
          <w:spacing w:val="-3"/>
        </w:rPr>
        <w:t> </w:t>
      </w:r>
      <w:r>
        <w:rPr>
          <w:i/>
        </w:rPr>
        <w:t>the</w:t>
      </w:r>
      <w:r>
        <w:rPr>
          <w:i/>
          <w:spacing w:val="-4"/>
        </w:rPr>
        <w:t> </w:t>
      </w:r>
      <w:r>
        <w:rPr>
          <w:i/>
        </w:rPr>
        <w:t>COVID-19</w:t>
      </w:r>
      <w:r>
        <w:rPr>
          <w:i/>
          <w:spacing w:val="-3"/>
        </w:rPr>
        <w:t> </w:t>
      </w:r>
      <w:r>
        <w:rPr>
          <w:i/>
        </w:rPr>
        <w:t>Pandemic</w:t>
      </w:r>
    </w:p>
    <w:p>
      <w:pPr>
        <w:pStyle w:val="BodyText"/>
        <w:spacing w:line="249" w:lineRule="auto" w:before="193"/>
        <w:ind w:right="122"/>
      </w:pPr>
      <w:r>
        <w:rPr/>
        <w:t>The COVID-19 outbreak and the consequential economic disruptions have negatively impacted and may</w:t>
      </w:r>
      <w:r>
        <w:rPr>
          <w:spacing w:val="1"/>
        </w:rPr>
        <w:t> </w:t>
      </w:r>
      <w:r>
        <w:rPr/>
        <w:t>continue to negatively impact our operations, revenue and overall financial condition. In response to the pandemic,</w:t>
      </w:r>
      <w:r>
        <w:rPr>
          <w:spacing w:val="1"/>
        </w:rPr>
        <w:t> </w:t>
      </w:r>
      <w:r>
        <w:rPr/>
        <w:t>numerous state and local jurisdictions imposed, and others in the future may impose, “shelter-in-place” orders,</w:t>
      </w:r>
      <w:r>
        <w:rPr>
          <w:spacing w:val="1"/>
        </w:rPr>
        <w:t> </w:t>
      </w:r>
      <w:r>
        <w:rPr/>
        <w:t>quarantines, executive orders, and similar government orders and restrictions for their residents to control the spread</w:t>
      </w:r>
      <w:r>
        <w:rPr>
          <w:spacing w:val="-47"/>
        </w:rPr>
        <w:t> </w:t>
      </w:r>
      <w:r>
        <w:rPr/>
        <w:t>of COVID-19. Starting in mid-March 2020, the governor of California, where our headquarters are located, issued</w:t>
      </w:r>
      <w:r>
        <w:rPr>
          <w:spacing w:val="1"/>
        </w:rPr>
        <w:t> </w:t>
      </w:r>
      <w:r>
        <w:rPr/>
        <w:t>“shelter-in-place”</w:t>
      </w:r>
      <w:r>
        <w:rPr>
          <w:spacing w:val="1"/>
        </w:rPr>
        <w:t> </w:t>
      </w:r>
      <w:r>
        <w:rPr/>
        <w:t>or</w:t>
      </w:r>
      <w:r>
        <w:rPr>
          <w:spacing w:val="2"/>
        </w:rPr>
        <w:t> </w:t>
      </w:r>
      <w:r>
        <w:rPr/>
        <w:t>“stay</w:t>
      </w:r>
      <w:r>
        <w:rPr>
          <w:spacing w:val="3"/>
        </w:rPr>
        <w:t> </w:t>
      </w:r>
      <w:r>
        <w:rPr/>
        <w:t>at</w:t>
      </w:r>
      <w:r>
        <w:rPr>
          <w:spacing w:val="1"/>
        </w:rPr>
        <w:t> </w:t>
      </w:r>
      <w:r>
        <w:rPr/>
        <w:t>home”</w:t>
      </w:r>
      <w:r>
        <w:rPr>
          <w:spacing w:val="1"/>
        </w:rPr>
        <w:t> </w:t>
      </w:r>
      <w:r>
        <w:rPr/>
        <w:t>orders</w:t>
      </w:r>
      <w:r>
        <w:rPr>
          <w:spacing w:val="2"/>
        </w:rPr>
        <w:t> </w:t>
      </w:r>
      <w:r>
        <w:rPr/>
        <w:t>restricting</w:t>
      </w:r>
      <w:r>
        <w:rPr>
          <w:spacing w:val="2"/>
        </w:rPr>
        <w:t> </w:t>
      </w:r>
      <w:r>
        <w:rPr/>
        <w:t>non-essential</w:t>
      </w:r>
      <w:r>
        <w:rPr>
          <w:spacing w:val="1"/>
        </w:rPr>
        <w:t> </w:t>
      </w:r>
      <w:r>
        <w:rPr/>
        <w:t>activities,</w:t>
      </w:r>
      <w:r>
        <w:rPr>
          <w:spacing w:val="3"/>
        </w:rPr>
        <w:t> </w:t>
      </w:r>
      <w:r>
        <w:rPr/>
        <w:t>travel,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business</w:t>
      </w:r>
      <w:r>
        <w:rPr>
          <w:spacing w:val="2"/>
        </w:rPr>
        <w:t> </w:t>
      </w:r>
      <w:r>
        <w:rPr/>
        <w:t>operations,</w:t>
      </w:r>
      <w:r>
        <w:rPr>
          <w:spacing w:val="1"/>
        </w:rPr>
        <w:t> </w:t>
      </w:r>
      <w:r>
        <w:rPr/>
        <w:t>subject to certain exceptions for necessary activities. Such orders or restrictions have resulted in our headquarters</w:t>
      </w:r>
      <w:r>
        <w:rPr>
          <w:spacing w:val="1"/>
        </w:rPr>
        <w:t> </w:t>
      </w:r>
      <w:r>
        <w:rPr/>
        <w:t>closing,</w:t>
      </w:r>
      <w:r>
        <w:rPr>
          <w:spacing w:val="-4"/>
        </w:rPr>
        <w:t> </w:t>
      </w:r>
      <w:r>
        <w:rPr/>
        <w:t>slowdowns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delays,</w:t>
      </w:r>
      <w:r>
        <w:rPr>
          <w:spacing w:val="-3"/>
        </w:rPr>
        <w:t> </w:t>
      </w:r>
      <w:r>
        <w:rPr/>
        <w:t>travel</w:t>
      </w:r>
      <w:r>
        <w:rPr>
          <w:spacing w:val="-4"/>
        </w:rPr>
        <w:t> </w:t>
      </w:r>
      <w:r>
        <w:rPr/>
        <w:t>restrictions,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cancellation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training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other</w:t>
      </w:r>
      <w:r>
        <w:rPr>
          <w:spacing w:val="-3"/>
        </w:rPr>
        <w:t> </w:t>
      </w:r>
      <w:r>
        <w:rPr/>
        <w:t>events,</w:t>
      </w:r>
      <w:r>
        <w:rPr>
          <w:spacing w:val="-3"/>
        </w:rPr>
        <w:t> </w:t>
      </w:r>
      <w:r>
        <w:rPr/>
        <w:t>among</w:t>
      </w:r>
      <w:r>
        <w:rPr>
          <w:spacing w:val="-4"/>
        </w:rPr>
        <w:t> </w:t>
      </w:r>
      <w:r>
        <w:rPr/>
        <w:t>other</w:t>
      </w:r>
      <w:r>
        <w:rPr>
          <w:spacing w:val="-3"/>
        </w:rPr>
        <w:t> </w:t>
      </w:r>
      <w:r>
        <w:rPr/>
        <w:t>effects,</w:t>
      </w:r>
      <w:r>
        <w:rPr>
          <w:spacing w:val="-47"/>
        </w:rPr>
        <w:t> </w:t>
      </w:r>
      <w:r>
        <w:rPr/>
        <w:t>thereby negatively impacting our operations. Additionally, in the United States, governmental authorities have</w:t>
      </w:r>
      <w:r>
        <w:rPr>
          <w:spacing w:val="1"/>
        </w:rPr>
        <w:t> </w:t>
      </w:r>
      <w:r>
        <w:rPr/>
        <w:t>recommended, and in certain cases required, that elective, specialty and other procedures and appointments be</w:t>
      </w:r>
      <w:r>
        <w:rPr>
          <w:spacing w:val="1"/>
        </w:rPr>
        <w:t> </w:t>
      </w:r>
      <w:r>
        <w:rPr/>
        <w:t>suspended or canceled to avoid non-essential patient exposure to medical environments and potential infection with</w:t>
      </w:r>
      <w:r>
        <w:rPr>
          <w:spacing w:val="1"/>
        </w:rPr>
        <w:t> </w:t>
      </w:r>
      <w:r>
        <w:rPr/>
        <w:t>COVID-19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focus</w:t>
      </w:r>
      <w:r>
        <w:rPr>
          <w:spacing w:val="-2"/>
        </w:rPr>
        <w:t> </w:t>
      </w:r>
      <w:r>
        <w:rPr/>
        <w:t>limited</w:t>
      </w:r>
      <w:r>
        <w:rPr>
          <w:spacing w:val="-1"/>
        </w:rPr>
        <w:t> </w:t>
      </w:r>
      <w:r>
        <w:rPr/>
        <w:t>resources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personnel</w:t>
      </w:r>
      <w:r>
        <w:rPr>
          <w:spacing w:val="-2"/>
        </w:rPr>
        <w:t> </w:t>
      </w:r>
      <w:r>
        <w:rPr/>
        <w:t>capacity</w:t>
      </w:r>
      <w:r>
        <w:rPr>
          <w:spacing w:val="-1"/>
        </w:rPr>
        <w:t> </w:t>
      </w:r>
      <w:r>
        <w:rPr/>
        <w:t>toward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treatment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COVID-19.</w:t>
      </w:r>
    </w:p>
    <w:p>
      <w:pPr>
        <w:pStyle w:val="BodyText"/>
        <w:spacing w:line="249" w:lineRule="auto"/>
        <w:ind w:right="212" w:firstLine="410"/>
      </w:pPr>
      <w:r>
        <w:rPr/>
        <w:t>These measures and challenges have decreased the number of BPH procedures generally, and consequently</w:t>
      </w:r>
      <w:r>
        <w:rPr>
          <w:spacing w:val="1"/>
        </w:rPr>
        <w:t> </w:t>
      </w:r>
      <w:r>
        <w:rPr/>
        <w:t>slowed adoption of our AquaBeam therapy and impacted our ability to sell our AquaBeam Robotic System. We</w:t>
      </w:r>
      <w:r>
        <w:rPr>
          <w:spacing w:val="1"/>
        </w:rPr>
        <w:t> </w:t>
      </w:r>
      <w:r>
        <w:rPr/>
        <w:t>believe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systems</w:t>
      </w:r>
      <w:r>
        <w:rPr>
          <w:spacing w:val="-3"/>
        </w:rPr>
        <w:t> </w:t>
      </w:r>
      <w:r>
        <w:rPr/>
        <w:t>sold</w:t>
      </w:r>
      <w:r>
        <w:rPr>
          <w:spacing w:val="-3"/>
        </w:rPr>
        <w:t> </w:t>
      </w:r>
      <w:r>
        <w:rPr/>
        <w:t>has</w:t>
      </w:r>
      <w:r>
        <w:rPr>
          <w:spacing w:val="-4"/>
        </w:rPr>
        <w:t> </w:t>
      </w:r>
      <w:r>
        <w:rPr/>
        <w:t>been</w:t>
      </w:r>
      <w:r>
        <w:rPr>
          <w:spacing w:val="-2"/>
        </w:rPr>
        <w:t> </w:t>
      </w:r>
      <w:r>
        <w:rPr/>
        <w:t>impacted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health</w:t>
      </w:r>
      <w:r>
        <w:rPr>
          <w:spacing w:val="-3"/>
        </w:rPr>
        <w:t> </w:t>
      </w:r>
      <w:r>
        <w:rPr/>
        <w:t>care</w:t>
      </w:r>
      <w:r>
        <w:rPr>
          <w:spacing w:val="-3"/>
        </w:rPr>
        <w:t> </w:t>
      </w:r>
      <w:r>
        <w:rPr/>
        <w:t>organizations</w:t>
      </w:r>
      <w:r>
        <w:rPr>
          <w:spacing w:val="-4"/>
        </w:rPr>
        <w:t> </w:t>
      </w:r>
      <w:r>
        <w:rPr/>
        <w:t>globally</w:t>
      </w:r>
      <w:r>
        <w:rPr>
          <w:spacing w:val="-2"/>
        </w:rPr>
        <w:t> </w:t>
      </w:r>
      <w:r>
        <w:rPr/>
        <w:t>have</w:t>
      </w:r>
      <w:r>
        <w:rPr>
          <w:spacing w:val="-4"/>
        </w:rPr>
        <w:t> </w:t>
      </w:r>
      <w:r>
        <w:rPr/>
        <w:t>prioritized</w:t>
      </w:r>
      <w:r>
        <w:rPr>
          <w:spacing w:val="-3"/>
        </w:rPr>
        <w:t> </w:t>
      </w:r>
      <w:r>
        <w:rPr/>
        <w:t>the</w:t>
      </w:r>
      <w:r>
        <w:rPr>
          <w:spacing w:val="-47"/>
        </w:rPr>
        <w:t> </w:t>
      </w:r>
      <w:r>
        <w:rPr/>
        <w:t>treatment of patients with COVID-19, and as health care organizations continue to experience consequential</w:t>
      </w:r>
      <w:r>
        <w:rPr>
          <w:spacing w:val="1"/>
        </w:rPr>
        <w:t> </w:t>
      </w:r>
      <w:r>
        <w:rPr/>
        <w:t>economic</w:t>
      </w:r>
      <w:r>
        <w:rPr>
          <w:spacing w:val="-4"/>
        </w:rPr>
        <w:t> </w:t>
      </w:r>
      <w:r>
        <w:rPr/>
        <w:t>disruptions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COVID-19</w:t>
      </w:r>
      <w:r>
        <w:rPr>
          <w:spacing w:val="-2"/>
        </w:rPr>
        <w:t> </w:t>
      </w:r>
      <w:r>
        <w:rPr/>
        <w:t>pandemic</w:t>
      </w:r>
      <w:r>
        <w:rPr>
          <w:spacing w:val="-3"/>
        </w:rPr>
        <w:t> </w:t>
      </w:r>
      <w:r>
        <w:rPr/>
        <w:t>such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budget</w:t>
      </w:r>
      <w:r>
        <w:rPr>
          <w:spacing w:val="-3"/>
        </w:rPr>
        <w:t> </w:t>
      </w:r>
      <w:r>
        <w:rPr/>
        <w:t>shortfalls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staffing</w:t>
      </w:r>
      <w:r>
        <w:rPr>
          <w:spacing w:val="-2"/>
        </w:rPr>
        <w:t> </w:t>
      </w:r>
      <w:r>
        <w:rPr/>
        <w:t>shortages.</w:t>
      </w:r>
      <w:r>
        <w:rPr>
          <w:spacing w:val="-2"/>
        </w:rPr>
        <w:t> </w:t>
      </w:r>
      <w:r>
        <w:rPr/>
        <w:t>Numerous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  <w:ind w:right="122" w:firstLine="0"/>
      </w:pPr>
      <w:r>
        <w:rPr/>
        <w:t>procedures have been and in certain jurisdictions in which we operate are continuing to be cancelled or delayed as a</w:t>
      </w:r>
      <w:r>
        <w:rPr>
          <w:spacing w:val="1"/>
        </w:rPr>
        <w:t> </w:t>
      </w:r>
      <w:r>
        <w:rPr/>
        <w:t>result of local public health measures and hospital policies. We have also experienced disruptions, and may</w:t>
      </w:r>
      <w:r>
        <w:rPr>
          <w:spacing w:val="1"/>
        </w:rPr>
        <w:t> </w:t>
      </w:r>
      <w:r>
        <w:rPr/>
        <w:t>experience</w:t>
      </w:r>
      <w:r>
        <w:rPr>
          <w:spacing w:val="-5"/>
        </w:rPr>
        <w:t> </w:t>
      </w:r>
      <w:r>
        <w:rPr/>
        <w:t>future</w:t>
      </w:r>
      <w:r>
        <w:rPr>
          <w:spacing w:val="-4"/>
        </w:rPr>
        <w:t> </w:t>
      </w:r>
      <w:r>
        <w:rPr/>
        <w:t>disruptions,</w:t>
      </w:r>
      <w:r>
        <w:rPr>
          <w:spacing w:val="-4"/>
        </w:rPr>
        <w:t> </w:t>
      </w:r>
      <w:r>
        <w:rPr/>
        <w:t>including:</w:t>
      </w:r>
      <w:r>
        <w:rPr>
          <w:spacing w:val="-4"/>
        </w:rPr>
        <w:t> </w:t>
      </w:r>
      <w:r>
        <w:rPr/>
        <w:t>delays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personnel</w:t>
      </w:r>
      <w:r>
        <w:rPr>
          <w:spacing w:val="-5"/>
        </w:rPr>
        <w:t> </w:t>
      </w:r>
      <w:r>
        <w:rPr/>
        <w:t>becoming</w:t>
      </w:r>
      <w:r>
        <w:rPr>
          <w:spacing w:val="-3"/>
        </w:rPr>
        <w:t> </w:t>
      </w:r>
      <w:r>
        <w:rPr/>
        <w:t>fully</w:t>
      </w:r>
      <w:r>
        <w:rPr>
          <w:spacing w:val="-4"/>
        </w:rPr>
        <w:t> </w:t>
      </w:r>
      <w:r>
        <w:rPr/>
        <w:t>trained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productive;</w:t>
      </w:r>
      <w:r>
        <w:rPr>
          <w:spacing w:val="-4"/>
        </w:rPr>
        <w:t> </w:t>
      </w:r>
      <w:r>
        <w:rPr/>
        <w:t>difficulties</w:t>
      </w:r>
      <w:r>
        <w:rPr>
          <w:spacing w:val="-47"/>
        </w:rPr>
        <w:t> </w:t>
      </w:r>
      <w:r>
        <w:rPr/>
        <w:t>and delays in physician outreach and training physicians to use our AquaBeam Robotic System; restrictions on</w:t>
      </w:r>
      <w:r>
        <w:rPr>
          <w:spacing w:val="1"/>
        </w:rPr>
        <w:t> </w:t>
      </w:r>
      <w:r>
        <w:rPr/>
        <w:t>personnel to travel; delays in follow-ups of our clinical studies; challenges with maintaining adequate supply from</w:t>
      </w:r>
      <w:r>
        <w:rPr>
          <w:spacing w:val="1"/>
        </w:rPr>
        <w:t> </w:t>
      </w:r>
      <w:r>
        <w:rPr/>
        <w:t>third-party manufacturers of components and finished goods and distribution providers; and access to physicians for</w:t>
      </w:r>
      <w:r>
        <w:rPr>
          <w:spacing w:val="1"/>
        </w:rPr>
        <w:t> </w:t>
      </w:r>
      <w:r>
        <w:rPr/>
        <w:t>training</w:t>
      </w:r>
      <w:r>
        <w:rPr>
          <w:spacing w:val="-1"/>
        </w:rPr>
        <w:t> </w:t>
      </w:r>
      <w:r>
        <w:rPr/>
        <w:t>and case</w:t>
      </w:r>
      <w:r>
        <w:rPr>
          <w:spacing w:val="-1"/>
        </w:rPr>
        <w:t> </w:t>
      </w:r>
      <w:r>
        <w:rPr/>
        <w:t>support.</w:t>
      </w:r>
    </w:p>
    <w:p>
      <w:pPr>
        <w:pStyle w:val="BodyText"/>
        <w:spacing w:line="249" w:lineRule="auto" w:before="185"/>
        <w:ind w:right="129"/>
      </w:pPr>
      <w:r>
        <w:rPr/>
        <w:t>While</w:t>
      </w:r>
      <w:r>
        <w:rPr>
          <w:spacing w:val="-1"/>
        </w:rPr>
        <w:t> </w:t>
      </w:r>
      <w:r>
        <w:rPr/>
        <w:t>many restrictions associated with</w:t>
      </w:r>
      <w:r>
        <w:rPr>
          <w:spacing w:val="1"/>
        </w:rPr>
        <w:t> </w:t>
      </w:r>
      <w:r>
        <w:rPr/>
        <w:t>COVID-19 have more</w:t>
      </w:r>
      <w:r>
        <w:rPr>
          <w:spacing w:val="-1"/>
        </w:rPr>
        <w:t> </w:t>
      </w:r>
      <w:r>
        <w:rPr/>
        <w:t>recently</w:t>
      </w:r>
      <w:r>
        <w:rPr>
          <w:spacing w:val="1"/>
        </w:rPr>
        <w:t> </w:t>
      </w:r>
      <w:r>
        <w:rPr/>
        <w:t>been relaxed,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longevity</w:t>
      </w:r>
      <w:r>
        <w:rPr>
          <w:spacing w:val="1"/>
        </w:rPr>
        <w:t> </w:t>
      </w:r>
      <w:r>
        <w:rPr/>
        <w:t>and extent</w:t>
      </w:r>
      <w:r>
        <w:rPr>
          <w:spacing w:val="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various</w:t>
      </w:r>
      <w:r>
        <w:rPr>
          <w:spacing w:val="-4"/>
        </w:rPr>
        <w:t> </w:t>
      </w:r>
      <w:r>
        <w:rPr/>
        <w:t>COVID-19</w:t>
      </w:r>
      <w:r>
        <w:rPr>
          <w:spacing w:val="-2"/>
        </w:rPr>
        <w:t> </w:t>
      </w:r>
      <w:r>
        <w:rPr/>
        <w:t>pandemic</w:t>
      </w:r>
      <w:r>
        <w:rPr>
          <w:spacing w:val="-4"/>
        </w:rPr>
        <w:t> </w:t>
      </w:r>
      <w:r>
        <w:rPr/>
        <w:t>remains</w:t>
      </w:r>
      <w:r>
        <w:rPr>
          <w:spacing w:val="-3"/>
        </w:rPr>
        <w:t> </w:t>
      </w:r>
      <w:r>
        <w:rPr/>
        <w:t>uncertain,</w:t>
      </w:r>
      <w:r>
        <w:rPr>
          <w:spacing w:val="-2"/>
        </w:rPr>
        <w:t> </w:t>
      </w:r>
      <w:r>
        <w:rPr/>
        <w:t>including</w:t>
      </w:r>
      <w:r>
        <w:rPr>
          <w:spacing w:val="-3"/>
        </w:rPr>
        <w:t> </w:t>
      </w:r>
      <w:r>
        <w:rPr/>
        <w:t>due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emergence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impact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COVID-19</w:t>
      </w:r>
      <w:r>
        <w:rPr>
          <w:spacing w:val="-47"/>
        </w:rPr>
        <w:t> </w:t>
      </w:r>
      <w:r>
        <w:rPr/>
        <w:t>variants and continued economic disruptions. These measures and challenges may continue for the duration of the</w:t>
      </w:r>
      <w:r>
        <w:rPr>
          <w:spacing w:val="1"/>
        </w:rPr>
        <w:t> </w:t>
      </w:r>
      <w:r>
        <w:rPr/>
        <w:t>pandemic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may negatively</w:t>
      </w:r>
      <w:r>
        <w:rPr>
          <w:spacing w:val="-1"/>
        </w:rPr>
        <w:t> </w:t>
      </w:r>
      <w:r>
        <w:rPr/>
        <w:t>impact</w:t>
      </w:r>
      <w:r>
        <w:rPr>
          <w:spacing w:val="-1"/>
        </w:rPr>
        <w:t> </w:t>
      </w:r>
      <w:r>
        <w:rPr/>
        <w:t>our</w:t>
      </w:r>
      <w:r>
        <w:rPr>
          <w:spacing w:val="-1"/>
        </w:rPr>
        <w:t> </w:t>
      </w:r>
      <w:r>
        <w:rPr/>
        <w:t>revenue</w:t>
      </w:r>
      <w:r>
        <w:rPr>
          <w:spacing w:val="-2"/>
        </w:rPr>
        <w:t> </w:t>
      </w:r>
      <w:r>
        <w:rPr/>
        <w:t>growth while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pandemic</w:t>
      </w:r>
      <w:r>
        <w:rPr>
          <w:spacing w:val="-2"/>
        </w:rPr>
        <w:t> </w:t>
      </w:r>
      <w:r>
        <w:rPr/>
        <w:t>continues.</w:t>
      </w:r>
    </w:p>
    <w:p>
      <w:pPr>
        <w:pStyle w:val="Heading2"/>
        <w:spacing w:before="180"/>
      </w:pPr>
      <w:bookmarkStart w:name="Components of Our Results of Operations " w:id="41"/>
      <w:bookmarkEnd w:id="41"/>
      <w:r>
        <w:rPr>
          <w:b w:val="0"/>
        </w:rPr>
      </w:r>
      <w:r>
        <w:rPr/>
        <w:t>Components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Our</w:t>
      </w:r>
      <w:r>
        <w:rPr>
          <w:spacing w:val="-4"/>
        </w:rPr>
        <w:t> </w:t>
      </w:r>
      <w:r>
        <w:rPr/>
        <w:t>Results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Operations</w:t>
      </w:r>
    </w:p>
    <w:p>
      <w:pPr>
        <w:pStyle w:val="Heading3"/>
        <w:spacing w:before="190"/>
        <w:rPr>
          <w:i/>
        </w:rPr>
      </w:pPr>
      <w:r>
        <w:rPr>
          <w:i/>
        </w:rPr>
        <w:t>Revenue</w:t>
      </w:r>
    </w:p>
    <w:p>
      <w:pPr>
        <w:pStyle w:val="BodyText"/>
        <w:spacing w:line="249" w:lineRule="auto" w:before="194"/>
        <w:ind w:right="180"/>
      </w:pPr>
      <w:r>
        <w:rPr/>
        <w:t>We</w:t>
      </w:r>
      <w:r>
        <w:rPr>
          <w:spacing w:val="-4"/>
        </w:rPr>
        <w:t> </w:t>
      </w:r>
      <w:r>
        <w:rPr/>
        <w:t>generate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revenue</w:t>
      </w:r>
      <w:r>
        <w:rPr>
          <w:spacing w:val="-4"/>
        </w:rPr>
        <w:t> </w:t>
      </w:r>
      <w:r>
        <w:rPr/>
        <w:t>primarily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capital</w:t>
      </w:r>
      <w:r>
        <w:rPr>
          <w:spacing w:val="-4"/>
        </w:rPr>
        <w:t> </w:t>
      </w:r>
      <w:r>
        <w:rPr/>
        <w:t>portion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our</w:t>
      </w:r>
      <w:r>
        <w:rPr>
          <w:spacing w:val="-3"/>
        </w:rPr>
        <w:t> </w:t>
      </w:r>
      <w:r>
        <w:rPr/>
        <w:t>business,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/>
        <w:t>includes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rentals</w:t>
      </w:r>
      <w:r>
        <w:rPr>
          <w:spacing w:val="-3"/>
        </w:rPr>
        <w:t> </w:t>
      </w:r>
      <w:r>
        <w:rPr/>
        <w:t>of</w:t>
      </w:r>
      <w:r>
        <w:rPr>
          <w:spacing w:val="-47"/>
        </w:rPr>
        <w:t> </w:t>
      </w:r>
      <w:r>
        <w:rPr/>
        <w:t>our AquaBeam Robotic System, and from the recurring revenue associated with sales of our single-use disposable</w:t>
      </w:r>
      <w:r>
        <w:rPr>
          <w:spacing w:val="1"/>
        </w:rPr>
        <w:t> </w:t>
      </w:r>
      <w:r>
        <w:rPr/>
        <w:t>handpieces that are used during each surgery performed with our system. The initial sale of an AquaBeam Robotic</w:t>
      </w:r>
      <w:r>
        <w:rPr>
          <w:spacing w:val="1"/>
        </w:rPr>
        <w:t> </w:t>
      </w:r>
      <w:r>
        <w:rPr/>
        <w:t>System involves a capital purchase by the hospital, which may require approval of senior management at the</w:t>
      </w:r>
      <w:r>
        <w:rPr>
          <w:spacing w:val="1"/>
        </w:rPr>
        <w:t> </w:t>
      </w:r>
      <w:r>
        <w:rPr/>
        <w:t>hospital, or in some cases, inclusion in the hospital’s budget process. Other revenue is derived primarily from</w:t>
      </w:r>
      <w:r>
        <w:rPr>
          <w:spacing w:val="1"/>
        </w:rPr>
        <w:t> </w:t>
      </w:r>
      <w:r>
        <w:rPr/>
        <w:t>service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repair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extended</w:t>
      </w:r>
      <w:r>
        <w:rPr>
          <w:spacing w:val="-3"/>
        </w:rPr>
        <w:t> </w:t>
      </w:r>
      <w:r>
        <w:rPr/>
        <w:t>service</w:t>
      </w:r>
      <w:r>
        <w:rPr>
          <w:spacing w:val="-4"/>
        </w:rPr>
        <w:t> </w:t>
      </w:r>
      <w:r>
        <w:rPr/>
        <w:t>contracts</w:t>
      </w:r>
      <w:r>
        <w:rPr>
          <w:spacing w:val="-4"/>
        </w:rPr>
        <w:t> </w:t>
      </w:r>
      <w:r>
        <w:rPr/>
        <w:t>with</w:t>
      </w:r>
      <w:r>
        <w:rPr>
          <w:spacing w:val="-2"/>
        </w:rPr>
        <w:t> </w:t>
      </w:r>
      <w:r>
        <w:rPr/>
        <w:t>our</w:t>
      </w:r>
      <w:r>
        <w:rPr>
          <w:spacing w:val="-3"/>
        </w:rPr>
        <w:t> </w:t>
      </w:r>
      <w:r>
        <w:rPr/>
        <w:t>existing</w:t>
      </w:r>
      <w:r>
        <w:rPr>
          <w:spacing w:val="-3"/>
        </w:rPr>
        <w:t> </w:t>
      </w:r>
      <w:r>
        <w:rPr/>
        <w:t>customers.</w:t>
      </w:r>
      <w:r>
        <w:rPr>
          <w:spacing w:val="-2"/>
        </w:rPr>
        <w:t> </w:t>
      </w:r>
      <w:r>
        <w:rPr/>
        <w:t>We</w:t>
      </w:r>
      <w:r>
        <w:rPr>
          <w:spacing w:val="-4"/>
        </w:rPr>
        <w:t> </w:t>
      </w:r>
      <w:r>
        <w:rPr/>
        <w:t>expect</w:t>
      </w:r>
      <w:r>
        <w:rPr>
          <w:spacing w:val="-4"/>
        </w:rPr>
        <w:t> </w:t>
      </w:r>
      <w:r>
        <w:rPr/>
        <w:t>our</w:t>
      </w:r>
      <w:r>
        <w:rPr>
          <w:spacing w:val="-3"/>
        </w:rPr>
        <w:t> </w:t>
      </w:r>
      <w:r>
        <w:rPr/>
        <w:t>revenue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increase</w:t>
      </w:r>
      <w:r>
        <w:rPr>
          <w:spacing w:val="-4"/>
        </w:rPr>
        <w:t> </w:t>
      </w:r>
      <w:r>
        <w:rPr/>
        <w:t>in</w:t>
      </w:r>
      <w:r>
        <w:rPr>
          <w:spacing w:val="-47"/>
        </w:rPr>
        <w:t> </w:t>
      </w:r>
      <w:r>
        <w:rPr/>
        <w:t>absolute dollars for the foreseeable future as we continue to focus on driving adoption of Aquablation therapy, and</w:t>
      </w:r>
      <w:r>
        <w:rPr>
          <w:spacing w:val="1"/>
        </w:rPr>
        <w:t> </w:t>
      </w:r>
      <w:r>
        <w:rPr/>
        <w:t>increased</w:t>
      </w:r>
      <w:r>
        <w:rPr>
          <w:spacing w:val="-1"/>
        </w:rPr>
        <w:t> </w:t>
      </w:r>
      <w:r>
        <w:rPr/>
        <w:t>system</w:t>
      </w:r>
      <w:r>
        <w:rPr>
          <w:spacing w:val="-1"/>
        </w:rPr>
        <w:t> </w:t>
      </w:r>
      <w:r>
        <w:rPr/>
        <w:t>utilization,</w:t>
      </w:r>
      <w:r>
        <w:rPr>
          <w:spacing w:val="-1"/>
        </w:rPr>
        <w:t> </w:t>
      </w:r>
      <w:r>
        <w:rPr/>
        <w:t>though it</w:t>
      </w:r>
      <w:r>
        <w:rPr>
          <w:spacing w:val="-2"/>
        </w:rPr>
        <w:t> </w:t>
      </w:r>
      <w:r>
        <w:rPr/>
        <w:t>may fluctuate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quarter</w:t>
      </w:r>
      <w:r>
        <w:rPr>
          <w:spacing w:val="-1"/>
        </w:rPr>
        <w:t> </w:t>
      </w:r>
      <w:r>
        <w:rPr/>
        <w:t>to quarter.</w:t>
      </w:r>
    </w:p>
    <w:p>
      <w:pPr>
        <w:pStyle w:val="BodyText"/>
        <w:spacing w:before="186"/>
        <w:ind w:left="460" w:firstLine="0"/>
      </w:pP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table</w:t>
      </w:r>
      <w:r>
        <w:rPr>
          <w:spacing w:val="-4"/>
        </w:rPr>
        <w:t> </w:t>
      </w:r>
      <w:r>
        <w:rPr/>
        <w:t>presents</w:t>
      </w:r>
      <w:r>
        <w:rPr>
          <w:spacing w:val="-4"/>
        </w:rPr>
        <w:t> </w:t>
      </w:r>
      <w:r>
        <w:rPr/>
        <w:t>revenue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significant</w:t>
      </w:r>
      <w:r>
        <w:rPr>
          <w:spacing w:val="-4"/>
        </w:rPr>
        <w:t> </w:t>
      </w:r>
      <w:r>
        <w:rPr/>
        <w:t>geographical</w:t>
      </w:r>
      <w:r>
        <w:rPr>
          <w:spacing w:val="-4"/>
        </w:rPr>
        <w:t> </w:t>
      </w:r>
      <w:r>
        <w:rPr/>
        <w:t>locations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periods</w:t>
      </w:r>
      <w:r>
        <w:rPr>
          <w:spacing w:val="-4"/>
        </w:rPr>
        <w:t> </w:t>
      </w:r>
      <w:r>
        <w:rPr/>
        <w:t>indicated:</w:t>
      </w:r>
    </w:p>
    <w:p>
      <w:pPr>
        <w:pStyle w:val="BodyText"/>
        <w:spacing w:before="7"/>
        <w:ind w:left="0" w:firstLine="0"/>
        <w:rPr>
          <w:sz w:val="13"/>
        </w:rPr>
      </w:pPr>
    </w:p>
    <w:p>
      <w:pPr>
        <w:tabs>
          <w:tab w:pos="6932" w:val="left" w:leader="none"/>
        </w:tabs>
        <w:spacing w:before="93" w:after="45"/>
        <w:ind w:left="4218" w:right="0" w:firstLine="0"/>
        <w:jc w:val="left"/>
        <w:rPr>
          <w:b/>
          <w:sz w:val="16"/>
        </w:rPr>
      </w:pPr>
      <w:r>
        <w:rPr>
          <w:b/>
          <w:sz w:val="16"/>
        </w:rPr>
        <w:t>Three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Months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Ended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September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30,</w:t>
        <w:tab/>
        <w:t>Nine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Months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Ended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September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30,</w:t>
      </w: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20"/>
        <w:gridCol w:w="835"/>
        <w:gridCol w:w="740"/>
        <w:gridCol w:w="627"/>
        <w:gridCol w:w="710"/>
        <w:gridCol w:w="597"/>
        <w:gridCol w:w="740"/>
        <w:gridCol w:w="627"/>
        <w:gridCol w:w="472"/>
      </w:tblGrid>
      <w:tr>
        <w:trPr>
          <w:trHeight w:val="220" w:hRule="atLeast"/>
        </w:trPr>
        <w:tc>
          <w:tcPr>
            <w:tcW w:w="4020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left="4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</w:p>
        </w:tc>
        <w:tc>
          <w:tcPr>
            <w:tcW w:w="7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left="28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left="2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</w:p>
        </w:tc>
        <w:tc>
          <w:tcPr>
            <w:tcW w:w="7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left="2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</w:p>
        </w:tc>
        <w:tc>
          <w:tcPr>
            <w:tcW w:w="47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</w:tr>
      <w:tr>
        <w:trPr>
          <w:trHeight w:val="260" w:hRule="atLeast"/>
        </w:trPr>
        <w:tc>
          <w:tcPr>
            <w:tcW w:w="4020" w:type="dxa"/>
            <w:shd w:val="clear" w:color="auto" w:fill="CCEDFF"/>
          </w:tcPr>
          <w:p>
            <w:pPr>
              <w:pStyle w:val="TableParagraph"/>
              <w:ind w:right="54"/>
              <w:rPr>
                <w:sz w:val="20"/>
              </w:rPr>
            </w:pPr>
            <w:r>
              <w:rPr>
                <w:sz w:val="20"/>
              </w:rPr>
              <w:t>United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States</w:t>
            </w:r>
            <w:r>
              <w:rPr>
                <w:spacing w:val="40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</w:p>
        </w:tc>
        <w:tc>
          <w:tcPr>
            <w:tcW w:w="835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40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  <w:tc>
          <w:tcPr>
            <w:tcW w:w="627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10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ind w:left="19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  <w:tc>
          <w:tcPr>
            <w:tcW w:w="597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40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ind w:left="17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  <w:tc>
          <w:tcPr>
            <w:tcW w:w="627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72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270" w:hRule="atLeast"/>
        </w:trPr>
        <w:tc>
          <w:tcPr>
            <w:tcW w:w="4020" w:type="dxa"/>
          </w:tcPr>
          <w:p>
            <w:pPr>
              <w:pStyle w:val="TableParagraph"/>
              <w:spacing w:before="10"/>
              <w:ind w:right="59"/>
              <w:rPr>
                <w:sz w:val="20"/>
              </w:rPr>
            </w:pPr>
            <w:r>
              <w:rPr>
                <w:sz w:val="20"/>
              </w:rPr>
              <w:t>Outside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United States</w:t>
            </w:r>
            <w:r>
              <w:rPr>
                <w:spacing w:val="19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</w:p>
        </w:tc>
        <w:tc>
          <w:tcPr>
            <w:tcW w:w="835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spacing w:before="10"/>
              <w:ind w:left="21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  <w:tc>
          <w:tcPr>
            <w:tcW w:w="627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before="10"/>
              <w:ind w:left="19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  <w:tc>
          <w:tcPr>
            <w:tcW w:w="597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spacing w:before="10"/>
              <w:ind w:left="17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  <w:tc>
          <w:tcPr>
            <w:tcW w:w="627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72" w:type="dxa"/>
          </w:tcPr>
          <w:p>
            <w:pPr>
              <w:pStyle w:val="TableParagraph"/>
              <w:spacing w:before="10"/>
              <w:ind w:right="5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270" w:hRule="atLeast"/>
        </w:trPr>
        <w:tc>
          <w:tcPr>
            <w:tcW w:w="4020" w:type="dxa"/>
            <w:shd w:val="clear" w:color="auto" w:fill="CCEDFF"/>
          </w:tcPr>
          <w:p>
            <w:pPr>
              <w:pStyle w:val="TableParagraph"/>
              <w:spacing w:before="4"/>
              <w:ind w:right="53"/>
              <w:rPr>
                <w:sz w:val="20"/>
              </w:rPr>
            </w:pPr>
            <w:r>
              <w:rPr>
                <w:sz w:val="20"/>
              </w:rPr>
              <w:t>Germany</w:t>
            </w:r>
            <w:r>
              <w:rPr>
                <w:spacing w:val="27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</w:t>
            </w:r>
          </w:p>
        </w:tc>
        <w:tc>
          <w:tcPr>
            <w:tcW w:w="835" w:type="dxa"/>
            <w:shd w:val="clear" w:color="auto" w:fill="CCEDFF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40" w:type="dxa"/>
            <w:shd w:val="clear" w:color="auto" w:fill="CCEDFF"/>
          </w:tcPr>
          <w:p>
            <w:pPr>
              <w:pStyle w:val="TableParagraph"/>
              <w:spacing w:before="10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627" w:type="dxa"/>
            <w:shd w:val="clear" w:color="auto" w:fill="CCEDFF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10" w:type="dxa"/>
            <w:shd w:val="clear" w:color="auto" w:fill="CCEDFF"/>
          </w:tcPr>
          <w:p>
            <w:pPr>
              <w:pStyle w:val="TableParagraph"/>
              <w:spacing w:before="10"/>
              <w:ind w:left="19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  <w:tc>
          <w:tcPr>
            <w:tcW w:w="597" w:type="dxa"/>
            <w:shd w:val="clear" w:color="auto" w:fill="CCEDFF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40" w:type="dxa"/>
            <w:shd w:val="clear" w:color="auto" w:fill="CCEDFF"/>
          </w:tcPr>
          <w:p>
            <w:pPr>
              <w:pStyle w:val="TableParagraph"/>
              <w:spacing w:before="10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627" w:type="dxa"/>
            <w:shd w:val="clear" w:color="auto" w:fill="CCEDFF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472" w:type="dxa"/>
            <w:shd w:val="clear" w:color="auto" w:fill="CCEDFF"/>
          </w:tcPr>
          <w:p>
            <w:pPr>
              <w:pStyle w:val="TableParagraph"/>
              <w:spacing w:before="10"/>
              <w:ind w:right="5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</w:tbl>
    <w:p>
      <w:pPr>
        <w:pStyle w:val="BodyText"/>
        <w:spacing w:before="3"/>
        <w:ind w:left="0" w:firstLine="0"/>
        <w:rPr>
          <w:b/>
          <w:sz w:val="19"/>
        </w:rPr>
      </w:pPr>
    </w:p>
    <w:p>
      <w:pPr>
        <w:pStyle w:val="BodyText"/>
        <w:spacing w:before="0"/>
        <w:ind w:left="460" w:firstLine="0"/>
      </w:pPr>
      <w:r>
        <w:rPr/>
        <w:t>*</w:t>
      </w:r>
      <w:r>
        <w:rPr>
          <w:spacing w:val="-2"/>
        </w:rPr>
        <w:t> </w:t>
      </w:r>
      <w:r>
        <w:rPr/>
        <w:t>Less</w:t>
      </w:r>
      <w:r>
        <w:rPr>
          <w:spacing w:val="-3"/>
        </w:rPr>
        <w:t> </w:t>
      </w:r>
      <w:r>
        <w:rPr/>
        <w:t>than</w:t>
      </w:r>
      <w:r>
        <w:rPr>
          <w:spacing w:val="-2"/>
        </w:rPr>
        <w:t> </w:t>
      </w:r>
      <w:r>
        <w:rPr/>
        <w:t>10%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total</w:t>
      </w:r>
      <w:r>
        <w:rPr>
          <w:spacing w:val="-3"/>
        </w:rPr>
        <w:t> </w:t>
      </w:r>
      <w:r>
        <w:rPr/>
        <w:t>net</w:t>
      </w:r>
      <w:r>
        <w:rPr>
          <w:spacing w:val="-2"/>
        </w:rPr>
        <w:t> </w:t>
      </w:r>
      <w:r>
        <w:rPr/>
        <w:t>revenues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period</w:t>
      </w:r>
      <w:r>
        <w:rPr>
          <w:spacing w:val="-2"/>
        </w:rPr>
        <w:t> </w:t>
      </w:r>
      <w:r>
        <w:rPr/>
        <w:t>indicated.</w:t>
      </w:r>
    </w:p>
    <w:p>
      <w:pPr>
        <w:pStyle w:val="BodyText"/>
        <w:spacing w:line="249" w:lineRule="auto"/>
        <w:ind w:right="148"/>
      </w:pPr>
      <w:r>
        <w:rPr/>
        <w:t>We expect that both our U.S. and international revenue will increase in the near term as we continue to expand</w:t>
      </w:r>
      <w:r>
        <w:rPr>
          <w:spacing w:val="1"/>
        </w:rPr>
        <w:t> </w:t>
      </w:r>
      <w:r>
        <w:rPr/>
        <w:t>the</w:t>
      </w:r>
      <w:r>
        <w:rPr>
          <w:spacing w:val="-5"/>
        </w:rPr>
        <w:t> </w:t>
      </w:r>
      <w:r>
        <w:rPr/>
        <w:t>install</w:t>
      </w:r>
      <w:r>
        <w:rPr>
          <w:spacing w:val="-4"/>
        </w:rPr>
        <w:t> </w:t>
      </w:r>
      <w:r>
        <w:rPr/>
        <w:t>base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AquaBeam</w:t>
      </w:r>
      <w:r>
        <w:rPr>
          <w:spacing w:val="-5"/>
        </w:rPr>
        <w:t> </w:t>
      </w:r>
      <w:r>
        <w:rPr/>
        <w:t>Robotic</w:t>
      </w:r>
      <w:r>
        <w:rPr>
          <w:spacing w:val="-4"/>
        </w:rPr>
        <w:t> </w:t>
      </w:r>
      <w:r>
        <w:rPr/>
        <w:t>Systems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increase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related</w:t>
      </w:r>
      <w:r>
        <w:rPr>
          <w:spacing w:val="-3"/>
        </w:rPr>
        <w:t> </w:t>
      </w:r>
      <w:r>
        <w:rPr/>
        <w:t>customer</w:t>
      </w:r>
      <w:r>
        <w:rPr>
          <w:spacing w:val="-3"/>
        </w:rPr>
        <w:t> </w:t>
      </w:r>
      <w:r>
        <w:rPr/>
        <w:t>utilization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United</w:t>
      </w:r>
      <w:r>
        <w:rPr>
          <w:spacing w:val="-3"/>
        </w:rPr>
        <w:t> </w:t>
      </w:r>
      <w:r>
        <w:rPr/>
        <w:t>States.</w:t>
      </w:r>
      <w:r>
        <w:rPr>
          <w:spacing w:val="-4"/>
        </w:rPr>
        <w:t> </w:t>
      </w:r>
      <w:r>
        <w:rPr/>
        <w:t>We</w:t>
      </w:r>
      <w:r>
        <w:rPr>
          <w:spacing w:val="1"/>
        </w:rPr>
        <w:t> </w:t>
      </w:r>
      <w:r>
        <w:rPr/>
        <w:t>expect</w:t>
      </w:r>
      <w:r>
        <w:rPr>
          <w:spacing w:val="-2"/>
        </w:rPr>
        <w:t> </w:t>
      </w:r>
      <w:r>
        <w:rPr/>
        <w:t>our</w:t>
      </w:r>
      <w:r>
        <w:rPr>
          <w:spacing w:val="-1"/>
        </w:rPr>
        <w:t> </w:t>
      </w:r>
      <w:r>
        <w:rPr/>
        <w:t>increase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revenues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absolute</w:t>
      </w:r>
      <w:r>
        <w:rPr>
          <w:spacing w:val="-1"/>
        </w:rPr>
        <w:t> </w:t>
      </w:r>
      <w:r>
        <w:rPr/>
        <w:t>dollars</w:t>
      </w:r>
      <w:r>
        <w:rPr>
          <w:spacing w:val="-2"/>
        </w:rPr>
        <w:t> </w:t>
      </w:r>
      <w:r>
        <w:rPr/>
        <w:t>to be</w:t>
      </w:r>
      <w:r>
        <w:rPr>
          <w:spacing w:val="-2"/>
        </w:rPr>
        <w:t> </w:t>
      </w:r>
      <w:r>
        <w:rPr/>
        <w:t>larger 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United</w:t>
      </w:r>
      <w:r>
        <w:rPr>
          <w:spacing w:val="-1"/>
        </w:rPr>
        <w:t> </w:t>
      </w:r>
      <w:r>
        <w:rPr/>
        <w:t>States.</w:t>
      </w:r>
    </w:p>
    <w:p>
      <w:pPr>
        <w:pStyle w:val="Heading3"/>
        <w:spacing w:before="179"/>
        <w:rPr>
          <w:i/>
        </w:rPr>
      </w:pPr>
      <w:r>
        <w:rPr>
          <w:i/>
        </w:rPr>
        <w:t>Cost</w:t>
      </w:r>
      <w:r>
        <w:rPr>
          <w:i/>
          <w:spacing w:val="-3"/>
        </w:rPr>
        <w:t> </w:t>
      </w:r>
      <w:r>
        <w:rPr>
          <w:i/>
        </w:rPr>
        <w:t>of</w:t>
      </w:r>
      <w:r>
        <w:rPr>
          <w:i/>
          <w:spacing w:val="-2"/>
        </w:rPr>
        <w:t> </w:t>
      </w:r>
      <w:r>
        <w:rPr>
          <w:i/>
        </w:rPr>
        <w:t>Sales</w:t>
      </w:r>
      <w:r>
        <w:rPr>
          <w:i/>
          <w:spacing w:val="-3"/>
        </w:rPr>
        <w:t> </w:t>
      </w:r>
      <w:r>
        <w:rPr>
          <w:i/>
        </w:rPr>
        <w:t>and</w:t>
      </w:r>
      <w:r>
        <w:rPr>
          <w:i/>
          <w:spacing w:val="-2"/>
        </w:rPr>
        <w:t> </w:t>
      </w:r>
      <w:r>
        <w:rPr>
          <w:i/>
        </w:rPr>
        <w:t>Gross</w:t>
      </w:r>
      <w:r>
        <w:rPr>
          <w:i/>
          <w:spacing w:val="-3"/>
        </w:rPr>
        <w:t> </w:t>
      </w:r>
      <w:r>
        <w:rPr>
          <w:i/>
        </w:rPr>
        <w:t>Margin</w:t>
      </w:r>
    </w:p>
    <w:p>
      <w:pPr>
        <w:pStyle w:val="BodyText"/>
        <w:spacing w:line="249" w:lineRule="auto" w:before="194"/>
        <w:ind w:right="180"/>
      </w:pPr>
      <w:r>
        <w:rPr/>
        <w:t>Cost of sales consists primarily of manufacturing overhead costs, material costs, warranty and service costs,</w:t>
      </w:r>
      <w:r>
        <w:rPr>
          <w:spacing w:val="1"/>
        </w:rPr>
        <w:t> </w:t>
      </w:r>
      <w:r>
        <w:rPr/>
        <w:t>direct</w:t>
      </w:r>
      <w:r>
        <w:rPr>
          <w:spacing w:val="-4"/>
        </w:rPr>
        <w:t> </w:t>
      </w:r>
      <w:r>
        <w:rPr/>
        <w:t>labor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other</w:t>
      </w:r>
      <w:r>
        <w:rPr>
          <w:spacing w:val="-2"/>
        </w:rPr>
        <w:t> </w:t>
      </w:r>
      <w:r>
        <w:rPr/>
        <w:t>direct</w:t>
      </w:r>
      <w:r>
        <w:rPr>
          <w:spacing w:val="-3"/>
        </w:rPr>
        <w:t> </w:t>
      </w:r>
      <w:r>
        <w:rPr/>
        <w:t>costs</w:t>
      </w:r>
      <w:r>
        <w:rPr>
          <w:spacing w:val="-4"/>
        </w:rPr>
        <w:t> </w:t>
      </w:r>
      <w:r>
        <w:rPr/>
        <w:t>such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shipping</w:t>
      </w:r>
      <w:r>
        <w:rPr>
          <w:spacing w:val="-3"/>
        </w:rPr>
        <w:t> </w:t>
      </w:r>
      <w:r>
        <w:rPr/>
        <w:t>costs.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significant</w:t>
      </w:r>
      <w:r>
        <w:rPr>
          <w:spacing w:val="-4"/>
        </w:rPr>
        <w:t> </w:t>
      </w:r>
      <w:r>
        <w:rPr/>
        <w:t>portion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our</w:t>
      </w:r>
      <w:r>
        <w:rPr>
          <w:spacing w:val="-3"/>
        </w:rPr>
        <w:t> </w:t>
      </w:r>
      <w:r>
        <w:rPr/>
        <w:t>cost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sales</w:t>
      </w:r>
      <w:r>
        <w:rPr>
          <w:spacing w:val="-4"/>
        </w:rPr>
        <w:t> </w:t>
      </w:r>
      <w:r>
        <w:rPr/>
        <w:t>currently</w:t>
      </w:r>
      <w:r>
        <w:rPr>
          <w:spacing w:val="-2"/>
        </w:rPr>
        <w:t> </w:t>
      </w:r>
      <w:r>
        <w:rPr/>
        <w:t>consists</w:t>
      </w:r>
      <w:r>
        <w:rPr>
          <w:spacing w:val="-47"/>
        </w:rPr>
        <w:t> </w:t>
      </w:r>
      <w:r>
        <w:rPr/>
        <w:t>of manufacturing overhead costs. These overhead costs include compensation for personnel, including stock-based</w:t>
      </w:r>
      <w:r>
        <w:rPr>
          <w:spacing w:val="1"/>
        </w:rPr>
        <w:t> </w:t>
      </w:r>
      <w:r>
        <w:rPr/>
        <w:t>compensation, facilities, equipment and operations supervision, quality assurance and material procurement. We</w:t>
      </w:r>
      <w:r>
        <w:rPr>
          <w:spacing w:val="1"/>
        </w:rPr>
        <w:t> </w:t>
      </w:r>
      <w:r>
        <w:rPr/>
        <w:t>expect our cost of sales to increase in absolute dollars for the foreseeable future primarily as, and to the extent, our</w:t>
      </w:r>
      <w:r>
        <w:rPr>
          <w:spacing w:val="1"/>
        </w:rPr>
        <w:t> </w:t>
      </w:r>
      <w:r>
        <w:rPr/>
        <w:t>revenue grows, or we make additional investments in our manufacturing capabilities, though it may fluctuate from</w:t>
      </w:r>
      <w:r>
        <w:rPr>
          <w:spacing w:val="1"/>
        </w:rPr>
        <w:t> </w:t>
      </w:r>
      <w:r>
        <w:rPr/>
        <w:t>quarter</w:t>
      </w:r>
      <w:r>
        <w:rPr>
          <w:spacing w:val="-1"/>
        </w:rPr>
        <w:t> </w:t>
      </w:r>
      <w:r>
        <w:rPr/>
        <w:t>to quarter.</w:t>
      </w:r>
    </w:p>
    <w:p>
      <w:pPr>
        <w:pStyle w:val="BodyText"/>
        <w:spacing w:line="249" w:lineRule="auto" w:before="185"/>
        <w:ind w:right="212"/>
      </w:pPr>
      <w:r>
        <w:rPr/>
        <w:t>We calculate gross margin percentage as gross profit divided by revenue. Our gross margin has been and will</w:t>
      </w:r>
      <w:r>
        <w:rPr>
          <w:spacing w:val="1"/>
        </w:rPr>
        <w:t> </w:t>
      </w:r>
      <w:r>
        <w:rPr/>
        <w:t>continue to be affected by a variety of factors, primarily, product and geographic mix and the resulting average</w:t>
      </w:r>
      <w:r>
        <w:rPr>
          <w:spacing w:val="1"/>
        </w:rPr>
        <w:t> </w:t>
      </w:r>
      <w:r>
        <w:rPr/>
        <w:t>selling prices, production volumes, manufacturing costs and product yields, and to a lesser extent the</w:t>
      </w:r>
      <w:r>
        <w:rPr>
          <w:spacing w:val="1"/>
        </w:rPr>
        <w:t> </w:t>
      </w:r>
      <w:r>
        <w:rPr/>
        <w:t>implementation of cost reduction strategies. We expect our gross margin to increase over the long term as our</w:t>
      </w:r>
      <w:r>
        <w:rPr>
          <w:spacing w:val="1"/>
        </w:rPr>
        <w:t> </w:t>
      </w:r>
      <w:r>
        <w:rPr/>
        <w:t>production volume increases and as we spread the fixed portion of our manufacturing overhead costs over a larger</w:t>
      </w:r>
      <w:r>
        <w:rPr>
          <w:spacing w:val="-47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units</w:t>
      </w:r>
      <w:r>
        <w:rPr>
          <w:spacing w:val="-3"/>
        </w:rPr>
        <w:t> </w:t>
      </w:r>
      <w:r>
        <w:rPr/>
        <w:t>produced,</w:t>
      </w:r>
      <w:r>
        <w:rPr>
          <w:spacing w:val="-3"/>
        </w:rPr>
        <w:t> </w:t>
      </w:r>
      <w:r>
        <w:rPr/>
        <w:t>thereby</w:t>
      </w:r>
      <w:r>
        <w:rPr>
          <w:spacing w:val="-2"/>
        </w:rPr>
        <w:t> </w:t>
      </w:r>
      <w:r>
        <w:rPr/>
        <w:t>significantly</w:t>
      </w:r>
      <w:r>
        <w:rPr>
          <w:spacing w:val="-3"/>
        </w:rPr>
        <w:t> </w:t>
      </w:r>
      <w:r>
        <w:rPr/>
        <w:t>reducing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per</w:t>
      </w:r>
      <w:r>
        <w:rPr>
          <w:spacing w:val="-3"/>
        </w:rPr>
        <w:t> </w:t>
      </w:r>
      <w:r>
        <w:rPr/>
        <w:t>unit</w:t>
      </w:r>
      <w:r>
        <w:rPr>
          <w:spacing w:val="-3"/>
        </w:rPr>
        <w:t> </w:t>
      </w:r>
      <w:r>
        <w:rPr/>
        <w:t>manufacturing</w:t>
      </w:r>
      <w:r>
        <w:rPr>
          <w:spacing w:val="-3"/>
        </w:rPr>
        <w:t> </w:t>
      </w:r>
      <w:r>
        <w:rPr/>
        <w:t>costs,</w:t>
      </w:r>
      <w:r>
        <w:rPr>
          <w:spacing w:val="-3"/>
        </w:rPr>
        <w:t> </w:t>
      </w:r>
      <w:r>
        <w:rPr/>
        <w:t>though</w:t>
      </w:r>
      <w:r>
        <w:rPr>
          <w:spacing w:val="-2"/>
        </w:rPr>
        <w:t> </w:t>
      </w:r>
      <w:r>
        <w:rPr/>
        <w:t>it</w:t>
      </w:r>
      <w:r>
        <w:rPr>
          <w:spacing w:val="-4"/>
        </w:rPr>
        <w:t> </w:t>
      </w:r>
      <w:r>
        <w:rPr/>
        <w:t>may</w:t>
      </w:r>
      <w:r>
        <w:rPr>
          <w:spacing w:val="-2"/>
        </w:rPr>
        <w:t> </w:t>
      </w:r>
      <w:r>
        <w:rPr/>
        <w:t>fluctuate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  <w:ind w:right="249" w:firstLine="0"/>
        <w:jc w:val="both"/>
      </w:pPr>
      <w:r>
        <w:rPr/>
        <w:t>from</w:t>
      </w:r>
      <w:r>
        <w:rPr>
          <w:spacing w:val="-3"/>
        </w:rPr>
        <w:t> </w:t>
      </w:r>
      <w:r>
        <w:rPr/>
        <w:t>quarter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quarter.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gross</w:t>
      </w:r>
      <w:r>
        <w:rPr>
          <w:spacing w:val="-3"/>
        </w:rPr>
        <w:t> </w:t>
      </w:r>
      <w:r>
        <w:rPr/>
        <w:t>margins</w:t>
      </w:r>
      <w:r>
        <w:rPr>
          <w:spacing w:val="-3"/>
        </w:rPr>
        <w:t> </w:t>
      </w:r>
      <w:r>
        <w:rPr/>
        <w:t>can</w:t>
      </w:r>
      <w:r>
        <w:rPr>
          <w:spacing w:val="-2"/>
        </w:rPr>
        <w:t> </w:t>
      </w:r>
      <w:r>
        <w:rPr/>
        <w:t>fluctuate</w:t>
      </w:r>
      <w:r>
        <w:rPr>
          <w:spacing w:val="-3"/>
        </w:rPr>
        <w:t> </w:t>
      </w:r>
      <w:r>
        <w:rPr/>
        <w:t>due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geographic</w:t>
      </w:r>
      <w:r>
        <w:rPr>
          <w:spacing w:val="-3"/>
        </w:rPr>
        <w:t> </w:t>
      </w:r>
      <w:r>
        <w:rPr/>
        <w:t>mix.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extent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sell</w:t>
      </w:r>
      <w:r>
        <w:rPr>
          <w:spacing w:val="-3"/>
        </w:rPr>
        <w:t> </w:t>
      </w:r>
      <w:r>
        <w:rPr/>
        <w:t>more</w:t>
      </w:r>
      <w:r>
        <w:rPr>
          <w:spacing w:val="-3"/>
        </w:rPr>
        <w:t> </w:t>
      </w:r>
      <w:r>
        <w:rPr/>
        <w:t>systems</w:t>
      </w:r>
      <w:r>
        <w:rPr>
          <w:spacing w:val="-47"/>
        </w:rPr>
        <w:t> </w:t>
      </w:r>
      <w:r>
        <w:rPr/>
        <w:t>and handpieces in the United States, we expect our margins will increase due to the higher average selling prices as</w:t>
      </w:r>
      <w:r>
        <w:rPr>
          <w:spacing w:val="-48"/>
        </w:rPr>
        <w:t> </w:t>
      </w:r>
      <w:r>
        <w:rPr/>
        <w:t>compared</w:t>
      </w:r>
      <w:r>
        <w:rPr>
          <w:spacing w:val="-1"/>
        </w:rPr>
        <w:t> </w:t>
      </w:r>
      <w:r>
        <w:rPr/>
        <w:t>to sales</w:t>
      </w:r>
      <w:r>
        <w:rPr>
          <w:spacing w:val="-1"/>
        </w:rPr>
        <w:t> </w:t>
      </w:r>
      <w:r>
        <w:rPr/>
        <w:t>outside</w:t>
      </w:r>
      <w:r>
        <w:rPr>
          <w:spacing w:val="-1"/>
        </w:rPr>
        <w:t> </w:t>
      </w:r>
      <w:r>
        <w:rPr/>
        <w:t>of the</w:t>
      </w:r>
      <w:r>
        <w:rPr>
          <w:spacing w:val="-2"/>
        </w:rPr>
        <w:t> </w:t>
      </w:r>
      <w:r>
        <w:rPr/>
        <w:t>United States.</w:t>
      </w:r>
    </w:p>
    <w:p>
      <w:pPr>
        <w:pStyle w:val="Heading3"/>
        <w:spacing w:before="179"/>
        <w:jc w:val="both"/>
        <w:rPr>
          <w:i/>
        </w:rPr>
      </w:pPr>
      <w:r>
        <w:rPr>
          <w:i/>
        </w:rPr>
        <w:t>Operating</w:t>
      </w:r>
      <w:r>
        <w:rPr>
          <w:i/>
          <w:spacing w:val="-5"/>
        </w:rPr>
        <w:t> </w:t>
      </w:r>
      <w:r>
        <w:rPr>
          <w:i/>
        </w:rPr>
        <w:t>Expenses</w:t>
      </w:r>
    </w:p>
    <w:p>
      <w:pPr>
        <w:spacing w:before="193"/>
        <w:ind w:left="460" w:right="0" w:firstLine="0"/>
        <w:jc w:val="left"/>
        <w:rPr>
          <w:i/>
          <w:sz w:val="20"/>
        </w:rPr>
      </w:pPr>
      <w:r>
        <w:rPr>
          <w:i/>
          <w:sz w:val="20"/>
        </w:rPr>
        <w:t>Research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Development</w:t>
      </w:r>
    </w:p>
    <w:p>
      <w:pPr>
        <w:pStyle w:val="BodyText"/>
        <w:spacing w:line="249" w:lineRule="auto"/>
        <w:ind w:right="169"/>
      </w:pPr>
      <w:r>
        <w:rPr/>
        <w:t>Research and development, or R&amp;D, expenses consist primarily of engineering, product development,</w:t>
      </w:r>
      <w:r>
        <w:rPr>
          <w:spacing w:val="1"/>
        </w:rPr>
        <w:t> </w:t>
      </w:r>
      <w:r>
        <w:rPr/>
        <w:t>regulatory affairs, consulting services, materials, depreciation and other costs associated with products and</w:t>
      </w:r>
      <w:r>
        <w:rPr>
          <w:spacing w:val="1"/>
        </w:rPr>
        <w:t> </w:t>
      </w:r>
      <w:r>
        <w:rPr/>
        <w:t>technologies</w:t>
      </w:r>
      <w:r>
        <w:rPr>
          <w:spacing w:val="-5"/>
        </w:rPr>
        <w:t> </w:t>
      </w:r>
      <w:r>
        <w:rPr/>
        <w:t>being</w:t>
      </w:r>
      <w:r>
        <w:rPr>
          <w:spacing w:val="-4"/>
        </w:rPr>
        <w:t> </w:t>
      </w:r>
      <w:r>
        <w:rPr/>
        <w:t>developed.</w:t>
      </w:r>
      <w:r>
        <w:rPr>
          <w:spacing w:val="-4"/>
        </w:rPr>
        <w:t> </w:t>
      </w:r>
      <w:r>
        <w:rPr/>
        <w:t>These</w:t>
      </w:r>
      <w:r>
        <w:rPr>
          <w:spacing w:val="-5"/>
        </w:rPr>
        <w:t> </w:t>
      </w:r>
      <w:r>
        <w:rPr/>
        <w:t>expenses</w:t>
      </w:r>
      <w:r>
        <w:rPr>
          <w:spacing w:val="-4"/>
        </w:rPr>
        <w:t> </w:t>
      </w:r>
      <w:r>
        <w:rPr/>
        <w:t>include</w:t>
      </w:r>
      <w:r>
        <w:rPr>
          <w:spacing w:val="-5"/>
        </w:rPr>
        <w:t> </w:t>
      </w:r>
      <w:r>
        <w:rPr/>
        <w:t>employee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non-employee</w:t>
      </w:r>
      <w:r>
        <w:rPr>
          <w:spacing w:val="-4"/>
        </w:rPr>
        <w:t> </w:t>
      </w:r>
      <w:r>
        <w:rPr/>
        <w:t>compensation,</w:t>
      </w:r>
      <w:r>
        <w:rPr>
          <w:spacing w:val="-4"/>
        </w:rPr>
        <w:t> </w:t>
      </w:r>
      <w:r>
        <w:rPr/>
        <w:t>including</w:t>
      </w:r>
      <w:r>
        <w:rPr>
          <w:spacing w:val="-4"/>
        </w:rPr>
        <w:t> </w:t>
      </w:r>
      <w:r>
        <w:rPr/>
        <w:t>stock-</w:t>
      </w:r>
      <w:r>
        <w:rPr>
          <w:spacing w:val="-47"/>
        </w:rPr>
        <w:t> </w:t>
      </w:r>
      <w:r>
        <w:rPr/>
        <w:t>based compensation, supplies, materials, quality assurance expenses, consulting, related travel expenses and</w:t>
      </w:r>
      <w:r>
        <w:rPr>
          <w:spacing w:val="1"/>
        </w:rPr>
        <w:t> </w:t>
      </w:r>
      <w:r>
        <w:rPr/>
        <w:t>facilities expenses. We expect our R&amp;D expenses to increase in absolute dollars for the foreseeable future as we</w:t>
      </w:r>
      <w:r>
        <w:rPr>
          <w:spacing w:val="1"/>
        </w:rPr>
        <w:t> </w:t>
      </w:r>
      <w:r>
        <w:rPr/>
        <w:t>continue to develop, enhance and commercialize new products and technologies, though it may fluctuate from</w:t>
      </w:r>
      <w:r>
        <w:rPr>
          <w:spacing w:val="1"/>
        </w:rPr>
        <w:t> </w:t>
      </w:r>
      <w:r>
        <w:rPr/>
        <w:t>quarter to quarter. However, we expect our R&amp;D expenses as a percentage of revenue to vary over time depending</w:t>
      </w:r>
      <w:r>
        <w:rPr>
          <w:spacing w:val="1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level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timing of initiating</w:t>
      </w:r>
      <w:r>
        <w:rPr>
          <w:spacing w:val="-1"/>
        </w:rPr>
        <w:t> </w:t>
      </w:r>
      <w:r>
        <w:rPr/>
        <w:t>new</w:t>
      </w:r>
      <w:r>
        <w:rPr>
          <w:spacing w:val="-1"/>
        </w:rPr>
        <w:t> </w:t>
      </w:r>
      <w:r>
        <w:rPr/>
        <w:t>product</w:t>
      </w:r>
      <w:r>
        <w:rPr>
          <w:spacing w:val="-1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efforts.</w:t>
      </w:r>
    </w:p>
    <w:p>
      <w:pPr>
        <w:spacing w:before="187"/>
        <w:ind w:left="460" w:right="0" w:firstLine="0"/>
        <w:jc w:val="left"/>
        <w:rPr>
          <w:i/>
          <w:sz w:val="20"/>
        </w:rPr>
      </w:pPr>
      <w:r>
        <w:rPr>
          <w:i/>
          <w:sz w:val="20"/>
        </w:rPr>
        <w:t>Selling,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General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Administrative</w:t>
      </w:r>
    </w:p>
    <w:p>
      <w:pPr>
        <w:pStyle w:val="BodyText"/>
        <w:spacing w:line="249" w:lineRule="auto"/>
        <w:ind w:right="180"/>
      </w:pPr>
      <w:r>
        <w:rPr/>
        <w:t>Selling, general and administrative, or SG&amp;A, expenses consist primarily of compensation for personnel,</w:t>
      </w:r>
      <w:r>
        <w:rPr>
          <w:spacing w:val="1"/>
        </w:rPr>
        <w:t> </w:t>
      </w:r>
      <w:r>
        <w:rPr/>
        <w:t>including stock-based compensation, related to selling, marketing, clinical affairs, professional education, finance,</w:t>
      </w:r>
      <w:r>
        <w:rPr>
          <w:spacing w:val="1"/>
        </w:rPr>
        <w:t> </w:t>
      </w:r>
      <w:r>
        <w:rPr/>
        <w:t>information technology, and human resource functions. SG&amp;A expenses also include commissions, training, travel</w:t>
      </w:r>
      <w:r>
        <w:rPr>
          <w:spacing w:val="1"/>
        </w:rPr>
        <w:t> </w:t>
      </w:r>
      <w:r>
        <w:rPr/>
        <w:t>expenses, promotional activities, conferences, trade shows, professional services fees, audit fees, legal fees,</w:t>
      </w:r>
      <w:r>
        <w:rPr>
          <w:spacing w:val="1"/>
        </w:rPr>
        <w:t> </w:t>
      </w:r>
      <w:r>
        <w:rPr/>
        <w:t>insurance costs and general corporate expenses including allocated facilities-related expenses. Clinical expenses</w:t>
      </w:r>
      <w:r>
        <w:rPr>
          <w:spacing w:val="1"/>
        </w:rPr>
        <w:t> </w:t>
      </w:r>
      <w:r>
        <w:rPr/>
        <w:t>include clinical trial design, clinical site reimbursement, data management and travel expenses. We expect our</w:t>
      </w:r>
      <w:r>
        <w:rPr>
          <w:spacing w:val="1"/>
        </w:rPr>
        <w:t> </w:t>
      </w:r>
      <w:r>
        <w:rPr/>
        <w:t>SG&amp;A expenses to increase in absolute dollars for the foreseeable future as we expand our commercial</w:t>
      </w:r>
      <w:r>
        <w:rPr>
          <w:spacing w:val="1"/>
        </w:rPr>
        <w:t> </w:t>
      </w:r>
      <w:r>
        <w:rPr/>
        <w:t>infrastructure and incur additional fees associated with operating as a public company, including legal, accounting,</w:t>
      </w:r>
      <w:r>
        <w:rPr>
          <w:spacing w:val="1"/>
        </w:rPr>
        <w:t> </w:t>
      </w:r>
      <w:r>
        <w:rPr/>
        <w:t>insurance, compliance with the rules and regulations of the SEC and those of any stock exchange on which our</w:t>
      </w:r>
      <w:r>
        <w:rPr>
          <w:spacing w:val="1"/>
        </w:rPr>
        <w:t> </w:t>
      </w:r>
      <w:r>
        <w:rPr/>
        <w:t>securities are traded, investor relations, and other administrative and professional services expenses, though it may</w:t>
      </w:r>
      <w:r>
        <w:rPr>
          <w:spacing w:val="1"/>
        </w:rPr>
        <w:t> </w:t>
      </w:r>
      <w:r>
        <w:rPr/>
        <w:t>fluctuate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quarter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quarter.</w:t>
      </w:r>
      <w:r>
        <w:rPr>
          <w:spacing w:val="-2"/>
        </w:rPr>
        <w:t> </w:t>
      </w:r>
      <w:r>
        <w:rPr/>
        <w:t>However,</w:t>
      </w:r>
      <w:r>
        <w:rPr>
          <w:spacing w:val="-2"/>
        </w:rPr>
        <w:t> </w:t>
      </w:r>
      <w:r>
        <w:rPr/>
        <w:t>over</w:t>
      </w:r>
      <w:r>
        <w:rPr>
          <w:spacing w:val="-3"/>
        </w:rPr>
        <w:t> </w:t>
      </w:r>
      <w:r>
        <w:rPr/>
        <w:t>time,</w:t>
      </w:r>
      <w:r>
        <w:rPr>
          <w:spacing w:val="-2"/>
        </w:rPr>
        <w:t> </w:t>
      </w:r>
      <w:r>
        <w:rPr/>
        <w:t>we</w:t>
      </w:r>
      <w:r>
        <w:rPr>
          <w:spacing w:val="-3"/>
        </w:rPr>
        <w:t> </w:t>
      </w:r>
      <w:r>
        <w:rPr/>
        <w:t>expect</w:t>
      </w:r>
      <w:r>
        <w:rPr>
          <w:spacing w:val="-4"/>
        </w:rPr>
        <w:t> </w:t>
      </w:r>
      <w:r>
        <w:rPr/>
        <w:t>our</w:t>
      </w:r>
      <w:r>
        <w:rPr>
          <w:spacing w:val="-2"/>
        </w:rPr>
        <w:t> </w:t>
      </w:r>
      <w:r>
        <w:rPr/>
        <w:t>SG&amp;A</w:t>
      </w:r>
      <w:r>
        <w:rPr>
          <w:spacing w:val="-3"/>
        </w:rPr>
        <w:t> </w:t>
      </w:r>
      <w:r>
        <w:rPr/>
        <w:t>expenses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decrease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percentage</w:t>
      </w:r>
      <w:r>
        <w:rPr>
          <w:spacing w:val="-3"/>
        </w:rPr>
        <w:t> </w:t>
      </w:r>
      <w:r>
        <w:rPr/>
        <w:t>of</w:t>
      </w:r>
      <w:r>
        <w:rPr>
          <w:spacing w:val="-47"/>
        </w:rPr>
        <w:t> </w:t>
      </w:r>
      <w:r>
        <w:rPr/>
        <w:t>revenue.</w:t>
      </w:r>
    </w:p>
    <w:p>
      <w:pPr>
        <w:pStyle w:val="Heading3"/>
        <w:spacing w:before="186"/>
        <w:jc w:val="both"/>
        <w:rPr>
          <w:i/>
        </w:rPr>
      </w:pPr>
      <w:r>
        <w:rPr>
          <w:i/>
        </w:rPr>
        <w:t>Interest</w:t>
      </w:r>
      <w:r>
        <w:rPr>
          <w:i/>
          <w:spacing w:val="-5"/>
        </w:rPr>
        <w:t> </w:t>
      </w:r>
      <w:r>
        <w:rPr>
          <w:i/>
        </w:rPr>
        <w:t>and</w:t>
      </w:r>
      <w:r>
        <w:rPr>
          <w:i/>
          <w:spacing w:val="-4"/>
        </w:rPr>
        <w:t> </w:t>
      </w:r>
      <w:r>
        <w:rPr>
          <w:i/>
        </w:rPr>
        <w:t>Other</w:t>
      </w:r>
      <w:r>
        <w:rPr>
          <w:i/>
          <w:spacing w:val="-4"/>
        </w:rPr>
        <w:t> </w:t>
      </w:r>
      <w:r>
        <w:rPr>
          <w:i/>
        </w:rPr>
        <w:t>Income</w:t>
      </w:r>
      <w:r>
        <w:rPr>
          <w:i/>
          <w:spacing w:val="-5"/>
        </w:rPr>
        <w:t> </w:t>
      </w:r>
      <w:r>
        <w:rPr>
          <w:i/>
        </w:rPr>
        <w:t>(Expense),</w:t>
      </w:r>
      <w:r>
        <w:rPr>
          <w:i/>
          <w:spacing w:val="-4"/>
        </w:rPr>
        <w:t> </w:t>
      </w:r>
      <w:r>
        <w:rPr>
          <w:i/>
        </w:rPr>
        <w:t>Net</w:t>
      </w:r>
    </w:p>
    <w:p>
      <w:pPr>
        <w:spacing w:before="194"/>
        <w:ind w:left="460" w:right="0" w:firstLine="0"/>
        <w:jc w:val="left"/>
        <w:rPr>
          <w:i/>
          <w:sz w:val="20"/>
        </w:rPr>
      </w:pPr>
      <w:r>
        <w:rPr>
          <w:i/>
          <w:sz w:val="20"/>
        </w:rPr>
        <w:t>Interest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Expense</w:t>
      </w:r>
    </w:p>
    <w:p>
      <w:pPr>
        <w:pStyle w:val="BodyText"/>
        <w:ind w:left="460" w:firstLine="0"/>
      </w:pPr>
      <w:r>
        <w:rPr/>
        <w:t>Interest</w:t>
      </w:r>
      <w:r>
        <w:rPr>
          <w:spacing w:val="-4"/>
        </w:rPr>
        <w:t> </w:t>
      </w:r>
      <w:r>
        <w:rPr/>
        <w:t>expense</w:t>
      </w:r>
      <w:r>
        <w:rPr>
          <w:spacing w:val="-4"/>
        </w:rPr>
        <w:t> </w:t>
      </w:r>
      <w:r>
        <w:rPr/>
        <w:t>consists</w:t>
      </w:r>
      <w:r>
        <w:rPr>
          <w:spacing w:val="-4"/>
        </w:rPr>
        <w:t> </w:t>
      </w:r>
      <w:r>
        <w:rPr/>
        <w:t>primarily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interest</w:t>
      </w:r>
      <w:r>
        <w:rPr>
          <w:spacing w:val="-4"/>
        </w:rPr>
        <w:t> </w:t>
      </w:r>
      <w:r>
        <w:rPr/>
        <w:t>expense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loan</w:t>
      </w:r>
      <w:r>
        <w:rPr>
          <w:spacing w:val="-3"/>
        </w:rPr>
        <w:t> </w:t>
      </w:r>
      <w:r>
        <w:rPr/>
        <w:t>payable.</w:t>
      </w:r>
    </w:p>
    <w:p>
      <w:pPr>
        <w:spacing w:before="190"/>
        <w:ind w:left="460" w:right="0" w:firstLine="0"/>
        <w:jc w:val="left"/>
        <w:rPr>
          <w:i/>
          <w:sz w:val="20"/>
        </w:rPr>
      </w:pPr>
      <w:r>
        <w:rPr>
          <w:i/>
          <w:sz w:val="20"/>
        </w:rPr>
        <w:t>Interest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Income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(Expense),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Net</w:t>
      </w:r>
    </w:p>
    <w:p>
      <w:pPr>
        <w:pStyle w:val="BodyText"/>
        <w:spacing w:line="249" w:lineRule="auto"/>
        <w:ind w:right="212"/>
      </w:pPr>
      <w:r>
        <w:rPr/>
        <w:t>Interest and other income (expense), net, consists primarily of interest income from our cash and cash</w:t>
      </w:r>
      <w:r>
        <w:rPr>
          <w:spacing w:val="1"/>
        </w:rPr>
        <w:t> </w:t>
      </w:r>
      <w:r>
        <w:rPr/>
        <w:t>equivalents</w:t>
      </w:r>
      <w:r>
        <w:rPr>
          <w:spacing w:val="-5"/>
        </w:rPr>
        <w:t> </w:t>
      </w:r>
      <w:r>
        <w:rPr/>
        <w:t>balances,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fair</w:t>
      </w:r>
      <w:r>
        <w:rPr>
          <w:spacing w:val="-4"/>
        </w:rPr>
        <w:t> </w:t>
      </w:r>
      <w:r>
        <w:rPr/>
        <w:t>value</w:t>
      </w:r>
      <w:r>
        <w:rPr>
          <w:spacing w:val="-4"/>
        </w:rPr>
        <w:t> </w:t>
      </w:r>
      <w:r>
        <w:rPr/>
        <w:t>adjustments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our</w:t>
      </w:r>
      <w:r>
        <w:rPr>
          <w:spacing w:val="-4"/>
        </w:rPr>
        <w:t> </w:t>
      </w:r>
      <w:r>
        <w:rPr/>
        <w:t>redeemable</w:t>
      </w:r>
      <w:r>
        <w:rPr>
          <w:spacing w:val="-4"/>
        </w:rPr>
        <w:t> </w:t>
      </w:r>
      <w:r>
        <w:rPr/>
        <w:t>convertible</w:t>
      </w:r>
      <w:r>
        <w:rPr>
          <w:spacing w:val="-5"/>
        </w:rPr>
        <w:t> </w:t>
      </w:r>
      <w:r>
        <w:rPr/>
        <w:t>preferred</w:t>
      </w:r>
      <w:r>
        <w:rPr>
          <w:spacing w:val="-4"/>
        </w:rPr>
        <w:t> </w:t>
      </w:r>
      <w:r>
        <w:rPr/>
        <w:t>stock</w:t>
      </w:r>
      <w:r>
        <w:rPr>
          <w:spacing w:val="-4"/>
        </w:rPr>
        <w:t> </w:t>
      </w:r>
      <w:r>
        <w:rPr/>
        <w:t>warrant</w:t>
      </w:r>
      <w:r>
        <w:rPr>
          <w:spacing w:val="-4"/>
        </w:rPr>
        <w:t> </w:t>
      </w:r>
      <w:r>
        <w:rPr/>
        <w:t>liabilities</w:t>
      </w:r>
      <w:r>
        <w:rPr>
          <w:spacing w:val="-47"/>
        </w:rPr>
        <w:t> </w:t>
      </w:r>
      <w:r>
        <w:rPr/>
        <w:t>and</w:t>
      </w:r>
      <w:r>
        <w:rPr>
          <w:spacing w:val="-1"/>
        </w:rPr>
        <w:t> </w:t>
      </w:r>
      <w:r>
        <w:rPr/>
        <w:t>our loan facility derivative</w:t>
      </w:r>
      <w:r>
        <w:rPr>
          <w:spacing w:val="-1"/>
        </w:rPr>
        <w:t> </w:t>
      </w:r>
      <w:r>
        <w:rPr/>
        <w:t>liability.</w:t>
      </w:r>
    </w:p>
    <w:p>
      <w:pPr>
        <w:pStyle w:val="BodyText"/>
        <w:spacing w:line="249" w:lineRule="auto" w:before="182"/>
        <w:ind w:right="113"/>
      </w:pPr>
      <w:r>
        <w:rPr/>
        <w:t>In</w:t>
      </w:r>
      <w:r>
        <w:rPr>
          <w:spacing w:val="-3"/>
        </w:rPr>
        <w:t> </w:t>
      </w:r>
      <w:r>
        <w:rPr/>
        <w:t>connection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sales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redeemable</w:t>
      </w:r>
      <w:r>
        <w:rPr>
          <w:spacing w:val="-3"/>
        </w:rPr>
        <w:t> </w:t>
      </w:r>
      <w:r>
        <w:rPr/>
        <w:t>convertible</w:t>
      </w:r>
      <w:r>
        <w:rPr>
          <w:spacing w:val="-4"/>
        </w:rPr>
        <w:t> </w:t>
      </w:r>
      <w:r>
        <w:rPr/>
        <w:t>preferred</w:t>
      </w:r>
      <w:r>
        <w:rPr>
          <w:spacing w:val="-2"/>
        </w:rPr>
        <w:t> </w:t>
      </w:r>
      <w:r>
        <w:rPr/>
        <w:t>stock,</w:t>
      </w:r>
      <w:r>
        <w:rPr>
          <w:spacing w:val="-3"/>
        </w:rPr>
        <w:t> </w:t>
      </w:r>
      <w:r>
        <w:rPr/>
        <w:t>we</w:t>
      </w:r>
      <w:r>
        <w:rPr>
          <w:spacing w:val="-4"/>
        </w:rPr>
        <w:t> </w:t>
      </w:r>
      <w:r>
        <w:rPr/>
        <w:t>issued</w:t>
      </w:r>
      <w:r>
        <w:rPr>
          <w:spacing w:val="-2"/>
        </w:rPr>
        <w:t> </w:t>
      </w:r>
      <w:r>
        <w:rPr/>
        <w:t>warrants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purchase</w:t>
      </w:r>
      <w:r>
        <w:rPr>
          <w:spacing w:val="-3"/>
        </w:rPr>
        <w:t> </w:t>
      </w:r>
      <w:r>
        <w:rPr/>
        <w:t>shares</w:t>
      </w:r>
      <w:r>
        <w:rPr>
          <w:spacing w:val="-4"/>
        </w:rPr>
        <w:t> </w:t>
      </w:r>
      <w:r>
        <w:rPr/>
        <w:t>of</w:t>
      </w:r>
      <w:r>
        <w:rPr>
          <w:spacing w:val="-47"/>
        </w:rPr>
        <w:t> </w:t>
      </w:r>
      <w:r>
        <w:rPr/>
        <w:t>our Series D and Series E redeemable convertible preferred stock. We classify these warrants as a liability on our</w:t>
      </w:r>
      <w:r>
        <w:rPr>
          <w:spacing w:val="1"/>
        </w:rPr>
        <w:t> </w:t>
      </w:r>
      <w:r>
        <w:rPr/>
        <w:t>balance sheets that we remeasure to fair value at each reporting date with the corresponding change in fair value</w:t>
      </w:r>
      <w:r>
        <w:rPr>
          <w:spacing w:val="1"/>
        </w:rPr>
        <w:t> </w:t>
      </w:r>
      <w:r>
        <w:rPr/>
        <w:t>being recognized in our statements of operations. Upon completion of our IPO in September 2021, the redeemable</w:t>
      </w:r>
      <w:r>
        <w:rPr>
          <w:spacing w:val="1"/>
        </w:rPr>
        <w:t> </w:t>
      </w:r>
      <w:r>
        <w:rPr/>
        <w:t>convertible preferred stock warrant liability was reclassified to additional paid-in capital in stockholders’ equity</w:t>
      </w:r>
      <w:r>
        <w:rPr>
          <w:spacing w:val="1"/>
        </w:rPr>
        <w:t> </w:t>
      </w:r>
      <w:r>
        <w:rPr/>
        <w:t>(deficit)</w:t>
      </w:r>
      <w:r>
        <w:rPr>
          <w:spacing w:val="-1"/>
        </w:rPr>
        <w:t> </w:t>
      </w:r>
      <w:r>
        <w:rPr/>
        <w:t>for warrants</w:t>
      </w:r>
      <w:r>
        <w:rPr>
          <w:spacing w:val="-2"/>
        </w:rPr>
        <w:t> </w:t>
      </w:r>
      <w:r>
        <w:rPr/>
        <w:t>exercised and</w:t>
      </w:r>
      <w:r>
        <w:rPr>
          <w:spacing w:val="-1"/>
        </w:rPr>
        <w:t> </w:t>
      </w:r>
      <w:r>
        <w:rPr/>
        <w:t>statement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operations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warrants</w:t>
      </w:r>
      <w:r>
        <w:rPr>
          <w:spacing w:val="-1"/>
        </w:rPr>
        <w:t> </w:t>
      </w:r>
      <w:r>
        <w:rPr/>
        <w:t>expired.</w:t>
      </w:r>
    </w:p>
    <w:p>
      <w:pPr>
        <w:pStyle w:val="BodyText"/>
        <w:spacing w:line="249" w:lineRule="auto" w:before="185"/>
        <w:ind w:right="129"/>
      </w:pPr>
      <w:r>
        <w:rPr/>
        <w:t>Additionally, in connection with the loan facility, we are obligated to pay a fee upon the earlier occurrence of a</w:t>
      </w:r>
      <w:r>
        <w:rPr>
          <w:spacing w:val="1"/>
        </w:rPr>
        <w:t> </w:t>
      </w:r>
      <w:r>
        <w:rPr/>
        <w:t>defined</w:t>
      </w:r>
      <w:r>
        <w:rPr>
          <w:spacing w:val="-2"/>
        </w:rPr>
        <w:t> </w:t>
      </w:r>
      <w:r>
        <w:rPr/>
        <w:t>liquidity</w:t>
      </w:r>
      <w:r>
        <w:rPr>
          <w:spacing w:val="-2"/>
        </w:rPr>
        <w:t> </w:t>
      </w:r>
      <w:r>
        <w:rPr/>
        <w:t>event,</w:t>
      </w:r>
      <w:r>
        <w:rPr>
          <w:spacing w:val="-2"/>
        </w:rPr>
        <w:t> </w:t>
      </w:r>
      <w:r>
        <w:rPr/>
        <w:t>including</w:t>
      </w:r>
      <w:r>
        <w:rPr>
          <w:spacing w:val="-2"/>
        </w:rPr>
        <w:t> </w:t>
      </w:r>
      <w:r>
        <w:rPr/>
        <w:t>but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limited</w:t>
      </w:r>
      <w:r>
        <w:rPr>
          <w:spacing w:val="-2"/>
        </w:rPr>
        <w:t> </w:t>
      </w:r>
      <w:r>
        <w:rPr/>
        <w:t>to,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merger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sale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assets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voting</w:t>
      </w:r>
      <w:r>
        <w:rPr>
          <w:spacing w:val="-2"/>
        </w:rPr>
        <w:t> </w:t>
      </w:r>
      <w:r>
        <w:rPr/>
        <w:t>stock,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achieving</w:t>
      </w:r>
      <w:r>
        <w:rPr>
          <w:spacing w:val="-2"/>
        </w:rPr>
        <w:t> </w:t>
      </w:r>
      <w:r>
        <w:rPr/>
        <w:t>a</w:t>
      </w:r>
    </w:p>
    <w:p>
      <w:pPr>
        <w:pStyle w:val="BodyText"/>
        <w:spacing w:line="249" w:lineRule="auto" w:before="2"/>
        <w:ind w:right="256" w:firstLine="0"/>
      </w:pPr>
      <w:r>
        <w:rPr/>
        <w:t>$200 million trailing twelve months revenue target, in each case, by September 2029. The fee is calculated at the</w:t>
      </w:r>
      <w:r>
        <w:rPr>
          <w:spacing w:val="1"/>
        </w:rPr>
        <w:t> </w:t>
      </w:r>
      <w:r>
        <w:rPr/>
        <w:t>time of the liquidity event occurrence to be $1.0 million if only the first installment has been drawn, $2.0 million if</w:t>
      </w:r>
      <w:r>
        <w:rPr>
          <w:spacing w:val="-47"/>
        </w:rPr>
        <w:t> </w:t>
      </w:r>
      <w:r>
        <w:rPr/>
        <w:t>the first two installments have been drawn, $2.4 million if the first three installments have been drawn, or $3.0</w:t>
      </w:r>
      <w:r>
        <w:rPr>
          <w:spacing w:val="1"/>
        </w:rPr>
        <w:t> </w:t>
      </w:r>
      <w:r>
        <w:rPr/>
        <w:t>million</w:t>
      </w:r>
      <w:r>
        <w:rPr>
          <w:spacing w:val="-3"/>
        </w:rPr>
        <w:t> </w:t>
      </w:r>
      <w:r>
        <w:rPr/>
        <w:t>if</w:t>
      </w:r>
      <w:r>
        <w:rPr>
          <w:spacing w:val="-2"/>
        </w:rPr>
        <w:t> </w:t>
      </w:r>
      <w:r>
        <w:rPr/>
        <w:t>all</w:t>
      </w:r>
      <w:r>
        <w:rPr>
          <w:spacing w:val="-4"/>
        </w:rPr>
        <w:t> </w:t>
      </w:r>
      <w:r>
        <w:rPr/>
        <w:t>four</w:t>
      </w:r>
      <w:r>
        <w:rPr>
          <w:spacing w:val="-2"/>
        </w:rPr>
        <w:t> </w:t>
      </w:r>
      <w:r>
        <w:rPr/>
        <w:t>installments</w:t>
      </w:r>
      <w:r>
        <w:rPr>
          <w:spacing w:val="-3"/>
        </w:rPr>
        <w:t> </w:t>
      </w:r>
      <w:r>
        <w:rPr/>
        <w:t>have</w:t>
      </w:r>
      <w:r>
        <w:rPr>
          <w:spacing w:val="-4"/>
        </w:rPr>
        <w:t> </w:t>
      </w:r>
      <w:r>
        <w:rPr/>
        <w:t>been</w:t>
      </w:r>
      <w:r>
        <w:rPr>
          <w:spacing w:val="-2"/>
        </w:rPr>
        <w:t> </w:t>
      </w:r>
      <w:r>
        <w:rPr/>
        <w:t>drawn,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each</w:t>
      </w:r>
      <w:r>
        <w:rPr>
          <w:spacing w:val="-3"/>
        </w:rPr>
        <w:t> </w:t>
      </w:r>
      <w:r>
        <w:rPr/>
        <w:t>case,</w:t>
      </w:r>
      <w:r>
        <w:rPr>
          <w:spacing w:val="-2"/>
        </w:rPr>
        <w:t> </w:t>
      </w:r>
      <w:r>
        <w:rPr/>
        <w:t>upon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occurrence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liquidity</w:t>
      </w:r>
      <w:r>
        <w:rPr>
          <w:spacing w:val="-2"/>
        </w:rPr>
        <w:t> </w:t>
      </w:r>
      <w:r>
        <w:rPr/>
        <w:t>event.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adjust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  <w:ind w:firstLine="0"/>
      </w:pPr>
      <w:r>
        <w:rPr/>
        <w:t>the</w:t>
      </w:r>
      <w:r>
        <w:rPr>
          <w:spacing w:val="-4"/>
        </w:rPr>
        <w:t> </w:t>
      </w:r>
      <w:r>
        <w:rPr/>
        <w:t>carrying</w:t>
      </w:r>
      <w:r>
        <w:rPr>
          <w:spacing w:val="-2"/>
        </w:rPr>
        <w:t> </w:t>
      </w:r>
      <w:r>
        <w:rPr/>
        <w:t>values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loan</w:t>
      </w:r>
      <w:r>
        <w:rPr>
          <w:spacing w:val="-2"/>
        </w:rPr>
        <w:t> </w:t>
      </w:r>
      <w:r>
        <w:rPr/>
        <w:t>facility</w:t>
      </w:r>
      <w:r>
        <w:rPr>
          <w:spacing w:val="-3"/>
        </w:rPr>
        <w:t> </w:t>
      </w:r>
      <w:r>
        <w:rPr/>
        <w:t>derivative</w:t>
      </w:r>
      <w:r>
        <w:rPr>
          <w:spacing w:val="-3"/>
        </w:rPr>
        <w:t> </w:t>
      </w:r>
      <w:r>
        <w:rPr/>
        <w:t>liability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changes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fair</w:t>
      </w:r>
      <w:r>
        <w:rPr>
          <w:spacing w:val="-3"/>
        </w:rPr>
        <w:t> </w:t>
      </w:r>
      <w:r>
        <w:rPr/>
        <w:t>value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recognize</w:t>
      </w:r>
      <w:r>
        <w:rPr>
          <w:spacing w:val="-3"/>
        </w:rPr>
        <w:t> </w:t>
      </w:r>
      <w:r>
        <w:rPr/>
        <w:t>those</w:t>
      </w:r>
      <w:r>
        <w:rPr>
          <w:spacing w:val="-4"/>
        </w:rPr>
        <w:t> </w:t>
      </w:r>
      <w:r>
        <w:rPr/>
        <w:t>changes</w:t>
      </w:r>
      <w:r>
        <w:rPr>
          <w:spacing w:val="-3"/>
        </w:rPr>
        <w:t> </w:t>
      </w:r>
      <w:r>
        <w:rPr/>
        <w:t>in</w:t>
      </w:r>
      <w:r>
        <w:rPr>
          <w:spacing w:val="-47"/>
        </w:rPr>
        <w:t> </w:t>
      </w:r>
      <w:r>
        <w:rPr/>
        <w:t>interest</w:t>
      </w:r>
      <w:r>
        <w:rPr>
          <w:spacing w:val="-2"/>
        </w:rPr>
        <w:t> </w:t>
      </w:r>
      <w:r>
        <w:rPr/>
        <w:t>and other income</w:t>
      </w:r>
      <w:r>
        <w:rPr>
          <w:spacing w:val="-1"/>
        </w:rPr>
        <w:t> </w:t>
      </w:r>
      <w:r>
        <w:rPr/>
        <w:t>(expense), net.</w:t>
      </w:r>
    </w:p>
    <w:p>
      <w:pPr>
        <w:pStyle w:val="Heading2"/>
        <w:spacing w:before="178"/>
      </w:pPr>
      <w:bookmarkStart w:name="Results of Operations" w:id="42"/>
      <w:bookmarkEnd w:id="42"/>
      <w:r>
        <w:rPr>
          <w:b w:val="0"/>
        </w:rPr>
      </w:r>
      <w:r>
        <w:rPr/>
        <w:t>Results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Operations</w:t>
      </w:r>
    </w:p>
    <w:p>
      <w:pPr>
        <w:pStyle w:val="BodyText"/>
        <w:spacing w:line="249" w:lineRule="auto" w:before="193"/>
        <w:ind w:right="212"/>
      </w:pP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tables</w:t>
      </w:r>
      <w:r>
        <w:rPr>
          <w:spacing w:val="-3"/>
        </w:rPr>
        <w:t> </w:t>
      </w:r>
      <w:r>
        <w:rPr/>
        <w:t>show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results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operations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three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nine</w:t>
      </w:r>
      <w:r>
        <w:rPr>
          <w:spacing w:val="-3"/>
        </w:rPr>
        <w:t> </w:t>
      </w:r>
      <w:r>
        <w:rPr/>
        <w:t>months</w:t>
      </w:r>
      <w:r>
        <w:rPr>
          <w:spacing w:val="-2"/>
        </w:rPr>
        <w:t> </w:t>
      </w:r>
      <w:r>
        <w:rPr/>
        <w:t>ended</w:t>
      </w:r>
      <w:r>
        <w:rPr>
          <w:spacing w:val="-2"/>
        </w:rPr>
        <w:t> </w:t>
      </w:r>
      <w:r>
        <w:rPr/>
        <w:t>September</w:t>
      </w:r>
      <w:r>
        <w:rPr>
          <w:spacing w:val="-2"/>
        </w:rPr>
        <w:t> </w:t>
      </w:r>
      <w:r>
        <w:rPr/>
        <w:t>30,</w:t>
      </w:r>
      <w:r>
        <w:rPr>
          <w:spacing w:val="-2"/>
        </w:rPr>
        <w:t> </w:t>
      </w:r>
      <w:r>
        <w:rPr/>
        <w:t>2021</w:t>
      </w:r>
      <w:r>
        <w:rPr>
          <w:spacing w:val="-47"/>
        </w:rPr>
        <w:t> </w:t>
      </w:r>
      <w:r>
        <w:rPr/>
        <w:t>and 2020:</w:t>
      </w:r>
    </w:p>
    <w:p>
      <w:pPr>
        <w:pStyle w:val="BodyText"/>
        <w:spacing w:before="3"/>
        <w:ind w:left="0" w:firstLine="0"/>
        <w:rPr>
          <w:sz w:val="13"/>
        </w:rPr>
      </w:pPr>
    </w:p>
    <w:p>
      <w:pPr>
        <w:spacing w:line="172" w:lineRule="exact" w:before="94"/>
        <w:ind w:left="1482" w:right="272" w:firstLine="0"/>
        <w:jc w:val="center"/>
        <w:rPr>
          <w:b/>
          <w:sz w:val="16"/>
        </w:rPr>
      </w:pPr>
      <w:r>
        <w:rPr>
          <w:b/>
          <w:sz w:val="16"/>
        </w:rPr>
        <w:t>Three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Months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Ended</w:t>
      </w:r>
    </w:p>
    <w:p>
      <w:pPr>
        <w:tabs>
          <w:tab w:pos="6670" w:val="left" w:leader="none"/>
        </w:tabs>
        <w:spacing w:line="172" w:lineRule="exact" w:before="0"/>
        <w:ind w:left="3713" w:right="0" w:firstLine="0"/>
        <w:jc w:val="center"/>
        <w:rPr>
          <w:b/>
          <w:sz w:val="16"/>
        </w:rPr>
      </w:pPr>
      <w:r>
        <w:rPr/>
        <w:pict>
          <v:group style="position:absolute;margin-left:270pt;margin-top:9.589111pt;width:270pt;height:1pt;mso-position-horizontal-relative:page;mso-position-vertical-relative:paragraph;z-index:-15715328;mso-wrap-distance-left:0;mso-wrap-distance-right:0" id="docshapegroup74" coordorigin="5400,192" coordsize="5400,20">
            <v:shape style="position:absolute;left:5400;top:201;width:2670;height:2" id="docshape75" coordorigin="5400,202" coordsize="2670,0" path="m8070,202l5400,202e" filled="true" fillcolor="#000000" stroked="false">
              <v:path arrowok="t"/>
              <v:fill opacity="0f" type="solid"/>
            </v:shape>
            <v:line style="position:absolute" from="5400,202" to="8070,202" stroked="true" strokeweight="1pt" strokecolor="#000000">
              <v:stroke dashstyle="solid"/>
            </v:line>
            <v:shape style="position:absolute;left:8130;top:201;width:2670;height:2" id="docshape76" coordorigin="8130,202" coordsize="2670,0" path="m10800,202l8130,202e" filled="true" fillcolor="#000000" stroked="false">
              <v:path arrowok="t"/>
              <v:fill opacity="0f" type="solid"/>
            </v:shape>
            <v:line style="position:absolute" from="8130,202" to="10800,202" stroked="true" strokeweight="1pt" strokecolor="#000000">
              <v:stroke dashstyle="solid"/>
            </v:line>
            <w10:wrap type="topAndBottom"/>
          </v:group>
        </w:pict>
      </w:r>
      <w:r>
        <w:rPr>
          <w:b/>
          <w:sz w:val="16"/>
        </w:rPr>
        <w:t>September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30,</w:t>
        <w:tab/>
        <w:t>Change</w:t>
      </w:r>
    </w:p>
    <w:p>
      <w:pPr>
        <w:tabs>
          <w:tab w:pos="5224" w:val="left" w:leader="none"/>
          <w:tab w:pos="6709" w:val="left" w:leader="none"/>
          <w:tab w:pos="8034" w:val="left" w:leader="none"/>
        </w:tabs>
        <w:spacing w:before="16" w:after="20"/>
        <w:ind w:left="3859" w:right="0" w:firstLine="0"/>
        <w:jc w:val="center"/>
        <w:rPr>
          <w:b/>
          <w:sz w:val="16"/>
        </w:rPr>
      </w:pPr>
      <w:r>
        <w:rPr>
          <w:b/>
          <w:sz w:val="16"/>
        </w:rPr>
        <w:t>2021</w:t>
        <w:tab/>
        <w:t>2020</w:t>
        <w:tab/>
        <w:t>$</w:t>
        <w:tab/>
        <w:t>%</w:t>
      </w:r>
    </w:p>
    <w:p>
      <w:pPr>
        <w:pStyle w:val="BodyText"/>
        <w:spacing w:line="20" w:lineRule="exact" w:before="0"/>
        <w:ind w:left="4050" w:firstLine="0"/>
        <w:rPr>
          <w:sz w:val="2"/>
        </w:rPr>
      </w:pPr>
      <w:r>
        <w:rPr>
          <w:sz w:val="2"/>
        </w:rPr>
        <w:pict>
          <v:group style="width:270pt;height:1pt;mso-position-horizontal-relative:char;mso-position-vertical-relative:line" id="docshapegroup77" coordorigin="0,0" coordsize="5400,20">
            <v:shape style="position:absolute;left:0;top:10;width:1305;height:2" id="docshape78" coordorigin="0,10" coordsize="1305,0" path="m1305,10l0,10e" filled="true" fillcolor="#000000" stroked="false">
              <v:path arrowok="t"/>
              <v:fill opacity="0f" type="solid"/>
            </v:shape>
            <v:line style="position:absolute" from="0,10" to="1305,10" stroked="true" strokeweight="1pt" strokecolor="#000000">
              <v:stroke dashstyle="solid"/>
            </v:line>
            <v:shape style="position:absolute;left:1365;top:10;width:1305;height:2" id="docshape79" coordorigin="1365,10" coordsize="1305,0" path="m2670,10l1365,10e" filled="true" fillcolor="#000000" stroked="false">
              <v:path arrowok="t"/>
              <v:fill opacity="0f" type="solid"/>
            </v:shape>
            <v:line style="position:absolute" from="1365,10" to="2670,10" stroked="true" strokeweight="1pt" strokecolor="#000000">
              <v:stroke dashstyle="solid"/>
            </v:line>
            <v:shape style="position:absolute;left:2730;top:10;width:1305;height:2" id="docshape80" coordorigin="2730,10" coordsize="1305,0" path="m4035,10l2730,10e" filled="true" fillcolor="#000000" stroked="false">
              <v:path arrowok="t"/>
              <v:fill opacity="0f" type="solid"/>
            </v:shape>
            <v:line style="position:absolute" from="2730,10" to="4035,10" stroked="true" strokeweight="1pt" strokecolor="#000000">
              <v:stroke dashstyle="solid"/>
            </v:line>
            <v:shape style="position:absolute;left:4095;top:10;width:1305;height:2" id="docshape81" coordorigin="4095,10" coordsize="1305,0" path="m5400,10l4095,10e" filled="true" fillcolor="#000000" stroked="false">
              <v:path arrowok="t"/>
              <v:fill opacity="0f" type="solid"/>
            </v:shape>
            <v:line style="position:absolute" from="4095,10" to="5400,10" stroked="true" strokeweight="1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16" w:after="30"/>
        <w:ind w:left="4226" w:right="286" w:firstLine="0"/>
        <w:jc w:val="center"/>
        <w:rPr>
          <w:b/>
          <w:sz w:val="16"/>
        </w:rPr>
      </w:pPr>
      <w:r>
        <w:rPr>
          <w:b/>
          <w:sz w:val="16"/>
        </w:rPr>
        <w:t>(in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thousands,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except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percentages)</w:t>
      </w: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0"/>
        <w:gridCol w:w="1354"/>
        <w:gridCol w:w="1365"/>
        <w:gridCol w:w="1592"/>
        <w:gridCol w:w="1089"/>
      </w:tblGrid>
      <w:tr>
        <w:trPr>
          <w:trHeight w:val="270" w:hRule="atLeast"/>
        </w:trPr>
        <w:tc>
          <w:tcPr>
            <w:tcW w:w="3960" w:type="dxa"/>
            <w:shd w:val="clear" w:color="auto" w:fill="CCEDFF"/>
          </w:tcPr>
          <w:p>
            <w:pPr>
              <w:pStyle w:val="TableParagraph"/>
              <w:spacing w:before="10"/>
              <w:ind w:right="55"/>
              <w:rPr>
                <w:sz w:val="20"/>
              </w:rPr>
            </w:pPr>
            <w:r>
              <w:rPr>
                <w:sz w:val="20"/>
              </w:rPr>
              <w:t>Revenue</w:t>
            </w:r>
            <w:r>
              <w:rPr>
                <w:spacing w:val="49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</w:t>
            </w:r>
          </w:p>
        </w:tc>
        <w:tc>
          <w:tcPr>
            <w:tcW w:w="1354" w:type="dxa"/>
            <w:shd w:val="clear" w:color="auto" w:fill="CCEDFF"/>
          </w:tcPr>
          <w:p>
            <w:pPr>
              <w:pStyle w:val="TableParagraph"/>
              <w:tabs>
                <w:tab w:pos="606" w:val="left" w:leader="none"/>
              </w:tabs>
              <w:spacing w:before="10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$</w:t>
              <w:tab/>
              <w:t>8,668</w:t>
            </w:r>
          </w:p>
        </w:tc>
        <w:tc>
          <w:tcPr>
            <w:tcW w:w="1365" w:type="dxa"/>
            <w:shd w:val="clear" w:color="auto" w:fill="CCEDFF"/>
          </w:tcPr>
          <w:p>
            <w:pPr>
              <w:pStyle w:val="TableParagraph"/>
              <w:tabs>
                <w:tab w:pos="617" w:val="left" w:leader="none"/>
              </w:tabs>
              <w:spacing w:before="10"/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$</w:t>
              <w:tab/>
              <w:t>2,107</w:t>
            </w:r>
          </w:p>
        </w:tc>
        <w:tc>
          <w:tcPr>
            <w:tcW w:w="1592" w:type="dxa"/>
            <w:shd w:val="clear" w:color="auto" w:fill="CCEDFF"/>
          </w:tcPr>
          <w:p>
            <w:pPr>
              <w:pStyle w:val="TableParagraph"/>
              <w:tabs>
                <w:tab w:pos="784" w:val="left" w:leader="none"/>
              </w:tabs>
              <w:spacing w:before="10"/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$</w:t>
              <w:tab/>
              <w:t>6,561</w:t>
            </w:r>
          </w:p>
        </w:tc>
        <w:tc>
          <w:tcPr>
            <w:tcW w:w="1089" w:type="dxa"/>
            <w:shd w:val="clear" w:color="auto" w:fill="CCEDFF"/>
          </w:tcPr>
          <w:p>
            <w:pPr>
              <w:pStyle w:val="TableParagraph"/>
              <w:spacing w:before="10"/>
              <w:ind w:left="540"/>
              <w:jc w:val="left"/>
              <w:rPr>
                <w:sz w:val="20"/>
              </w:rPr>
            </w:pPr>
            <w:r>
              <w:rPr>
                <w:sz w:val="20"/>
              </w:rPr>
              <w:t>311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260" w:hRule="atLeast"/>
        </w:trPr>
        <w:tc>
          <w:tcPr>
            <w:tcW w:w="3960" w:type="dxa"/>
          </w:tcPr>
          <w:p>
            <w:pPr>
              <w:pStyle w:val="TableParagraph"/>
              <w:spacing w:line="230" w:lineRule="exact" w:before="10"/>
              <w:ind w:right="53"/>
              <w:rPr>
                <w:sz w:val="20"/>
              </w:rPr>
            </w:pPr>
            <w:r>
              <w:rPr>
                <w:sz w:val="20"/>
              </w:rPr>
              <w:t>Cost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 sales</w:t>
            </w:r>
            <w:r>
              <w:rPr>
                <w:spacing w:val="30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</w:p>
        </w:tc>
        <w:tc>
          <w:tcPr>
            <w:tcW w:w="13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606"/>
              <w:jc w:val="left"/>
              <w:rPr>
                <w:sz w:val="20"/>
              </w:rPr>
            </w:pPr>
            <w:r>
              <w:rPr>
                <w:sz w:val="20"/>
              </w:rPr>
              <w:t>4,428</w:t>
            </w:r>
          </w:p>
        </w:tc>
        <w:tc>
          <w:tcPr>
            <w:tcW w:w="13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10"/>
              <w:ind w:left="617"/>
              <w:jc w:val="left"/>
              <w:rPr>
                <w:sz w:val="20"/>
              </w:rPr>
            </w:pPr>
            <w:r>
              <w:rPr>
                <w:sz w:val="20"/>
              </w:rPr>
              <w:t>2,138</w:t>
            </w:r>
          </w:p>
        </w:tc>
        <w:tc>
          <w:tcPr>
            <w:tcW w:w="15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10"/>
              <w:ind w:right="355"/>
              <w:rPr>
                <w:sz w:val="20"/>
              </w:rPr>
            </w:pPr>
            <w:r>
              <w:rPr>
                <w:sz w:val="20"/>
              </w:rPr>
              <w:t>2,290</w:t>
            </w:r>
          </w:p>
        </w:tc>
        <w:tc>
          <w:tcPr>
            <w:tcW w:w="1089" w:type="dxa"/>
          </w:tcPr>
          <w:p>
            <w:pPr>
              <w:pStyle w:val="TableParagraph"/>
              <w:spacing w:line="230" w:lineRule="exact" w:before="10"/>
              <w:ind w:left="540"/>
              <w:jc w:val="lef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3960" w:type="dxa"/>
            <w:shd w:val="clear" w:color="auto" w:fill="CCEDFF"/>
          </w:tcPr>
          <w:p>
            <w:pPr>
              <w:pStyle w:val="TableParagraph"/>
              <w:ind w:right="55"/>
              <w:rPr>
                <w:sz w:val="20"/>
              </w:rPr>
            </w:pPr>
            <w:r>
              <w:rPr>
                <w:sz w:val="20"/>
              </w:rPr>
              <w:t>Gross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profit</w:t>
            </w:r>
            <w:r>
              <w:rPr>
                <w:spacing w:val="49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</w:t>
            </w:r>
          </w:p>
        </w:tc>
        <w:tc>
          <w:tcPr>
            <w:tcW w:w="1354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ind w:left="606"/>
              <w:jc w:val="left"/>
              <w:rPr>
                <w:sz w:val="20"/>
              </w:rPr>
            </w:pPr>
            <w:r>
              <w:rPr>
                <w:sz w:val="20"/>
              </w:rPr>
              <w:t>4,240</w:t>
            </w:r>
          </w:p>
        </w:tc>
        <w:tc>
          <w:tcPr>
            <w:tcW w:w="1365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ind w:left="801"/>
              <w:jc w:val="left"/>
              <w:rPr>
                <w:sz w:val="20"/>
              </w:rPr>
            </w:pPr>
            <w:r>
              <w:rPr>
                <w:sz w:val="20"/>
              </w:rPr>
              <w:t>(31)</w:t>
            </w:r>
          </w:p>
        </w:tc>
        <w:tc>
          <w:tcPr>
            <w:tcW w:w="1592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ind w:right="355"/>
              <w:rPr>
                <w:sz w:val="20"/>
              </w:rPr>
            </w:pPr>
            <w:r>
              <w:rPr>
                <w:sz w:val="20"/>
              </w:rPr>
              <w:t>4,271</w:t>
            </w:r>
          </w:p>
        </w:tc>
        <w:tc>
          <w:tcPr>
            <w:tcW w:w="1089" w:type="dxa"/>
            <w:shd w:val="clear" w:color="auto" w:fill="CCEDFF"/>
          </w:tcPr>
          <w:p>
            <w:pPr>
              <w:pStyle w:val="TableParagraph"/>
              <w:ind w:left="290"/>
              <w:jc w:val="left"/>
              <w:rPr>
                <w:sz w:val="20"/>
              </w:rPr>
            </w:pPr>
            <w:r>
              <w:rPr>
                <w:sz w:val="20"/>
              </w:rPr>
              <w:t>13,777</w:t>
            </w:r>
          </w:p>
        </w:tc>
      </w:tr>
      <w:tr>
        <w:trPr>
          <w:trHeight w:val="270" w:hRule="atLeast"/>
        </w:trPr>
        <w:tc>
          <w:tcPr>
            <w:tcW w:w="3960" w:type="dxa"/>
          </w:tcPr>
          <w:p>
            <w:pPr>
              <w:pStyle w:val="TableParagraph"/>
              <w:spacing w:before="10"/>
              <w:ind w:right="51"/>
              <w:rPr>
                <w:sz w:val="20"/>
              </w:rPr>
            </w:pPr>
            <w:r>
              <w:rPr>
                <w:i/>
                <w:sz w:val="20"/>
              </w:rPr>
              <w:t>Gross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margin</w:t>
            </w:r>
            <w:r>
              <w:rPr>
                <w:i/>
                <w:spacing w:val="8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</w:p>
        </w:tc>
        <w:tc>
          <w:tcPr>
            <w:tcW w:w="1354" w:type="dxa"/>
          </w:tcPr>
          <w:p>
            <w:pPr>
              <w:pStyle w:val="TableParagraph"/>
              <w:spacing w:before="10"/>
              <w:ind w:left="8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  <w:r>
              <w:rPr>
                <w:i/>
                <w:spacing w:val="16"/>
                <w:sz w:val="20"/>
              </w:rPr>
              <w:t> </w:t>
            </w:r>
            <w:r>
              <w:rPr>
                <w:i/>
                <w:sz w:val="20"/>
              </w:rPr>
              <w:t>%</w:t>
            </w:r>
          </w:p>
        </w:tc>
        <w:tc>
          <w:tcPr>
            <w:tcW w:w="1365" w:type="dxa"/>
          </w:tcPr>
          <w:p>
            <w:pPr>
              <w:pStyle w:val="TableParagraph"/>
              <w:spacing w:before="10"/>
              <w:ind w:left="90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(1)%</w:t>
            </w:r>
          </w:p>
        </w:tc>
        <w:tc>
          <w:tcPr>
            <w:tcW w:w="1592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3960" w:type="dxa"/>
            <w:shd w:val="clear" w:color="auto" w:fill="CCEDFF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54" w:type="dxa"/>
            <w:shd w:val="clear" w:color="auto" w:fill="CCEDFF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65" w:type="dxa"/>
            <w:shd w:val="clear" w:color="auto" w:fill="CCEDFF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92" w:type="dxa"/>
            <w:shd w:val="clear" w:color="auto" w:fill="CCEDFF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089" w:type="dxa"/>
            <w:shd w:val="clear" w:color="auto" w:fill="CCEDFF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3960" w:type="dxa"/>
          </w:tcPr>
          <w:p>
            <w:pPr>
              <w:pStyle w:val="TableParagraph"/>
              <w:spacing w:before="10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Operating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expenses:</w:t>
            </w:r>
          </w:p>
        </w:tc>
        <w:tc>
          <w:tcPr>
            <w:tcW w:w="1354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92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3960" w:type="dxa"/>
            <w:shd w:val="clear" w:color="auto" w:fill="CCEDFF"/>
          </w:tcPr>
          <w:p>
            <w:pPr>
              <w:pStyle w:val="TableParagraph"/>
              <w:spacing w:before="10"/>
              <w:ind w:right="51"/>
              <w:rPr>
                <w:sz w:val="20"/>
              </w:rPr>
            </w:pPr>
            <w:r>
              <w:rPr>
                <w:sz w:val="20"/>
              </w:rPr>
              <w:t>Research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development</w:t>
            </w:r>
            <w:r>
              <w:rPr>
                <w:spacing w:val="10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</w:p>
        </w:tc>
        <w:tc>
          <w:tcPr>
            <w:tcW w:w="1354" w:type="dxa"/>
            <w:shd w:val="clear" w:color="auto" w:fill="CCEDFF"/>
          </w:tcPr>
          <w:p>
            <w:pPr>
              <w:pStyle w:val="TableParagraph"/>
              <w:spacing w:before="4"/>
              <w:ind w:left="606"/>
              <w:jc w:val="left"/>
              <w:rPr>
                <w:sz w:val="20"/>
              </w:rPr>
            </w:pPr>
            <w:r>
              <w:rPr>
                <w:sz w:val="20"/>
              </w:rPr>
              <w:t>4,919</w:t>
            </w:r>
          </w:p>
        </w:tc>
        <w:tc>
          <w:tcPr>
            <w:tcW w:w="1365" w:type="dxa"/>
            <w:shd w:val="clear" w:color="auto" w:fill="CCEDFF"/>
          </w:tcPr>
          <w:p>
            <w:pPr>
              <w:pStyle w:val="TableParagraph"/>
              <w:spacing w:before="10"/>
              <w:ind w:left="617"/>
              <w:jc w:val="left"/>
              <w:rPr>
                <w:sz w:val="20"/>
              </w:rPr>
            </w:pPr>
            <w:r>
              <w:rPr>
                <w:sz w:val="20"/>
              </w:rPr>
              <w:t>3,893</w:t>
            </w:r>
          </w:p>
        </w:tc>
        <w:tc>
          <w:tcPr>
            <w:tcW w:w="1592" w:type="dxa"/>
            <w:shd w:val="clear" w:color="auto" w:fill="CCEDFF"/>
          </w:tcPr>
          <w:p>
            <w:pPr>
              <w:pStyle w:val="TableParagraph"/>
              <w:spacing w:before="10"/>
              <w:ind w:right="355"/>
              <w:rPr>
                <w:sz w:val="20"/>
              </w:rPr>
            </w:pPr>
            <w:r>
              <w:rPr>
                <w:sz w:val="20"/>
              </w:rPr>
              <w:t>1,026</w:t>
            </w:r>
          </w:p>
        </w:tc>
        <w:tc>
          <w:tcPr>
            <w:tcW w:w="1089" w:type="dxa"/>
            <w:shd w:val="clear" w:color="auto" w:fill="CCEDFF"/>
          </w:tcPr>
          <w:p>
            <w:pPr>
              <w:pStyle w:val="TableParagraph"/>
              <w:spacing w:before="10"/>
              <w:ind w:left="640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3960" w:type="dxa"/>
          </w:tcPr>
          <w:p>
            <w:pPr>
              <w:pStyle w:val="TableParagraph"/>
              <w:spacing w:line="230" w:lineRule="exact" w:before="10"/>
              <w:ind w:right="59"/>
              <w:rPr>
                <w:sz w:val="20"/>
              </w:rPr>
            </w:pPr>
            <w:r>
              <w:rPr>
                <w:sz w:val="20"/>
              </w:rPr>
              <w:t>Selling,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administrative</w:t>
            </w:r>
            <w:r>
              <w:rPr>
                <w:spacing w:val="68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2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2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</w:p>
        </w:tc>
        <w:tc>
          <w:tcPr>
            <w:tcW w:w="13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506"/>
              <w:jc w:val="left"/>
              <w:rPr>
                <w:sz w:val="20"/>
              </w:rPr>
            </w:pPr>
            <w:r>
              <w:rPr>
                <w:sz w:val="20"/>
              </w:rPr>
              <w:t>12,118</w:t>
            </w:r>
          </w:p>
        </w:tc>
        <w:tc>
          <w:tcPr>
            <w:tcW w:w="13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10"/>
              <w:ind w:left="617"/>
              <w:jc w:val="left"/>
              <w:rPr>
                <w:sz w:val="20"/>
              </w:rPr>
            </w:pPr>
            <w:r>
              <w:rPr>
                <w:sz w:val="20"/>
              </w:rPr>
              <w:t>7,054</w:t>
            </w:r>
          </w:p>
        </w:tc>
        <w:tc>
          <w:tcPr>
            <w:tcW w:w="15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10"/>
              <w:ind w:right="355"/>
              <w:rPr>
                <w:sz w:val="20"/>
              </w:rPr>
            </w:pPr>
            <w:r>
              <w:rPr>
                <w:sz w:val="20"/>
              </w:rPr>
              <w:t>5,064</w:t>
            </w:r>
          </w:p>
        </w:tc>
        <w:tc>
          <w:tcPr>
            <w:tcW w:w="1089" w:type="dxa"/>
          </w:tcPr>
          <w:p>
            <w:pPr>
              <w:pStyle w:val="TableParagraph"/>
              <w:spacing w:line="230" w:lineRule="exact" w:before="10"/>
              <w:ind w:left="640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</w:tr>
      <w:tr>
        <w:trPr>
          <w:trHeight w:val="250" w:hRule="atLeast"/>
        </w:trPr>
        <w:tc>
          <w:tcPr>
            <w:tcW w:w="3960" w:type="dxa"/>
            <w:shd w:val="clear" w:color="auto" w:fill="CCEDFF"/>
          </w:tcPr>
          <w:p>
            <w:pPr>
              <w:pStyle w:val="TableParagraph"/>
              <w:spacing w:line="230" w:lineRule="exact"/>
              <w:ind w:right="59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operating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expenses</w:t>
            </w:r>
            <w:r>
              <w:rPr>
                <w:spacing w:val="18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</w:p>
        </w:tc>
        <w:tc>
          <w:tcPr>
            <w:tcW w:w="135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230" w:lineRule="exact"/>
              <w:ind w:left="506"/>
              <w:jc w:val="left"/>
              <w:rPr>
                <w:sz w:val="20"/>
              </w:rPr>
            </w:pPr>
            <w:r>
              <w:rPr>
                <w:sz w:val="20"/>
              </w:rPr>
              <w:t>17,037</w:t>
            </w:r>
          </w:p>
        </w:tc>
        <w:tc>
          <w:tcPr>
            <w:tcW w:w="136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230" w:lineRule="exact"/>
              <w:ind w:left="517"/>
              <w:jc w:val="left"/>
              <w:rPr>
                <w:sz w:val="20"/>
              </w:rPr>
            </w:pPr>
            <w:r>
              <w:rPr>
                <w:sz w:val="20"/>
              </w:rPr>
              <w:t>10,947</w:t>
            </w:r>
          </w:p>
        </w:tc>
        <w:tc>
          <w:tcPr>
            <w:tcW w:w="159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230" w:lineRule="exact"/>
              <w:ind w:right="355"/>
              <w:rPr>
                <w:sz w:val="20"/>
              </w:rPr>
            </w:pPr>
            <w:r>
              <w:rPr>
                <w:sz w:val="20"/>
              </w:rPr>
              <w:t>6,090</w:t>
            </w:r>
          </w:p>
        </w:tc>
        <w:tc>
          <w:tcPr>
            <w:tcW w:w="1089" w:type="dxa"/>
            <w:shd w:val="clear" w:color="auto" w:fill="CCEDFF"/>
          </w:tcPr>
          <w:p>
            <w:pPr>
              <w:pStyle w:val="TableParagraph"/>
              <w:spacing w:line="230" w:lineRule="exact"/>
              <w:ind w:left="640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3960" w:type="dxa"/>
          </w:tcPr>
          <w:p>
            <w:pPr>
              <w:pStyle w:val="TableParagraph"/>
              <w:ind w:right="55"/>
              <w:rPr>
                <w:sz w:val="20"/>
              </w:rPr>
            </w:pPr>
            <w:r>
              <w:rPr>
                <w:sz w:val="20"/>
              </w:rPr>
              <w:t>Loss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operations 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</w:p>
        </w:tc>
        <w:tc>
          <w:tcPr>
            <w:tcW w:w="1354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440"/>
              <w:jc w:val="left"/>
              <w:rPr>
                <w:sz w:val="20"/>
              </w:rPr>
            </w:pPr>
            <w:r>
              <w:rPr>
                <w:sz w:val="20"/>
              </w:rPr>
              <w:t>(12,797)</w:t>
            </w:r>
          </w:p>
        </w:tc>
        <w:tc>
          <w:tcPr>
            <w:tcW w:w="1365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451"/>
              <w:jc w:val="left"/>
              <w:rPr>
                <w:sz w:val="20"/>
              </w:rPr>
            </w:pPr>
            <w:r>
              <w:rPr>
                <w:sz w:val="20"/>
              </w:rPr>
              <w:t>(10,978)</w:t>
            </w:r>
          </w:p>
        </w:tc>
        <w:tc>
          <w:tcPr>
            <w:tcW w:w="1592" w:type="dxa"/>
            <w:tcBorders>
              <w:top w:val="single" w:sz="8" w:space="0" w:color="000000"/>
            </w:tcBorders>
          </w:tcPr>
          <w:p>
            <w:pPr>
              <w:pStyle w:val="TableParagraph"/>
              <w:ind w:right="290"/>
              <w:rPr>
                <w:sz w:val="20"/>
              </w:rPr>
            </w:pPr>
            <w:r>
              <w:rPr>
                <w:sz w:val="20"/>
              </w:rPr>
              <w:t>(1,819)</w:t>
            </w:r>
          </w:p>
        </w:tc>
        <w:tc>
          <w:tcPr>
            <w:tcW w:w="1089" w:type="dxa"/>
          </w:tcPr>
          <w:p>
            <w:pPr>
              <w:pStyle w:val="TableParagraph"/>
              <w:ind w:left="574"/>
              <w:jc w:val="left"/>
              <w:rPr>
                <w:sz w:val="20"/>
              </w:rPr>
            </w:pPr>
            <w:r>
              <w:rPr>
                <w:sz w:val="20"/>
              </w:rPr>
              <w:t>(17)</w:t>
            </w:r>
          </w:p>
        </w:tc>
      </w:tr>
      <w:tr>
        <w:trPr>
          <w:trHeight w:val="270" w:hRule="atLeast"/>
        </w:trPr>
        <w:tc>
          <w:tcPr>
            <w:tcW w:w="3960" w:type="dxa"/>
            <w:shd w:val="clear" w:color="auto" w:fill="CCEDFF"/>
          </w:tcPr>
          <w:p>
            <w:pPr>
              <w:pStyle w:val="TableParagraph"/>
              <w:spacing w:before="10"/>
              <w:ind w:right="56"/>
              <w:rPr>
                <w:sz w:val="20"/>
              </w:rPr>
            </w:pPr>
            <w:r>
              <w:rPr>
                <w:sz w:val="20"/>
              </w:rPr>
              <w:t>Interest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expense</w:t>
            </w:r>
            <w:r>
              <w:rPr>
                <w:spacing w:val="7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</w:p>
        </w:tc>
        <w:tc>
          <w:tcPr>
            <w:tcW w:w="1354" w:type="dxa"/>
            <w:shd w:val="clear" w:color="auto" w:fill="CCEDFF"/>
          </w:tcPr>
          <w:p>
            <w:pPr>
              <w:pStyle w:val="TableParagraph"/>
              <w:spacing w:before="4"/>
              <w:ind w:left="540"/>
              <w:jc w:val="left"/>
              <w:rPr>
                <w:sz w:val="20"/>
              </w:rPr>
            </w:pPr>
            <w:r>
              <w:rPr>
                <w:sz w:val="20"/>
              </w:rPr>
              <w:t>(1,469)</w:t>
            </w:r>
          </w:p>
        </w:tc>
        <w:tc>
          <w:tcPr>
            <w:tcW w:w="1365" w:type="dxa"/>
            <w:shd w:val="clear" w:color="auto" w:fill="CCEDFF"/>
          </w:tcPr>
          <w:p>
            <w:pPr>
              <w:pStyle w:val="TableParagraph"/>
              <w:spacing w:before="10"/>
              <w:ind w:left="551"/>
              <w:jc w:val="left"/>
              <w:rPr>
                <w:sz w:val="20"/>
              </w:rPr>
            </w:pPr>
            <w:r>
              <w:rPr>
                <w:sz w:val="20"/>
              </w:rPr>
              <w:t>(1,387)</w:t>
            </w:r>
          </w:p>
        </w:tc>
        <w:tc>
          <w:tcPr>
            <w:tcW w:w="1592" w:type="dxa"/>
            <w:shd w:val="clear" w:color="auto" w:fill="CCEDFF"/>
          </w:tcPr>
          <w:p>
            <w:pPr>
              <w:pStyle w:val="TableParagraph"/>
              <w:spacing w:before="10"/>
              <w:ind w:right="290"/>
              <w:rPr>
                <w:sz w:val="20"/>
              </w:rPr>
            </w:pPr>
            <w:r>
              <w:rPr>
                <w:sz w:val="20"/>
              </w:rPr>
              <w:t>(82)</w:t>
            </w:r>
          </w:p>
        </w:tc>
        <w:tc>
          <w:tcPr>
            <w:tcW w:w="1089" w:type="dxa"/>
            <w:shd w:val="clear" w:color="auto" w:fill="CCEDFF"/>
          </w:tcPr>
          <w:p>
            <w:pPr>
              <w:pStyle w:val="TableParagraph"/>
              <w:spacing w:before="10"/>
              <w:ind w:left="674"/>
              <w:jc w:val="left"/>
              <w:rPr>
                <w:sz w:val="20"/>
              </w:rPr>
            </w:pPr>
            <w:r>
              <w:rPr>
                <w:sz w:val="20"/>
              </w:rPr>
              <w:t>(6)</w:t>
            </w:r>
          </w:p>
        </w:tc>
      </w:tr>
      <w:tr>
        <w:trPr>
          <w:trHeight w:val="260" w:hRule="atLeast"/>
        </w:trPr>
        <w:tc>
          <w:tcPr>
            <w:tcW w:w="3960" w:type="dxa"/>
          </w:tcPr>
          <w:p>
            <w:pPr>
              <w:pStyle w:val="TableParagraph"/>
              <w:spacing w:line="230" w:lineRule="exact" w:before="10"/>
              <w:ind w:right="54"/>
              <w:rPr>
                <w:sz w:val="20"/>
              </w:rPr>
            </w:pPr>
            <w:r>
              <w:rPr>
                <w:sz w:val="20"/>
              </w:rPr>
              <w:t>Interest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income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(expense),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net</w:t>
            </w:r>
            <w:r>
              <w:rPr>
                <w:spacing w:val="4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2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</w:p>
        </w:tc>
        <w:tc>
          <w:tcPr>
            <w:tcW w:w="13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3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10"/>
              <w:ind w:left="767"/>
              <w:jc w:val="left"/>
              <w:rPr>
                <w:sz w:val="20"/>
              </w:rPr>
            </w:pPr>
            <w:r>
              <w:rPr>
                <w:sz w:val="20"/>
              </w:rPr>
              <w:t>357</w:t>
            </w:r>
          </w:p>
        </w:tc>
        <w:tc>
          <w:tcPr>
            <w:tcW w:w="15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10"/>
              <w:ind w:right="290"/>
              <w:rPr>
                <w:sz w:val="20"/>
              </w:rPr>
            </w:pPr>
            <w:r>
              <w:rPr>
                <w:sz w:val="20"/>
              </w:rPr>
              <w:t>(194)</w:t>
            </w:r>
          </w:p>
        </w:tc>
        <w:tc>
          <w:tcPr>
            <w:tcW w:w="1089" w:type="dxa"/>
          </w:tcPr>
          <w:p>
            <w:pPr>
              <w:pStyle w:val="TableParagraph"/>
              <w:spacing w:line="230" w:lineRule="exact" w:before="10"/>
              <w:ind w:left="574"/>
              <w:jc w:val="left"/>
              <w:rPr>
                <w:sz w:val="20"/>
              </w:rPr>
            </w:pPr>
            <w:r>
              <w:rPr>
                <w:sz w:val="20"/>
              </w:rPr>
              <w:t>(54)</w:t>
            </w:r>
          </w:p>
        </w:tc>
      </w:tr>
      <w:tr>
        <w:trPr>
          <w:trHeight w:val="260" w:hRule="atLeast"/>
        </w:trPr>
        <w:tc>
          <w:tcPr>
            <w:tcW w:w="3960" w:type="dxa"/>
            <w:shd w:val="clear" w:color="auto" w:fill="CCEDFF"/>
          </w:tcPr>
          <w:p>
            <w:pPr>
              <w:pStyle w:val="TableParagraph"/>
              <w:ind w:right="56"/>
              <w:rPr>
                <w:sz w:val="20"/>
              </w:rPr>
            </w:pPr>
            <w:r>
              <w:rPr>
                <w:sz w:val="20"/>
              </w:rPr>
              <w:t>Net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loss</w:t>
            </w:r>
            <w:r>
              <w:rPr>
                <w:spacing w:val="10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</w:p>
        </w:tc>
        <w:tc>
          <w:tcPr>
            <w:tcW w:w="1354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440" w:val="left" w:leader="none"/>
              </w:tabs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$</w:t>
              <w:tab/>
              <w:t>(14,103)</w:t>
            </w:r>
          </w:p>
        </w:tc>
        <w:tc>
          <w:tcPr>
            <w:tcW w:w="1365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451" w:val="left" w:leader="none"/>
              </w:tabs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$</w:t>
              <w:tab/>
              <w:t>(12,008)</w:t>
            </w:r>
          </w:p>
        </w:tc>
        <w:tc>
          <w:tcPr>
            <w:tcW w:w="1592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717" w:val="left" w:leader="none"/>
              </w:tabs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$</w:t>
              <w:tab/>
              <w:t>(2,095)</w:t>
            </w:r>
          </w:p>
        </w:tc>
        <w:tc>
          <w:tcPr>
            <w:tcW w:w="1089" w:type="dxa"/>
            <w:shd w:val="clear" w:color="auto" w:fill="CCEDFF"/>
          </w:tcPr>
          <w:p>
            <w:pPr>
              <w:pStyle w:val="TableParagraph"/>
              <w:ind w:left="574"/>
              <w:jc w:val="left"/>
              <w:rPr>
                <w:sz w:val="20"/>
              </w:rPr>
            </w:pPr>
            <w:r>
              <w:rPr>
                <w:sz w:val="20"/>
              </w:rPr>
              <w:t>(17)</w:t>
            </w:r>
          </w:p>
        </w:tc>
      </w:tr>
    </w:tbl>
    <w:p>
      <w:pPr>
        <w:pStyle w:val="BodyText"/>
        <w:spacing w:before="8"/>
        <w:ind w:left="0" w:firstLine="0"/>
        <w:rPr>
          <w:b/>
          <w:sz w:val="25"/>
        </w:rPr>
      </w:pPr>
    </w:p>
    <w:p>
      <w:pPr>
        <w:spacing w:line="172" w:lineRule="exact" w:before="0"/>
        <w:ind w:left="1482" w:right="272" w:firstLine="0"/>
        <w:jc w:val="center"/>
        <w:rPr>
          <w:b/>
          <w:sz w:val="16"/>
        </w:rPr>
      </w:pPr>
      <w:r>
        <w:rPr/>
        <w:pict>
          <v:shape style="position:absolute;margin-left:270pt;margin-top:-15.811249pt;width:201.75pt;height:2pt;mso-position-horizontal-relative:page;mso-position-vertical-relative:paragraph;z-index:15744000" id="docshape82" coordorigin="5400,-316" coordsize="4035,40" path="m5400,-316l6705,-316m5400,-276l6705,-276m6765,-316l8070,-316m6765,-276l8070,-276m8130,-316l9435,-316m8130,-276l9435,-276e" filled="false" stroked="true" strokeweight="1pt" strokecolor="#000000">
            <v:path arrowok="t"/>
            <v:stroke dashstyle="solid"/>
            <w10:wrap type="none"/>
          </v:shape>
        </w:pict>
      </w:r>
      <w:r>
        <w:rPr>
          <w:b/>
          <w:sz w:val="16"/>
        </w:rPr>
        <w:t>Nine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Months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Ended</w:t>
      </w:r>
    </w:p>
    <w:p>
      <w:pPr>
        <w:tabs>
          <w:tab w:pos="6670" w:val="left" w:leader="none"/>
        </w:tabs>
        <w:spacing w:line="172" w:lineRule="exact" w:before="0"/>
        <w:ind w:left="3713" w:right="0" w:firstLine="0"/>
        <w:jc w:val="center"/>
        <w:rPr>
          <w:b/>
          <w:sz w:val="16"/>
        </w:rPr>
      </w:pPr>
      <w:r>
        <w:rPr/>
        <w:pict>
          <v:group style="position:absolute;margin-left:270pt;margin-top:9.589142pt;width:270pt;height:1pt;mso-position-horizontal-relative:page;mso-position-vertical-relative:paragraph;z-index:-15714304;mso-wrap-distance-left:0;mso-wrap-distance-right:0" id="docshapegroup83" coordorigin="5400,192" coordsize="5400,20">
            <v:shape style="position:absolute;left:5400;top:201;width:2670;height:2" id="docshape84" coordorigin="5400,202" coordsize="2670,0" path="m8070,202l5400,202e" filled="true" fillcolor="#000000" stroked="false">
              <v:path arrowok="t"/>
              <v:fill opacity="0f" type="solid"/>
            </v:shape>
            <v:line style="position:absolute" from="5400,202" to="8070,202" stroked="true" strokeweight="1pt" strokecolor="#000000">
              <v:stroke dashstyle="solid"/>
            </v:line>
            <v:shape style="position:absolute;left:8130;top:201;width:2670;height:2" id="docshape85" coordorigin="8130,202" coordsize="2670,0" path="m10800,202l8130,202e" filled="true" fillcolor="#000000" stroked="false">
              <v:path arrowok="t"/>
              <v:fill opacity="0f" type="solid"/>
            </v:shape>
            <v:line style="position:absolute" from="8130,202" to="10800,202" stroked="true" strokeweight="1pt" strokecolor="#000000">
              <v:stroke dashstyle="solid"/>
            </v:line>
            <w10:wrap type="topAndBottom"/>
          </v:group>
        </w:pict>
      </w:r>
      <w:r>
        <w:rPr>
          <w:b/>
          <w:sz w:val="16"/>
        </w:rPr>
        <w:t>September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30,</w:t>
        <w:tab/>
        <w:t>Change</w:t>
      </w:r>
    </w:p>
    <w:p>
      <w:pPr>
        <w:tabs>
          <w:tab w:pos="5224" w:val="left" w:leader="none"/>
          <w:tab w:pos="6709" w:val="left" w:leader="none"/>
          <w:tab w:pos="8034" w:val="left" w:leader="none"/>
        </w:tabs>
        <w:spacing w:before="16" w:after="20"/>
        <w:ind w:left="3859" w:right="0" w:firstLine="0"/>
        <w:jc w:val="center"/>
        <w:rPr>
          <w:b/>
          <w:sz w:val="16"/>
        </w:rPr>
      </w:pPr>
      <w:r>
        <w:rPr>
          <w:b/>
          <w:sz w:val="16"/>
        </w:rPr>
        <w:t>2021</w:t>
        <w:tab/>
        <w:t>2020</w:t>
        <w:tab/>
        <w:t>$</w:t>
        <w:tab/>
        <w:t>%</w:t>
      </w:r>
    </w:p>
    <w:p>
      <w:pPr>
        <w:pStyle w:val="BodyText"/>
        <w:spacing w:line="20" w:lineRule="exact" w:before="0"/>
        <w:ind w:left="4050" w:firstLine="0"/>
        <w:rPr>
          <w:sz w:val="2"/>
        </w:rPr>
      </w:pPr>
      <w:r>
        <w:rPr>
          <w:sz w:val="2"/>
        </w:rPr>
        <w:pict>
          <v:group style="width:270pt;height:1pt;mso-position-horizontal-relative:char;mso-position-vertical-relative:line" id="docshapegroup86" coordorigin="0,0" coordsize="5400,20">
            <v:shape style="position:absolute;left:0;top:10;width:1305;height:2" id="docshape87" coordorigin="0,10" coordsize="1305,0" path="m1305,10l0,10e" filled="true" fillcolor="#000000" stroked="false">
              <v:path arrowok="t"/>
              <v:fill opacity="0f" type="solid"/>
            </v:shape>
            <v:line style="position:absolute" from="0,10" to="1305,10" stroked="true" strokeweight="1pt" strokecolor="#000000">
              <v:stroke dashstyle="solid"/>
            </v:line>
            <v:shape style="position:absolute;left:1365;top:10;width:1305;height:2" id="docshape88" coordorigin="1365,10" coordsize="1305,0" path="m2670,10l1365,10e" filled="true" fillcolor="#000000" stroked="false">
              <v:path arrowok="t"/>
              <v:fill opacity="0f" type="solid"/>
            </v:shape>
            <v:line style="position:absolute" from="1365,10" to="2670,10" stroked="true" strokeweight="1pt" strokecolor="#000000">
              <v:stroke dashstyle="solid"/>
            </v:line>
            <v:shape style="position:absolute;left:2730;top:10;width:1305;height:2" id="docshape89" coordorigin="2730,10" coordsize="1305,0" path="m4035,10l2730,10e" filled="true" fillcolor="#000000" stroked="false">
              <v:path arrowok="t"/>
              <v:fill opacity="0f" type="solid"/>
            </v:shape>
            <v:line style="position:absolute" from="2730,10" to="4035,10" stroked="true" strokeweight="1pt" strokecolor="#000000">
              <v:stroke dashstyle="solid"/>
            </v:line>
            <v:shape style="position:absolute;left:4095;top:10;width:1305;height:2" id="docshape90" coordorigin="4095,10" coordsize="1305,0" path="m5400,10l4095,10e" filled="true" fillcolor="#000000" stroked="false">
              <v:path arrowok="t"/>
              <v:fill opacity="0f" type="solid"/>
            </v:shape>
            <v:line style="position:absolute" from="4095,10" to="5400,10" stroked="true" strokeweight="1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16" w:after="30"/>
        <w:ind w:left="4226" w:right="286" w:firstLine="0"/>
        <w:jc w:val="center"/>
        <w:rPr>
          <w:b/>
          <w:sz w:val="16"/>
        </w:rPr>
      </w:pPr>
      <w:r>
        <w:rPr>
          <w:b/>
          <w:sz w:val="16"/>
        </w:rPr>
        <w:t>(in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thousands,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except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percentages)</w:t>
      </w: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0"/>
        <w:gridCol w:w="1354"/>
        <w:gridCol w:w="1365"/>
        <w:gridCol w:w="1717"/>
        <w:gridCol w:w="964"/>
      </w:tblGrid>
      <w:tr>
        <w:trPr>
          <w:trHeight w:val="270" w:hRule="atLeast"/>
        </w:trPr>
        <w:tc>
          <w:tcPr>
            <w:tcW w:w="3960" w:type="dxa"/>
            <w:shd w:val="clear" w:color="auto" w:fill="CCEDFF"/>
          </w:tcPr>
          <w:p>
            <w:pPr>
              <w:pStyle w:val="TableParagraph"/>
              <w:spacing w:before="10"/>
              <w:ind w:right="55"/>
              <w:rPr>
                <w:sz w:val="20"/>
              </w:rPr>
            </w:pPr>
            <w:r>
              <w:rPr>
                <w:sz w:val="20"/>
              </w:rPr>
              <w:t>Revenue</w:t>
            </w:r>
            <w:r>
              <w:rPr>
                <w:spacing w:val="49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</w:t>
            </w:r>
          </w:p>
        </w:tc>
        <w:tc>
          <w:tcPr>
            <w:tcW w:w="1354" w:type="dxa"/>
            <w:shd w:val="clear" w:color="auto" w:fill="CCEDFF"/>
          </w:tcPr>
          <w:p>
            <w:pPr>
              <w:pStyle w:val="TableParagraph"/>
              <w:tabs>
                <w:tab w:pos="506" w:val="left" w:leader="none"/>
              </w:tabs>
              <w:spacing w:before="10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$</w:t>
              <w:tab/>
              <w:t>24,335</w:t>
            </w:r>
          </w:p>
        </w:tc>
        <w:tc>
          <w:tcPr>
            <w:tcW w:w="1365" w:type="dxa"/>
            <w:shd w:val="clear" w:color="auto" w:fill="CCEDFF"/>
          </w:tcPr>
          <w:p>
            <w:pPr>
              <w:pStyle w:val="TableParagraph"/>
              <w:tabs>
                <w:tab w:pos="617" w:val="left" w:leader="none"/>
              </w:tabs>
              <w:spacing w:before="10"/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$</w:t>
              <w:tab/>
              <w:t>4,496</w:t>
            </w:r>
          </w:p>
        </w:tc>
        <w:tc>
          <w:tcPr>
            <w:tcW w:w="1717" w:type="dxa"/>
            <w:shd w:val="clear" w:color="auto" w:fill="CCEDFF"/>
          </w:tcPr>
          <w:p>
            <w:pPr>
              <w:pStyle w:val="TableParagraph"/>
              <w:tabs>
                <w:tab w:pos="684" w:val="left" w:leader="none"/>
              </w:tabs>
              <w:spacing w:before="10"/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$</w:t>
              <w:tab/>
              <w:t>19,839</w:t>
            </w:r>
          </w:p>
        </w:tc>
        <w:tc>
          <w:tcPr>
            <w:tcW w:w="964" w:type="dxa"/>
            <w:shd w:val="clear" w:color="auto" w:fill="CCEDFF"/>
          </w:tcPr>
          <w:p>
            <w:pPr>
              <w:pStyle w:val="TableParagraph"/>
              <w:spacing w:before="10"/>
              <w:ind w:left="415"/>
              <w:jc w:val="left"/>
              <w:rPr>
                <w:sz w:val="20"/>
              </w:rPr>
            </w:pPr>
            <w:r>
              <w:rPr>
                <w:sz w:val="20"/>
              </w:rPr>
              <w:t>441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260" w:hRule="atLeast"/>
        </w:trPr>
        <w:tc>
          <w:tcPr>
            <w:tcW w:w="3960" w:type="dxa"/>
          </w:tcPr>
          <w:p>
            <w:pPr>
              <w:pStyle w:val="TableParagraph"/>
              <w:spacing w:line="230" w:lineRule="exact" w:before="10"/>
              <w:ind w:right="53"/>
              <w:rPr>
                <w:sz w:val="20"/>
              </w:rPr>
            </w:pPr>
            <w:r>
              <w:rPr>
                <w:sz w:val="20"/>
              </w:rPr>
              <w:t>Cost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 sales</w:t>
            </w:r>
            <w:r>
              <w:rPr>
                <w:spacing w:val="30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</w:p>
        </w:tc>
        <w:tc>
          <w:tcPr>
            <w:tcW w:w="13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506"/>
              <w:jc w:val="left"/>
              <w:rPr>
                <w:sz w:val="20"/>
              </w:rPr>
            </w:pPr>
            <w:r>
              <w:rPr>
                <w:sz w:val="20"/>
              </w:rPr>
              <w:t>12,986</w:t>
            </w:r>
          </w:p>
        </w:tc>
        <w:tc>
          <w:tcPr>
            <w:tcW w:w="13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10"/>
              <w:ind w:left="617"/>
              <w:jc w:val="left"/>
              <w:rPr>
                <w:sz w:val="20"/>
              </w:rPr>
            </w:pPr>
            <w:r>
              <w:rPr>
                <w:sz w:val="20"/>
              </w:rPr>
              <w:t>6,221</w:t>
            </w:r>
          </w:p>
        </w:tc>
        <w:tc>
          <w:tcPr>
            <w:tcW w:w="171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10"/>
              <w:ind w:right="480"/>
              <w:rPr>
                <w:sz w:val="20"/>
              </w:rPr>
            </w:pPr>
            <w:r>
              <w:rPr>
                <w:sz w:val="20"/>
              </w:rPr>
              <w:t>6,765</w:t>
            </w:r>
          </w:p>
        </w:tc>
        <w:tc>
          <w:tcPr>
            <w:tcW w:w="964" w:type="dxa"/>
          </w:tcPr>
          <w:p>
            <w:pPr>
              <w:pStyle w:val="TableParagraph"/>
              <w:spacing w:line="230" w:lineRule="exact" w:before="10"/>
              <w:ind w:left="415"/>
              <w:jc w:val="lef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3960" w:type="dxa"/>
            <w:shd w:val="clear" w:color="auto" w:fill="CCEDFF"/>
          </w:tcPr>
          <w:p>
            <w:pPr>
              <w:pStyle w:val="TableParagraph"/>
              <w:ind w:right="55"/>
              <w:rPr>
                <w:sz w:val="20"/>
              </w:rPr>
            </w:pPr>
            <w:r>
              <w:rPr>
                <w:sz w:val="20"/>
              </w:rPr>
              <w:t>Gross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profit</w:t>
            </w:r>
            <w:r>
              <w:rPr>
                <w:spacing w:val="49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</w:t>
            </w:r>
          </w:p>
        </w:tc>
        <w:tc>
          <w:tcPr>
            <w:tcW w:w="1354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ind w:left="506"/>
              <w:jc w:val="left"/>
              <w:rPr>
                <w:sz w:val="20"/>
              </w:rPr>
            </w:pPr>
            <w:r>
              <w:rPr>
                <w:sz w:val="20"/>
              </w:rPr>
              <w:t>11,349</w:t>
            </w:r>
          </w:p>
        </w:tc>
        <w:tc>
          <w:tcPr>
            <w:tcW w:w="1365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ind w:left="551"/>
              <w:jc w:val="left"/>
              <w:rPr>
                <w:sz w:val="20"/>
              </w:rPr>
            </w:pPr>
            <w:r>
              <w:rPr>
                <w:sz w:val="20"/>
              </w:rPr>
              <w:t>(1,725)</w:t>
            </w:r>
          </w:p>
        </w:tc>
        <w:tc>
          <w:tcPr>
            <w:tcW w:w="1717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ind w:left="684"/>
              <w:jc w:val="left"/>
              <w:rPr>
                <w:sz w:val="20"/>
              </w:rPr>
            </w:pPr>
            <w:r>
              <w:rPr>
                <w:sz w:val="20"/>
              </w:rPr>
              <w:t>13,074</w:t>
            </w:r>
          </w:p>
        </w:tc>
        <w:tc>
          <w:tcPr>
            <w:tcW w:w="964" w:type="dxa"/>
            <w:shd w:val="clear" w:color="auto" w:fill="CCEDFF"/>
          </w:tcPr>
          <w:p>
            <w:pPr>
              <w:pStyle w:val="TableParagraph"/>
              <w:ind w:left="415"/>
              <w:jc w:val="left"/>
              <w:rPr>
                <w:sz w:val="20"/>
              </w:rPr>
            </w:pPr>
            <w:r>
              <w:rPr>
                <w:sz w:val="20"/>
              </w:rPr>
              <w:t>758</w:t>
            </w:r>
          </w:p>
        </w:tc>
      </w:tr>
      <w:tr>
        <w:trPr>
          <w:trHeight w:val="270" w:hRule="atLeast"/>
        </w:trPr>
        <w:tc>
          <w:tcPr>
            <w:tcW w:w="3960" w:type="dxa"/>
          </w:tcPr>
          <w:p>
            <w:pPr>
              <w:pStyle w:val="TableParagraph"/>
              <w:spacing w:before="10"/>
              <w:ind w:right="51"/>
              <w:rPr>
                <w:sz w:val="20"/>
              </w:rPr>
            </w:pPr>
            <w:r>
              <w:rPr>
                <w:i/>
                <w:sz w:val="20"/>
              </w:rPr>
              <w:t>Gross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margin</w:t>
            </w:r>
            <w:r>
              <w:rPr>
                <w:i/>
                <w:spacing w:val="8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</w:p>
        </w:tc>
        <w:tc>
          <w:tcPr>
            <w:tcW w:w="1354" w:type="dxa"/>
          </w:tcPr>
          <w:p>
            <w:pPr>
              <w:pStyle w:val="TableParagraph"/>
              <w:spacing w:before="10"/>
              <w:ind w:left="8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  <w:r>
              <w:rPr>
                <w:i/>
                <w:spacing w:val="16"/>
                <w:sz w:val="20"/>
              </w:rPr>
              <w:t> </w:t>
            </w:r>
            <w:r>
              <w:rPr>
                <w:i/>
                <w:sz w:val="20"/>
              </w:rPr>
              <w:t>%</w:t>
            </w:r>
          </w:p>
        </w:tc>
        <w:tc>
          <w:tcPr>
            <w:tcW w:w="1365" w:type="dxa"/>
          </w:tcPr>
          <w:p>
            <w:pPr>
              <w:pStyle w:val="TableParagraph"/>
              <w:spacing w:before="10"/>
              <w:ind w:left="80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(38)%</w:t>
            </w:r>
          </w:p>
        </w:tc>
        <w:tc>
          <w:tcPr>
            <w:tcW w:w="1717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3960" w:type="dxa"/>
            <w:shd w:val="clear" w:color="auto" w:fill="CCEDFF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54" w:type="dxa"/>
            <w:shd w:val="clear" w:color="auto" w:fill="CCEDFF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65" w:type="dxa"/>
            <w:shd w:val="clear" w:color="auto" w:fill="CCEDFF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17" w:type="dxa"/>
            <w:shd w:val="clear" w:color="auto" w:fill="CCEDFF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64" w:type="dxa"/>
            <w:shd w:val="clear" w:color="auto" w:fill="CCEDFF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3960" w:type="dxa"/>
          </w:tcPr>
          <w:p>
            <w:pPr>
              <w:pStyle w:val="TableParagraph"/>
              <w:spacing w:before="10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Operating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expenses:</w:t>
            </w:r>
          </w:p>
        </w:tc>
        <w:tc>
          <w:tcPr>
            <w:tcW w:w="1354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17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3960" w:type="dxa"/>
            <w:shd w:val="clear" w:color="auto" w:fill="CCEDFF"/>
          </w:tcPr>
          <w:p>
            <w:pPr>
              <w:pStyle w:val="TableParagraph"/>
              <w:spacing w:before="10"/>
              <w:ind w:right="51"/>
              <w:rPr>
                <w:sz w:val="20"/>
              </w:rPr>
            </w:pPr>
            <w:r>
              <w:rPr>
                <w:sz w:val="20"/>
              </w:rPr>
              <w:t>Research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development</w:t>
            </w:r>
            <w:r>
              <w:rPr>
                <w:spacing w:val="10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</w:p>
        </w:tc>
        <w:tc>
          <w:tcPr>
            <w:tcW w:w="1354" w:type="dxa"/>
            <w:shd w:val="clear" w:color="auto" w:fill="CCEDFF"/>
          </w:tcPr>
          <w:p>
            <w:pPr>
              <w:pStyle w:val="TableParagraph"/>
              <w:spacing w:before="4"/>
              <w:ind w:left="506"/>
              <w:jc w:val="left"/>
              <w:rPr>
                <w:sz w:val="20"/>
              </w:rPr>
            </w:pPr>
            <w:r>
              <w:rPr>
                <w:sz w:val="20"/>
              </w:rPr>
              <w:t>13,917</w:t>
            </w:r>
          </w:p>
        </w:tc>
        <w:tc>
          <w:tcPr>
            <w:tcW w:w="1365" w:type="dxa"/>
            <w:shd w:val="clear" w:color="auto" w:fill="CCEDFF"/>
          </w:tcPr>
          <w:p>
            <w:pPr>
              <w:pStyle w:val="TableParagraph"/>
              <w:spacing w:before="4"/>
              <w:ind w:left="517"/>
              <w:jc w:val="left"/>
              <w:rPr>
                <w:sz w:val="20"/>
              </w:rPr>
            </w:pPr>
            <w:r>
              <w:rPr>
                <w:sz w:val="20"/>
              </w:rPr>
              <w:t>11,732</w:t>
            </w:r>
          </w:p>
        </w:tc>
        <w:tc>
          <w:tcPr>
            <w:tcW w:w="1717" w:type="dxa"/>
            <w:shd w:val="clear" w:color="auto" w:fill="CCEDFF"/>
          </w:tcPr>
          <w:p>
            <w:pPr>
              <w:pStyle w:val="TableParagraph"/>
              <w:spacing w:before="10"/>
              <w:ind w:right="480"/>
              <w:rPr>
                <w:sz w:val="20"/>
              </w:rPr>
            </w:pPr>
            <w:r>
              <w:rPr>
                <w:sz w:val="20"/>
              </w:rPr>
              <w:t>2,185</w:t>
            </w:r>
          </w:p>
        </w:tc>
        <w:tc>
          <w:tcPr>
            <w:tcW w:w="964" w:type="dxa"/>
            <w:shd w:val="clear" w:color="auto" w:fill="CCEDFF"/>
          </w:tcPr>
          <w:p>
            <w:pPr>
              <w:pStyle w:val="TableParagraph"/>
              <w:spacing w:before="10"/>
              <w:ind w:left="515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3960" w:type="dxa"/>
          </w:tcPr>
          <w:p>
            <w:pPr>
              <w:pStyle w:val="TableParagraph"/>
              <w:spacing w:line="230" w:lineRule="exact" w:before="10"/>
              <w:ind w:right="59"/>
              <w:rPr>
                <w:sz w:val="20"/>
              </w:rPr>
            </w:pPr>
            <w:r>
              <w:rPr>
                <w:sz w:val="20"/>
              </w:rPr>
              <w:t>Selling,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administrative</w:t>
            </w:r>
            <w:r>
              <w:rPr>
                <w:spacing w:val="68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2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2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</w:p>
        </w:tc>
        <w:tc>
          <w:tcPr>
            <w:tcW w:w="13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506"/>
              <w:jc w:val="left"/>
              <w:rPr>
                <w:sz w:val="20"/>
              </w:rPr>
            </w:pPr>
            <w:r>
              <w:rPr>
                <w:sz w:val="20"/>
              </w:rPr>
              <w:t>34,765</w:t>
            </w:r>
          </w:p>
        </w:tc>
        <w:tc>
          <w:tcPr>
            <w:tcW w:w="13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517"/>
              <w:jc w:val="left"/>
              <w:rPr>
                <w:sz w:val="20"/>
              </w:rPr>
            </w:pPr>
            <w:r>
              <w:rPr>
                <w:sz w:val="20"/>
              </w:rPr>
              <w:t>21,138</w:t>
            </w:r>
          </w:p>
        </w:tc>
        <w:tc>
          <w:tcPr>
            <w:tcW w:w="171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10"/>
              <w:ind w:left="684"/>
              <w:jc w:val="left"/>
              <w:rPr>
                <w:sz w:val="20"/>
              </w:rPr>
            </w:pPr>
            <w:r>
              <w:rPr>
                <w:sz w:val="20"/>
              </w:rPr>
              <w:t>13,627</w:t>
            </w:r>
          </w:p>
        </w:tc>
        <w:tc>
          <w:tcPr>
            <w:tcW w:w="964" w:type="dxa"/>
          </w:tcPr>
          <w:p>
            <w:pPr>
              <w:pStyle w:val="TableParagraph"/>
              <w:spacing w:line="230" w:lineRule="exact" w:before="10"/>
              <w:ind w:left="515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</w:tr>
      <w:tr>
        <w:trPr>
          <w:trHeight w:val="250" w:hRule="atLeast"/>
        </w:trPr>
        <w:tc>
          <w:tcPr>
            <w:tcW w:w="3960" w:type="dxa"/>
            <w:shd w:val="clear" w:color="auto" w:fill="CCEDFF"/>
          </w:tcPr>
          <w:p>
            <w:pPr>
              <w:pStyle w:val="TableParagraph"/>
              <w:spacing w:line="230" w:lineRule="exact"/>
              <w:ind w:right="59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operating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expenses</w:t>
            </w:r>
            <w:r>
              <w:rPr>
                <w:spacing w:val="18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</w:p>
        </w:tc>
        <w:tc>
          <w:tcPr>
            <w:tcW w:w="135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230" w:lineRule="exact"/>
              <w:ind w:left="506"/>
              <w:jc w:val="left"/>
              <w:rPr>
                <w:sz w:val="20"/>
              </w:rPr>
            </w:pPr>
            <w:r>
              <w:rPr>
                <w:sz w:val="20"/>
              </w:rPr>
              <w:t>48,682</w:t>
            </w:r>
          </w:p>
        </w:tc>
        <w:tc>
          <w:tcPr>
            <w:tcW w:w="136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230" w:lineRule="exact"/>
              <w:ind w:left="517"/>
              <w:jc w:val="left"/>
              <w:rPr>
                <w:sz w:val="20"/>
              </w:rPr>
            </w:pPr>
            <w:r>
              <w:rPr>
                <w:sz w:val="20"/>
              </w:rPr>
              <w:t>32,870</w:t>
            </w:r>
          </w:p>
        </w:tc>
        <w:tc>
          <w:tcPr>
            <w:tcW w:w="171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230" w:lineRule="exact"/>
              <w:ind w:left="684"/>
              <w:jc w:val="left"/>
              <w:rPr>
                <w:sz w:val="20"/>
              </w:rPr>
            </w:pPr>
            <w:r>
              <w:rPr>
                <w:sz w:val="20"/>
              </w:rPr>
              <w:t>15,812</w:t>
            </w:r>
          </w:p>
        </w:tc>
        <w:tc>
          <w:tcPr>
            <w:tcW w:w="964" w:type="dxa"/>
            <w:shd w:val="clear" w:color="auto" w:fill="CCEDFF"/>
          </w:tcPr>
          <w:p>
            <w:pPr>
              <w:pStyle w:val="TableParagraph"/>
              <w:spacing w:line="230" w:lineRule="exact"/>
              <w:ind w:left="515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3960" w:type="dxa"/>
          </w:tcPr>
          <w:p>
            <w:pPr>
              <w:pStyle w:val="TableParagraph"/>
              <w:ind w:right="55"/>
              <w:rPr>
                <w:sz w:val="20"/>
              </w:rPr>
            </w:pPr>
            <w:r>
              <w:rPr>
                <w:sz w:val="20"/>
              </w:rPr>
              <w:t>Loss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operations 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</w:t>
            </w:r>
          </w:p>
        </w:tc>
        <w:tc>
          <w:tcPr>
            <w:tcW w:w="1354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440"/>
              <w:jc w:val="left"/>
              <w:rPr>
                <w:sz w:val="20"/>
              </w:rPr>
            </w:pPr>
            <w:r>
              <w:rPr>
                <w:sz w:val="20"/>
              </w:rPr>
              <w:t>(37,333)</w:t>
            </w:r>
          </w:p>
        </w:tc>
        <w:tc>
          <w:tcPr>
            <w:tcW w:w="1365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451"/>
              <w:jc w:val="left"/>
              <w:rPr>
                <w:sz w:val="20"/>
              </w:rPr>
            </w:pPr>
            <w:r>
              <w:rPr>
                <w:sz w:val="20"/>
              </w:rPr>
              <w:t>(34,595)</w:t>
            </w:r>
          </w:p>
        </w:tc>
        <w:tc>
          <w:tcPr>
            <w:tcW w:w="1717" w:type="dxa"/>
            <w:tcBorders>
              <w:top w:val="single" w:sz="8" w:space="0" w:color="000000"/>
            </w:tcBorders>
          </w:tcPr>
          <w:p>
            <w:pPr>
              <w:pStyle w:val="TableParagraph"/>
              <w:ind w:right="415"/>
              <w:rPr>
                <w:sz w:val="20"/>
              </w:rPr>
            </w:pPr>
            <w:r>
              <w:rPr>
                <w:sz w:val="20"/>
              </w:rPr>
              <w:t>(2,738)</w:t>
            </w:r>
          </w:p>
        </w:tc>
        <w:tc>
          <w:tcPr>
            <w:tcW w:w="964" w:type="dxa"/>
          </w:tcPr>
          <w:p>
            <w:pPr>
              <w:pStyle w:val="TableParagraph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(8)</w:t>
            </w:r>
          </w:p>
        </w:tc>
      </w:tr>
      <w:tr>
        <w:trPr>
          <w:trHeight w:val="270" w:hRule="atLeast"/>
        </w:trPr>
        <w:tc>
          <w:tcPr>
            <w:tcW w:w="3960" w:type="dxa"/>
            <w:shd w:val="clear" w:color="auto" w:fill="CCEDFF"/>
          </w:tcPr>
          <w:p>
            <w:pPr>
              <w:pStyle w:val="TableParagraph"/>
              <w:spacing w:before="10"/>
              <w:ind w:right="56"/>
              <w:rPr>
                <w:sz w:val="20"/>
              </w:rPr>
            </w:pPr>
            <w:r>
              <w:rPr>
                <w:sz w:val="20"/>
              </w:rPr>
              <w:t>Interest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expense</w:t>
            </w:r>
            <w:r>
              <w:rPr>
                <w:spacing w:val="7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</w:p>
        </w:tc>
        <w:tc>
          <w:tcPr>
            <w:tcW w:w="1354" w:type="dxa"/>
            <w:shd w:val="clear" w:color="auto" w:fill="CCEDFF"/>
          </w:tcPr>
          <w:p>
            <w:pPr>
              <w:pStyle w:val="TableParagraph"/>
              <w:spacing w:before="4"/>
              <w:ind w:left="540"/>
              <w:jc w:val="left"/>
              <w:rPr>
                <w:sz w:val="20"/>
              </w:rPr>
            </w:pPr>
            <w:r>
              <w:rPr>
                <w:sz w:val="20"/>
              </w:rPr>
              <w:t>(4,370)</w:t>
            </w:r>
          </w:p>
        </w:tc>
        <w:tc>
          <w:tcPr>
            <w:tcW w:w="1365" w:type="dxa"/>
            <w:shd w:val="clear" w:color="auto" w:fill="CCEDFF"/>
          </w:tcPr>
          <w:p>
            <w:pPr>
              <w:pStyle w:val="TableParagraph"/>
              <w:spacing w:before="4"/>
              <w:ind w:left="551"/>
              <w:jc w:val="left"/>
              <w:rPr>
                <w:sz w:val="20"/>
              </w:rPr>
            </w:pPr>
            <w:r>
              <w:rPr>
                <w:sz w:val="20"/>
              </w:rPr>
              <w:t>(3,490)</w:t>
            </w:r>
          </w:p>
        </w:tc>
        <w:tc>
          <w:tcPr>
            <w:tcW w:w="1717" w:type="dxa"/>
            <w:shd w:val="clear" w:color="auto" w:fill="CCEDFF"/>
          </w:tcPr>
          <w:p>
            <w:pPr>
              <w:pStyle w:val="TableParagraph"/>
              <w:spacing w:before="10"/>
              <w:ind w:right="415"/>
              <w:rPr>
                <w:sz w:val="20"/>
              </w:rPr>
            </w:pPr>
            <w:r>
              <w:rPr>
                <w:sz w:val="20"/>
              </w:rPr>
              <w:t>(880)</w:t>
            </w:r>
          </w:p>
        </w:tc>
        <w:tc>
          <w:tcPr>
            <w:tcW w:w="964" w:type="dxa"/>
            <w:shd w:val="clear" w:color="auto" w:fill="CCEDFF"/>
          </w:tcPr>
          <w:p>
            <w:pPr>
              <w:pStyle w:val="TableParagraph"/>
              <w:spacing w:before="10"/>
              <w:ind w:left="449"/>
              <w:jc w:val="left"/>
              <w:rPr>
                <w:sz w:val="20"/>
              </w:rPr>
            </w:pPr>
            <w:r>
              <w:rPr>
                <w:sz w:val="20"/>
              </w:rPr>
              <w:t>(25)</w:t>
            </w:r>
          </w:p>
        </w:tc>
      </w:tr>
      <w:tr>
        <w:trPr>
          <w:trHeight w:val="260" w:hRule="atLeast"/>
        </w:trPr>
        <w:tc>
          <w:tcPr>
            <w:tcW w:w="3960" w:type="dxa"/>
          </w:tcPr>
          <w:p>
            <w:pPr>
              <w:pStyle w:val="TableParagraph"/>
              <w:spacing w:line="230" w:lineRule="exact" w:before="10"/>
              <w:ind w:right="54"/>
              <w:rPr>
                <w:sz w:val="20"/>
              </w:rPr>
            </w:pPr>
            <w:r>
              <w:rPr>
                <w:sz w:val="20"/>
              </w:rPr>
              <w:t>Interest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income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(expense),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net</w:t>
            </w:r>
            <w:r>
              <w:rPr>
                <w:spacing w:val="4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2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</w:p>
        </w:tc>
        <w:tc>
          <w:tcPr>
            <w:tcW w:w="13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3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767"/>
              <w:jc w:val="left"/>
              <w:rPr>
                <w:sz w:val="20"/>
              </w:rPr>
            </w:pPr>
            <w:r>
              <w:rPr>
                <w:sz w:val="20"/>
              </w:rPr>
              <w:t>344</w:t>
            </w:r>
          </w:p>
        </w:tc>
        <w:tc>
          <w:tcPr>
            <w:tcW w:w="171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10"/>
              <w:ind w:right="415"/>
              <w:rPr>
                <w:sz w:val="20"/>
              </w:rPr>
            </w:pPr>
            <w:r>
              <w:rPr>
                <w:sz w:val="20"/>
              </w:rPr>
              <w:t>(146)</w:t>
            </w:r>
          </w:p>
        </w:tc>
        <w:tc>
          <w:tcPr>
            <w:tcW w:w="964" w:type="dxa"/>
          </w:tcPr>
          <w:p>
            <w:pPr>
              <w:pStyle w:val="TableParagraph"/>
              <w:spacing w:line="230" w:lineRule="exact" w:before="10"/>
              <w:ind w:left="449"/>
              <w:jc w:val="left"/>
              <w:rPr>
                <w:sz w:val="20"/>
              </w:rPr>
            </w:pPr>
            <w:r>
              <w:rPr>
                <w:sz w:val="20"/>
              </w:rPr>
              <w:t>(42)</w:t>
            </w:r>
          </w:p>
        </w:tc>
      </w:tr>
      <w:tr>
        <w:trPr>
          <w:trHeight w:val="260" w:hRule="atLeast"/>
        </w:trPr>
        <w:tc>
          <w:tcPr>
            <w:tcW w:w="3960" w:type="dxa"/>
            <w:shd w:val="clear" w:color="auto" w:fill="CCEDFF"/>
          </w:tcPr>
          <w:p>
            <w:pPr>
              <w:pStyle w:val="TableParagraph"/>
              <w:ind w:right="56"/>
              <w:rPr>
                <w:sz w:val="20"/>
              </w:rPr>
            </w:pPr>
            <w:r>
              <w:rPr>
                <w:sz w:val="20"/>
              </w:rPr>
              <w:t>Net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loss</w:t>
            </w:r>
            <w:r>
              <w:rPr>
                <w:spacing w:val="10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</w:p>
        </w:tc>
        <w:tc>
          <w:tcPr>
            <w:tcW w:w="1354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440" w:val="left" w:leader="none"/>
              </w:tabs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$</w:t>
              <w:tab/>
              <w:t>(41,505)</w:t>
            </w:r>
          </w:p>
        </w:tc>
        <w:tc>
          <w:tcPr>
            <w:tcW w:w="1365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451" w:val="left" w:leader="none"/>
              </w:tabs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$</w:t>
              <w:tab/>
              <w:t>(37,741)</w:t>
            </w:r>
          </w:p>
        </w:tc>
        <w:tc>
          <w:tcPr>
            <w:tcW w:w="1717" w:type="dxa"/>
            <w:tcBorders>
              <w:top w:val="single" w:sz="8" w:space="0" w:color="000000"/>
            </w:tcBorders>
            <w:shd w:val="clear" w:color="auto" w:fill="CCEDFF"/>
          </w:tcPr>
          <w:p>
            <w:pPr>
              <w:pStyle w:val="TableParagraph"/>
              <w:tabs>
                <w:tab w:pos="717" w:val="left" w:leader="none"/>
              </w:tabs>
              <w:ind w:left="63"/>
              <w:jc w:val="left"/>
              <w:rPr>
                <w:sz w:val="20"/>
              </w:rPr>
            </w:pPr>
            <w:r>
              <w:rPr>
                <w:sz w:val="20"/>
              </w:rPr>
              <w:t>$</w:t>
              <w:tab/>
              <w:t>(3,764)</w:t>
            </w:r>
          </w:p>
        </w:tc>
        <w:tc>
          <w:tcPr>
            <w:tcW w:w="964" w:type="dxa"/>
            <w:shd w:val="clear" w:color="auto" w:fill="CCEDFF"/>
          </w:tcPr>
          <w:p>
            <w:pPr>
              <w:pStyle w:val="TableParagraph"/>
              <w:ind w:left="449"/>
              <w:jc w:val="left"/>
              <w:rPr>
                <w:sz w:val="20"/>
              </w:rPr>
            </w:pPr>
            <w:r>
              <w:rPr>
                <w:sz w:val="20"/>
              </w:rPr>
              <w:t>(10)</w:t>
            </w:r>
          </w:p>
        </w:tc>
      </w:tr>
    </w:tbl>
    <w:p>
      <w:pPr>
        <w:pStyle w:val="BodyText"/>
        <w:spacing w:before="0"/>
        <w:ind w:left="0" w:firstLine="0"/>
        <w:rPr>
          <w:b/>
          <w:sz w:val="18"/>
        </w:rPr>
      </w:pPr>
    </w:p>
    <w:p>
      <w:pPr>
        <w:pStyle w:val="BodyText"/>
        <w:spacing w:before="0"/>
        <w:ind w:left="0" w:firstLine="0"/>
        <w:rPr>
          <w:b/>
          <w:sz w:val="18"/>
        </w:rPr>
      </w:pPr>
    </w:p>
    <w:p>
      <w:pPr>
        <w:pStyle w:val="BodyText"/>
        <w:spacing w:before="4"/>
        <w:ind w:left="0" w:firstLine="0"/>
        <w:rPr>
          <w:b/>
        </w:rPr>
      </w:pPr>
    </w:p>
    <w:p>
      <w:pPr>
        <w:pStyle w:val="Heading3"/>
        <w:spacing w:before="0"/>
        <w:rPr>
          <w:i/>
        </w:rPr>
      </w:pPr>
      <w:r>
        <w:rPr/>
        <w:pict>
          <v:shape style="position:absolute;margin-left:270pt;margin-top:-33.434082pt;width:201.75pt;height:2pt;mso-position-horizontal-relative:page;mso-position-vertical-relative:paragraph;z-index:15744512" id="docshape91" coordorigin="5400,-669" coordsize="4035,40" path="m5400,-669l6705,-669m5400,-629l6705,-629m6765,-669l8070,-669m6765,-629l8070,-629m8130,-669l9435,-669m8130,-629l9435,-629e" filled="false" stroked="true" strokeweight="1pt" strokecolor="#000000">
            <v:path arrowok="t"/>
            <v:stroke dashstyle="solid"/>
            <w10:wrap type="none"/>
          </v:shape>
        </w:pict>
      </w:r>
      <w:r>
        <w:rPr>
          <w:i/>
        </w:rPr>
        <w:t>Comparison</w:t>
      </w:r>
      <w:r>
        <w:rPr>
          <w:i/>
          <w:spacing w:val="-4"/>
        </w:rPr>
        <w:t> </w:t>
      </w:r>
      <w:r>
        <w:rPr>
          <w:i/>
        </w:rPr>
        <w:t>of</w:t>
      </w:r>
      <w:r>
        <w:rPr>
          <w:i/>
          <w:spacing w:val="-2"/>
        </w:rPr>
        <w:t> </w:t>
      </w:r>
      <w:r>
        <w:rPr>
          <w:i/>
        </w:rPr>
        <w:t>Three</w:t>
      </w:r>
      <w:r>
        <w:rPr>
          <w:i/>
          <w:spacing w:val="-3"/>
        </w:rPr>
        <w:t> </w:t>
      </w:r>
      <w:r>
        <w:rPr>
          <w:i/>
        </w:rPr>
        <w:t>and</w:t>
      </w:r>
      <w:r>
        <w:rPr>
          <w:i/>
          <w:spacing w:val="-2"/>
        </w:rPr>
        <w:t> </w:t>
      </w:r>
      <w:r>
        <w:rPr>
          <w:i/>
        </w:rPr>
        <w:t>Nine</w:t>
      </w:r>
      <w:r>
        <w:rPr>
          <w:i/>
          <w:spacing w:val="-3"/>
        </w:rPr>
        <w:t> </w:t>
      </w:r>
      <w:r>
        <w:rPr>
          <w:i/>
        </w:rPr>
        <w:t>Months</w:t>
      </w:r>
      <w:r>
        <w:rPr>
          <w:i/>
          <w:spacing w:val="-4"/>
        </w:rPr>
        <w:t> </w:t>
      </w:r>
      <w:r>
        <w:rPr>
          <w:i/>
        </w:rPr>
        <w:t>Ended</w:t>
      </w:r>
      <w:r>
        <w:rPr>
          <w:i/>
          <w:spacing w:val="-2"/>
        </w:rPr>
        <w:t> </w:t>
      </w:r>
      <w:r>
        <w:rPr>
          <w:i/>
        </w:rPr>
        <w:t>September</w:t>
      </w:r>
      <w:r>
        <w:rPr>
          <w:i/>
          <w:spacing w:val="-3"/>
        </w:rPr>
        <w:t> </w:t>
      </w:r>
      <w:r>
        <w:rPr>
          <w:i/>
        </w:rPr>
        <w:t>30,</w:t>
      </w:r>
      <w:r>
        <w:rPr>
          <w:i/>
          <w:spacing w:val="-2"/>
        </w:rPr>
        <w:t> </w:t>
      </w:r>
      <w:r>
        <w:rPr>
          <w:i/>
        </w:rPr>
        <w:t>2021</w:t>
      </w:r>
      <w:r>
        <w:rPr>
          <w:i/>
          <w:spacing w:val="-2"/>
        </w:rPr>
        <w:t> </w:t>
      </w:r>
      <w:r>
        <w:rPr>
          <w:i/>
        </w:rPr>
        <w:t>and</w:t>
      </w:r>
      <w:r>
        <w:rPr>
          <w:i/>
          <w:spacing w:val="-3"/>
        </w:rPr>
        <w:t> </w:t>
      </w:r>
      <w:r>
        <w:rPr>
          <w:i/>
        </w:rPr>
        <w:t>2020</w:t>
      </w:r>
    </w:p>
    <w:p>
      <w:pPr>
        <w:spacing w:after="0"/>
        <w:sectPr>
          <w:pgSz w:w="12240" w:h="15840"/>
          <w:pgMar w:header="0" w:footer="741" w:top="1320" w:bottom="940" w:left="1340" w:right="1320"/>
        </w:sectPr>
      </w:pPr>
    </w:p>
    <w:p>
      <w:pPr>
        <w:spacing w:before="72"/>
        <w:ind w:left="460" w:right="0" w:firstLine="0"/>
        <w:jc w:val="left"/>
        <w:rPr>
          <w:i/>
          <w:sz w:val="20"/>
        </w:rPr>
      </w:pPr>
      <w:r>
        <w:rPr>
          <w:i/>
          <w:sz w:val="20"/>
        </w:rPr>
        <w:t>Revenue</w:t>
      </w:r>
    </w:p>
    <w:p>
      <w:pPr>
        <w:spacing w:line="172" w:lineRule="exact" w:before="89"/>
        <w:ind w:left="1211" w:right="286" w:firstLine="0"/>
        <w:jc w:val="center"/>
        <w:rPr>
          <w:b/>
          <w:sz w:val="16"/>
        </w:rPr>
      </w:pPr>
      <w:r>
        <w:rPr>
          <w:b/>
          <w:sz w:val="16"/>
        </w:rPr>
        <w:t>Three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Months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Ended</w:t>
      </w:r>
    </w:p>
    <w:p>
      <w:pPr>
        <w:tabs>
          <w:tab w:pos="6100" w:val="left" w:leader="none"/>
        </w:tabs>
        <w:spacing w:line="172" w:lineRule="exact" w:before="0" w:after="30"/>
        <w:ind w:left="3286" w:right="0" w:firstLine="0"/>
        <w:jc w:val="center"/>
        <w:rPr>
          <w:b/>
          <w:sz w:val="16"/>
        </w:rPr>
      </w:pPr>
      <w:r>
        <w:rPr>
          <w:b/>
          <w:sz w:val="16"/>
        </w:rPr>
        <w:t>September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30,</w:t>
        <w:tab/>
        <w:t>Change</w:t>
      </w: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0"/>
        <w:gridCol w:w="1321"/>
        <w:gridCol w:w="1080"/>
        <w:gridCol w:w="1625"/>
        <w:gridCol w:w="1090"/>
      </w:tblGrid>
      <w:tr>
        <w:trPr>
          <w:trHeight w:val="220" w:hRule="atLeast"/>
        </w:trPr>
        <w:tc>
          <w:tcPr>
            <w:tcW w:w="5281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line="184" w:lineRule="exact" w:before="16"/>
              <w:ind w:right="506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4" w:lineRule="exact" w:before="16"/>
              <w:ind w:left="374" w:right="3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</w:p>
        </w:tc>
        <w:tc>
          <w:tcPr>
            <w:tcW w:w="16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4" w:lineRule="exact" w:before="16"/>
              <w:ind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</w:p>
        </w:tc>
        <w:tc>
          <w:tcPr>
            <w:tcW w:w="109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4" w:lineRule="exact" w:before="16"/>
              <w:ind w:left="3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</w:tr>
      <w:tr>
        <w:trPr>
          <w:trHeight w:val="230" w:hRule="atLeast"/>
        </w:trPr>
        <w:tc>
          <w:tcPr>
            <w:tcW w:w="9076" w:type="dxa"/>
            <w:gridSpan w:val="5"/>
          </w:tcPr>
          <w:p>
            <w:pPr>
              <w:pStyle w:val="TableParagraph"/>
              <w:spacing w:before="16"/>
              <w:ind w:left="53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(in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thousands,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except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percentages)</w:t>
            </w:r>
          </w:p>
        </w:tc>
      </w:tr>
      <w:tr>
        <w:trPr>
          <w:trHeight w:val="270" w:hRule="atLeast"/>
        </w:trPr>
        <w:tc>
          <w:tcPr>
            <w:tcW w:w="3960" w:type="dxa"/>
            <w:shd w:val="clear" w:color="auto" w:fill="CCEDFF"/>
          </w:tcPr>
          <w:p>
            <w:pPr>
              <w:pStyle w:val="TableParagraph"/>
              <w:spacing w:before="10"/>
              <w:ind w:left="35" w:right="35"/>
              <w:jc w:val="center"/>
              <w:rPr>
                <w:sz w:val="20"/>
              </w:rPr>
            </w:pPr>
            <w:r>
              <w:rPr>
                <w:sz w:val="20"/>
              </w:rPr>
              <w:t>System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 rentals</w:t>
            </w:r>
            <w:r>
              <w:rPr>
                <w:spacing w:val="5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</w:p>
        </w:tc>
        <w:tc>
          <w:tcPr>
            <w:tcW w:w="1321" w:type="dxa"/>
            <w:shd w:val="clear" w:color="auto" w:fill="CCEDFF"/>
          </w:tcPr>
          <w:p>
            <w:pPr>
              <w:pStyle w:val="TableParagraph"/>
              <w:tabs>
                <w:tab w:pos="720" w:val="left" w:leader="none"/>
              </w:tabs>
              <w:spacing w:before="10"/>
              <w:ind w:right="95"/>
              <w:rPr>
                <w:sz w:val="20"/>
              </w:rPr>
            </w:pPr>
            <w:r>
              <w:rPr>
                <w:sz w:val="20"/>
              </w:rPr>
              <w:t>$</w:t>
              <w:tab/>
              <w:t>5,519</w:t>
            </w:r>
          </w:p>
        </w:tc>
        <w:tc>
          <w:tcPr>
            <w:tcW w:w="1080" w:type="dxa"/>
            <w:shd w:val="clear" w:color="auto" w:fill="CCEDFF"/>
          </w:tcPr>
          <w:p>
            <w:pPr>
              <w:pStyle w:val="TableParagraph"/>
              <w:tabs>
                <w:tab w:pos="435" w:val="left" w:leader="none"/>
              </w:tabs>
              <w:spacing w:before="10"/>
              <w:ind w:right="95"/>
              <w:rPr>
                <w:sz w:val="20"/>
              </w:rPr>
            </w:pPr>
            <w:r>
              <w:rPr>
                <w:sz w:val="20"/>
              </w:rPr>
              <w:t>$</w:t>
              <w:tab/>
              <w:t>1,015</w:t>
            </w:r>
          </w:p>
        </w:tc>
        <w:tc>
          <w:tcPr>
            <w:tcW w:w="1625" w:type="dxa"/>
            <w:shd w:val="clear" w:color="auto" w:fill="CCEDFF"/>
          </w:tcPr>
          <w:p>
            <w:pPr>
              <w:pStyle w:val="TableParagraph"/>
              <w:tabs>
                <w:tab w:pos="720" w:val="left" w:leader="none"/>
              </w:tabs>
              <w:spacing w:before="10"/>
              <w:ind w:right="355"/>
              <w:rPr>
                <w:sz w:val="20"/>
              </w:rPr>
            </w:pPr>
            <w:r>
              <w:rPr>
                <w:sz w:val="20"/>
              </w:rPr>
              <w:t>$</w:t>
              <w:tab/>
              <w:t>4,504</w:t>
            </w:r>
          </w:p>
        </w:tc>
        <w:tc>
          <w:tcPr>
            <w:tcW w:w="1090" w:type="dxa"/>
            <w:shd w:val="clear" w:color="auto" w:fill="CCEDFF"/>
          </w:tcPr>
          <w:p>
            <w:pPr>
              <w:pStyle w:val="TableParagraph"/>
              <w:spacing w:before="10"/>
              <w:ind w:left="540"/>
              <w:jc w:val="left"/>
              <w:rPr>
                <w:sz w:val="20"/>
              </w:rPr>
            </w:pPr>
            <w:r>
              <w:rPr>
                <w:sz w:val="20"/>
              </w:rPr>
              <w:t>444%</w:t>
            </w:r>
          </w:p>
        </w:tc>
      </w:tr>
      <w:tr>
        <w:trPr>
          <w:trHeight w:val="270" w:hRule="atLeast"/>
        </w:trPr>
        <w:tc>
          <w:tcPr>
            <w:tcW w:w="3960" w:type="dxa"/>
          </w:tcPr>
          <w:p>
            <w:pPr>
              <w:pStyle w:val="TableParagraph"/>
              <w:spacing w:before="10"/>
              <w:ind w:left="34" w:right="35"/>
              <w:jc w:val="center"/>
              <w:rPr>
                <w:sz w:val="20"/>
              </w:rPr>
            </w:pPr>
            <w:r>
              <w:rPr>
                <w:sz w:val="20"/>
              </w:rPr>
              <w:t>Handpieces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consumables</w:t>
            </w:r>
            <w:r>
              <w:rPr>
                <w:spacing w:val="35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</w:p>
        </w:tc>
        <w:tc>
          <w:tcPr>
            <w:tcW w:w="1321" w:type="dxa"/>
          </w:tcPr>
          <w:p>
            <w:pPr>
              <w:pStyle w:val="TableParagraph"/>
              <w:spacing w:before="10"/>
              <w:ind w:right="95"/>
              <w:rPr>
                <w:sz w:val="20"/>
              </w:rPr>
            </w:pPr>
            <w:r>
              <w:rPr>
                <w:sz w:val="20"/>
              </w:rPr>
              <w:t>2,850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"/>
              <w:ind w:right="95"/>
              <w:rPr>
                <w:sz w:val="20"/>
              </w:rPr>
            </w:pPr>
            <w:r>
              <w:rPr>
                <w:sz w:val="20"/>
              </w:rPr>
              <w:t>1,047</w:t>
            </w:r>
          </w:p>
        </w:tc>
        <w:tc>
          <w:tcPr>
            <w:tcW w:w="1625" w:type="dxa"/>
          </w:tcPr>
          <w:p>
            <w:pPr>
              <w:pStyle w:val="TableParagraph"/>
              <w:spacing w:before="10"/>
              <w:ind w:right="355"/>
              <w:rPr>
                <w:sz w:val="20"/>
              </w:rPr>
            </w:pPr>
            <w:r>
              <w:rPr>
                <w:sz w:val="20"/>
              </w:rPr>
              <w:t>1,803</w:t>
            </w:r>
          </w:p>
        </w:tc>
        <w:tc>
          <w:tcPr>
            <w:tcW w:w="1090" w:type="dxa"/>
          </w:tcPr>
          <w:p>
            <w:pPr>
              <w:pStyle w:val="TableParagraph"/>
              <w:spacing w:before="10"/>
              <w:ind w:left="540"/>
              <w:jc w:val="left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3960" w:type="dxa"/>
            <w:shd w:val="clear" w:color="auto" w:fill="CCEDFF"/>
          </w:tcPr>
          <w:p>
            <w:pPr>
              <w:pStyle w:val="TableParagraph"/>
              <w:spacing w:line="230" w:lineRule="exact" w:before="10"/>
              <w:ind w:left="32" w:right="35"/>
              <w:jc w:val="center"/>
              <w:rPr>
                <w:sz w:val="20"/>
              </w:rPr>
            </w:pPr>
            <w:r>
              <w:rPr>
                <w:sz w:val="20"/>
              </w:rPr>
              <w:t>Service</w:t>
            </w:r>
            <w:r>
              <w:rPr>
                <w:spacing w:val="49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</w:t>
            </w:r>
          </w:p>
        </w:tc>
        <w:tc>
          <w:tcPr>
            <w:tcW w:w="1321" w:type="dxa"/>
            <w:tcBorders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230" w:lineRule="exact" w:before="10"/>
              <w:ind w:right="95"/>
              <w:rPr>
                <w:sz w:val="20"/>
              </w:rPr>
            </w:pPr>
            <w:r>
              <w:rPr>
                <w:sz w:val="20"/>
              </w:rPr>
              <w:t>299</w:t>
            </w:r>
          </w:p>
        </w:tc>
        <w:tc>
          <w:tcPr>
            <w:tcW w:w="1080" w:type="dxa"/>
            <w:tcBorders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230" w:lineRule="exact" w:before="10"/>
              <w:ind w:right="95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625" w:type="dxa"/>
            <w:tcBorders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230" w:lineRule="exact" w:before="10"/>
              <w:ind w:right="355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090" w:type="dxa"/>
            <w:shd w:val="clear" w:color="auto" w:fill="CCEDFF"/>
          </w:tcPr>
          <w:p>
            <w:pPr>
              <w:pStyle w:val="TableParagraph"/>
              <w:spacing w:line="230" w:lineRule="exact" w:before="10"/>
              <w:ind w:left="540"/>
              <w:jc w:val="left"/>
              <w:rPr>
                <w:sz w:val="20"/>
              </w:rPr>
            </w:pPr>
            <w:r>
              <w:rPr>
                <w:sz w:val="20"/>
              </w:rPr>
              <w:t>564</w:t>
            </w:r>
          </w:p>
        </w:tc>
      </w:tr>
      <w:tr>
        <w:trPr>
          <w:trHeight w:val="230" w:hRule="atLeast"/>
        </w:trPr>
        <w:tc>
          <w:tcPr>
            <w:tcW w:w="3960" w:type="dxa"/>
          </w:tcPr>
          <w:p>
            <w:pPr>
              <w:pStyle w:val="TableParagraph"/>
              <w:spacing w:line="210" w:lineRule="exact"/>
              <w:ind w:left="33" w:right="35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revenue</w:t>
            </w:r>
            <w:r>
              <w:rPr>
                <w:spacing w:val="46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</w:p>
        </w:tc>
        <w:tc>
          <w:tcPr>
            <w:tcW w:w="1321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720" w:val="left" w:leader="none"/>
              </w:tabs>
              <w:spacing w:line="210" w:lineRule="exact"/>
              <w:ind w:right="95"/>
              <w:rPr>
                <w:sz w:val="20"/>
              </w:rPr>
            </w:pPr>
            <w:r>
              <w:rPr>
                <w:sz w:val="20"/>
              </w:rPr>
              <w:t>$</w:t>
              <w:tab/>
              <w:t>8,668</w:t>
            </w:r>
          </w:p>
        </w:tc>
        <w:tc>
          <w:tcPr>
            <w:tcW w:w="1080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435" w:val="left" w:leader="none"/>
              </w:tabs>
              <w:spacing w:line="210" w:lineRule="exact"/>
              <w:ind w:right="95"/>
              <w:rPr>
                <w:sz w:val="20"/>
              </w:rPr>
            </w:pPr>
            <w:r>
              <w:rPr>
                <w:sz w:val="20"/>
              </w:rPr>
              <w:t>$</w:t>
              <w:tab/>
              <w:t>2,107</w:t>
            </w:r>
          </w:p>
        </w:tc>
        <w:tc>
          <w:tcPr>
            <w:tcW w:w="1625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720" w:val="left" w:leader="none"/>
              </w:tabs>
              <w:spacing w:line="210" w:lineRule="exact"/>
              <w:ind w:right="355"/>
              <w:rPr>
                <w:sz w:val="20"/>
              </w:rPr>
            </w:pPr>
            <w:r>
              <w:rPr>
                <w:sz w:val="20"/>
              </w:rPr>
              <w:t>$</w:t>
              <w:tab/>
              <w:t>6,561</w:t>
            </w:r>
          </w:p>
        </w:tc>
        <w:tc>
          <w:tcPr>
            <w:tcW w:w="1090" w:type="dxa"/>
          </w:tcPr>
          <w:p>
            <w:pPr>
              <w:pStyle w:val="TableParagraph"/>
              <w:spacing w:line="210" w:lineRule="exact"/>
              <w:ind w:left="540"/>
              <w:jc w:val="left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</w:tr>
    </w:tbl>
    <w:p>
      <w:pPr>
        <w:pStyle w:val="BodyText"/>
        <w:spacing w:before="8"/>
        <w:ind w:left="0" w:firstLine="0"/>
        <w:rPr>
          <w:b/>
        </w:rPr>
      </w:pPr>
    </w:p>
    <w:p>
      <w:pPr>
        <w:spacing w:line="172" w:lineRule="exact" w:before="93"/>
        <w:ind w:left="1211" w:right="286" w:firstLine="0"/>
        <w:jc w:val="center"/>
        <w:rPr>
          <w:b/>
          <w:sz w:val="16"/>
        </w:rPr>
      </w:pPr>
      <w:r>
        <w:rPr/>
        <w:pict>
          <v:shape style="position:absolute;margin-left:270pt;margin-top:-11.91128pt;width:187.5pt;height:2pt;mso-position-horizontal-relative:page;mso-position-vertical-relative:paragraph;z-index:15745536" id="docshape92" coordorigin="5400,-238" coordsize="3750,40" path="m5400,-238l6705,-238m5400,-198l6705,-198m6765,-238l7785,-238m6765,-198l7785,-198m7845,-238l9150,-238m7845,-198l9150,-198e" filled="false" stroked="true" strokeweight="1pt" strokecolor="#000000">
            <v:path arrowok="t"/>
            <v:stroke dashstyle="solid"/>
            <w10:wrap type="none"/>
          </v:shape>
        </w:pict>
      </w:r>
      <w:r>
        <w:rPr>
          <w:b/>
          <w:sz w:val="16"/>
        </w:rPr>
        <w:t>Nine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Months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Ended</w:t>
      </w:r>
    </w:p>
    <w:p>
      <w:pPr>
        <w:tabs>
          <w:tab w:pos="6100" w:val="left" w:leader="none"/>
        </w:tabs>
        <w:spacing w:line="172" w:lineRule="exact" w:before="0" w:after="30"/>
        <w:ind w:left="3286" w:right="0" w:firstLine="0"/>
        <w:jc w:val="center"/>
        <w:rPr>
          <w:b/>
          <w:sz w:val="16"/>
        </w:rPr>
      </w:pPr>
      <w:r>
        <w:rPr>
          <w:b/>
          <w:sz w:val="16"/>
        </w:rPr>
        <w:t>September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30,</w:t>
        <w:tab/>
        <w:t>Change</w:t>
      </w: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0"/>
        <w:gridCol w:w="1321"/>
        <w:gridCol w:w="1080"/>
        <w:gridCol w:w="1625"/>
        <w:gridCol w:w="1090"/>
      </w:tblGrid>
      <w:tr>
        <w:trPr>
          <w:trHeight w:val="220" w:hRule="atLeast"/>
        </w:trPr>
        <w:tc>
          <w:tcPr>
            <w:tcW w:w="5281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line="184" w:lineRule="exact" w:before="16"/>
              <w:ind w:right="506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4" w:lineRule="exact" w:before="16"/>
              <w:ind w:left="374" w:right="3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</w:p>
        </w:tc>
        <w:tc>
          <w:tcPr>
            <w:tcW w:w="16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4" w:lineRule="exact" w:before="16"/>
              <w:ind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</w:p>
        </w:tc>
        <w:tc>
          <w:tcPr>
            <w:tcW w:w="109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4" w:lineRule="exact" w:before="16"/>
              <w:ind w:left="3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</w:tr>
      <w:tr>
        <w:trPr>
          <w:trHeight w:val="230" w:hRule="atLeast"/>
        </w:trPr>
        <w:tc>
          <w:tcPr>
            <w:tcW w:w="9076" w:type="dxa"/>
            <w:gridSpan w:val="5"/>
          </w:tcPr>
          <w:p>
            <w:pPr>
              <w:pStyle w:val="TableParagraph"/>
              <w:spacing w:before="16"/>
              <w:ind w:left="53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(in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thousands,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except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percentages)</w:t>
            </w:r>
          </w:p>
        </w:tc>
      </w:tr>
      <w:tr>
        <w:trPr>
          <w:trHeight w:val="270" w:hRule="atLeast"/>
        </w:trPr>
        <w:tc>
          <w:tcPr>
            <w:tcW w:w="3960" w:type="dxa"/>
            <w:shd w:val="clear" w:color="auto" w:fill="CCEDFF"/>
          </w:tcPr>
          <w:p>
            <w:pPr>
              <w:pStyle w:val="TableParagraph"/>
              <w:spacing w:before="10"/>
              <w:ind w:left="35" w:right="35"/>
              <w:jc w:val="center"/>
              <w:rPr>
                <w:sz w:val="20"/>
              </w:rPr>
            </w:pPr>
            <w:r>
              <w:rPr>
                <w:sz w:val="20"/>
              </w:rPr>
              <w:t>System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 rentals</w:t>
            </w:r>
            <w:r>
              <w:rPr>
                <w:spacing w:val="5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</w:p>
        </w:tc>
        <w:tc>
          <w:tcPr>
            <w:tcW w:w="1321" w:type="dxa"/>
            <w:shd w:val="clear" w:color="auto" w:fill="CCEDFF"/>
          </w:tcPr>
          <w:p>
            <w:pPr>
              <w:pStyle w:val="TableParagraph"/>
              <w:tabs>
                <w:tab w:pos="620" w:val="left" w:leader="none"/>
              </w:tabs>
              <w:spacing w:before="10"/>
              <w:ind w:right="95"/>
              <w:rPr>
                <w:sz w:val="20"/>
              </w:rPr>
            </w:pPr>
            <w:r>
              <w:rPr>
                <w:sz w:val="20"/>
              </w:rPr>
              <w:t>$</w:t>
              <w:tab/>
              <w:t>16,093</w:t>
            </w:r>
          </w:p>
        </w:tc>
        <w:tc>
          <w:tcPr>
            <w:tcW w:w="1080" w:type="dxa"/>
            <w:shd w:val="clear" w:color="auto" w:fill="CCEDFF"/>
          </w:tcPr>
          <w:p>
            <w:pPr>
              <w:pStyle w:val="TableParagraph"/>
              <w:tabs>
                <w:tab w:pos="435" w:val="left" w:leader="none"/>
              </w:tabs>
              <w:spacing w:before="10"/>
              <w:ind w:right="95"/>
              <w:rPr>
                <w:sz w:val="20"/>
              </w:rPr>
            </w:pPr>
            <w:r>
              <w:rPr>
                <w:sz w:val="20"/>
              </w:rPr>
              <w:t>$</w:t>
              <w:tab/>
              <w:t>2,217</w:t>
            </w:r>
          </w:p>
        </w:tc>
        <w:tc>
          <w:tcPr>
            <w:tcW w:w="1625" w:type="dxa"/>
            <w:shd w:val="clear" w:color="auto" w:fill="CCEDFF"/>
          </w:tcPr>
          <w:p>
            <w:pPr>
              <w:pStyle w:val="TableParagraph"/>
              <w:tabs>
                <w:tab w:pos="620" w:val="left" w:leader="none"/>
              </w:tabs>
              <w:spacing w:before="10"/>
              <w:ind w:right="355"/>
              <w:rPr>
                <w:sz w:val="20"/>
              </w:rPr>
            </w:pPr>
            <w:r>
              <w:rPr>
                <w:sz w:val="20"/>
              </w:rPr>
              <w:t>$</w:t>
              <w:tab/>
              <w:t>13,876</w:t>
            </w:r>
          </w:p>
        </w:tc>
        <w:tc>
          <w:tcPr>
            <w:tcW w:w="1090" w:type="dxa"/>
            <w:shd w:val="clear" w:color="auto" w:fill="CCEDFF"/>
          </w:tcPr>
          <w:p>
            <w:pPr>
              <w:pStyle w:val="TableParagraph"/>
              <w:spacing w:before="10"/>
              <w:ind w:left="540"/>
              <w:jc w:val="left"/>
              <w:rPr>
                <w:sz w:val="20"/>
              </w:rPr>
            </w:pPr>
            <w:r>
              <w:rPr>
                <w:sz w:val="20"/>
              </w:rPr>
              <w:t>626%</w:t>
            </w:r>
          </w:p>
        </w:tc>
      </w:tr>
      <w:tr>
        <w:trPr>
          <w:trHeight w:val="270" w:hRule="atLeast"/>
        </w:trPr>
        <w:tc>
          <w:tcPr>
            <w:tcW w:w="3960" w:type="dxa"/>
          </w:tcPr>
          <w:p>
            <w:pPr>
              <w:pStyle w:val="TableParagraph"/>
              <w:spacing w:before="10"/>
              <w:ind w:left="34" w:right="35"/>
              <w:jc w:val="center"/>
              <w:rPr>
                <w:sz w:val="20"/>
              </w:rPr>
            </w:pPr>
            <w:r>
              <w:rPr>
                <w:sz w:val="20"/>
              </w:rPr>
              <w:t>Handpieces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consumables</w:t>
            </w:r>
            <w:r>
              <w:rPr>
                <w:spacing w:val="35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</w:t>
            </w:r>
          </w:p>
        </w:tc>
        <w:tc>
          <w:tcPr>
            <w:tcW w:w="1321" w:type="dxa"/>
          </w:tcPr>
          <w:p>
            <w:pPr>
              <w:pStyle w:val="TableParagraph"/>
              <w:spacing w:before="10"/>
              <w:ind w:right="95"/>
              <w:rPr>
                <w:sz w:val="20"/>
              </w:rPr>
            </w:pPr>
            <w:r>
              <w:rPr>
                <w:sz w:val="20"/>
              </w:rPr>
              <w:t>7,617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"/>
              <w:ind w:right="95"/>
              <w:rPr>
                <w:sz w:val="20"/>
              </w:rPr>
            </w:pPr>
            <w:r>
              <w:rPr>
                <w:sz w:val="20"/>
              </w:rPr>
              <w:t>2,208</w:t>
            </w:r>
          </w:p>
        </w:tc>
        <w:tc>
          <w:tcPr>
            <w:tcW w:w="1625" w:type="dxa"/>
          </w:tcPr>
          <w:p>
            <w:pPr>
              <w:pStyle w:val="TableParagraph"/>
              <w:spacing w:before="10"/>
              <w:ind w:right="355"/>
              <w:rPr>
                <w:sz w:val="20"/>
              </w:rPr>
            </w:pPr>
            <w:r>
              <w:rPr>
                <w:sz w:val="20"/>
              </w:rPr>
              <w:t>5,409</w:t>
            </w:r>
          </w:p>
        </w:tc>
        <w:tc>
          <w:tcPr>
            <w:tcW w:w="1090" w:type="dxa"/>
          </w:tcPr>
          <w:p>
            <w:pPr>
              <w:pStyle w:val="TableParagraph"/>
              <w:spacing w:before="10"/>
              <w:ind w:left="540"/>
              <w:jc w:val="left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</w:tr>
      <w:tr>
        <w:trPr>
          <w:trHeight w:val="260" w:hRule="atLeast"/>
        </w:trPr>
        <w:tc>
          <w:tcPr>
            <w:tcW w:w="3960" w:type="dxa"/>
            <w:shd w:val="clear" w:color="auto" w:fill="CCEDFF"/>
          </w:tcPr>
          <w:p>
            <w:pPr>
              <w:pStyle w:val="TableParagraph"/>
              <w:spacing w:line="230" w:lineRule="exact" w:before="10"/>
              <w:ind w:left="32" w:right="35"/>
              <w:jc w:val="center"/>
              <w:rPr>
                <w:sz w:val="20"/>
              </w:rPr>
            </w:pPr>
            <w:r>
              <w:rPr>
                <w:sz w:val="20"/>
              </w:rPr>
              <w:t>Service</w:t>
            </w:r>
            <w:r>
              <w:rPr>
                <w:spacing w:val="49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 . .</w:t>
            </w:r>
          </w:p>
        </w:tc>
        <w:tc>
          <w:tcPr>
            <w:tcW w:w="1321" w:type="dxa"/>
            <w:tcBorders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230" w:lineRule="exact" w:before="10"/>
              <w:ind w:right="95"/>
              <w:rPr>
                <w:sz w:val="20"/>
              </w:rPr>
            </w:pPr>
            <w:r>
              <w:rPr>
                <w:sz w:val="20"/>
              </w:rPr>
              <w:t>625</w:t>
            </w:r>
          </w:p>
        </w:tc>
        <w:tc>
          <w:tcPr>
            <w:tcW w:w="1080" w:type="dxa"/>
            <w:tcBorders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230" w:lineRule="exact" w:before="10"/>
              <w:ind w:right="95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625" w:type="dxa"/>
            <w:tcBorders>
              <w:bottom w:val="single" w:sz="8" w:space="0" w:color="000000"/>
            </w:tcBorders>
            <w:shd w:val="clear" w:color="auto" w:fill="CCEDFF"/>
          </w:tcPr>
          <w:p>
            <w:pPr>
              <w:pStyle w:val="TableParagraph"/>
              <w:spacing w:line="230" w:lineRule="exact" w:before="10"/>
              <w:ind w:right="355"/>
              <w:rPr>
                <w:sz w:val="20"/>
              </w:rPr>
            </w:pPr>
            <w:r>
              <w:rPr>
                <w:sz w:val="20"/>
              </w:rPr>
              <w:t>554</w:t>
            </w:r>
          </w:p>
        </w:tc>
        <w:tc>
          <w:tcPr>
            <w:tcW w:w="1090" w:type="dxa"/>
            <w:shd w:val="clear" w:color="auto" w:fill="CCEDFF"/>
          </w:tcPr>
          <w:p>
            <w:pPr>
              <w:pStyle w:val="TableParagraph"/>
              <w:spacing w:line="230" w:lineRule="exact" w:before="10"/>
              <w:ind w:left="540"/>
              <w:jc w:val="left"/>
              <w:rPr>
                <w:sz w:val="20"/>
              </w:rPr>
            </w:pPr>
            <w:r>
              <w:rPr>
                <w:sz w:val="20"/>
              </w:rPr>
              <w:t>780</w:t>
            </w:r>
          </w:p>
        </w:tc>
      </w:tr>
      <w:tr>
        <w:trPr>
          <w:trHeight w:val="230" w:hRule="atLeast"/>
        </w:trPr>
        <w:tc>
          <w:tcPr>
            <w:tcW w:w="3960" w:type="dxa"/>
          </w:tcPr>
          <w:p>
            <w:pPr>
              <w:pStyle w:val="TableParagraph"/>
              <w:spacing w:line="210" w:lineRule="exact"/>
              <w:ind w:left="33" w:right="35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revenue</w:t>
            </w:r>
            <w:r>
              <w:rPr>
                <w:spacing w:val="46"/>
                <w:sz w:val="20"/>
              </w:rPr>
              <w:t> </w:t>
            </w:r>
            <w:r>
              <w:rPr>
                <w:color w:val="B3B3B3"/>
                <w:sz w:val="20"/>
              </w:rPr>
              <w:t>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 .</w:t>
            </w:r>
            <w:r>
              <w:rPr>
                <w:color w:val="B3B3B3"/>
                <w:spacing w:val="-1"/>
                <w:sz w:val="20"/>
              </w:rPr>
              <w:t> </w:t>
            </w:r>
            <w:r>
              <w:rPr>
                <w:color w:val="B3B3B3"/>
                <w:sz w:val="20"/>
              </w:rPr>
              <w:t>. . . . .</w:t>
            </w:r>
          </w:p>
        </w:tc>
        <w:tc>
          <w:tcPr>
            <w:tcW w:w="1321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620" w:val="left" w:leader="none"/>
              </w:tabs>
              <w:spacing w:line="210" w:lineRule="exact"/>
              <w:ind w:right="95"/>
              <w:rPr>
                <w:sz w:val="20"/>
              </w:rPr>
            </w:pPr>
            <w:r>
              <w:rPr>
                <w:sz w:val="20"/>
              </w:rPr>
              <w:t>$</w:t>
              <w:tab/>
              <w:t>24,335</w:t>
            </w:r>
          </w:p>
        </w:tc>
        <w:tc>
          <w:tcPr>
            <w:tcW w:w="1080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435" w:val="left" w:leader="none"/>
              </w:tabs>
              <w:spacing w:line="210" w:lineRule="exact"/>
              <w:ind w:right="95"/>
              <w:rPr>
                <w:sz w:val="20"/>
              </w:rPr>
            </w:pPr>
            <w:r>
              <w:rPr>
                <w:sz w:val="20"/>
              </w:rPr>
              <w:t>$</w:t>
              <w:tab/>
              <w:t>4,496</w:t>
            </w:r>
          </w:p>
        </w:tc>
        <w:tc>
          <w:tcPr>
            <w:tcW w:w="1625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620" w:val="left" w:leader="none"/>
              </w:tabs>
              <w:spacing w:line="210" w:lineRule="exact"/>
              <w:ind w:right="355"/>
              <w:rPr>
                <w:sz w:val="20"/>
              </w:rPr>
            </w:pPr>
            <w:r>
              <w:rPr>
                <w:sz w:val="20"/>
              </w:rPr>
              <w:t>$</w:t>
              <w:tab/>
              <w:t>19,839</w:t>
            </w:r>
          </w:p>
        </w:tc>
        <w:tc>
          <w:tcPr>
            <w:tcW w:w="1090" w:type="dxa"/>
          </w:tcPr>
          <w:p>
            <w:pPr>
              <w:pStyle w:val="TableParagraph"/>
              <w:spacing w:line="210" w:lineRule="exact"/>
              <w:ind w:left="540"/>
              <w:jc w:val="left"/>
              <w:rPr>
                <w:sz w:val="20"/>
              </w:rPr>
            </w:pPr>
            <w:r>
              <w:rPr>
                <w:sz w:val="20"/>
              </w:rPr>
              <w:t>441</w:t>
            </w:r>
          </w:p>
        </w:tc>
      </w:tr>
    </w:tbl>
    <w:p>
      <w:pPr>
        <w:pStyle w:val="BodyText"/>
        <w:spacing w:line="60" w:lineRule="exact" w:before="0"/>
        <w:ind w:left="4050" w:firstLine="0"/>
        <w:rPr>
          <w:sz w:val="6"/>
        </w:rPr>
      </w:pPr>
      <w:r>
        <w:rPr>
          <w:position w:val="0"/>
          <w:sz w:val="6"/>
        </w:rPr>
        <w:pict>
          <v:group style="width:187.5pt;height:3pt;mso-position-horizontal-relative:char;mso-position-vertical-relative:line" id="docshapegroup93" coordorigin="0,0" coordsize="3750,60">
            <v:shape style="position:absolute;left:0;top:10;width:3750;height:40" id="docshape94" coordorigin="0,10" coordsize="3750,40" path="m0,10l1305,10m0,50l1305,50m1365,10l2385,10m1365,50l2385,50m2445,10l3750,10m2445,50l3750,50e" filled="false" stroked="true" strokeweight="1pt" strokecolor="#000000">
              <v:path arrowok="t"/>
              <v:stroke dashstyle="solid"/>
            </v:shape>
          </v:group>
        </w:pict>
      </w:r>
      <w:r>
        <w:rPr>
          <w:position w:val="0"/>
          <w:sz w:val="6"/>
        </w:rPr>
      </w:r>
    </w:p>
    <w:p>
      <w:pPr>
        <w:pStyle w:val="BodyText"/>
        <w:spacing w:before="7"/>
        <w:ind w:left="0" w:firstLine="0"/>
        <w:rPr>
          <w:b/>
          <w:sz w:val="16"/>
        </w:rPr>
      </w:pPr>
    </w:p>
    <w:p>
      <w:pPr>
        <w:pStyle w:val="BodyText"/>
        <w:spacing w:line="249" w:lineRule="auto" w:before="1"/>
        <w:ind w:right="167"/>
      </w:pPr>
      <w:r>
        <w:rPr/>
        <w:t>Revenue increased $6.6 million, or 311%, to $8.7 million during the three months ended September 30, 2021,</w:t>
      </w:r>
      <w:r>
        <w:rPr>
          <w:spacing w:val="1"/>
        </w:rPr>
        <w:t> </w:t>
      </w:r>
      <w:r>
        <w:rPr/>
        <w:t>compared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$2.1</w:t>
      </w:r>
      <w:r>
        <w:rPr>
          <w:spacing w:val="-2"/>
        </w:rPr>
        <w:t> </w:t>
      </w:r>
      <w:r>
        <w:rPr/>
        <w:t>million</w:t>
      </w:r>
      <w:r>
        <w:rPr>
          <w:spacing w:val="-2"/>
        </w:rPr>
        <w:t> </w:t>
      </w:r>
      <w:r>
        <w:rPr/>
        <w:t>during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three</w:t>
      </w:r>
      <w:r>
        <w:rPr>
          <w:spacing w:val="-3"/>
        </w:rPr>
        <w:t> </w:t>
      </w:r>
      <w:r>
        <w:rPr/>
        <w:t>months</w:t>
      </w:r>
      <w:r>
        <w:rPr>
          <w:spacing w:val="-3"/>
        </w:rPr>
        <w:t> </w:t>
      </w:r>
      <w:r>
        <w:rPr/>
        <w:t>ended</w:t>
      </w:r>
      <w:r>
        <w:rPr>
          <w:spacing w:val="-2"/>
        </w:rPr>
        <w:t> </w:t>
      </w:r>
      <w:r>
        <w:rPr/>
        <w:t>September</w:t>
      </w:r>
      <w:r>
        <w:rPr>
          <w:spacing w:val="-2"/>
        </w:rPr>
        <w:t> </w:t>
      </w:r>
      <w:r>
        <w:rPr/>
        <w:t>30,</w:t>
      </w:r>
      <w:r>
        <w:rPr>
          <w:spacing w:val="-2"/>
        </w:rPr>
        <w:t> </w:t>
      </w:r>
      <w:r>
        <w:rPr/>
        <w:t>2020,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increased</w:t>
      </w:r>
      <w:r>
        <w:rPr>
          <w:spacing w:val="-2"/>
        </w:rPr>
        <w:t> </w:t>
      </w:r>
      <w:r>
        <w:rPr/>
        <w:t>$19.8</w:t>
      </w:r>
      <w:r>
        <w:rPr>
          <w:spacing w:val="-2"/>
        </w:rPr>
        <w:t> </w:t>
      </w:r>
      <w:r>
        <w:rPr/>
        <w:t>million,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441%,</w:t>
      </w:r>
      <w:r>
        <w:rPr>
          <w:spacing w:val="-47"/>
        </w:rPr>
        <w:t> </w:t>
      </w:r>
      <w:r>
        <w:rPr/>
        <w:t>to $24.3 million during the nine months ended September 30, 2021, compared to $4.5 million during the nine</w:t>
      </w:r>
      <w:r>
        <w:rPr>
          <w:spacing w:val="1"/>
        </w:rPr>
        <w:t> </w:t>
      </w:r>
      <w:r>
        <w:rPr/>
        <w:t>months ended September 30, 2020. The growth in revenue was primarily attributable to an increase of $6.1 million</w:t>
      </w:r>
      <w:r>
        <w:rPr>
          <w:spacing w:val="1"/>
        </w:rPr>
        <w:t> </w:t>
      </w:r>
      <w:r>
        <w:rPr/>
        <w:t>and $17.8 million in the sales volumes of both our AquaBeam Robotic System and our single-use disposable</w:t>
      </w:r>
      <w:r>
        <w:rPr>
          <w:spacing w:val="1"/>
        </w:rPr>
        <w:t> </w:t>
      </w:r>
      <w:r>
        <w:rPr/>
        <w:t>handpieces in the United States for the three and nine months ended September 30, 2021, respectively, resulting</w:t>
      </w:r>
      <w:r>
        <w:rPr>
          <w:spacing w:val="1"/>
        </w:rPr>
        <w:t> </w:t>
      </w:r>
      <w:r>
        <w:rPr/>
        <w:t>from the expansion of insurance coverage and the increase in personnel in our sales and marketing organizations. In</w:t>
      </w:r>
      <w:r>
        <w:rPr>
          <w:spacing w:val="-47"/>
        </w:rPr>
        <w:t> </w:t>
      </w:r>
      <w:r>
        <w:rPr/>
        <w:t>addition, sales of both our AquaBeam Robotic System and our single-use disposable handpieces outside of the</w:t>
      </w:r>
      <w:r>
        <w:rPr>
          <w:spacing w:val="1"/>
        </w:rPr>
        <w:t> </w:t>
      </w:r>
      <w:r>
        <w:rPr/>
        <w:t>United States increased by $0.2 million and $1.5 million in sales volume for the three and nine months ended</w:t>
      </w:r>
      <w:r>
        <w:rPr>
          <w:spacing w:val="1"/>
        </w:rPr>
        <w:t> </w:t>
      </w:r>
      <w:r>
        <w:rPr/>
        <w:t>September</w:t>
      </w:r>
      <w:r>
        <w:rPr>
          <w:spacing w:val="-1"/>
        </w:rPr>
        <w:t> </w:t>
      </w:r>
      <w:r>
        <w:rPr/>
        <w:t>30, 2021, respectively.</w:t>
      </w:r>
    </w:p>
    <w:p>
      <w:pPr>
        <w:spacing w:before="188"/>
        <w:ind w:left="460" w:right="0" w:firstLine="0"/>
        <w:jc w:val="left"/>
        <w:rPr>
          <w:i/>
          <w:sz w:val="20"/>
        </w:rPr>
      </w:pPr>
      <w:r>
        <w:rPr>
          <w:i/>
          <w:sz w:val="20"/>
        </w:rPr>
        <w:t>Cost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Sales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Gross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Margin</w:t>
      </w:r>
    </w:p>
    <w:p>
      <w:pPr>
        <w:pStyle w:val="BodyText"/>
        <w:spacing w:line="249" w:lineRule="auto"/>
        <w:ind w:right="148"/>
      </w:pPr>
      <w:r>
        <w:rPr/>
        <w:t>Cost of sales increased $2.3 million, or 107%, to $4.4 million during the three months ended September 30,</w:t>
      </w:r>
      <w:r>
        <w:rPr>
          <w:spacing w:val="1"/>
        </w:rPr>
        <w:t> </w:t>
      </w:r>
      <w:r>
        <w:rPr/>
        <w:t>2021, compared to $2.1 million during the three months ended September 30, 2020, and increased $6.8 million, or</w:t>
      </w:r>
      <w:r>
        <w:rPr>
          <w:spacing w:val="1"/>
        </w:rPr>
        <w:t> </w:t>
      </w:r>
      <w:r>
        <w:rPr/>
        <w:t>109%,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$13.0</w:t>
      </w:r>
      <w:r>
        <w:rPr>
          <w:spacing w:val="-2"/>
        </w:rPr>
        <w:t> </w:t>
      </w:r>
      <w:r>
        <w:rPr/>
        <w:t>million</w:t>
      </w:r>
      <w:r>
        <w:rPr>
          <w:spacing w:val="-1"/>
        </w:rPr>
        <w:t> </w:t>
      </w:r>
      <w:r>
        <w:rPr/>
        <w:t>during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nine</w:t>
      </w:r>
      <w:r>
        <w:rPr>
          <w:spacing w:val="-2"/>
        </w:rPr>
        <w:t> </w:t>
      </w:r>
      <w:r>
        <w:rPr/>
        <w:t>months</w:t>
      </w:r>
      <w:r>
        <w:rPr>
          <w:spacing w:val="-3"/>
        </w:rPr>
        <w:t> </w:t>
      </w:r>
      <w:r>
        <w:rPr/>
        <w:t>ended</w:t>
      </w:r>
      <w:r>
        <w:rPr>
          <w:spacing w:val="-2"/>
        </w:rPr>
        <w:t> </w:t>
      </w:r>
      <w:r>
        <w:rPr/>
        <w:t>September</w:t>
      </w:r>
      <w:r>
        <w:rPr>
          <w:spacing w:val="-2"/>
        </w:rPr>
        <w:t> </w:t>
      </w:r>
      <w:r>
        <w:rPr/>
        <w:t>30,</w:t>
      </w:r>
      <w:r>
        <w:rPr>
          <w:spacing w:val="-1"/>
        </w:rPr>
        <w:t> </w:t>
      </w:r>
      <w:r>
        <w:rPr/>
        <w:t>2021,</w:t>
      </w:r>
      <w:r>
        <w:rPr>
          <w:spacing w:val="-2"/>
        </w:rPr>
        <w:t> </w:t>
      </w:r>
      <w:r>
        <w:rPr/>
        <w:t>compared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$6.2</w:t>
      </w:r>
      <w:r>
        <w:rPr>
          <w:spacing w:val="-1"/>
        </w:rPr>
        <w:t> </w:t>
      </w:r>
      <w:r>
        <w:rPr/>
        <w:t>million</w:t>
      </w:r>
      <w:r>
        <w:rPr>
          <w:spacing w:val="-2"/>
        </w:rPr>
        <w:t> </w:t>
      </w:r>
      <w:r>
        <w:rPr/>
        <w:t>during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nine</w:t>
      </w:r>
      <w:r>
        <w:rPr>
          <w:spacing w:val="-47"/>
        </w:rPr>
        <w:t> </w:t>
      </w:r>
      <w:r>
        <w:rPr/>
        <w:t>months ended September 30, 2020. The increase in cost of sales was primarily attributable to the growth in the</w:t>
      </w:r>
      <w:r>
        <w:rPr>
          <w:spacing w:val="1"/>
        </w:rPr>
        <w:t> </w:t>
      </w:r>
      <w:r>
        <w:rPr/>
        <w:t>number</w:t>
      </w:r>
      <w:r>
        <w:rPr>
          <w:spacing w:val="-1"/>
        </w:rPr>
        <w:t> </w:t>
      </w:r>
      <w:r>
        <w:rPr/>
        <w:t>of units</w:t>
      </w:r>
      <w:r>
        <w:rPr>
          <w:spacing w:val="-1"/>
        </w:rPr>
        <w:t> </w:t>
      </w:r>
      <w:r>
        <w:rPr/>
        <w:t>sold.</w:t>
      </w:r>
    </w:p>
    <w:p>
      <w:pPr>
        <w:pStyle w:val="BodyText"/>
        <w:spacing w:line="249" w:lineRule="auto" w:before="184"/>
      </w:pPr>
      <w:r>
        <w:rPr/>
        <w:t>Gross margin increased to 49% during the three months ended September 30, 2021, compared to a negative 1%</w:t>
      </w:r>
      <w:r>
        <w:rPr>
          <w:spacing w:val="1"/>
        </w:rPr>
        <w:t> </w:t>
      </w:r>
      <w:r>
        <w:rPr/>
        <w:t>for the three months ended September 30, 2020, and increased to 47% during the nine months ended September 30,</w:t>
      </w:r>
      <w:r>
        <w:rPr>
          <w:spacing w:val="1"/>
        </w:rPr>
        <w:t> </w:t>
      </w:r>
      <w:r>
        <w:rPr/>
        <w:t>2021,</w:t>
      </w:r>
      <w:r>
        <w:rPr>
          <w:spacing w:val="-2"/>
        </w:rPr>
        <w:t> </w:t>
      </w:r>
      <w:r>
        <w:rPr/>
        <w:t>compared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negative</w:t>
      </w:r>
      <w:r>
        <w:rPr>
          <w:spacing w:val="-3"/>
        </w:rPr>
        <w:t> </w:t>
      </w:r>
      <w:r>
        <w:rPr/>
        <w:t>38%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nine</w:t>
      </w:r>
      <w:r>
        <w:rPr>
          <w:spacing w:val="-3"/>
        </w:rPr>
        <w:t> </w:t>
      </w:r>
      <w:r>
        <w:rPr/>
        <w:t>months</w:t>
      </w:r>
      <w:r>
        <w:rPr>
          <w:spacing w:val="-3"/>
        </w:rPr>
        <w:t> </w:t>
      </w:r>
      <w:r>
        <w:rPr/>
        <w:t>ended</w:t>
      </w:r>
      <w:r>
        <w:rPr>
          <w:spacing w:val="-1"/>
        </w:rPr>
        <w:t> </w:t>
      </w:r>
      <w:r>
        <w:rPr/>
        <w:t>September</w:t>
      </w:r>
      <w:r>
        <w:rPr>
          <w:spacing w:val="-2"/>
        </w:rPr>
        <w:t> </w:t>
      </w:r>
      <w:r>
        <w:rPr/>
        <w:t>30,</w:t>
      </w:r>
      <w:r>
        <w:rPr>
          <w:spacing w:val="-2"/>
        </w:rPr>
        <w:t> </w:t>
      </w:r>
      <w:r>
        <w:rPr/>
        <w:t>2020.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increase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gross</w:t>
      </w:r>
      <w:r>
        <w:rPr>
          <w:spacing w:val="-2"/>
        </w:rPr>
        <w:t> </w:t>
      </w:r>
      <w:r>
        <w:rPr/>
        <w:t>margin</w:t>
      </w:r>
      <w:r>
        <w:rPr>
          <w:spacing w:val="-2"/>
        </w:rPr>
        <w:t> </w:t>
      </w:r>
      <w:r>
        <w:rPr/>
        <w:t>was</w:t>
      </w:r>
      <w:r>
        <w:rPr>
          <w:spacing w:val="-47"/>
        </w:rPr>
        <w:t> </w:t>
      </w:r>
      <w:r>
        <w:rPr/>
        <w:t>primarily attributable to the growth in unit sales, which allowed us to spread the fixed portion of our manufacturing</w:t>
      </w:r>
      <w:r>
        <w:rPr>
          <w:spacing w:val="1"/>
        </w:rPr>
        <w:t> </w:t>
      </w:r>
      <w:r>
        <w:rPr/>
        <w:t>overhead costs over more production units, and a higher percentage of sales in the United States at higher average</w:t>
      </w:r>
      <w:r>
        <w:rPr>
          <w:spacing w:val="1"/>
        </w:rPr>
        <w:t> </w:t>
      </w:r>
      <w:r>
        <w:rPr/>
        <w:t>selling</w:t>
      </w:r>
      <w:r>
        <w:rPr>
          <w:spacing w:val="-1"/>
        </w:rPr>
        <w:t> </w:t>
      </w:r>
      <w:r>
        <w:rPr/>
        <w:t>prices.</w:t>
      </w:r>
    </w:p>
    <w:p>
      <w:pPr>
        <w:spacing w:before="185"/>
        <w:ind w:left="460" w:right="0" w:firstLine="0"/>
        <w:jc w:val="left"/>
        <w:rPr>
          <w:i/>
          <w:sz w:val="20"/>
        </w:rPr>
      </w:pPr>
      <w:r>
        <w:rPr>
          <w:i/>
          <w:sz w:val="20"/>
        </w:rPr>
        <w:t>Research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Development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Expenses</w:t>
      </w:r>
    </w:p>
    <w:p>
      <w:pPr>
        <w:pStyle w:val="BodyText"/>
        <w:spacing w:line="249" w:lineRule="auto"/>
        <w:ind w:right="118"/>
      </w:pPr>
      <w:r>
        <w:rPr/>
        <w:t>R&amp;D expenses increased $1.0 million, or 26%, to $4.9 million during the three months ended September 30,</w:t>
      </w:r>
      <w:r>
        <w:rPr>
          <w:spacing w:val="1"/>
        </w:rPr>
        <w:t> </w:t>
      </w:r>
      <w:r>
        <w:rPr/>
        <w:t>2021, compared to $3.9 million during the three months ended September 30, 2020, and increased $2.2 million, or</w:t>
      </w:r>
      <w:r>
        <w:rPr>
          <w:spacing w:val="1"/>
        </w:rPr>
        <w:t> </w:t>
      </w:r>
      <w:r>
        <w:rPr/>
        <w:t>19%, to $13.9 million during the nine months ended September 30, 2021, compared to $11.7 million during the nine</w:t>
      </w:r>
      <w:r>
        <w:rPr>
          <w:spacing w:val="-47"/>
        </w:rPr>
        <w:t> </w:t>
      </w:r>
      <w:r>
        <w:rPr/>
        <w:t>months ended September 30, 2020. The increase in R&amp;D expenses was primarily due to employee-related expenses</w:t>
      </w:r>
      <w:r>
        <w:rPr>
          <w:spacing w:val="1"/>
        </w:rPr>
        <w:t> </w:t>
      </w:r>
      <w:r>
        <w:rPr/>
        <w:t>of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R&amp;D</w:t>
      </w:r>
      <w:r>
        <w:rPr>
          <w:spacing w:val="-4"/>
        </w:rPr>
        <w:t> </w:t>
      </w:r>
      <w:r>
        <w:rPr/>
        <w:t>organization.</w:t>
      </w:r>
      <w:r>
        <w:rPr>
          <w:spacing w:val="-2"/>
        </w:rPr>
        <w:t> </w:t>
      </w:r>
      <w:r>
        <w:rPr/>
        <w:t>These</w:t>
      </w:r>
      <w:r>
        <w:rPr>
          <w:spacing w:val="-4"/>
        </w:rPr>
        <w:t> </w:t>
      </w:r>
      <w:r>
        <w:rPr/>
        <w:t>expenses</w:t>
      </w:r>
      <w:r>
        <w:rPr>
          <w:spacing w:val="-3"/>
        </w:rPr>
        <w:t> </w:t>
      </w:r>
      <w:r>
        <w:rPr/>
        <w:t>support</w:t>
      </w:r>
      <w:r>
        <w:rPr>
          <w:spacing w:val="-4"/>
        </w:rPr>
        <w:t> </w:t>
      </w:r>
      <w:r>
        <w:rPr/>
        <w:t>ongoing</w:t>
      </w:r>
      <w:r>
        <w:rPr>
          <w:spacing w:val="-2"/>
        </w:rPr>
        <w:t> </w:t>
      </w:r>
      <w:r>
        <w:rPr/>
        <w:t>product</w:t>
      </w:r>
      <w:r>
        <w:rPr>
          <w:spacing w:val="-3"/>
        </w:rPr>
        <w:t> </w:t>
      </w:r>
      <w:r>
        <w:rPr/>
        <w:t>improvements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additional</w:t>
      </w:r>
      <w:r>
        <w:rPr>
          <w:spacing w:val="-47"/>
        </w:rPr>
        <w:t> </w:t>
      </w:r>
      <w:r>
        <w:rPr/>
        <w:t>and</w:t>
      </w:r>
      <w:r>
        <w:rPr>
          <w:spacing w:val="-1"/>
        </w:rPr>
        <w:t> </w:t>
      </w:r>
      <w:r>
        <w:rPr/>
        <w:t>next</w:t>
      </w:r>
      <w:r>
        <w:rPr>
          <w:spacing w:val="-1"/>
        </w:rPr>
        <w:t> </w:t>
      </w:r>
      <w:r>
        <w:rPr/>
        <w:t>generation technologies.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spacing w:before="72"/>
        <w:ind w:left="460" w:right="0" w:firstLine="0"/>
        <w:jc w:val="left"/>
        <w:rPr>
          <w:i/>
          <w:sz w:val="20"/>
        </w:rPr>
      </w:pPr>
      <w:r>
        <w:rPr>
          <w:i/>
          <w:sz w:val="20"/>
        </w:rPr>
        <w:t>Selling,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General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Administrative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Expenses</w:t>
      </w:r>
    </w:p>
    <w:p>
      <w:pPr>
        <w:pStyle w:val="BodyText"/>
        <w:spacing w:line="249" w:lineRule="auto"/>
        <w:ind w:right="168"/>
      </w:pPr>
      <w:r>
        <w:rPr/>
        <w:t>SG&amp;A expenses increased $5.1 million, or 72%, to $12.1 million during the three months ended September 30,</w:t>
      </w:r>
      <w:r>
        <w:rPr>
          <w:spacing w:val="-47"/>
        </w:rPr>
        <w:t> </w:t>
      </w:r>
      <w:r>
        <w:rPr/>
        <w:t>2021, compared to $7.0 million during the three months ended September 30, 2020, and increased $13.7 million, or</w:t>
      </w:r>
      <w:r>
        <w:rPr>
          <w:spacing w:val="1"/>
        </w:rPr>
        <w:t> </w:t>
      </w:r>
      <w:r>
        <w:rPr/>
        <w:t>64%,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$34.8</w:t>
      </w:r>
      <w:r>
        <w:rPr>
          <w:spacing w:val="-2"/>
        </w:rPr>
        <w:t> </w:t>
      </w:r>
      <w:r>
        <w:rPr/>
        <w:t>million</w:t>
      </w:r>
      <w:r>
        <w:rPr>
          <w:spacing w:val="-1"/>
        </w:rPr>
        <w:t> </w:t>
      </w:r>
      <w:r>
        <w:rPr/>
        <w:t>during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nine</w:t>
      </w:r>
      <w:r>
        <w:rPr>
          <w:spacing w:val="-2"/>
        </w:rPr>
        <w:t> </w:t>
      </w:r>
      <w:r>
        <w:rPr/>
        <w:t>months</w:t>
      </w:r>
      <w:r>
        <w:rPr>
          <w:spacing w:val="-3"/>
        </w:rPr>
        <w:t> </w:t>
      </w:r>
      <w:r>
        <w:rPr/>
        <w:t>ended</w:t>
      </w:r>
      <w:r>
        <w:rPr>
          <w:spacing w:val="-2"/>
        </w:rPr>
        <w:t> </w:t>
      </w:r>
      <w:r>
        <w:rPr/>
        <w:t>September</w:t>
      </w:r>
      <w:r>
        <w:rPr>
          <w:spacing w:val="-2"/>
        </w:rPr>
        <w:t> </w:t>
      </w:r>
      <w:r>
        <w:rPr/>
        <w:t>30,</w:t>
      </w:r>
      <w:r>
        <w:rPr>
          <w:spacing w:val="-1"/>
        </w:rPr>
        <w:t> </w:t>
      </w:r>
      <w:r>
        <w:rPr/>
        <w:t>2021,</w:t>
      </w:r>
      <w:r>
        <w:rPr>
          <w:spacing w:val="-2"/>
        </w:rPr>
        <w:t> </w:t>
      </w:r>
      <w:r>
        <w:rPr/>
        <w:t>compared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$21.1</w:t>
      </w:r>
      <w:r>
        <w:rPr>
          <w:spacing w:val="-1"/>
        </w:rPr>
        <w:t> </w:t>
      </w:r>
      <w:r>
        <w:rPr/>
        <w:t>million</w:t>
      </w:r>
      <w:r>
        <w:rPr>
          <w:spacing w:val="-2"/>
        </w:rPr>
        <w:t> </w:t>
      </w:r>
      <w:r>
        <w:rPr/>
        <w:t>during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nine</w:t>
      </w:r>
      <w:r>
        <w:rPr>
          <w:spacing w:val="-47"/>
        </w:rPr>
        <w:t> </w:t>
      </w:r>
      <w:r>
        <w:rPr/>
        <w:t>months ended September 30, 2020. The increase in SG&amp;A expenses was primarily due to employee-related</w:t>
      </w:r>
      <w:r>
        <w:rPr>
          <w:spacing w:val="1"/>
        </w:rPr>
        <w:t> </w:t>
      </w:r>
      <w:r>
        <w:rPr/>
        <w:t>expenses of our sales and marketing, reimbursement and administrative organizations as we expanded our</w:t>
      </w:r>
      <w:r>
        <w:rPr>
          <w:spacing w:val="1"/>
        </w:rPr>
        <w:t> </w:t>
      </w:r>
      <w:r>
        <w:rPr/>
        <w:t>infrastructure</w:t>
      </w:r>
      <w:r>
        <w:rPr>
          <w:spacing w:val="-2"/>
        </w:rPr>
        <w:t> </w:t>
      </w:r>
      <w:r>
        <w:rPr/>
        <w:t>to drive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support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anticipated</w:t>
      </w:r>
      <w:r>
        <w:rPr>
          <w:spacing w:val="-1"/>
        </w:rPr>
        <w:t> </w:t>
      </w:r>
      <w:r>
        <w:rPr/>
        <w:t>growth in revenue.</w:t>
      </w:r>
    </w:p>
    <w:p>
      <w:pPr>
        <w:spacing w:before="185"/>
        <w:ind w:left="460" w:right="0" w:firstLine="0"/>
        <w:jc w:val="left"/>
        <w:rPr>
          <w:i/>
          <w:sz w:val="20"/>
        </w:rPr>
      </w:pPr>
      <w:r>
        <w:rPr>
          <w:i/>
          <w:sz w:val="20"/>
        </w:rPr>
        <w:t>Interest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Expense</w:t>
      </w:r>
    </w:p>
    <w:p>
      <w:pPr>
        <w:pStyle w:val="BodyText"/>
        <w:spacing w:line="249" w:lineRule="auto"/>
        <w:ind w:right="180"/>
      </w:pPr>
      <w:r>
        <w:rPr/>
        <w:t>Interest expense increased $0.1 million to $1.5 million during the three months ended September 30, 2021,</w:t>
      </w:r>
      <w:r>
        <w:rPr>
          <w:spacing w:val="1"/>
        </w:rPr>
        <w:t> </w:t>
      </w:r>
      <w:r>
        <w:rPr/>
        <w:t>compared to $1.4 million during the three months ended September 30, 2020, and increased $0.9 million to $4.4</w:t>
      </w:r>
      <w:r>
        <w:rPr>
          <w:spacing w:val="1"/>
        </w:rPr>
        <w:t> </w:t>
      </w:r>
      <w:r>
        <w:rPr/>
        <w:t>million</w:t>
      </w:r>
      <w:r>
        <w:rPr>
          <w:spacing w:val="-2"/>
        </w:rPr>
        <w:t> </w:t>
      </w:r>
      <w:r>
        <w:rPr/>
        <w:t>during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nine</w:t>
      </w:r>
      <w:r>
        <w:rPr>
          <w:spacing w:val="-3"/>
        </w:rPr>
        <w:t> </w:t>
      </w:r>
      <w:r>
        <w:rPr/>
        <w:t>months</w:t>
      </w:r>
      <w:r>
        <w:rPr>
          <w:spacing w:val="-3"/>
        </w:rPr>
        <w:t> </w:t>
      </w:r>
      <w:r>
        <w:rPr/>
        <w:t>ended</w:t>
      </w:r>
      <w:r>
        <w:rPr>
          <w:spacing w:val="-2"/>
        </w:rPr>
        <w:t> </w:t>
      </w:r>
      <w:r>
        <w:rPr/>
        <w:t>September</w:t>
      </w:r>
      <w:r>
        <w:rPr>
          <w:spacing w:val="-2"/>
        </w:rPr>
        <w:t> </w:t>
      </w:r>
      <w:r>
        <w:rPr/>
        <w:t>30,</w:t>
      </w:r>
      <w:r>
        <w:rPr>
          <w:spacing w:val="-2"/>
        </w:rPr>
        <w:t> </w:t>
      </w:r>
      <w:r>
        <w:rPr/>
        <w:t>2021,</w:t>
      </w:r>
      <w:r>
        <w:rPr>
          <w:spacing w:val="-2"/>
        </w:rPr>
        <w:t> </w:t>
      </w:r>
      <w:r>
        <w:rPr/>
        <w:t>compared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$3.5</w:t>
      </w:r>
      <w:r>
        <w:rPr>
          <w:spacing w:val="-2"/>
        </w:rPr>
        <w:t> </w:t>
      </w:r>
      <w:r>
        <w:rPr/>
        <w:t>million</w:t>
      </w:r>
      <w:r>
        <w:rPr>
          <w:spacing w:val="-2"/>
        </w:rPr>
        <w:t> </w:t>
      </w:r>
      <w:r>
        <w:rPr/>
        <w:t>during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nine</w:t>
      </w:r>
      <w:r>
        <w:rPr>
          <w:spacing w:val="-3"/>
        </w:rPr>
        <w:t> </w:t>
      </w:r>
      <w:r>
        <w:rPr/>
        <w:t>months</w:t>
      </w:r>
      <w:r>
        <w:rPr>
          <w:spacing w:val="-3"/>
        </w:rPr>
        <w:t> </w:t>
      </w:r>
      <w:r>
        <w:rPr/>
        <w:t>ended</w:t>
      </w:r>
      <w:r>
        <w:rPr>
          <w:spacing w:val="-47"/>
        </w:rPr>
        <w:t> </w:t>
      </w:r>
      <w:r>
        <w:rPr/>
        <w:t>September</w:t>
      </w:r>
      <w:r>
        <w:rPr>
          <w:spacing w:val="-2"/>
        </w:rPr>
        <w:t> </w:t>
      </w:r>
      <w:r>
        <w:rPr/>
        <w:t>30,</w:t>
      </w:r>
      <w:r>
        <w:rPr>
          <w:spacing w:val="-1"/>
        </w:rPr>
        <w:t> </w:t>
      </w:r>
      <w:r>
        <w:rPr/>
        <w:t>2020.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increase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/>
        <w:t>due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increased</w:t>
      </w:r>
      <w:r>
        <w:rPr>
          <w:spacing w:val="-1"/>
        </w:rPr>
        <w:t> </w:t>
      </w:r>
      <w:r>
        <w:rPr/>
        <w:t>borrowings</w:t>
      </w:r>
      <w:r>
        <w:rPr>
          <w:spacing w:val="-3"/>
        </w:rPr>
        <w:t> </w:t>
      </w:r>
      <w:r>
        <w:rPr/>
        <w:t>under</w:t>
      </w:r>
      <w:r>
        <w:rPr>
          <w:spacing w:val="-1"/>
        </w:rPr>
        <w:t> </w:t>
      </w:r>
      <w:r>
        <w:rPr/>
        <w:t>our</w:t>
      </w:r>
      <w:r>
        <w:rPr>
          <w:spacing w:val="-1"/>
        </w:rPr>
        <w:t> </w:t>
      </w:r>
      <w:r>
        <w:rPr/>
        <w:t>debt</w:t>
      </w:r>
      <w:r>
        <w:rPr>
          <w:spacing w:val="-3"/>
        </w:rPr>
        <w:t> </w:t>
      </w:r>
      <w:r>
        <w:rPr/>
        <w:t>financing</w:t>
      </w:r>
      <w:r>
        <w:rPr>
          <w:spacing w:val="-1"/>
        </w:rPr>
        <w:t> </w:t>
      </w:r>
      <w:r>
        <w:rPr/>
        <w:t>arrangements.</w:t>
      </w:r>
    </w:p>
    <w:p>
      <w:pPr>
        <w:spacing w:before="183"/>
        <w:ind w:left="460" w:right="0" w:firstLine="0"/>
        <w:jc w:val="left"/>
        <w:rPr>
          <w:i/>
          <w:sz w:val="20"/>
        </w:rPr>
      </w:pPr>
      <w:r>
        <w:rPr>
          <w:i/>
          <w:sz w:val="20"/>
        </w:rPr>
        <w:t>Interest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Income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(Expense),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Net</w:t>
      </w:r>
    </w:p>
    <w:p>
      <w:pPr>
        <w:pStyle w:val="BodyText"/>
        <w:spacing w:line="249" w:lineRule="auto"/>
      </w:pPr>
      <w:r>
        <w:rPr/>
        <w:t>Interest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other</w:t>
      </w:r>
      <w:r>
        <w:rPr>
          <w:spacing w:val="-3"/>
        </w:rPr>
        <w:t> </w:t>
      </w:r>
      <w:r>
        <w:rPr/>
        <w:t>income</w:t>
      </w:r>
      <w:r>
        <w:rPr>
          <w:spacing w:val="-3"/>
        </w:rPr>
        <w:t> </w:t>
      </w:r>
      <w:r>
        <w:rPr/>
        <w:t>(expense),</w:t>
      </w:r>
      <w:r>
        <w:rPr>
          <w:spacing w:val="-3"/>
        </w:rPr>
        <w:t> </w:t>
      </w:r>
      <w:r>
        <w:rPr/>
        <w:t>net,</w:t>
      </w:r>
      <w:r>
        <w:rPr>
          <w:spacing w:val="-2"/>
        </w:rPr>
        <w:t> </w:t>
      </w:r>
      <w:r>
        <w:rPr/>
        <w:t>decreased</w:t>
      </w:r>
      <w:r>
        <w:rPr>
          <w:spacing w:val="-3"/>
        </w:rPr>
        <w:t> </w:t>
      </w:r>
      <w:r>
        <w:rPr/>
        <w:t>$0.2</w:t>
      </w:r>
      <w:r>
        <w:rPr>
          <w:spacing w:val="-2"/>
        </w:rPr>
        <w:t> </w:t>
      </w:r>
      <w:r>
        <w:rPr/>
        <w:t>million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$0.2</w:t>
      </w:r>
      <w:r>
        <w:rPr>
          <w:spacing w:val="-2"/>
        </w:rPr>
        <w:t> </w:t>
      </w:r>
      <w:r>
        <w:rPr/>
        <w:t>million</w:t>
      </w:r>
      <w:r>
        <w:rPr>
          <w:spacing w:val="-3"/>
        </w:rPr>
        <w:t> </w:t>
      </w:r>
      <w:r>
        <w:rPr/>
        <w:t>during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three</w:t>
      </w:r>
      <w:r>
        <w:rPr>
          <w:spacing w:val="-3"/>
        </w:rPr>
        <w:t> </w:t>
      </w:r>
      <w:r>
        <w:rPr/>
        <w:t>months</w:t>
      </w:r>
      <w:r>
        <w:rPr>
          <w:spacing w:val="-3"/>
        </w:rPr>
        <w:t> </w:t>
      </w:r>
      <w:r>
        <w:rPr/>
        <w:t>ended</w:t>
      </w:r>
      <w:r>
        <w:rPr>
          <w:spacing w:val="-47"/>
        </w:rPr>
        <w:t> </w:t>
      </w:r>
      <w:r>
        <w:rPr/>
        <w:t>September</w:t>
      </w:r>
      <w:r>
        <w:rPr>
          <w:spacing w:val="-2"/>
        </w:rPr>
        <w:t> </w:t>
      </w:r>
      <w:r>
        <w:rPr/>
        <w:t>30,</w:t>
      </w:r>
      <w:r>
        <w:rPr>
          <w:spacing w:val="-2"/>
        </w:rPr>
        <w:t> </w:t>
      </w:r>
      <w:r>
        <w:rPr/>
        <w:t>2021,</w:t>
      </w:r>
      <w:r>
        <w:rPr>
          <w:spacing w:val="-2"/>
        </w:rPr>
        <w:t> </w:t>
      </w:r>
      <w:r>
        <w:rPr/>
        <w:t>compared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$0.4</w:t>
      </w:r>
      <w:r>
        <w:rPr>
          <w:spacing w:val="-2"/>
        </w:rPr>
        <w:t> </w:t>
      </w:r>
      <w:r>
        <w:rPr/>
        <w:t>million</w:t>
      </w:r>
      <w:r>
        <w:rPr>
          <w:spacing w:val="-2"/>
        </w:rPr>
        <w:t> </w:t>
      </w:r>
      <w:r>
        <w:rPr/>
        <w:t>during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three</w:t>
      </w:r>
      <w:r>
        <w:rPr>
          <w:spacing w:val="-3"/>
        </w:rPr>
        <w:t> </w:t>
      </w:r>
      <w:r>
        <w:rPr/>
        <w:t>months</w:t>
      </w:r>
      <w:r>
        <w:rPr>
          <w:spacing w:val="-3"/>
        </w:rPr>
        <w:t> </w:t>
      </w:r>
      <w:r>
        <w:rPr/>
        <w:t>ended</w:t>
      </w:r>
      <w:r>
        <w:rPr>
          <w:spacing w:val="-2"/>
        </w:rPr>
        <w:t> </w:t>
      </w:r>
      <w:r>
        <w:rPr/>
        <w:t>September</w:t>
      </w:r>
      <w:r>
        <w:rPr>
          <w:spacing w:val="-2"/>
        </w:rPr>
        <w:t> </w:t>
      </w:r>
      <w:r>
        <w:rPr/>
        <w:t>30,</w:t>
      </w:r>
      <w:r>
        <w:rPr>
          <w:spacing w:val="-2"/>
        </w:rPr>
        <w:t> </w:t>
      </w:r>
      <w:r>
        <w:rPr/>
        <w:t>2021,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decreased</w:t>
      </w:r>
    </w:p>
    <w:p>
      <w:pPr>
        <w:pStyle w:val="BodyText"/>
        <w:spacing w:line="249" w:lineRule="auto" w:before="1"/>
        <w:ind w:right="185" w:firstLine="0"/>
      </w:pPr>
      <w:r>
        <w:rPr/>
        <w:t>$0.1</w:t>
      </w:r>
      <w:r>
        <w:rPr>
          <w:spacing w:val="-2"/>
        </w:rPr>
        <w:t> </w:t>
      </w:r>
      <w:r>
        <w:rPr/>
        <w:t>million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$0.2</w:t>
      </w:r>
      <w:r>
        <w:rPr>
          <w:spacing w:val="-2"/>
        </w:rPr>
        <w:t> </w:t>
      </w:r>
      <w:r>
        <w:rPr/>
        <w:t>million</w:t>
      </w:r>
      <w:r>
        <w:rPr>
          <w:spacing w:val="-2"/>
        </w:rPr>
        <w:t> </w:t>
      </w:r>
      <w:r>
        <w:rPr/>
        <w:t>during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nine</w:t>
      </w:r>
      <w:r>
        <w:rPr>
          <w:spacing w:val="-3"/>
        </w:rPr>
        <w:t> </w:t>
      </w:r>
      <w:r>
        <w:rPr/>
        <w:t>months</w:t>
      </w:r>
      <w:r>
        <w:rPr>
          <w:spacing w:val="-3"/>
        </w:rPr>
        <w:t> </w:t>
      </w:r>
      <w:r>
        <w:rPr/>
        <w:t>ended</w:t>
      </w:r>
      <w:r>
        <w:rPr>
          <w:spacing w:val="-2"/>
        </w:rPr>
        <w:t> </w:t>
      </w:r>
      <w:r>
        <w:rPr/>
        <w:t>September</w:t>
      </w:r>
      <w:r>
        <w:rPr>
          <w:spacing w:val="-2"/>
        </w:rPr>
        <w:t> </w:t>
      </w:r>
      <w:r>
        <w:rPr/>
        <w:t>30,</w:t>
      </w:r>
      <w:r>
        <w:rPr>
          <w:spacing w:val="-2"/>
        </w:rPr>
        <w:t> </w:t>
      </w:r>
      <w:r>
        <w:rPr/>
        <w:t>2021,</w:t>
      </w:r>
      <w:r>
        <w:rPr>
          <w:spacing w:val="-1"/>
        </w:rPr>
        <w:t> </w:t>
      </w:r>
      <w:r>
        <w:rPr/>
        <w:t>compared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$0.3</w:t>
      </w:r>
      <w:r>
        <w:rPr>
          <w:spacing w:val="-2"/>
        </w:rPr>
        <w:t> </w:t>
      </w:r>
      <w:r>
        <w:rPr/>
        <w:t>million</w:t>
      </w:r>
      <w:r>
        <w:rPr>
          <w:spacing w:val="-2"/>
        </w:rPr>
        <w:t> </w:t>
      </w:r>
      <w:r>
        <w:rPr/>
        <w:t>during</w:t>
      </w:r>
      <w:r>
        <w:rPr>
          <w:spacing w:val="-2"/>
        </w:rPr>
        <w:t> </w:t>
      </w:r>
      <w:r>
        <w:rPr/>
        <w:t>the</w:t>
      </w:r>
      <w:r>
        <w:rPr>
          <w:spacing w:val="-47"/>
        </w:rPr>
        <w:t> </w:t>
      </w:r>
      <w:r>
        <w:rPr/>
        <w:t>nine months ended September 30, 2020. The decrease in other income (expense), net during the three months ended</w:t>
      </w:r>
      <w:r>
        <w:rPr>
          <w:spacing w:val="-47"/>
        </w:rPr>
        <w:t> </w:t>
      </w:r>
      <w:r>
        <w:rPr/>
        <w:t>September 30, 2021 was primarily attributable to a decrease in other expenses. The decrease in other income</w:t>
      </w:r>
      <w:r>
        <w:rPr>
          <w:spacing w:val="1"/>
        </w:rPr>
        <w:t> </w:t>
      </w:r>
      <w:r>
        <w:rPr/>
        <w:t>(expense), net during the nine months ended September 30, 2021 was primarily attributable to a decrease in the fair</w:t>
      </w:r>
      <w:r>
        <w:rPr>
          <w:spacing w:val="-47"/>
        </w:rPr>
        <w:t> </w:t>
      </w:r>
      <w:r>
        <w:rPr/>
        <w:t>value</w:t>
      </w:r>
      <w:r>
        <w:rPr>
          <w:spacing w:val="-2"/>
        </w:rPr>
        <w:t> </w:t>
      </w:r>
      <w:r>
        <w:rPr/>
        <w:t>of loan facility derivative</w:t>
      </w:r>
      <w:r>
        <w:rPr>
          <w:spacing w:val="-1"/>
        </w:rPr>
        <w:t> </w:t>
      </w:r>
      <w:r>
        <w:rPr/>
        <w:t>liability.</w:t>
      </w:r>
    </w:p>
    <w:p>
      <w:pPr>
        <w:pStyle w:val="Heading2"/>
        <w:spacing w:before="181"/>
      </w:pPr>
      <w:bookmarkStart w:name="Liquidity and Capital Resources " w:id="43"/>
      <w:bookmarkEnd w:id="43"/>
      <w:r>
        <w:rPr>
          <w:b w:val="0"/>
        </w:rPr>
      </w:r>
      <w:r>
        <w:rPr/>
        <w:t>Liquidity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Capital</w:t>
      </w:r>
      <w:r>
        <w:rPr>
          <w:spacing w:val="-6"/>
        </w:rPr>
        <w:t> </w:t>
      </w:r>
      <w:r>
        <w:rPr/>
        <w:t>Resources</w:t>
      </w:r>
    </w:p>
    <w:p>
      <w:pPr>
        <w:pStyle w:val="Heading3"/>
        <w:spacing w:before="190"/>
        <w:rPr>
          <w:i/>
        </w:rPr>
      </w:pPr>
      <w:r>
        <w:rPr>
          <w:i/>
        </w:rPr>
        <w:t>Overview</w:t>
      </w:r>
    </w:p>
    <w:p>
      <w:pPr>
        <w:pStyle w:val="BodyText"/>
        <w:spacing w:line="249" w:lineRule="auto" w:before="194"/>
        <w:ind w:right="180"/>
      </w:pPr>
      <w:r>
        <w:rPr/>
        <w:t>We</w:t>
      </w:r>
      <w:r>
        <w:rPr>
          <w:spacing w:val="-4"/>
        </w:rPr>
        <w:t> </w:t>
      </w:r>
      <w:r>
        <w:rPr/>
        <w:t>completed</w:t>
      </w:r>
      <w:r>
        <w:rPr>
          <w:spacing w:val="-2"/>
        </w:rPr>
        <w:t> </w:t>
      </w:r>
      <w:r>
        <w:rPr/>
        <w:t>our</w:t>
      </w:r>
      <w:r>
        <w:rPr>
          <w:spacing w:val="-3"/>
        </w:rPr>
        <w:t> </w:t>
      </w:r>
      <w:r>
        <w:rPr/>
        <w:t>IPO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September</w:t>
      </w:r>
      <w:r>
        <w:rPr>
          <w:spacing w:val="-2"/>
        </w:rPr>
        <w:t> </w:t>
      </w:r>
      <w:r>
        <w:rPr/>
        <w:t>2021,</w:t>
      </w:r>
      <w:r>
        <w:rPr>
          <w:spacing w:val="-3"/>
        </w:rPr>
        <w:t> </w:t>
      </w:r>
      <w:r>
        <w:rPr/>
        <w:t>which</w:t>
      </w:r>
      <w:r>
        <w:rPr>
          <w:spacing w:val="-2"/>
        </w:rPr>
        <w:t> </w:t>
      </w:r>
      <w:r>
        <w:rPr/>
        <w:t>raised</w:t>
      </w:r>
      <w:r>
        <w:rPr>
          <w:spacing w:val="-3"/>
        </w:rPr>
        <w:t> </w:t>
      </w:r>
      <w:r>
        <w:rPr/>
        <w:t>$172.4</w:t>
      </w:r>
      <w:r>
        <w:rPr>
          <w:spacing w:val="-2"/>
        </w:rPr>
        <w:t> </w:t>
      </w:r>
      <w:r>
        <w:rPr/>
        <w:t>million,</w:t>
      </w:r>
      <w:r>
        <w:rPr>
          <w:spacing w:val="-3"/>
        </w:rPr>
        <w:t> </w:t>
      </w:r>
      <w:r>
        <w:rPr/>
        <w:t>net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issuance</w:t>
      </w:r>
      <w:r>
        <w:rPr>
          <w:spacing w:val="-3"/>
        </w:rPr>
        <w:t> </w:t>
      </w:r>
      <w:r>
        <w:rPr/>
        <w:t>costs.</w:t>
      </w:r>
      <w:r>
        <w:rPr>
          <w:spacing w:val="-3"/>
        </w:rPr>
        <w:t> </w:t>
      </w:r>
      <w:r>
        <w:rPr/>
        <w:t>Previously,</w:t>
      </w:r>
      <w:r>
        <w:rPr>
          <w:spacing w:val="-2"/>
        </w:rPr>
        <w:t> </w:t>
      </w:r>
      <w:r>
        <w:rPr/>
        <w:t>our</w:t>
      </w:r>
      <w:r>
        <w:rPr>
          <w:spacing w:val="-47"/>
        </w:rPr>
        <w:t> </w:t>
      </w:r>
      <w:r>
        <w:rPr/>
        <w:t>primary sources of capital have been from private placements of redeemable convertible preferred securities and</w:t>
      </w:r>
      <w:r>
        <w:rPr>
          <w:spacing w:val="1"/>
        </w:rPr>
        <w:t> </w:t>
      </w:r>
      <w:r>
        <w:rPr/>
        <w:t>debt</w:t>
      </w:r>
      <w:r>
        <w:rPr>
          <w:spacing w:val="-2"/>
        </w:rPr>
        <w:t> </w:t>
      </w:r>
      <w:r>
        <w:rPr/>
        <w:t>financing agreements.</w:t>
      </w:r>
    </w:p>
    <w:p>
      <w:pPr>
        <w:pStyle w:val="BodyText"/>
        <w:spacing w:before="182"/>
        <w:ind w:left="460" w:firstLine="0"/>
      </w:pPr>
      <w:r>
        <w:rPr/>
        <w:t>As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September</w:t>
      </w:r>
      <w:r>
        <w:rPr>
          <w:spacing w:val="-2"/>
        </w:rPr>
        <w:t> </w:t>
      </w:r>
      <w:r>
        <w:rPr/>
        <w:t>30,</w:t>
      </w:r>
      <w:r>
        <w:rPr>
          <w:spacing w:val="-2"/>
        </w:rPr>
        <w:t> </w:t>
      </w:r>
      <w:r>
        <w:rPr/>
        <w:t>2021,</w:t>
      </w:r>
      <w:r>
        <w:rPr>
          <w:spacing w:val="-2"/>
        </w:rPr>
        <w:t> </w:t>
      </w:r>
      <w:r>
        <w:rPr/>
        <w:t>we</w:t>
      </w:r>
      <w:r>
        <w:rPr>
          <w:spacing w:val="-4"/>
        </w:rPr>
        <w:t> </w:t>
      </w:r>
      <w:r>
        <w:rPr/>
        <w:t>had</w:t>
      </w:r>
      <w:r>
        <w:rPr>
          <w:spacing w:val="-2"/>
        </w:rPr>
        <w:t> </w:t>
      </w:r>
      <w:r>
        <w:rPr/>
        <w:t>cash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cash</w:t>
      </w:r>
      <w:r>
        <w:rPr>
          <w:spacing w:val="-2"/>
        </w:rPr>
        <w:t> </w:t>
      </w:r>
      <w:r>
        <w:rPr/>
        <w:t>equivalents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$320.5</w:t>
      </w:r>
      <w:r>
        <w:rPr>
          <w:spacing w:val="-2"/>
        </w:rPr>
        <w:t> </w:t>
      </w:r>
      <w:r>
        <w:rPr/>
        <w:t>million,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accumulated</w:t>
      </w:r>
      <w:r>
        <w:rPr>
          <w:spacing w:val="-2"/>
        </w:rPr>
        <w:t> </w:t>
      </w:r>
      <w:r>
        <w:rPr/>
        <w:t>deficit</w:t>
      </w:r>
      <w:r>
        <w:rPr>
          <w:spacing w:val="-4"/>
        </w:rPr>
        <w:t> </w:t>
      </w:r>
      <w:r>
        <w:rPr/>
        <w:t>of</w:t>
      </w:r>
    </w:p>
    <w:p>
      <w:pPr>
        <w:pStyle w:val="BodyText"/>
        <w:spacing w:line="249" w:lineRule="auto" w:before="10"/>
        <w:ind w:right="195" w:firstLine="0"/>
      </w:pPr>
      <w:r>
        <w:rPr/>
        <w:t>$243.2 million, and $50.0 million outstanding on our loan facility. We expect our expenses will increase for the</w:t>
      </w:r>
      <w:r>
        <w:rPr>
          <w:spacing w:val="1"/>
        </w:rPr>
        <w:t> </w:t>
      </w:r>
      <w:r>
        <w:rPr/>
        <w:t>foreseeable future, in particular as we continue to make substantial investments in sales and marketing, operations</w:t>
      </w:r>
      <w:r>
        <w:rPr>
          <w:spacing w:val="1"/>
        </w:rPr>
        <w:t> </w:t>
      </w:r>
      <w:r>
        <w:rPr/>
        <w:t>and</w:t>
      </w:r>
      <w:r>
        <w:rPr>
          <w:spacing w:val="-3"/>
        </w:rPr>
        <w:t> </w:t>
      </w:r>
      <w:r>
        <w:rPr/>
        <w:t>research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development.</w:t>
      </w:r>
      <w:r>
        <w:rPr>
          <w:spacing w:val="-3"/>
        </w:rPr>
        <w:t> </w:t>
      </w:r>
      <w:r>
        <w:rPr/>
        <w:t>Moreover,</w:t>
      </w:r>
      <w:r>
        <w:rPr>
          <w:spacing w:val="-2"/>
        </w:rPr>
        <w:t> </w:t>
      </w:r>
      <w:r>
        <w:rPr/>
        <w:t>we</w:t>
      </w:r>
      <w:r>
        <w:rPr>
          <w:spacing w:val="-3"/>
        </w:rPr>
        <w:t> </w:t>
      </w:r>
      <w:r>
        <w:rPr/>
        <w:t>expect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incur</w:t>
      </w:r>
      <w:r>
        <w:rPr>
          <w:spacing w:val="-2"/>
        </w:rPr>
        <w:t> </w:t>
      </w:r>
      <w:r>
        <w:rPr/>
        <w:t>additional</w:t>
      </w:r>
      <w:r>
        <w:rPr>
          <w:spacing w:val="-3"/>
        </w:rPr>
        <w:t> </w:t>
      </w:r>
      <w:r>
        <w:rPr/>
        <w:t>expenses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result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operating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public</w:t>
      </w:r>
      <w:r>
        <w:rPr>
          <w:spacing w:val="-47"/>
        </w:rPr>
        <w:t> </w:t>
      </w:r>
      <w:r>
        <w:rPr/>
        <w:t>company, including legal, accounting, insurance, compliance with the rules and regulations of the SEC and those of</w:t>
      </w:r>
      <w:r>
        <w:rPr>
          <w:spacing w:val="-47"/>
        </w:rPr>
        <w:t> </w:t>
      </w:r>
      <w:r>
        <w:rPr/>
        <w:t>any stock exchange on which our securities are traded, investor relations, and other administrative and professional</w:t>
      </w:r>
      <w:r>
        <w:rPr>
          <w:spacing w:val="1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expenses.</w:t>
      </w:r>
      <w:r>
        <w:rPr>
          <w:spacing w:val="-1"/>
        </w:rPr>
        <w:t> </w:t>
      </w:r>
      <w:r>
        <w:rPr/>
        <w:t>Our</w:t>
      </w:r>
      <w:r>
        <w:rPr>
          <w:spacing w:val="-1"/>
        </w:rPr>
        <w:t> </w:t>
      </w:r>
      <w:r>
        <w:rPr/>
        <w:t>future</w:t>
      </w:r>
      <w:r>
        <w:rPr>
          <w:spacing w:val="-1"/>
        </w:rPr>
        <w:t> </w:t>
      </w:r>
      <w:r>
        <w:rPr/>
        <w:t>funding</w:t>
      </w:r>
      <w:r>
        <w:rPr>
          <w:spacing w:val="-1"/>
        </w:rPr>
        <w:t> </w:t>
      </w:r>
      <w:r>
        <w:rPr/>
        <w:t>requirements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depend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many factors,</w:t>
      </w:r>
      <w:r>
        <w:rPr>
          <w:spacing w:val="-1"/>
        </w:rPr>
        <w:t> </w:t>
      </w:r>
      <w:r>
        <w:rPr/>
        <w:t>including: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85" w:after="0"/>
        <w:ind w:left="820" w:right="0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degree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rate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market</w:t>
      </w:r>
      <w:r>
        <w:rPr>
          <w:spacing w:val="-3"/>
          <w:sz w:val="20"/>
        </w:rPr>
        <w:t> </w:t>
      </w:r>
      <w:r>
        <w:rPr>
          <w:sz w:val="20"/>
        </w:rPr>
        <w:t>acceptance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our</w:t>
      </w:r>
      <w:r>
        <w:rPr>
          <w:spacing w:val="-2"/>
          <w:sz w:val="20"/>
        </w:rPr>
        <w:t> </w:t>
      </w:r>
      <w:r>
        <w:rPr>
          <w:sz w:val="20"/>
        </w:rPr>
        <w:t>products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Aquablation</w:t>
      </w:r>
      <w:r>
        <w:rPr>
          <w:spacing w:val="-2"/>
          <w:sz w:val="20"/>
        </w:rPr>
        <w:t> </w:t>
      </w:r>
      <w:r>
        <w:rPr>
          <w:sz w:val="20"/>
        </w:rPr>
        <w:t>therapy;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scope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timing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investment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2"/>
          <w:sz w:val="20"/>
        </w:rPr>
        <w:t> </w:t>
      </w:r>
      <w:r>
        <w:rPr>
          <w:sz w:val="20"/>
        </w:rPr>
        <w:t>sales</w:t>
      </w:r>
      <w:r>
        <w:rPr>
          <w:spacing w:val="-3"/>
          <w:sz w:val="20"/>
        </w:rPr>
        <w:t> </w:t>
      </w:r>
      <w:r>
        <w:rPr>
          <w:sz w:val="20"/>
        </w:rPr>
        <w:t>force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expansion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2"/>
          <w:sz w:val="20"/>
        </w:rPr>
        <w:t> </w:t>
      </w:r>
      <w:r>
        <w:rPr>
          <w:sz w:val="20"/>
        </w:rPr>
        <w:t>commercial</w:t>
      </w:r>
      <w:r>
        <w:rPr>
          <w:spacing w:val="-3"/>
          <w:sz w:val="20"/>
        </w:rPr>
        <w:t> </w:t>
      </w:r>
      <w:r>
        <w:rPr>
          <w:sz w:val="20"/>
        </w:rPr>
        <w:t>organization;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9" w:lineRule="auto" w:before="190" w:after="0"/>
        <w:ind w:left="820" w:right="1042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impact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1"/>
          <w:sz w:val="20"/>
        </w:rPr>
        <w:t> </w:t>
      </w:r>
      <w:r>
        <w:rPr>
          <w:sz w:val="20"/>
        </w:rPr>
        <w:t>our</w:t>
      </w:r>
      <w:r>
        <w:rPr>
          <w:spacing w:val="-2"/>
          <w:sz w:val="20"/>
        </w:rPr>
        <w:t> </w:t>
      </w:r>
      <w:r>
        <w:rPr>
          <w:sz w:val="20"/>
        </w:rPr>
        <w:t>business</w:t>
      </w:r>
      <w:r>
        <w:rPr>
          <w:spacing w:val="-2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ongoing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global</w:t>
      </w:r>
      <w:r>
        <w:rPr>
          <w:spacing w:val="-2"/>
          <w:sz w:val="20"/>
        </w:rPr>
        <w:t> </w:t>
      </w:r>
      <w:r>
        <w:rPr>
          <w:sz w:val="20"/>
        </w:rPr>
        <w:t>COVID-19</w:t>
      </w:r>
      <w:r>
        <w:rPr>
          <w:spacing w:val="-2"/>
          <w:sz w:val="20"/>
        </w:rPr>
        <w:t> </w:t>
      </w:r>
      <w:r>
        <w:rPr>
          <w:sz w:val="20"/>
        </w:rPr>
        <w:t>pandemic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end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47"/>
          <w:sz w:val="20"/>
        </w:rPr>
        <w:t> </w:t>
      </w:r>
      <w:r>
        <w:rPr>
          <w:sz w:val="20"/>
        </w:rPr>
        <w:t>COVID-19</w:t>
      </w:r>
      <w:r>
        <w:rPr>
          <w:spacing w:val="-2"/>
          <w:sz w:val="20"/>
        </w:rPr>
        <w:t> </w:t>
      </w:r>
      <w:r>
        <w:rPr>
          <w:sz w:val="20"/>
        </w:rPr>
        <w:t>pandemic,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2"/>
          <w:sz w:val="20"/>
        </w:rPr>
        <w:t> </w:t>
      </w:r>
      <w:r>
        <w:rPr>
          <w:sz w:val="20"/>
        </w:rPr>
        <w:t>other</w:t>
      </w:r>
      <w:r>
        <w:rPr>
          <w:spacing w:val="-2"/>
          <w:sz w:val="20"/>
        </w:rPr>
        <w:t> </w:t>
      </w:r>
      <w:r>
        <w:rPr>
          <w:sz w:val="20"/>
        </w:rPr>
        <w:t>pandemic,</w:t>
      </w:r>
      <w:r>
        <w:rPr>
          <w:spacing w:val="-2"/>
          <w:sz w:val="20"/>
        </w:rPr>
        <w:t> </w:t>
      </w:r>
      <w:r>
        <w:rPr>
          <w:sz w:val="20"/>
        </w:rPr>
        <w:t>epidemic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outbreak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infectious</w:t>
      </w:r>
      <w:r>
        <w:rPr>
          <w:spacing w:val="-3"/>
          <w:sz w:val="20"/>
        </w:rPr>
        <w:t> </w:t>
      </w:r>
      <w:r>
        <w:rPr>
          <w:sz w:val="20"/>
        </w:rPr>
        <w:t>disease;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82" w:after="0"/>
        <w:ind w:left="820" w:right="0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scope,</w:t>
      </w:r>
      <w:r>
        <w:rPr>
          <w:spacing w:val="-2"/>
          <w:sz w:val="20"/>
        </w:rPr>
        <w:t> </w:t>
      </w:r>
      <w:r>
        <w:rPr>
          <w:sz w:val="20"/>
        </w:rPr>
        <w:t>rate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progress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cost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our</w:t>
      </w:r>
      <w:r>
        <w:rPr>
          <w:spacing w:val="-2"/>
          <w:sz w:val="20"/>
        </w:rPr>
        <w:t> </w:t>
      </w:r>
      <w:r>
        <w:rPr>
          <w:sz w:val="20"/>
        </w:rPr>
        <w:t>current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future</w:t>
      </w:r>
      <w:r>
        <w:rPr>
          <w:spacing w:val="-3"/>
          <w:sz w:val="20"/>
        </w:rPr>
        <w:t> </w:t>
      </w:r>
      <w:r>
        <w:rPr>
          <w:sz w:val="20"/>
        </w:rPr>
        <w:t>clinical</w:t>
      </w:r>
      <w:r>
        <w:rPr>
          <w:spacing w:val="-3"/>
          <w:sz w:val="20"/>
        </w:rPr>
        <w:t> </w:t>
      </w:r>
      <w:r>
        <w:rPr>
          <w:sz w:val="20"/>
        </w:rPr>
        <w:t>trials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registries;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cost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2"/>
          <w:sz w:val="20"/>
        </w:rPr>
        <w:t> </w:t>
      </w:r>
      <w:r>
        <w:rPr>
          <w:sz w:val="20"/>
        </w:rPr>
        <w:t>research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development</w:t>
      </w:r>
      <w:r>
        <w:rPr>
          <w:spacing w:val="-4"/>
          <w:sz w:val="20"/>
        </w:rPr>
        <w:t> </w:t>
      </w:r>
      <w:r>
        <w:rPr>
          <w:sz w:val="20"/>
        </w:rPr>
        <w:t>activities;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cost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timing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additional</w:t>
      </w:r>
      <w:r>
        <w:rPr>
          <w:spacing w:val="-4"/>
          <w:sz w:val="20"/>
        </w:rPr>
        <w:t> </w:t>
      </w:r>
      <w:r>
        <w:rPr>
          <w:sz w:val="20"/>
        </w:rPr>
        <w:t>regulatory</w:t>
      </w:r>
      <w:r>
        <w:rPr>
          <w:spacing w:val="-2"/>
          <w:sz w:val="20"/>
        </w:rPr>
        <w:t> </w:t>
      </w:r>
      <w:r>
        <w:rPr>
          <w:sz w:val="20"/>
        </w:rPr>
        <w:t>clearances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approvals;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costs</w:t>
      </w:r>
      <w:r>
        <w:rPr>
          <w:spacing w:val="-4"/>
          <w:sz w:val="20"/>
        </w:rPr>
        <w:t> </w:t>
      </w:r>
      <w:r>
        <w:rPr>
          <w:sz w:val="20"/>
        </w:rPr>
        <w:t>associated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product</w:t>
      </w:r>
      <w:r>
        <w:rPr>
          <w:spacing w:val="-3"/>
          <w:sz w:val="20"/>
        </w:rPr>
        <w:t> </w:t>
      </w:r>
      <w:r>
        <w:rPr>
          <w:sz w:val="20"/>
        </w:rPr>
        <w:t>recall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occur;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costs</w:t>
      </w:r>
      <w:r>
        <w:rPr>
          <w:spacing w:val="-4"/>
          <w:sz w:val="20"/>
        </w:rPr>
        <w:t> </w:t>
      </w:r>
      <w:r>
        <w:rPr>
          <w:sz w:val="20"/>
        </w:rPr>
        <w:t>associated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manufacturing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products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increased</w:t>
      </w:r>
      <w:r>
        <w:rPr>
          <w:spacing w:val="-3"/>
          <w:sz w:val="20"/>
        </w:rPr>
        <w:t> </w:t>
      </w:r>
      <w:r>
        <w:rPr>
          <w:sz w:val="20"/>
        </w:rPr>
        <w:t>production</w:t>
      </w:r>
      <w:r>
        <w:rPr>
          <w:spacing w:val="-3"/>
          <w:sz w:val="20"/>
        </w:rPr>
        <w:t> </w:t>
      </w:r>
      <w:r>
        <w:rPr>
          <w:sz w:val="20"/>
        </w:rPr>
        <w:t>levels;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741" w:top="1320" w:bottom="940" w:left="1340" w:right="1320"/>
        </w:sectPr>
      </w:pP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72" w:after="0"/>
        <w:ind w:left="820" w:right="0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costs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attaining,</w:t>
      </w:r>
      <w:r>
        <w:rPr>
          <w:spacing w:val="-2"/>
          <w:sz w:val="20"/>
        </w:rPr>
        <w:t> </w:t>
      </w:r>
      <w:r>
        <w:rPr>
          <w:sz w:val="20"/>
        </w:rPr>
        <w:t>defending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enforcing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2"/>
          <w:sz w:val="20"/>
        </w:rPr>
        <w:t> </w:t>
      </w:r>
      <w:r>
        <w:rPr>
          <w:sz w:val="20"/>
        </w:rPr>
        <w:t>intellectual</w:t>
      </w:r>
      <w:r>
        <w:rPr>
          <w:spacing w:val="-4"/>
          <w:sz w:val="20"/>
        </w:rPr>
        <w:t> </w:t>
      </w:r>
      <w:r>
        <w:rPr>
          <w:sz w:val="20"/>
        </w:rPr>
        <w:t>property</w:t>
      </w:r>
      <w:r>
        <w:rPr>
          <w:spacing w:val="-3"/>
          <w:sz w:val="20"/>
        </w:rPr>
        <w:t> </w:t>
      </w:r>
      <w:r>
        <w:rPr>
          <w:sz w:val="20"/>
        </w:rPr>
        <w:t>rights;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whether</w:t>
      </w:r>
      <w:r>
        <w:rPr>
          <w:spacing w:val="-4"/>
          <w:sz w:val="20"/>
        </w:rPr>
        <w:t> </w:t>
      </w:r>
      <w:r>
        <w:rPr>
          <w:sz w:val="20"/>
        </w:rPr>
        <w:t>we</w:t>
      </w:r>
      <w:r>
        <w:rPr>
          <w:spacing w:val="-4"/>
          <w:sz w:val="20"/>
        </w:rPr>
        <w:t> </w:t>
      </w:r>
      <w:r>
        <w:rPr>
          <w:sz w:val="20"/>
        </w:rPr>
        <w:t>acquire</w:t>
      </w:r>
      <w:r>
        <w:rPr>
          <w:spacing w:val="-4"/>
          <w:sz w:val="20"/>
        </w:rPr>
        <w:t> </w:t>
      </w:r>
      <w:r>
        <w:rPr>
          <w:sz w:val="20"/>
        </w:rPr>
        <w:t>third-party</w:t>
      </w:r>
      <w:r>
        <w:rPr>
          <w:spacing w:val="-3"/>
          <w:sz w:val="20"/>
        </w:rPr>
        <w:t> </w:t>
      </w:r>
      <w:r>
        <w:rPr>
          <w:sz w:val="20"/>
        </w:rPr>
        <w:t>companies,</w:t>
      </w:r>
      <w:r>
        <w:rPr>
          <w:spacing w:val="-4"/>
          <w:sz w:val="20"/>
        </w:rPr>
        <w:t> </w:t>
      </w:r>
      <w:r>
        <w:rPr>
          <w:sz w:val="20"/>
        </w:rPr>
        <w:t>products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technologies;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terms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timing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collaborative,</w:t>
      </w:r>
      <w:r>
        <w:rPr>
          <w:spacing w:val="-3"/>
          <w:sz w:val="20"/>
        </w:rPr>
        <w:t> </w:t>
      </w:r>
      <w:r>
        <w:rPr>
          <w:sz w:val="20"/>
        </w:rPr>
        <w:t>licensing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arrangements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we</w:t>
      </w:r>
      <w:r>
        <w:rPr>
          <w:spacing w:val="-4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establish;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emergence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competing</w:t>
      </w:r>
      <w:r>
        <w:rPr>
          <w:spacing w:val="-3"/>
          <w:sz w:val="20"/>
        </w:rPr>
        <w:t> </w:t>
      </w:r>
      <w:r>
        <w:rPr>
          <w:sz w:val="20"/>
        </w:rPr>
        <w:t>technologies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adverse</w:t>
      </w:r>
      <w:r>
        <w:rPr>
          <w:spacing w:val="-4"/>
          <w:sz w:val="20"/>
        </w:rPr>
        <w:t> </w:t>
      </w:r>
      <w:r>
        <w:rPr>
          <w:sz w:val="20"/>
        </w:rPr>
        <w:t>market</w:t>
      </w:r>
      <w:r>
        <w:rPr>
          <w:spacing w:val="-4"/>
          <w:sz w:val="20"/>
        </w:rPr>
        <w:t> </w:t>
      </w:r>
      <w:r>
        <w:rPr>
          <w:sz w:val="20"/>
        </w:rPr>
        <w:t>developments;</w:t>
      </w:r>
      <w:r>
        <w:rPr>
          <w:spacing w:val="-4"/>
          <w:sz w:val="20"/>
        </w:rPr>
        <w:t> </w:t>
      </w:r>
      <w:r>
        <w:rPr>
          <w:sz w:val="20"/>
        </w:rPr>
        <w:t>and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rate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we</w:t>
      </w:r>
      <w:r>
        <w:rPr>
          <w:spacing w:val="-3"/>
          <w:sz w:val="20"/>
        </w:rPr>
        <w:t> </w:t>
      </w:r>
      <w:r>
        <w:rPr>
          <w:sz w:val="20"/>
        </w:rPr>
        <w:t>expand</w:t>
      </w:r>
      <w:r>
        <w:rPr>
          <w:spacing w:val="-3"/>
          <w:sz w:val="20"/>
        </w:rPr>
        <w:t> </w:t>
      </w:r>
      <w:r>
        <w:rPr>
          <w:sz w:val="20"/>
        </w:rPr>
        <w:t>internationally.</w:t>
      </w:r>
    </w:p>
    <w:p>
      <w:pPr>
        <w:pStyle w:val="BodyText"/>
        <w:spacing w:line="249" w:lineRule="auto"/>
        <w:ind w:right="186"/>
      </w:pPr>
      <w:r>
        <w:rPr/>
        <w:t>Based on our operating plan, we currently believe that our existing cash and cash equivalents, anticipated</w:t>
      </w:r>
      <w:r>
        <w:rPr>
          <w:spacing w:val="1"/>
        </w:rPr>
        <w:t> </w:t>
      </w:r>
      <w:r>
        <w:rPr/>
        <w:t>revenue and available debt financing arrangements will be sufficient to meet our capital requirements and fund our</w:t>
      </w:r>
      <w:r>
        <w:rPr>
          <w:spacing w:val="1"/>
        </w:rPr>
        <w:t> </w:t>
      </w:r>
      <w:r>
        <w:rPr/>
        <w:t>operations through at least the next twelve months from the issuance date of these financial statements. We have</w:t>
      </w:r>
      <w:r>
        <w:rPr>
          <w:spacing w:val="1"/>
        </w:rPr>
        <w:t> </w:t>
      </w:r>
      <w:r>
        <w:rPr/>
        <w:t>based this estimate on assumptions that may prove to be wrong, and we may need to utilize additional available</w:t>
      </w:r>
      <w:r>
        <w:rPr>
          <w:spacing w:val="1"/>
        </w:rPr>
        <w:t> </w:t>
      </w:r>
      <w:r>
        <w:rPr/>
        <w:t>capital resources. If these sources are insufficient to satisfy our liquidity requirements, we may seek to sell</w:t>
      </w:r>
      <w:r>
        <w:rPr>
          <w:spacing w:val="1"/>
        </w:rPr>
        <w:t> </w:t>
      </w:r>
      <w:r>
        <w:rPr/>
        <w:t>additional public equity or debt securities or obtain an additional credit facility. The sale of equity and convertible</w:t>
      </w:r>
      <w:r>
        <w:rPr>
          <w:spacing w:val="1"/>
        </w:rPr>
        <w:t> </w:t>
      </w:r>
      <w:r>
        <w:rPr/>
        <w:t>debt</w:t>
      </w:r>
      <w:r>
        <w:rPr>
          <w:spacing w:val="-4"/>
        </w:rPr>
        <w:t> </w:t>
      </w:r>
      <w:r>
        <w:rPr/>
        <w:t>securities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result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dilution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our</w:t>
      </w:r>
      <w:r>
        <w:rPr>
          <w:spacing w:val="-3"/>
        </w:rPr>
        <w:t> </w:t>
      </w:r>
      <w:r>
        <w:rPr/>
        <w:t>stockholders</w:t>
      </w:r>
      <w:r>
        <w:rPr>
          <w:spacing w:val="-3"/>
        </w:rPr>
        <w:t> </w:t>
      </w:r>
      <w:r>
        <w:rPr/>
        <w:t>and,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case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preferred</w:t>
      </w:r>
      <w:r>
        <w:rPr>
          <w:spacing w:val="-2"/>
        </w:rPr>
        <w:t> </w:t>
      </w:r>
      <w:r>
        <w:rPr/>
        <w:t>equity</w:t>
      </w:r>
      <w:r>
        <w:rPr>
          <w:spacing w:val="-3"/>
        </w:rPr>
        <w:t> </w:t>
      </w:r>
      <w:r>
        <w:rPr/>
        <w:t>securities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convertible</w:t>
      </w:r>
      <w:r>
        <w:rPr>
          <w:spacing w:val="-47"/>
        </w:rPr>
        <w:t> </w:t>
      </w:r>
      <w:r>
        <w:rPr/>
        <w:t>debt, those securities could provide for rights, preferences or privileges senior to those of our common stock. Debt</w:t>
      </w:r>
      <w:r>
        <w:rPr>
          <w:spacing w:val="1"/>
        </w:rPr>
        <w:t> </w:t>
      </w:r>
      <w:r>
        <w:rPr/>
        <w:t>financing, if available, may involve covenants restricting our operations or our ability to incur additional debt. Any</w:t>
      </w:r>
      <w:r>
        <w:rPr>
          <w:spacing w:val="1"/>
        </w:rPr>
        <w:t> </w:t>
      </w:r>
      <w:r>
        <w:rPr/>
        <w:t>debt financing or additional equity that we raise may contain terms that are not favorable to us or our stockholders.</w:t>
      </w:r>
      <w:r>
        <w:rPr>
          <w:spacing w:val="1"/>
        </w:rPr>
        <w:t> </w:t>
      </w:r>
      <w:r>
        <w:rPr/>
        <w:t>Additional financing may not be available at all, or in amounts or on terms unacceptable to us. If we are unable to</w:t>
      </w:r>
      <w:r>
        <w:rPr>
          <w:spacing w:val="1"/>
        </w:rPr>
        <w:t> </w:t>
      </w:r>
      <w:r>
        <w:rPr/>
        <w:t>obtain additional financing, we may be required to delay the development, commercialization and marketing of our</w:t>
      </w:r>
      <w:r>
        <w:rPr>
          <w:spacing w:val="1"/>
        </w:rPr>
        <w:t> </w:t>
      </w:r>
      <w:r>
        <w:rPr/>
        <w:t>products.</w:t>
      </w:r>
    </w:p>
    <w:p>
      <w:pPr>
        <w:pStyle w:val="Heading3"/>
        <w:spacing w:before="187"/>
        <w:rPr>
          <w:i/>
        </w:rPr>
      </w:pPr>
      <w:r>
        <w:rPr>
          <w:i/>
        </w:rPr>
        <w:t>Indebtedness</w:t>
      </w:r>
    </w:p>
    <w:p>
      <w:pPr>
        <w:pStyle w:val="BodyText"/>
        <w:spacing w:line="249" w:lineRule="auto" w:before="193"/>
        <w:ind w:right="212"/>
      </w:pPr>
      <w:r>
        <w:rPr/>
        <w:t>In September 2019, we entered into a loan facility for up to $75.0 million available in four installments. We</w:t>
      </w:r>
      <w:r>
        <w:rPr>
          <w:spacing w:val="1"/>
        </w:rPr>
        <w:t> </w:t>
      </w:r>
      <w:r>
        <w:rPr/>
        <w:t>borrowed</w:t>
      </w:r>
      <w:r>
        <w:rPr>
          <w:spacing w:val="-3"/>
        </w:rPr>
        <w:t> </w:t>
      </w:r>
      <w:r>
        <w:rPr/>
        <w:t>$25.0</w:t>
      </w:r>
      <w:r>
        <w:rPr>
          <w:spacing w:val="-2"/>
        </w:rPr>
        <w:t> </w:t>
      </w:r>
      <w:r>
        <w:rPr/>
        <w:t>million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September</w:t>
      </w:r>
      <w:r>
        <w:rPr>
          <w:spacing w:val="-2"/>
        </w:rPr>
        <w:t> </w:t>
      </w:r>
      <w:r>
        <w:rPr/>
        <w:t>2019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additional</w:t>
      </w:r>
      <w:r>
        <w:rPr>
          <w:spacing w:val="-4"/>
        </w:rPr>
        <w:t> </w:t>
      </w:r>
      <w:r>
        <w:rPr/>
        <w:t>$25.0</w:t>
      </w:r>
      <w:r>
        <w:rPr>
          <w:spacing w:val="-2"/>
        </w:rPr>
        <w:t> </w:t>
      </w:r>
      <w:r>
        <w:rPr/>
        <w:t>million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March</w:t>
      </w:r>
      <w:r>
        <w:rPr>
          <w:spacing w:val="-2"/>
        </w:rPr>
        <w:t> </w:t>
      </w:r>
      <w:r>
        <w:rPr/>
        <w:t>2020.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third</w:t>
      </w:r>
      <w:r>
        <w:rPr>
          <w:spacing w:val="-2"/>
        </w:rPr>
        <w:t> </w:t>
      </w:r>
      <w:r>
        <w:rPr/>
        <w:t>installment</w:t>
      </w:r>
      <w:r>
        <w:rPr>
          <w:spacing w:val="-4"/>
        </w:rPr>
        <w:t> </w:t>
      </w:r>
      <w:r>
        <w:rPr/>
        <w:t>is</w:t>
      </w:r>
      <w:r>
        <w:rPr>
          <w:spacing w:val="-47"/>
        </w:rPr>
        <w:t> </w:t>
      </w:r>
      <w:r>
        <w:rPr/>
        <w:t>for</w:t>
      </w:r>
      <w:r>
        <w:rPr>
          <w:spacing w:val="-2"/>
        </w:rPr>
        <w:t> </w:t>
      </w:r>
      <w:r>
        <w:rPr/>
        <w:t>$10.0</w:t>
      </w:r>
      <w:r>
        <w:rPr>
          <w:spacing w:val="-1"/>
        </w:rPr>
        <w:t> </w:t>
      </w:r>
      <w:r>
        <w:rPr/>
        <w:t>million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was</w:t>
      </w:r>
      <w:r>
        <w:rPr>
          <w:spacing w:val="-3"/>
        </w:rPr>
        <w:t> </w:t>
      </w:r>
      <w:r>
        <w:rPr/>
        <w:t>originally</w:t>
      </w:r>
      <w:r>
        <w:rPr>
          <w:spacing w:val="-1"/>
        </w:rPr>
        <w:t> </w:t>
      </w:r>
      <w:r>
        <w:rPr/>
        <w:t>available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draw</w:t>
      </w:r>
      <w:r>
        <w:rPr>
          <w:spacing w:val="-2"/>
        </w:rPr>
        <w:t> </w:t>
      </w:r>
      <w:r>
        <w:rPr/>
        <w:t>through</w:t>
      </w:r>
      <w:r>
        <w:rPr>
          <w:spacing w:val="-2"/>
        </w:rPr>
        <w:t> </w:t>
      </w:r>
      <w:r>
        <w:rPr/>
        <w:t>March</w:t>
      </w:r>
      <w:r>
        <w:rPr>
          <w:spacing w:val="-1"/>
        </w:rPr>
        <w:t> </w:t>
      </w:r>
      <w:r>
        <w:rPr/>
        <w:t>31,</w:t>
      </w:r>
      <w:r>
        <w:rPr>
          <w:spacing w:val="-2"/>
        </w:rPr>
        <w:t> </w:t>
      </w:r>
      <w:r>
        <w:rPr/>
        <w:t>2021</w:t>
      </w:r>
      <w:r>
        <w:rPr>
          <w:spacing w:val="-1"/>
        </w:rPr>
        <w:t> </w:t>
      </w:r>
      <w:r>
        <w:rPr/>
        <w:t>contingent</w:t>
      </w:r>
      <w:r>
        <w:rPr>
          <w:spacing w:val="-2"/>
        </w:rPr>
        <w:t> </w:t>
      </w:r>
      <w:r>
        <w:rPr/>
        <w:t>upon</w:t>
      </w:r>
      <w:r>
        <w:rPr>
          <w:spacing w:val="-2"/>
        </w:rPr>
        <w:t> </w:t>
      </w:r>
      <w:r>
        <w:rPr/>
        <w:t>our</w:t>
      </w:r>
      <w:r>
        <w:rPr>
          <w:spacing w:val="-1"/>
        </w:rPr>
        <w:t> </w:t>
      </w:r>
      <w:r>
        <w:rPr/>
        <w:t>achieving</w:t>
      </w:r>
    </w:p>
    <w:p>
      <w:pPr>
        <w:pStyle w:val="BodyText"/>
        <w:spacing w:before="3"/>
        <w:ind w:firstLine="0"/>
      </w:pPr>
      <w:r>
        <w:rPr/>
        <w:t>$20.0</w:t>
      </w:r>
      <w:r>
        <w:rPr>
          <w:spacing w:val="-2"/>
        </w:rPr>
        <w:t> </w:t>
      </w:r>
      <w:r>
        <w:rPr/>
        <w:t>million</w:t>
      </w:r>
      <w:r>
        <w:rPr>
          <w:spacing w:val="-2"/>
        </w:rPr>
        <w:t> </w:t>
      </w:r>
      <w:r>
        <w:rPr/>
        <w:t>trailing</w:t>
      </w:r>
      <w:r>
        <w:rPr>
          <w:spacing w:val="-2"/>
        </w:rPr>
        <w:t> </w:t>
      </w:r>
      <w:r>
        <w:rPr/>
        <w:t>six</w:t>
      </w:r>
      <w:r>
        <w:rPr>
          <w:spacing w:val="-2"/>
        </w:rPr>
        <w:t> </w:t>
      </w:r>
      <w:r>
        <w:rPr/>
        <w:t>months</w:t>
      </w:r>
      <w:r>
        <w:rPr>
          <w:spacing w:val="-2"/>
        </w:rPr>
        <w:t> </w:t>
      </w:r>
      <w:r>
        <w:rPr/>
        <w:t>revenue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month</w:t>
      </w:r>
      <w:r>
        <w:rPr>
          <w:spacing w:val="-2"/>
        </w:rPr>
        <w:t> </w:t>
      </w:r>
      <w:r>
        <w:rPr/>
        <w:t>before</w:t>
      </w:r>
      <w:r>
        <w:rPr>
          <w:spacing w:val="-2"/>
        </w:rPr>
        <w:t> </w:t>
      </w:r>
      <w:r>
        <w:rPr/>
        <w:t>March</w:t>
      </w:r>
      <w:r>
        <w:rPr>
          <w:spacing w:val="-2"/>
        </w:rPr>
        <w:t> </w:t>
      </w:r>
      <w:r>
        <w:rPr/>
        <w:t>31,</w:t>
      </w:r>
      <w:r>
        <w:rPr>
          <w:spacing w:val="-2"/>
        </w:rPr>
        <w:t> </w:t>
      </w:r>
      <w:r>
        <w:rPr/>
        <w:t>2021.</w:t>
      </w:r>
    </w:p>
    <w:p>
      <w:pPr>
        <w:pStyle w:val="BodyText"/>
        <w:ind w:left="460" w:firstLine="0"/>
      </w:pPr>
      <w:r>
        <w:rPr/>
        <w:t>The</w:t>
      </w:r>
      <w:r>
        <w:rPr>
          <w:spacing w:val="-4"/>
        </w:rPr>
        <w:t> </w:t>
      </w:r>
      <w:r>
        <w:rPr/>
        <w:t>remaining</w:t>
      </w:r>
      <w:r>
        <w:rPr>
          <w:spacing w:val="-2"/>
        </w:rPr>
        <w:t> </w:t>
      </w:r>
      <w:r>
        <w:rPr/>
        <w:t>$15.0</w:t>
      </w:r>
      <w:r>
        <w:rPr>
          <w:spacing w:val="-2"/>
        </w:rPr>
        <w:t> </w:t>
      </w:r>
      <w:r>
        <w:rPr/>
        <w:t>million</w:t>
      </w:r>
      <w:r>
        <w:rPr>
          <w:spacing w:val="-2"/>
        </w:rPr>
        <w:t> </w:t>
      </w:r>
      <w:r>
        <w:rPr/>
        <w:t>was</w:t>
      </w:r>
      <w:r>
        <w:rPr>
          <w:spacing w:val="-4"/>
        </w:rPr>
        <w:t> </w:t>
      </w:r>
      <w:r>
        <w:rPr/>
        <w:t>originally</w:t>
      </w:r>
      <w:r>
        <w:rPr>
          <w:spacing w:val="-2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draw</w:t>
      </w:r>
      <w:r>
        <w:rPr>
          <w:spacing w:val="-3"/>
        </w:rPr>
        <w:t> </w:t>
      </w:r>
      <w:r>
        <w:rPr/>
        <w:t>through</w:t>
      </w:r>
      <w:r>
        <w:rPr>
          <w:spacing w:val="-3"/>
        </w:rPr>
        <w:t> </w:t>
      </w:r>
      <w:r>
        <w:rPr/>
        <w:t>June</w:t>
      </w:r>
      <w:r>
        <w:rPr>
          <w:spacing w:val="-3"/>
        </w:rPr>
        <w:t> </w:t>
      </w:r>
      <w:r>
        <w:rPr/>
        <w:t>30,</w:t>
      </w:r>
      <w:r>
        <w:rPr>
          <w:spacing w:val="-2"/>
        </w:rPr>
        <w:t> </w:t>
      </w:r>
      <w:r>
        <w:rPr/>
        <w:t>2021</w:t>
      </w:r>
      <w:r>
        <w:rPr>
          <w:spacing w:val="-2"/>
        </w:rPr>
        <w:t> </w:t>
      </w:r>
      <w:r>
        <w:rPr/>
        <w:t>contingent</w:t>
      </w:r>
      <w:r>
        <w:rPr>
          <w:spacing w:val="-3"/>
        </w:rPr>
        <w:t> </w:t>
      </w:r>
      <w:r>
        <w:rPr/>
        <w:t>upon</w:t>
      </w:r>
      <w:r>
        <w:rPr>
          <w:spacing w:val="-3"/>
        </w:rPr>
        <w:t> </w:t>
      </w:r>
      <w:r>
        <w:rPr/>
        <w:t>achieving</w:t>
      </w:r>
    </w:p>
    <w:p>
      <w:pPr>
        <w:pStyle w:val="BodyText"/>
        <w:spacing w:line="249" w:lineRule="auto" w:before="10"/>
        <w:ind w:right="169" w:firstLine="0"/>
      </w:pPr>
      <w:r>
        <w:rPr/>
        <w:t>$25.0 million in trailing six months revenue. In January 2021, the third installment was amended to be available for</w:t>
      </w:r>
      <w:r>
        <w:rPr>
          <w:spacing w:val="-47"/>
        </w:rPr>
        <w:t> </w:t>
      </w:r>
      <w:r>
        <w:rPr/>
        <w:t>draw through March 31, 2022 contingent upon our achieving $6.4 million trailing six months revenue prior to June</w:t>
      </w:r>
      <w:r>
        <w:rPr>
          <w:spacing w:val="1"/>
        </w:rPr>
        <w:t> </w:t>
      </w:r>
      <w:r>
        <w:rPr/>
        <w:t>30, 2021, and the fourth installment was amended to be available for draw though June 30, 2022. The facility bears</w:t>
      </w:r>
      <w:r>
        <w:rPr>
          <w:spacing w:val="1"/>
        </w:rPr>
        <w:t> </w:t>
      </w:r>
      <w:r>
        <w:rPr/>
        <w:t>an interest rate of the greater of (i) 9.37% and (ii) 7.17% plus 30-day LIBOR. The facility includes customary</w:t>
      </w:r>
      <w:r>
        <w:rPr>
          <w:spacing w:val="1"/>
        </w:rPr>
        <w:t> </w:t>
      </w:r>
      <w:r>
        <w:rPr/>
        <w:t>negative covenants that, among other things, restrict our ability to incur indebtedness or enter into certain change of</w:t>
      </w:r>
      <w:r>
        <w:rPr>
          <w:spacing w:val="-47"/>
        </w:rPr>
        <w:t> </w:t>
      </w:r>
      <w:r>
        <w:rPr/>
        <w:t>control transactions. It also contains customary events of default that would result in the termination of the</w:t>
      </w:r>
      <w:r>
        <w:rPr>
          <w:spacing w:val="1"/>
        </w:rPr>
        <w:t> </w:t>
      </w:r>
      <w:r>
        <w:rPr/>
        <w:t>commitments under the facility and permit the lender to accelerate payment on outstanding borrowings. As of</w:t>
      </w:r>
      <w:r>
        <w:rPr>
          <w:spacing w:val="1"/>
        </w:rPr>
        <w:t> </w:t>
      </w:r>
      <w:r>
        <w:rPr/>
        <w:t>September 30, 2021, we were in compliance with all covenants under the facility. The initial term of the facility is</w:t>
      </w:r>
      <w:r>
        <w:rPr>
          <w:spacing w:val="1"/>
        </w:rPr>
        <w:t> </w:t>
      </w:r>
      <w:r>
        <w:rPr/>
        <w:t>60 months with interest-only payments, with the repayment of principal being amortized over a period of: 36</w:t>
      </w:r>
      <w:r>
        <w:rPr>
          <w:spacing w:val="1"/>
        </w:rPr>
        <w:t> </w:t>
      </w:r>
      <w:r>
        <w:rPr/>
        <w:t>months, if we fail to achieve the revenue target for the third installment, 24 months if we achieve the revenue target</w:t>
      </w:r>
      <w:r>
        <w:rPr>
          <w:spacing w:val="-47"/>
        </w:rPr>
        <w:t> </w:t>
      </w:r>
      <w:r>
        <w:rPr/>
        <w:t>for the third installment but have not raised at least $50.0 million in an initial public offering, or 12 months if we</w:t>
      </w:r>
      <w:r>
        <w:rPr>
          <w:spacing w:val="1"/>
        </w:rPr>
        <w:t> </w:t>
      </w:r>
      <w:r>
        <w:rPr/>
        <w:t>achieve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revenue</w:t>
      </w:r>
      <w:r>
        <w:rPr>
          <w:spacing w:val="-3"/>
        </w:rPr>
        <w:t> </w:t>
      </w:r>
      <w:r>
        <w:rPr/>
        <w:t>target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third</w:t>
      </w:r>
      <w:r>
        <w:rPr>
          <w:spacing w:val="-3"/>
        </w:rPr>
        <w:t> </w:t>
      </w:r>
      <w:r>
        <w:rPr/>
        <w:t>installment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raise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least</w:t>
      </w:r>
      <w:r>
        <w:rPr>
          <w:spacing w:val="-4"/>
        </w:rPr>
        <w:t> </w:t>
      </w:r>
      <w:r>
        <w:rPr/>
        <w:t>$50.0</w:t>
      </w:r>
      <w:r>
        <w:rPr>
          <w:spacing w:val="-2"/>
        </w:rPr>
        <w:t> </w:t>
      </w:r>
      <w:r>
        <w:rPr/>
        <w:t>million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initial</w:t>
      </w:r>
      <w:r>
        <w:rPr>
          <w:spacing w:val="-3"/>
        </w:rPr>
        <w:t> </w:t>
      </w:r>
      <w:r>
        <w:rPr/>
        <w:t>public</w:t>
      </w:r>
      <w:r>
        <w:rPr>
          <w:spacing w:val="-4"/>
        </w:rPr>
        <w:t> </w:t>
      </w:r>
      <w:r>
        <w:rPr/>
        <w:t>offering.</w:t>
      </w:r>
      <w:r>
        <w:rPr>
          <w:spacing w:val="-2"/>
        </w:rPr>
        <w:t> </w:t>
      </w:r>
      <w:r>
        <w:rPr/>
        <w:t>Upon</w:t>
      </w:r>
      <w:r>
        <w:rPr>
          <w:spacing w:val="-47"/>
        </w:rPr>
        <w:t> </w:t>
      </w:r>
      <w:r>
        <w:rPr/>
        <w:t>completion of raising over $50.0 million in our IPO in September 2021, interest-only payments was extended an</w:t>
      </w:r>
      <w:r>
        <w:rPr>
          <w:spacing w:val="1"/>
        </w:rPr>
        <w:t> </w:t>
      </w:r>
      <w:r>
        <w:rPr/>
        <w:t>additional 12 months followed by 12 months amortization of principal and interest. We pledged substantially all of</w:t>
      </w:r>
      <w:r>
        <w:rPr>
          <w:spacing w:val="1"/>
        </w:rPr>
        <w:t> </w:t>
      </w:r>
      <w:r>
        <w:rPr/>
        <w:t>our assets as collateral for the loan. Commencing with the quarter ended June 30, 2021, we are required to achieve</w:t>
      </w:r>
      <w:r>
        <w:rPr>
          <w:spacing w:val="1"/>
        </w:rPr>
        <w:t> </w:t>
      </w:r>
      <w:r>
        <w:rPr/>
        <w:t>revenue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previous</w:t>
      </w:r>
      <w:r>
        <w:rPr>
          <w:spacing w:val="-3"/>
        </w:rPr>
        <w:t> </w:t>
      </w:r>
      <w:r>
        <w:rPr/>
        <w:t>six</w:t>
      </w:r>
      <w:r>
        <w:rPr>
          <w:spacing w:val="-1"/>
        </w:rPr>
        <w:t> </w:t>
      </w:r>
      <w:r>
        <w:rPr/>
        <w:t>months</w:t>
      </w:r>
      <w:r>
        <w:rPr>
          <w:spacing w:val="-2"/>
        </w:rPr>
        <w:t> </w:t>
      </w:r>
      <w:r>
        <w:rPr/>
        <w:t>ended</w:t>
      </w:r>
      <w:r>
        <w:rPr>
          <w:spacing w:val="-1"/>
        </w:rPr>
        <w:t> </w:t>
      </w:r>
      <w:r>
        <w:rPr/>
        <w:t>equal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70%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forecast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commensurate</w:t>
      </w:r>
      <w:r>
        <w:rPr>
          <w:spacing w:val="-3"/>
        </w:rPr>
        <w:t> </w:t>
      </w:r>
      <w:r>
        <w:rPr/>
        <w:t>quarterly</w:t>
      </w:r>
      <w:r>
        <w:rPr>
          <w:spacing w:val="-1"/>
        </w:rPr>
        <w:t> </w:t>
      </w:r>
      <w:r>
        <w:rPr/>
        <w:t>period.</w:t>
      </w:r>
    </w:p>
    <w:p>
      <w:pPr>
        <w:pStyle w:val="BodyText"/>
        <w:spacing w:line="249" w:lineRule="auto" w:before="13"/>
        <w:ind w:right="129" w:firstLine="0"/>
      </w:pPr>
      <w:r>
        <w:rPr/>
        <w:t>Additionally, in connection with the loan facility, we are obligated to pay a fee upon the earlier occurrence of a</w:t>
      </w:r>
      <w:r>
        <w:rPr>
          <w:spacing w:val="1"/>
        </w:rPr>
        <w:t> </w:t>
      </w:r>
      <w:r>
        <w:rPr/>
        <w:t>defined</w:t>
      </w:r>
      <w:r>
        <w:rPr>
          <w:spacing w:val="-2"/>
        </w:rPr>
        <w:t> </w:t>
      </w:r>
      <w:r>
        <w:rPr/>
        <w:t>liquidity</w:t>
      </w:r>
      <w:r>
        <w:rPr>
          <w:spacing w:val="-2"/>
        </w:rPr>
        <w:t> </w:t>
      </w:r>
      <w:r>
        <w:rPr/>
        <w:t>event,</w:t>
      </w:r>
      <w:r>
        <w:rPr>
          <w:spacing w:val="-2"/>
        </w:rPr>
        <w:t> </w:t>
      </w:r>
      <w:r>
        <w:rPr/>
        <w:t>including</w:t>
      </w:r>
      <w:r>
        <w:rPr>
          <w:spacing w:val="-2"/>
        </w:rPr>
        <w:t> </w:t>
      </w:r>
      <w:r>
        <w:rPr/>
        <w:t>but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limited</w:t>
      </w:r>
      <w:r>
        <w:rPr>
          <w:spacing w:val="-2"/>
        </w:rPr>
        <w:t> </w:t>
      </w:r>
      <w:r>
        <w:rPr/>
        <w:t>to,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merger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sale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assets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voting</w:t>
      </w:r>
      <w:r>
        <w:rPr>
          <w:spacing w:val="-2"/>
        </w:rPr>
        <w:t> </w:t>
      </w:r>
      <w:r>
        <w:rPr/>
        <w:t>stock,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achieving</w:t>
      </w:r>
      <w:r>
        <w:rPr>
          <w:spacing w:val="-2"/>
        </w:rPr>
        <w:t> </w:t>
      </w:r>
      <w:r>
        <w:rPr/>
        <w:t>a</w:t>
      </w:r>
    </w:p>
    <w:p>
      <w:pPr>
        <w:pStyle w:val="BodyText"/>
        <w:spacing w:line="249" w:lineRule="auto" w:before="2"/>
        <w:ind w:right="180" w:firstLine="0"/>
      </w:pPr>
      <w:r>
        <w:rPr/>
        <w:t>$200.0 million trailing twelve months revenue target, in each case, by September 2029. The fee is calculated at the</w:t>
      </w:r>
      <w:r>
        <w:rPr>
          <w:spacing w:val="-47"/>
        </w:rPr>
        <w:t> </w:t>
      </w:r>
      <w:r>
        <w:rPr/>
        <w:t>time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liquidity</w:t>
      </w:r>
      <w:r>
        <w:rPr>
          <w:spacing w:val="-2"/>
        </w:rPr>
        <w:t> </w:t>
      </w:r>
      <w:r>
        <w:rPr/>
        <w:t>event</w:t>
      </w:r>
      <w:r>
        <w:rPr>
          <w:spacing w:val="-3"/>
        </w:rPr>
        <w:t> </w:t>
      </w:r>
      <w:r>
        <w:rPr/>
        <w:t>occurrence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$1.0</w:t>
      </w:r>
      <w:r>
        <w:rPr>
          <w:spacing w:val="-2"/>
        </w:rPr>
        <w:t> </w:t>
      </w:r>
      <w:r>
        <w:rPr/>
        <w:t>million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only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first</w:t>
      </w:r>
      <w:r>
        <w:rPr>
          <w:spacing w:val="-4"/>
        </w:rPr>
        <w:t> </w:t>
      </w:r>
      <w:r>
        <w:rPr/>
        <w:t>installment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been</w:t>
      </w:r>
      <w:r>
        <w:rPr>
          <w:spacing w:val="-2"/>
        </w:rPr>
        <w:t> </w:t>
      </w:r>
      <w:r>
        <w:rPr/>
        <w:t>drawn,</w:t>
      </w:r>
      <w:r>
        <w:rPr>
          <w:spacing w:val="-2"/>
        </w:rPr>
        <w:t> </w:t>
      </w:r>
      <w:r>
        <w:rPr/>
        <w:t>$2.0</w:t>
      </w:r>
      <w:r>
        <w:rPr>
          <w:spacing w:val="-2"/>
        </w:rPr>
        <w:t> </w:t>
      </w:r>
      <w:r>
        <w:rPr/>
        <w:t>million</w:t>
      </w:r>
      <w:r>
        <w:rPr>
          <w:spacing w:val="-2"/>
        </w:rPr>
        <w:t> </w:t>
      </w:r>
      <w:r>
        <w:rPr/>
        <w:t>if</w:t>
      </w:r>
      <w:r>
        <w:rPr>
          <w:spacing w:val="-47"/>
        </w:rPr>
        <w:t> </w:t>
      </w:r>
      <w:r>
        <w:rPr/>
        <w:t>the first two installments have been drawn, $2.4 million if the first three installments have been drawn, or $3.0</w:t>
      </w:r>
      <w:r>
        <w:rPr>
          <w:spacing w:val="1"/>
        </w:rPr>
        <w:t> </w:t>
      </w:r>
      <w:r>
        <w:rPr/>
        <w:t>million if all four installments have been drawn, in each case, upon the occurrence of the liquidity event. As of</w:t>
      </w:r>
      <w:r>
        <w:rPr>
          <w:spacing w:val="1"/>
        </w:rPr>
        <w:t> </w:t>
      </w:r>
      <w:r>
        <w:rPr/>
        <w:t>September</w:t>
      </w:r>
      <w:r>
        <w:rPr>
          <w:spacing w:val="-1"/>
        </w:rPr>
        <w:t> </w:t>
      </w:r>
      <w:r>
        <w:rPr/>
        <w:t>30, 2021,</w:t>
      </w:r>
      <w:r>
        <w:rPr>
          <w:spacing w:val="-1"/>
        </w:rPr>
        <w:t> </w:t>
      </w:r>
      <w:r>
        <w:rPr/>
        <w:t>we</w:t>
      </w:r>
      <w:r>
        <w:rPr>
          <w:spacing w:val="-1"/>
        </w:rPr>
        <w:t> </w:t>
      </w:r>
      <w:r>
        <w:rPr/>
        <w:t>had $50.0</w:t>
      </w:r>
      <w:r>
        <w:rPr>
          <w:spacing w:val="-1"/>
        </w:rPr>
        <w:t> </w:t>
      </w:r>
      <w:r>
        <w:rPr/>
        <w:t>million outstanding</w:t>
      </w:r>
      <w:r>
        <w:rPr>
          <w:spacing w:val="-1"/>
        </w:rPr>
        <w:t> </w:t>
      </w:r>
      <w:r>
        <w:rPr/>
        <w:t>under the</w:t>
      </w:r>
      <w:r>
        <w:rPr>
          <w:spacing w:val="-1"/>
        </w:rPr>
        <w:t> </w:t>
      </w:r>
      <w:r>
        <w:rPr/>
        <w:t>loan</w:t>
      </w:r>
      <w:r>
        <w:rPr>
          <w:spacing w:val="-1"/>
        </w:rPr>
        <w:t> </w:t>
      </w:r>
      <w:r>
        <w:rPr/>
        <w:t>facility.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Heading2"/>
      </w:pPr>
      <w:bookmarkStart w:name="Cash Flows " w:id="44"/>
      <w:bookmarkEnd w:id="44"/>
      <w:r>
        <w:rPr>
          <w:b w:val="0"/>
        </w:rPr>
      </w:r>
      <w:r>
        <w:rPr/>
        <w:t>Cash</w:t>
      </w:r>
      <w:r>
        <w:rPr>
          <w:spacing w:val="-6"/>
        </w:rPr>
        <w:t> </w:t>
      </w:r>
      <w:r>
        <w:rPr/>
        <w:t>Flows</w:t>
      </w:r>
    </w:p>
    <w:p>
      <w:pPr>
        <w:pStyle w:val="BodyText"/>
        <w:spacing w:before="194"/>
        <w:ind w:left="460" w:firstLine="0"/>
      </w:pP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table</w:t>
      </w:r>
      <w:r>
        <w:rPr>
          <w:spacing w:val="-3"/>
        </w:rPr>
        <w:t> </w:t>
      </w:r>
      <w:r>
        <w:rPr/>
        <w:t>summarizes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cash</w:t>
      </w:r>
      <w:r>
        <w:rPr>
          <w:spacing w:val="-2"/>
        </w:rPr>
        <w:t> </w:t>
      </w:r>
      <w:r>
        <w:rPr/>
        <w:t>flows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nine</w:t>
      </w:r>
      <w:r>
        <w:rPr>
          <w:spacing w:val="-2"/>
        </w:rPr>
        <w:t> </w:t>
      </w:r>
      <w:r>
        <w:rPr/>
        <w:t>months</w:t>
      </w:r>
      <w:r>
        <w:rPr>
          <w:spacing w:val="-3"/>
        </w:rPr>
        <w:t> </w:t>
      </w:r>
      <w:r>
        <w:rPr/>
        <w:t>ended</w:t>
      </w:r>
      <w:r>
        <w:rPr>
          <w:spacing w:val="-2"/>
        </w:rPr>
        <w:t> </w:t>
      </w:r>
      <w:r>
        <w:rPr/>
        <w:t>September</w:t>
      </w:r>
      <w:r>
        <w:rPr>
          <w:spacing w:val="-2"/>
        </w:rPr>
        <w:t> </w:t>
      </w:r>
      <w:r>
        <w:rPr/>
        <w:t>30,</w:t>
      </w:r>
      <w:r>
        <w:rPr>
          <w:spacing w:val="-2"/>
        </w:rPr>
        <w:t> </w:t>
      </w:r>
      <w:r>
        <w:rPr/>
        <w:t>2021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2020:</w:t>
      </w:r>
    </w:p>
    <w:p>
      <w:pPr>
        <w:pStyle w:val="BodyText"/>
        <w:spacing w:before="0"/>
        <w:ind w:left="0" w:firstLine="0"/>
        <w:rPr>
          <w:sz w:val="14"/>
        </w:rPr>
      </w:pPr>
    </w:p>
    <w:p>
      <w:pPr>
        <w:spacing w:line="208" w:lineRule="auto" w:before="112"/>
        <w:ind w:left="7441" w:right="768" w:firstLine="0"/>
        <w:jc w:val="center"/>
        <w:rPr>
          <w:b/>
          <w:sz w:val="16"/>
        </w:rPr>
      </w:pPr>
      <w:r>
        <w:rPr/>
        <w:pict>
          <v:group style="position:absolute;margin-left:406.5pt;margin-top:22.817783pt;width:133.5pt;height:1pt;mso-position-horizontal-relative:page;mso-position-vertical-relative:paragraph;z-index:-15711232;mso-wrap-distance-left:0;mso-wrap-distance-right:0" id="docshapegroup95" coordorigin="8130,456" coordsize="2670,20">
            <v:shape style="position:absolute;left:8130;top:466;width:2670;height:2" id="docshape96" coordorigin="8130,466" coordsize="2670,0" path="m10800,466l8130,466e" filled="true" fillcolor="#000000" stroked="false">
              <v:path arrowok="t"/>
              <v:fill opacity="0f" type="solid"/>
            </v:shape>
            <v:line style="position:absolute" from="8130,466" to="10800,466" stroked="true" strokeweight="1pt" strokecolor="#000000">
              <v:stroke dashstyle="solid"/>
            </v:line>
            <w10:wrap type="topAndBottom"/>
          </v:group>
        </w:pict>
      </w:r>
      <w:r>
        <w:rPr>
          <w:b/>
          <w:sz w:val="16"/>
        </w:rPr>
        <w:t>Nine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Months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Ended</w:t>
      </w:r>
      <w:r>
        <w:rPr>
          <w:b/>
          <w:spacing w:val="-37"/>
          <w:sz w:val="16"/>
        </w:rPr>
        <w:t> </w:t>
      </w:r>
      <w:r>
        <w:rPr>
          <w:b/>
          <w:sz w:val="16"/>
        </w:rPr>
        <w:t>September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30,</w:t>
      </w:r>
    </w:p>
    <w:p>
      <w:pPr>
        <w:tabs>
          <w:tab w:pos="8034" w:val="left" w:leader="none"/>
        </w:tabs>
        <w:spacing w:before="16" w:after="20"/>
        <w:ind w:left="6669" w:right="0" w:firstLine="0"/>
        <w:jc w:val="center"/>
        <w:rPr>
          <w:b/>
          <w:sz w:val="16"/>
        </w:rPr>
      </w:pPr>
      <w:r>
        <w:rPr>
          <w:b/>
          <w:sz w:val="16"/>
        </w:rPr>
        <w:t>2021</w:t>
        <w:tab/>
        <w:t>2020</w:t>
      </w:r>
    </w:p>
    <w:p>
      <w:pPr>
        <w:pStyle w:val="BodyText"/>
        <w:spacing w:line="20" w:lineRule="exact" w:before="0"/>
        <w:ind w:left="6780" w:firstLine="0"/>
        <w:rPr>
          <w:sz w:val="2"/>
        </w:rPr>
      </w:pPr>
      <w:r>
        <w:rPr>
          <w:sz w:val="2"/>
        </w:rPr>
        <w:pict>
          <v:group style="width:133.5pt;height:1pt;mso-position-horizontal-relative:char;mso-position-vertical-relative:line" id="docshapegroup97" coordorigin="0,0" coordsize="2670,20">
            <v:shape style="position:absolute;left:0;top:10;width:1305;height:2" id="docshape98" coordorigin="0,10" coordsize="1305,0" path="m1305,10l0,10e" filled="true" fillcolor="#000000" stroked="false">
              <v:path arrowok="t"/>
              <v:fill opacity="0f" type="solid"/>
            </v:shape>
            <v:line style="position:absolute" from="0,10" to="1305,10" stroked="true" strokeweight="1pt" strokecolor="#000000">
              <v:stroke dashstyle="solid"/>
            </v:line>
            <v:shape style="position:absolute;left:1365;top:10;width:1305;height:2" id="docshape99" coordorigin="1365,10" coordsize="1305,0" path="m2670,10l1365,10e" filled="true" fillcolor="#000000" stroked="false">
              <v:path arrowok="t"/>
              <v:fill opacity="0f" type="solid"/>
            </v:shape>
            <v:line style="position:absolute" from="1365,10" to="2670,10" stroked="true" strokeweight="1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16"/>
        <w:ind w:left="6956" w:right="286" w:firstLine="0"/>
        <w:jc w:val="center"/>
        <w:rPr>
          <w:b/>
          <w:sz w:val="16"/>
        </w:rPr>
      </w:pPr>
      <w:r>
        <w:rPr>
          <w:b/>
          <w:sz w:val="16"/>
        </w:rPr>
        <w:t>(in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thousands)</w:t>
      </w:r>
    </w:p>
    <w:p>
      <w:pPr>
        <w:pStyle w:val="BodyText"/>
        <w:tabs>
          <w:tab w:pos="7396" w:val="left" w:leader="none"/>
          <w:tab w:pos="8761" w:val="left" w:leader="none"/>
          <w:tab w:pos="9459" w:val="left" w:leader="none"/>
        </w:tabs>
        <w:spacing w:line="280" w:lineRule="auto" w:before="40"/>
        <w:ind w:left="512" w:right="118" w:hanging="360"/>
      </w:pPr>
      <w:r>
        <w:rPr>
          <w:color w:val="000000"/>
          <w:shd w:fill="CCEDFF" w:color="auto" w:val="clear"/>
        </w:rPr>
        <w:t>Net</w:t>
      </w:r>
      <w:r>
        <w:rPr>
          <w:color w:val="000000"/>
          <w:spacing w:val="-3"/>
          <w:shd w:fill="CCEDFF" w:color="auto" w:val="clear"/>
        </w:rPr>
        <w:t> </w:t>
      </w:r>
      <w:r>
        <w:rPr>
          <w:color w:val="000000"/>
          <w:shd w:fill="CCEDFF" w:color="auto" w:val="clear"/>
        </w:rPr>
        <w:t>cash</w:t>
      </w:r>
      <w:r>
        <w:rPr>
          <w:color w:val="000000"/>
          <w:spacing w:val="-2"/>
          <w:shd w:fill="CCEDFF" w:color="auto" w:val="clear"/>
        </w:rPr>
        <w:t> </w:t>
      </w:r>
      <w:r>
        <w:rPr>
          <w:color w:val="000000"/>
          <w:shd w:fill="CCEDFF" w:color="auto" w:val="clear"/>
        </w:rPr>
        <w:t>(used</w:t>
      </w:r>
      <w:r>
        <w:rPr>
          <w:color w:val="000000"/>
          <w:spacing w:val="-2"/>
          <w:shd w:fill="CCEDFF" w:color="auto" w:val="clear"/>
        </w:rPr>
        <w:t> </w:t>
      </w:r>
      <w:r>
        <w:rPr>
          <w:color w:val="000000"/>
          <w:shd w:fill="CCEDFF" w:color="auto" w:val="clear"/>
        </w:rPr>
        <w:t>in)</w:t>
      </w:r>
      <w:r>
        <w:rPr>
          <w:color w:val="000000"/>
          <w:spacing w:val="-2"/>
          <w:shd w:fill="CCEDFF" w:color="auto" w:val="clear"/>
        </w:rPr>
        <w:t> </w:t>
      </w:r>
      <w:r>
        <w:rPr>
          <w:color w:val="000000"/>
          <w:shd w:fill="CCEDFF" w:color="auto" w:val="clear"/>
        </w:rPr>
        <w:t>provided</w:t>
      </w:r>
      <w:r>
        <w:rPr>
          <w:color w:val="000000"/>
          <w:spacing w:val="-2"/>
          <w:shd w:fill="CCEDFF" w:color="auto" w:val="clear"/>
        </w:rPr>
        <w:t> </w:t>
      </w:r>
      <w:r>
        <w:rPr>
          <w:color w:val="000000"/>
          <w:shd w:fill="CCEDFF" w:color="auto" w:val="clear"/>
        </w:rPr>
        <w:t>by:</w:t>
        <w:tab/>
        <w:tab/>
        <w:tab/>
      </w:r>
      <w:r>
        <w:rPr>
          <w:color w:val="000000"/>
        </w:rPr>
        <w:t> Operating</w:t>
      </w:r>
      <w:r>
        <w:rPr>
          <w:color w:val="000000"/>
          <w:spacing w:val="-2"/>
        </w:rPr>
        <w:t> </w:t>
      </w:r>
      <w:r>
        <w:rPr>
          <w:color w:val="000000"/>
        </w:rPr>
        <w:t>activities</w:t>
      </w:r>
      <w:r>
        <w:rPr>
          <w:color w:val="B3B3B3"/>
        </w:rPr>
        <w:t>.............................................................................................</w:t>
      </w:r>
      <w:r>
        <w:rPr>
          <w:color w:val="B3B3B3"/>
          <w:spacing w:val="51"/>
        </w:rPr>
        <w:t> </w:t>
      </w:r>
      <w:r>
        <w:rPr>
          <w:color w:val="000000"/>
        </w:rPr>
        <w:t>$</w:t>
        <w:tab/>
        <w:t>(40,858)</w:t>
      </w:r>
      <w:r>
        <w:rPr>
          <w:color w:val="000000"/>
          <w:spacing w:val="77"/>
        </w:rPr>
        <w:t> </w:t>
      </w:r>
      <w:r>
        <w:rPr>
          <w:color w:val="000000"/>
        </w:rPr>
        <w:t>$</w:t>
        <w:tab/>
        <w:t>(34,898)</w:t>
      </w:r>
    </w:p>
    <w:p>
      <w:pPr>
        <w:pStyle w:val="BodyText"/>
        <w:spacing w:before="0"/>
        <w:ind w:firstLine="0"/>
      </w:pPr>
      <w:r>
        <w:rPr/>
        <w:pict>
          <v:shape style="width:468pt;height:13.5pt;mso-position-horizontal-relative:char;mso-position-vertical-relative:line" type="#_x0000_t202" id="docshape100" filled="true" fillcolor="#ccedff" stroked="false">
            <w10:anchorlock/>
            <v:textbox inset="0,0,0,0">
              <w:txbxContent>
                <w:p>
                  <w:pPr>
                    <w:pStyle w:val="BodyText"/>
                    <w:tabs>
                      <w:tab w:pos="7546" w:val="left" w:leader="none"/>
                      <w:tab w:pos="8911" w:val="left" w:leader="none"/>
                    </w:tabs>
                    <w:spacing w:before="10"/>
                    <w:ind w:left="412" w:firstLine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Investing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activities</w:t>
                  </w:r>
                  <w:r>
                    <w:rPr>
                      <w:color w:val="B3B3B3"/>
                    </w:rPr>
                    <w:t>..............................................................................................</w:t>
                    <w:tab/>
                  </w:r>
                  <w:r>
                    <w:rPr>
                      <w:color w:val="000000"/>
                    </w:rPr>
                    <w:t>(260)</w:t>
                    <w:tab/>
                    <w:t>(224)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tabs>
          <w:tab w:pos="6850" w:val="left" w:leader="none"/>
          <w:tab w:pos="8215" w:val="left" w:leader="none"/>
        </w:tabs>
        <w:spacing w:line="217" w:lineRule="exact" w:before="0"/>
        <w:ind w:left="0" w:right="199" w:firstLine="0"/>
        <w:jc w:val="right"/>
      </w:pPr>
      <w:r>
        <w:rPr/>
        <w:pict>
          <v:group style="position:absolute;margin-left:406.5pt;margin-top:11.843066pt;width:133.5pt;height:1pt;mso-position-horizontal-relative:page;mso-position-vertical-relative:paragraph;z-index:-15709696;mso-wrap-distance-left:0;mso-wrap-distance-right:0" id="docshapegroup101" coordorigin="8130,237" coordsize="2670,20">
            <v:shape style="position:absolute;left:8130;top:246;width:1305;height:2" id="docshape102" coordorigin="8130,247" coordsize="1305,0" path="m9435,247l8130,247e" filled="true" fillcolor="#000000" stroked="false">
              <v:path arrowok="t"/>
              <v:fill opacity="0f" type="solid"/>
            </v:shape>
            <v:line style="position:absolute" from="8130,247" to="9435,247" stroked="true" strokeweight="1pt" strokecolor="#000000">
              <v:stroke dashstyle="solid"/>
            </v:line>
            <v:shape style="position:absolute;left:9495;top:246;width:1305;height:2" id="docshape103" coordorigin="9495,247" coordsize="1305,0" path="m10800,247l9495,247e" filled="true" fillcolor="#000000" stroked="false">
              <v:path arrowok="t"/>
              <v:fill opacity="0f" type="solid"/>
            </v:shape>
            <v:line style="position:absolute" from="9495,247" to="10800,247" stroked="true" strokeweight="1pt" strokecolor="#000000">
              <v:stroke dashstyle="solid"/>
            </v:line>
            <w10:wrap type="topAndBottom"/>
          </v:group>
        </w:pict>
      </w:r>
      <w:r>
        <w:rPr/>
        <w:t>Financing</w:t>
      </w:r>
      <w:r>
        <w:rPr>
          <w:spacing w:val="-3"/>
        </w:rPr>
        <w:t> </w:t>
      </w:r>
      <w:r>
        <w:rPr/>
        <w:t>activities</w:t>
      </w:r>
      <w:r>
        <w:rPr>
          <w:color w:val="B3B3B3"/>
        </w:rPr>
        <w:t>.............................................................................................</w:t>
        <w:tab/>
      </w:r>
      <w:r>
        <w:rPr/>
        <w:t>261,472</w:t>
        <w:tab/>
        <w:t>106,534</w:t>
      </w:r>
    </w:p>
    <w:p>
      <w:pPr>
        <w:pStyle w:val="BodyText"/>
        <w:tabs>
          <w:tab w:pos="7210" w:val="left" w:leader="none"/>
          <w:tab w:pos="8675" w:val="left" w:leader="none"/>
        </w:tabs>
        <w:spacing w:before="0"/>
        <w:ind w:left="0" w:right="199" w:firstLine="0"/>
        <w:jc w:val="right"/>
      </w:pPr>
      <w:r>
        <w:rPr>
          <w:color w:val="000000"/>
          <w:spacing w:val="-1"/>
          <w:shd w:fill="CCEDFF" w:color="auto" w:val="clear"/>
        </w:rPr>
        <w:t>Net increase in</w:t>
      </w:r>
      <w:r>
        <w:rPr>
          <w:color w:val="000000"/>
          <w:shd w:fill="CCEDFF" w:color="auto" w:val="clear"/>
        </w:rPr>
        <w:t> </w:t>
      </w:r>
      <w:r>
        <w:rPr>
          <w:color w:val="000000"/>
          <w:spacing w:val="-1"/>
          <w:shd w:fill="CCEDFF" w:color="auto" w:val="clear"/>
        </w:rPr>
        <w:t>cash,</w:t>
      </w:r>
      <w:r>
        <w:rPr>
          <w:color w:val="000000"/>
          <w:shd w:fill="CCEDFF" w:color="auto" w:val="clear"/>
        </w:rPr>
        <w:t> </w:t>
      </w:r>
      <w:r>
        <w:rPr>
          <w:color w:val="000000"/>
          <w:spacing w:val="-1"/>
          <w:shd w:fill="CCEDFF" w:color="auto" w:val="clear"/>
        </w:rPr>
        <w:t>cash</w:t>
      </w:r>
      <w:r>
        <w:rPr>
          <w:color w:val="000000"/>
          <w:shd w:fill="CCEDFF" w:color="auto" w:val="clear"/>
        </w:rPr>
        <w:t> </w:t>
      </w:r>
      <w:r>
        <w:rPr>
          <w:color w:val="000000"/>
          <w:spacing w:val="-1"/>
          <w:shd w:fill="CCEDFF" w:color="auto" w:val="clear"/>
        </w:rPr>
        <w:t>equivalents </w:t>
      </w:r>
      <w:r>
        <w:rPr>
          <w:color w:val="000000"/>
          <w:shd w:fill="CCEDFF" w:color="auto" w:val="clear"/>
        </w:rPr>
        <w:t>and</w:t>
      </w:r>
      <w:r>
        <w:rPr>
          <w:color w:val="000000"/>
          <w:spacing w:val="1"/>
          <w:shd w:fill="CCEDFF" w:color="auto" w:val="clear"/>
        </w:rPr>
        <w:t> </w:t>
      </w:r>
      <w:r>
        <w:rPr>
          <w:color w:val="000000"/>
          <w:shd w:fill="CCEDFF" w:color="auto" w:val="clear"/>
        </w:rPr>
        <w:t>restricted cash</w:t>
      </w:r>
      <w:r>
        <w:rPr>
          <w:color w:val="000000"/>
          <w:spacing w:val="-23"/>
        </w:rPr>
        <w:t> </w:t>
      </w:r>
      <w:r>
        <w:rPr>
          <w:color w:val="B3B3B3"/>
          <w:shd w:fill="CCEDFF" w:color="auto" w:val="clear"/>
        </w:rPr>
        <w:t>........................................</w:t>
      </w:r>
      <w:r>
        <w:rPr>
          <w:color w:val="B3B3B3"/>
          <w:spacing w:val="57"/>
          <w:shd w:fill="CCEDFF" w:color="auto" w:val="clear"/>
        </w:rPr>
        <w:t> </w:t>
      </w:r>
      <w:r>
        <w:rPr>
          <w:color w:val="000000"/>
          <w:u w:val="double"/>
          <w:shd w:fill="CCEDFF" w:color="auto" w:val="clear"/>
        </w:rPr>
        <w:t>$</w:t>
        <w:tab/>
        <w:t>220,354  </w:t>
      </w:r>
      <w:r>
        <w:rPr>
          <w:color w:val="000000"/>
          <w:spacing w:val="44"/>
          <w:u w:val="double"/>
          <w:shd w:fill="CCEDFF" w:color="auto" w:val="clear"/>
        </w:rPr>
        <w:t> </w:t>
      </w:r>
      <w:r>
        <w:rPr>
          <w:color w:val="000000"/>
          <w:u w:val="double"/>
          <w:shd w:fill="CCEDFF" w:color="auto" w:val="clear"/>
        </w:rPr>
        <w:t>$</w:t>
        <w:tab/>
        <w:t>71,412</w:t>
      </w:r>
    </w:p>
    <w:p>
      <w:pPr>
        <w:pStyle w:val="BodyText"/>
        <w:spacing w:before="6"/>
        <w:ind w:left="0" w:firstLine="0"/>
        <w:rPr>
          <w:sz w:val="14"/>
        </w:rPr>
      </w:pPr>
    </w:p>
    <w:p>
      <w:pPr>
        <w:pStyle w:val="Heading3"/>
        <w:spacing w:before="91"/>
        <w:rPr>
          <w:i/>
        </w:rPr>
      </w:pPr>
      <w:bookmarkStart w:name="Net Cash Used in Operating Activities " w:id="45"/>
      <w:bookmarkEnd w:id="45"/>
      <w:r>
        <w:rPr>
          <w:b w:val="0"/>
          <w:i w:val="0"/>
        </w:rPr>
      </w:r>
      <w:r>
        <w:rPr>
          <w:i/>
        </w:rPr>
        <w:t>Net</w:t>
      </w:r>
      <w:r>
        <w:rPr>
          <w:i/>
          <w:spacing w:val="-6"/>
        </w:rPr>
        <w:t> </w:t>
      </w:r>
      <w:r>
        <w:rPr>
          <w:i/>
        </w:rPr>
        <w:t>Cash</w:t>
      </w:r>
      <w:r>
        <w:rPr>
          <w:i/>
          <w:spacing w:val="-6"/>
        </w:rPr>
        <w:t> </w:t>
      </w:r>
      <w:r>
        <w:rPr>
          <w:i/>
        </w:rPr>
        <w:t>Used</w:t>
      </w:r>
      <w:r>
        <w:rPr>
          <w:i/>
          <w:spacing w:val="-4"/>
        </w:rPr>
        <w:t> </w:t>
      </w:r>
      <w:r>
        <w:rPr>
          <w:i/>
        </w:rPr>
        <w:t>in</w:t>
      </w:r>
      <w:r>
        <w:rPr>
          <w:i/>
          <w:spacing w:val="-6"/>
        </w:rPr>
        <w:t> </w:t>
      </w:r>
      <w:r>
        <w:rPr>
          <w:i/>
        </w:rPr>
        <w:t>Operating</w:t>
      </w:r>
      <w:r>
        <w:rPr>
          <w:i/>
          <w:spacing w:val="-4"/>
        </w:rPr>
        <w:t> </w:t>
      </w:r>
      <w:r>
        <w:rPr>
          <w:i/>
        </w:rPr>
        <w:t>Activities</w:t>
      </w:r>
    </w:p>
    <w:p>
      <w:pPr>
        <w:pStyle w:val="BodyText"/>
        <w:spacing w:line="249" w:lineRule="auto" w:before="194"/>
        <w:ind w:right="180"/>
      </w:pPr>
      <w:r>
        <w:rPr/>
        <w:t>During the nine months ended September 30, 2021, net cash used in operating activities was $40.9 million,</w:t>
      </w:r>
      <w:r>
        <w:rPr>
          <w:spacing w:val="1"/>
        </w:rPr>
        <w:t> </w:t>
      </w:r>
      <w:r>
        <w:rPr/>
        <w:t>consisting primarily of a net loss of $41.5 million and an increase in net operating assets of $4.3 million, partially</w:t>
      </w:r>
      <w:r>
        <w:rPr>
          <w:spacing w:val="1"/>
        </w:rPr>
        <w:t> </w:t>
      </w:r>
      <w:r>
        <w:rPr/>
        <w:t>offset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non-cash</w:t>
      </w:r>
      <w:r>
        <w:rPr>
          <w:spacing w:val="-2"/>
        </w:rPr>
        <w:t> </w:t>
      </w:r>
      <w:r>
        <w:rPr/>
        <w:t>charges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$4.9</w:t>
      </w:r>
      <w:r>
        <w:rPr>
          <w:spacing w:val="-2"/>
        </w:rPr>
        <w:t> </w:t>
      </w:r>
      <w:r>
        <w:rPr/>
        <w:t>million.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cash</w:t>
      </w:r>
      <w:r>
        <w:rPr>
          <w:spacing w:val="-2"/>
        </w:rPr>
        <w:t> </w:t>
      </w:r>
      <w:r>
        <w:rPr/>
        <w:t>used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operations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primarily</w:t>
      </w:r>
      <w:r>
        <w:rPr>
          <w:spacing w:val="-1"/>
        </w:rPr>
        <w:t> </w:t>
      </w:r>
      <w:r>
        <w:rPr/>
        <w:t>due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our</w:t>
      </w:r>
      <w:r>
        <w:rPr>
          <w:spacing w:val="-1"/>
        </w:rPr>
        <w:t> </w:t>
      </w:r>
      <w:r>
        <w:rPr/>
        <w:t>net</w:t>
      </w:r>
      <w:r>
        <w:rPr>
          <w:spacing w:val="-3"/>
        </w:rPr>
        <w:t> </w:t>
      </w:r>
      <w:r>
        <w:rPr/>
        <w:t>loss</w:t>
      </w:r>
      <w:r>
        <w:rPr>
          <w:spacing w:val="-3"/>
        </w:rPr>
        <w:t> </w:t>
      </w:r>
      <w:r>
        <w:rPr/>
        <w:t>due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47"/>
        </w:rPr>
        <w:t> </w:t>
      </w:r>
      <w:r>
        <w:rPr/>
        <w:t>increase in operating expenses to support our commercialization and development activities. The expansion of our</w:t>
      </w:r>
      <w:r>
        <w:rPr>
          <w:spacing w:val="1"/>
        </w:rPr>
        <w:t> </w:t>
      </w:r>
      <w:r>
        <w:rPr/>
        <w:t>commercialization resulted in an increase in accounts receivable and inventory, partially offset by an increase in</w:t>
      </w:r>
      <w:r>
        <w:rPr>
          <w:spacing w:val="1"/>
        </w:rPr>
        <w:t> </w:t>
      </w:r>
      <w:r>
        <w:rPr/>
        <w:t>accounts</w:t>
      </w:r>
      <w:r>
        <w:rPr>
          <w:spacing w:val="-3"/>
        </w:rPr>
        <w:t> </w:t>
      </w:r>
      <w:r>
        <w:rPr/>
        <w:t>payable.</w:t>
      </w:r>
      <w:r>
        <w:rPr>
          <w:spacing w:val="-2"/>
        </w:rPr>
        <w:t> </w:t>
      </w:r>
      <w:r>
        <w:rPr/>
        <w:t>Non-cash</w:t>
      </w:r>
      <w:r>
        <w:rPr>
          <w:spacing w:val="-1"/>
        </w:rPr>
        <w:t> </w:t>
      </w:r>
      <w:r>
        <w:rPr/>
        <w:t>charges</w:t>
      </w:r>
      <w:r>
        <w:rPr>
          <w:spacing w:val="-3"/>
        </w:rPr>
        <w:t> </w:t>
      </w:r>
      <w:r>
        <w:rPr/>
        <w:t>consisted</w:t>
      </w:r>
      <w:r>
        <w:rPr>
          <w:spacing w:val="-1"/>
        </w:rPr>
        <w:t> </w:t>
      </w:r>
      <w:r>
        <w:rPr/>
        <w:t>primarily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depreciation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stock-based</w:t>
      </w:r>
      <w:r>
        <w:rPr>
          <w:spacing w:val="-1"/>
        </w:rPr>
        <w:t> </w:t>
      </w:r>
      <w:r>
        <w:rPr/>
        <w:t>compensation.</w:t>
      </w:r>
    </w:p>
    <w:p>
      <w:pPr>
        <w:pStyle w:val="BodyText"/>
        <w:spacing w:line="249" w:lineRule="auto" w:before="185"/>
        <w:ind w:right="212"/>
      </w:pPr>
      <w:r>
        <w:rPr/>
        <w:t>During the nine months ended September 30, 2020, net cash used in operating activities was $34.9 million,</w:t>
      </w:r>
      <w:r>
        <w:rPr>
          <w:spacing w:val="1"/>
        </w:rPr>
        <w:t> </w:t>
      </w:r>
      <w:r>
        <w:rPr/>
        <w:t>consisting</w:t>
      </w:r>
      <w:r>
        <w:rPr>
          <w:spacing w:val="-3"/>
        </w:rPr>
        <w:t> </w:t>
      </w:r>
      <w:r>
        <w:rPr/>
        <w:t>primarily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net</w:t>
      </w:r>
      <w:r>
        <w:rPr>
          <w:spacing w:val="-4"/>
        </w:rPr>
        <w:t> </w:t>
      </w:r>
      <w:r>
        <w:rPr/>
        <w:t>loss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$37.7</w:t>
      </w:r>
      <w:r>
        <w:rPr>
          <w:spacing w:val="-3"/>
        </w:rPr>
        <w:t> </w:t>
      </w:r>
      <w:r>
        <w:rPr/>
        <w:t>million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increase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net</w:t>
      </w:r>
      <w:r>
        <w:rPr>
          <w:spacing w:val="-3"/>
        </w:rPr>
        <w:t> </w:t>
      </w:r>
      <w:r>
        <w:rPr/>
        <w:t>operating</w:t>
      </w:r>
      <w:r>
        <w:rPr>
          <w:spacing w:val="-3"/>
        </w:rPr>
        <w:t> </w:t>
      </w:r>
      <w:r>
        <w:rPr/>
        <w:t>assets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$0.4</w:t>
      </w:r>
      <w:r>
        <w:rPr>
          <w:spacing w:val="-3"/>
        </w:rPr>
        <w:t> </w:t>
      </w:r>
      <w:r>
        <w:rPr/>
        <w:t>million,</w:t>
      </w:r>
      <w:r>
        <w:rPr>
          <w:spacing w:val="-2"/>
        </w:rPr>
        <w:t> </w:t>
      </w:r>
      <w:r>
        <w:rPr/>
        <w:t>partially</w:t>
      </w:r>
      <w:r>
        <w:rPr>
          <w:spacing w:val="-47"/>
        </w:rPr>
        <w:t> </w:t>
      </w:r>
      <w:r>
        <w:rPr/>
        <w:t>offset by non-cash charges of $3.2 million. The cash used in operations was primarily due to our net loss. The</w:t>
      </w:r>
      <w:r>
        <w:rPr>
          <w:spacing w:val="1"/>
        </w:rPr>
        <w:t> </w:t>
      </w:r>
      <w:r>
        <w:rPr/>
        <w:t>increase in net operating assets was primarily due to an increase in inventory and accounts receivable, partially</w:t>
      </w:r>
      <w:r>
        <w:rPr>
          <w:spacing w:val="1"/>
        </w:rPr>
        <w:t> </w:t>
      </w:r>
      <w:r>
        <w:rPr/>
        <w:t>offset by an increase in accrued compensation. Non-cash charges consisted primarily of depreciation and stock-</w:t>
      </w:r>
      <w:r>
        <w:rPr>
          <w:spacing w:val="1"/>
        </w:rPr>
        <w:t> </w:t>
      </w:r>
      <w:r>
        <w:rPr/>
        <w:t>based</w:t>
      </w:r>
      <w:r>
        <w:rPr>
          <w:spacing w:val="-1"/>
        </w:rPr>
        <w:t> </w:t>
      </w:r>
      <w:r>
        <w:rPr/>
        <w:t>compensation.</w:t>
      </w:r>
    </w:p>
    <w:p>
      <w:pPr>
        <w:pStyle w:val="Heading3"/>
        <w:spacing w:before="181"/>
        <w:rPr>
          <w:i/>
        </w:rPr>
      </w:pPr>
      <w:r>
        <w:rPr>
          <w:i/>
        </w:rPr>
        <w:t>Net</w:t>
      </w:r>
      <w:r>
        <w:rPr>
          <w:i/>
          <w:spacing w:val="-5"/>
        </w:rPr>
        <w:t> </w:t>
      </w:r>
      <w:r>
        <w:rPr>
          <w:i/>
        </w:rPr>
        <w:t>Cash</w:t>
      </w:r>
      <w:r>
        <w:rPr>
          <w:i/>
          <w:spacing w:val="-4"/>
        </w:rPr>
        <w:t> </w:t>
      </w:r>
      <w:r>
        <w:rPr>
          <w:i/>
        </w:rPr>
        <w:t>Used</w:t>
      </w:r>
      <w:r>
        <w:rPr>
          <w:i/>
          <w:spacing w:val="-4"/>
        </w:rPr>
        <w:t> </w:t>
      </w:r>
      <w:r>
        <w:rPr>
          <w:i/>
        </w:rPr>
        <w:t>in</w:t>
      </w:r>
      <w:r>
        <w:rPr>
          <w:i/>
          <w:spacing w:val="-4"/>
        </w:rPr>
        <w:t> </w:t>
      </w:r>
      <w:r>
        <w:rPr>
          <w:i/>
        </w:rPr>
        <w:t>by</w:t>
      </w:r>
      <w:r>
        <w:rPr>
          <w:i/>
          <w:spacing w:val="-4"/>
        </w:rPr>
        <w:t> </w:t>
      </w:r>
      <w:r>
        <w:rPr>
          <w:i/>
        </w:rPr>
        <w:t>Investing</w:t>
      </w:r>
      <w:r>
        <w:rPr>
          <w:i/>
          <w:spacing w:val="-4"/>
        </w:rPr>
        <w:t> </w:t>
      </w:r>
      <w:r>
        <w:rPr>
          <w:i/>
        </w:rPr>
        <w:t>Activities</w:t>
      </w:r>
    </w:p>
    <w:p>
      <w:pPr>
        <w:pStyle w:val="BodyText"/>
        <w:spacing w:line="249" w:lineRule="auto" w:before="193"/>
        <w:ind w:right="212"/>
      </w:pPr>
      <w:r>
        <w:rPr/>
        <w:t>During the nine months ended September 30, 2021, net cash used in investing activities was $0.3 million,</w:t>
      </w:r>
      <w:r>
        <w:rPr>
          <w:spacing w:val="1"/>
        </w:rPr>
        <w:t> </w:t>
      </w:r>
      <w:r>
        <w:rPr/>
        <w:t>consisting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purchases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property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equipment.</w:t>
      </w:r>
      <w:r>
        <w:rPr>
          <w:spacing w:val="-3"/>
        </w:rPr>
        <w:t> </w:t>
      </w:r>
      <w:r>
        <w:rPr/>
        <w:t>During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nine</w:t>
      </w:r>
      <w:r>
        <w:rPr>
          <w:spacing w:val="-3"/>
        </w:rPr>
        <w:t> </w:t>
      </w:r>
      <w:r>
        <w:rPr/>
        <w:t>months</w:t>
      </w:r>
      <w:r>
        <w:rPr>
          <w:spacing w:val="-3"/>
        </w:rPr>
        <w:t> </w:t>
      </w:r>
      <w:r>
        <w:rPr/>
        <w:t>ended</w:t>
      </w:r>
      <w:r>
        <w:rPr>
          <w:spacing w:val="-2"/>
        </w:rPr>
        <w:t> </w:t>
      </w:r>
      <w:r>
        <w:rPr/>
        <w:t>September</w:t>
      </w:r>
      <w:r>
        <w:rPr>
          <w:spacing w:val="-2"/>
        </w:rPr>
        <w:t> </w:t>
      </w:r>
      <w:r>
        <w:rPr/>
        <w:t>30,</w:t>
      </w:r>
      <w:r>
        <w:rPr>
          <w:spacing w:val="-3"/>
        </w:rPr>
        <w:t> </w:t>
      </w:r>
      <w:r>
        <w:rPr/>
        <w:t>2020,</w:t>
      </w:r>
      <w:r>
        <w:rPr>
          <w:spacing w:val="-2"/>
        </w:rPr>
        <w:t> </w:t>
      </w:r>
      <w:r>
        <w:rPr/>
        <w:t>net</w:t>
      </w:r>
      <w:r>
        <w:rPr>
          <w:spacing w:val="-3"/>
        </w:rPr>
        <w:t> </w:t>
      </w:r>
      <w:r>
        <w:rPr/>
        <w:t>cash</w:t>
      </w:r>
      <w:r>
        <w:rPr>
          <w:spacing w:val="-47"/>
        </w:rPr>
        <w:t> </w:t>
      </w:r>
      <w:r>
        <w:rPr/>
        <w:t>used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investing</w:t>
      </w:r>
      <w:r>
        <w:rPr>
          <w:spacing w:val="-1"/>
        </w:rPr>
        <w:t> </w:t>
      </w:r>
      <w:r>
        <w:rPr/>
        <w:t>activities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/>
        <w:t>$0.2</w:t>
      </w:r>
      <w:r>
        <w:rPr>
          <w:spacing w:val="-1"/>
        </w:rPr>
        <w:t> </w:t>
      </w:r>
      <w:r>
        <w:rPr/>
        <w:t>million,</w:t>
      </w:r>
      <w:r>
        <w:rPr>
          <w:spacing w:val="-1"/>
        </w:rPr>
        <w:t> </w:t>
      </w:r>
      <w:r>
        <w:rPr/>
        <w:t>consisting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purchases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property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equipment.</w:t>
      </w:r>
    </w:p>
    <w:p>
      <w:pPr>
        <w:pStyle w:val="Heading3"/>
        <w:rPr>
          <w:i/>
        </w:rPr>
      </w:pPr>
      <w:r>
        <w:rPr>
          <w:i/>
        </w:rPr>
        <w:t>Net</w:t>
      </w:r>
      <w:r>
        <w:rPr>
          <w:i/>
          <w:spacing w:val="-5"/>
        </w:rPr>
        <w:t> </w:t>
      </w:r>
      <w:r>
        <w:rPr>
          <w:i/>
        </w:rPr>
        <w:t>Cash</w:t>
      </w:r>
      <w:r>
        <w:rPr>
          <w:i/>
          <w:spacing w:val="-5"/>
        </w:rPr>
        <w:t> </w:t>
      </w:r>
      <w:r>
        <w:rPr>
          <w:i/>
        </w:rPr>
        <w:t>Provided</w:t>
      </w:r>
      <w:r>
        <w:rPr>
          <w:i/>
          <w:spacing w:val="-4"/>
        </w:rPr>
        <w:t> </w:t>
      </w:r>
      <w:r>
        <w:rPr>
          <w:i/>
        </w:rPr>
        <w:t>by</w:t>
      </w:r>
      <w:r>
        <w:rPr>
          <w:i/>
          <w:spacing w:val="-5"/>
        </w:rPr>
        <w:t> </w:t>
      </w:r>
      <w:r>
        <w:rPr>
          <w:i/>
        </w:rPr>
        <w:t>Financing</w:t>
      </w:r>
      <w:r>
        <w:rPr>
          <w:i/>
          <w:spacing w:val="-4"/>
        </w:rPr>
        <w:t> </w:t>
      </w:r>
      <w:r>
        <w:rPr>
          <w:i/>
        </w:rPr>
        <w:t>Activities</w:t>
      </w:r>
    </w:p>
    <w:p>
      <w:pPr>
        <w:pStyle w:val="BodyText"/>
        <w:spacing w:line="249" w:lineRule="auto" w:before="193"/>
        <w:ind w:right="148"/>
      </w:pPr>
      <w:r>
        <w:rPr/>
        <w:t>During the nine months ended September 30, 2021, net cash provided by financing activities was $261.5</w:t>
      </w:r>
      <w:r>
        <w:rPr>
          <w:spacing w:val="1"/>
        </w:rPr>
        <w:t> </w:t>
      </w:r>
      <w:r>
        <w:rPr/>
        <w:t>million,</w:t>
      </w:r>
      <w:r>
        <w:rPr>
          <w:spacing w:val="-3"/>
        </w:rPr>
        <w:t> </w:t>
      </w:r>
      <w:r>
        <w:rPr/>
        <w:t>consisting</w:t>
      </w:r>
      <w:r>
        <w:rPr>
          <w:spacing w:val="-2"/>
        </w:rPr>
        <w:t> </w:t>
      </w:r>
      <w:r>
        <w:rPr/>
        <w:t>primarily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net</w:t>
      </w:r>
      <w:r>
        <w:rPr>
          <w:spacing w:val="-3"/>
        </w:rPr>
        <w:t> </w:t>
      </w:r>
      <w:r>
        <w:rPr/>
        <w:t>proceeds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IPO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$172.4</w:t>
      </w:r>
      <w:r>
        <w:rPr>
          <w:spacing w:val="-2"/>
        </w:rPr>
        <w:t> </w:t>
      </w:r>
      <w:r>
        <w:rPr/>
        <w:t>million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issuance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shares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Series</w:t>
      </w:r>
      <w:r>
        <w:rPr>
          <w:spacing w:val="-47"/>
        </w:rPr>
        <w:t> </w:t>
      </w:r>
      <w:r>
        <w:rPr/>
        <w:t>G redeemable convertible preferred stock of $84.7 million. During the nine months ended September 30, 2020, net</w:t>
      </w:r>
      <w:r>
        <w:rPr>
          <w:spacing w:val="1"/>
        </w:rPr>
        <w:t> </w:t>
      </w:r>
      <w:r>
        <w:rPr/>
        <w:t>cash provided by financing activities was $106.5 million, consisting primarily of net proceeds from the issuance of</w:t>
      </w:r>
      <w:r>
        <w:rPr>
          <w:spacing w:val="1"/>
        </w:rPr>
        <w:t> </w:t>
      </w:r>
      <w:r>
        <w:rPr/>
        <w:t>shares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Series</w:t>
      </w:r>
      <w:r>
        <w:rPr>
          <w:spacing w:val="-3"/>
        </w:rPr>
        <w:t> </w:t>
      </w:r>
      <w:r>
        <w:rPr/>
        <w:t>F</w:t>
      </w:r>
      <w:r>
        <w:rPr>
          <w:spacing w:val="-3"/>
        </w:rPr>
        <w:t> </w:t>
      </w:r>
      <w:r>
        <w:rPr/>
        <w:t>redeemable</w:t>
      </w:r>
      <w:r>
        <w:rPr>
          <w:spacing w:val="-2"/>
        </w:rPr>
        <w:t> </w:t>
      </w:r>
      <w:r>
        <w:rPr/>
        <w:t>convertible</w:t>
      </w:r>
      <w:r>
        <w:rPr>
          <w:spacing w:val="-3"/>
        </w:rPr>
        <w:t> </w:t>
      </w:r>
      <w:r>
        <w:rPr/>
        <w:t>preferred</w:t>
      </w:r>
      <w:r>
        <w:rPr>
          <w:spacing w:val="-2"/>
        </w:rPr>
        <w:t> </w:t>
      </w:r>
      <w:r>
        <w:rPr/>
        <w:t>stock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$76.5</w:t>
      </w:r>
      <w:r>
        <w:rPr>
          <w:spacing w:val="-2"/>
        </w:rPr>
        <w:t> </w:t>
      </w:r>
      <w:r>
        <w:rPr/>
        <w:t>million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notes</w:t>
      </w:r>
      <w:r>
        <w:rPr>
          <w:spacing w:val="-3"/>
        </w:rPr>
        <w:t> </w:t>
      </w:r>
      <w:r>
        <w:rPr/>
        <w:t>payable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$24.7</w:t>
      </w:r>
      <w:r>
        <w:rPr>
          <w:spacing w:val="-2"/>
        </w:rPr>
        <w:t> </w:t>
      </w:r>
      <w:r>
        <w:rPr/>
        <w:t>million.</w:t>
      </w:r>
    </w:p>
    <w:p>
      <w:pPr>
        <w:pStyle w:val="Heading2"/>
        <w:spacing w:before="181"/>
      </w:pPr>
      <w:bookmarkStart w:name="Contractual Commitments and Contingencie" w:id="46"/>
      <w:bookmarkEnd w:id="46"/>
      <w:r>
        <w:rPr>
          <w:b w:val="0"/>
        </w:rPr>
      </w:r>
      <w:r>
        <w:rPr/>
        <w:t>Contractual</w:t>
      </w:r>
      <w:r>
        <w:rPr>
          <w:spacing w:val="-8"/>
        </w:rPr>
        <w:t> </w:t>
      </w:r>
      <w:r>
        <w:rPr/>
        <w:t>Commitments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Contingencies</w:t>
      </w:r>
    </w:p>
    <w:p>
      <w:pPr>
        <w:pStyle w:val="BodyText"/>
        <w:spacing w:line="249" w:lineRule="auto" w:before="193"/>
        <w:ind w:right="127"/>
      </w:pPr>
      <w:r>
        <w:rPr/>
        <w:t>The</w:t>
      </w:r>
      <w:r>
        <w:rPr>
          <w:spacing w:val="-4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included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Note</w:t>
      </w:r>
      <w:r>
        <w:rPr>
          <w:spacing w:val="-4"/>
        </w:rPr>
        <w:t> </w:t>
      </w:r>
      <w:r>
        <w:rPr/>
        <w:t>9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condensed</w:t>
      </w:r>
      <w:r>
        <w:rPr>
          <w:spacing w:val="-3"/>
        </w:rPr>
        <w:t> </w:t>
      </w:r>
      <w:r>
        <w:rPr/>
        <w:t>consolidated</w:t>
      </w:r>
      <w:r>
        <w:rPr>
          <w:spacing w:val="-2"/>
        </w:rPr>
        <w:t> </w:t>
      </w:r>
      <w:r>
        <w:rPr/>
        <w:t>financial</w:t>
      </w:r>
      <w:r>
        <w:rPr>
          <w:spacing w:val="-4"/>
        </w:rPr>
        <w:t> </w:t>
      </w:r>
      <w:r>
        <w:rPr/>
        <w:t>statements</w:t>
      </w:r>
      <w:r>
        <w:rPr>
          <w:spacing w:val="-4"/>
        </w:rPr>
        <w:t> </w:t>
      </w:r>
      <w:r>
        <w:rPr/>
        <w:t>included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Part</w:t>
      </w:r>
      <w:r>
        <w:rPr>
          <w:spacing w:val="-4"/>
        </w:rPr>
        <w:t> </w:t>
      </w:r>
      <w:r>
        <w:rPr/>
        <w:t>I,</w:t>
      </w:r>
      <w:r>
        <w:rPr>
          <w:spacing w:val="-2"/>
        </w:rPr>
        <w:t> </w:t>
      </w:r>
      <w:r>
        <w:rPr/>
        <w:t>Item</w:t>
      </w:r>
      <w:r>
        <w:rPr>
          <w:spacing w:val="-4"/>
        </w:rPr>
        <w:t> </w:t>
      </w:r>
      <w:r>
        <w:rPr/>
        <w:t>1</w:t>
      </w:r>
      <w:r>
        <w:rPr>
          <w:spacing w:val="-47"/>
        </w:rPr>
        <w:t> </w:t>
      </w:r>
      <w:r>
        <w:rPr/>
        <w:t>of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Quarterly Report</w:t>
      </w:r>
      <w:r>
        <w:rPr>
          <w:spacing w:val="-2"/>
        </w:rPr>
        <w:t> </w:t>
      </w:r>
      <w:r>
        <w:rPr/>
        <w:t>on Form</w:t>
      </w:r>
      <w:r>
        <w:rPr>
          <w:spacing w:val="-1"/>
        </w:rPr>
        <w:t> </w:t>
      </w:r>
      <w:r>
        <w:rPr/>
        <w:t>10-Q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incorporated herein</w:t>
      </w:r>
      <w:r>
        <w:rPr>
          <w:spacing w:val="-1"/>
        </w:rPr>
        <w:t> </w:t>
      </w:r>
      <w:r>
        <w:rPr/>
        <w:t>by reference.</w:t>
      </w:r>
    </w:p>
    <w:p>
      <w:pPr>
        <w:pStyle w:val="Heading2"/>
        <w:spacing w:before="179"/>
      </w:pPr>
      <w:bookmarkStart w:name="Off-Balance Sheet Arrangements " w:id="47"/>
      <w:bookmarkEnd w:id="47"/>
      <w:r>
        <w:rPr>
          <w:b w:val="0"/>
        </w:rPr>
      </w:r>
      <w:r>
        <w:rPr/>
        <w:t>Off-Balance</w:t>
      </w:r>
      <w:r>
        <w:rPr>
          <w:spacing w:val="-9"/>
        </w:rPr>
        <w:t> </w:t>
      </w:r>
      <w:r>
        <w:rPr/>
        <w:t>Sheet</w:t>
      </w:r>
      <w:r>
        <w:rPr>
          <w:spacing w:val="-8"/>
        </w:rPr>
        <w:t> </w:t>
      </w:r>
      <w:r>
        <w:rPr/>
        <w:t>Arrangements</w:t>
      </w:r>
    </w:p>
    <w:p>
      <w:pPr>
        <w:pStyle w:val="BodyText"/>
        <w:spacing w:line="249" w:lineRule="auto" w:before="193"/>
      </w:pPr>
      <w:r>
        <w:rPr/>
        <w:t>We</w:t>
      </w:r>
      <w:r>
        <w:rPr>
          <w:spacing w:val="-3"/>
        </w:rPr>
        <w:t> </w:t>
      </w:r>
      <w:r>
        <w:rPr/>
        <w:t>did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during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periods</w:t>
      </w:r>
      <w:r>
        <w:rPr>
          <w:spacing w:val="-3"/>
        </w:rPr>
        <w:t> </w:t>
      </w:r>
      <w:r>
        <w:rPr/>
        <w:t>presented,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we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currently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/>
        <w:t>off-balance</w:t>
      </w:r>
      <w:r>
        <w:rPr>
          <w:spacing w:val="-3"/>
        </w:rPr>
        <w:t> </w:t>
      </w:r>
      <w:r>
        <w:rPr/>
        <w:t>sheet</w:t>
      </w:r>
      <w:r>
        <w:rPr>
          <w:spacing w:val="-3"/>
        </w:rPr>
        <w:t> </w:t>
      </w:r>
      <w:r>
        <w:rPr/>
        <w:t>arrangements,</w:t>
      </w:r>
      <w:r>
        <w:rPr>
          <w:spacing w:val="-47"/>
        </w:rPr>
        <w:t> </w:t>
      </w:r>
      <w:r>
        <w:rPr/>
        <w:t>such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structured finance,</w:t>
      </w:r>
      <w:r>
        <w:rPr>
          <w:spacing w:val="-1"/>
        </w:rPr>
        <w:t> </w:t>
      </w:r>
      <w:r>
        <w:rPr/>
        <w:t>special</w:t>
      </w:r>
      <w:r>
        <w:rPr>
          <w:spacing w:val="-1"/>
        </w:rPr>
        <w:t> </w:t>
      </w:r>
      <w:r>
        <w:rPr/>
        <w:t>purpose</w:t>
      </w:r>
      <w:r>
        <w:rPr>
          <w:spacing w:val="-2"/>
        </w:rPr>
        <w:t> </w:t>
      </w:r>
      <w:r>
        <w:rPr/>
        <w:t>entities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variable</w:t>
      </w:r>
      <w:r>
        <w:rPr>
          <w:spacing w:val="-1"/>
        </w:rPr>
        <w:t> </w:t>
      </w:r>
      <w:r>
        <w:rPr/>
        <w:t>interest</w:t>
      </w:r>
      <w:r>
        <w:rPr>
          <w:spacing w:val="-2"/>
        </w:rPr>
        <w:t> </w:t>
      </w:r>
      <w:r>
        <w:rPr/>
        <w:t>entities.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Heading2"/>
      </w:pPr>
      <w:bookmarkStart w:name="Critical Accounting Policies and Estimat" w:id="48"/>
      <w:bookmarkEnd w:id="48"/>
      <w:r>
        <w:rPr>
          <w:b w:val="0"/>
        </w:rPr>
      </w:r>
      <w:r>
        <w:rPr/>
        <w:t>Critical</w:t>
      </w:r>
      <w:r>
        <w:rPr>
          <w:spacing w:val="-7"/>
        </w:rPr>
        <w:t> </w:t>
      </w:r>
      <w:r>
        <w:rPr/>
        <w:t>Accounting</w:t>
      </w:r>
      <w:r>
        <w:rPr>
          <w:spacing w:val="-6"/>
        </w:rPr>
        <w:t> </w:t>
      </w:r>
      <w:r>
        <w:rPr/>
        <w:t>Policies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Estimates</w:t>
      </w:r>
    </w:p>
    <w:p>
      <w:pPr>
        <w:pStyle w:val="BodyText"/>
        <w:spacing w:line="249" w:lineRule="auto" w:before="194"/>
        <w:ind w:right="139"/>
      </w:pPr>
      <w:r>
        <w:rPr/>
        <w:t>Management’s discussion and analysis of our financial condition and results of operations is based on our</w:t>
      </w:r>
      <w:r>
        <w:rPr>
          <w:spacing w:val="1"/>
        </w:rPr>
        <w:t> </w:t>
      </w:r>
      <w:r>
        <w:rPr/>
        <w:t>financial statements, which have been prepared in accordance with U.S. generally accepted accounting principles.</w:t>
      </w:r>
      <w:r>
        <w:rPr>
          <w:spacing w:val="1"/>
        </w:rPr>
        <w:t> </w:t>
      </w:r>
      <w:r>
        <w:rPr/>
        <w:t>The preparation of these financial statements requires us to make estimates and assumptions for the reported</w:t>
      </w:r>
      <w:r>
        <w:rPr>
          <w:spacing w:val="1"/>
        </w:rPr>
        <w:t> </w:t>
      </w:r>
      <w:r>
        <w:rPr/>
        <w:t>amounts of assets, liabilities, revenue, expenses and related disclosures. Our estimates are based on our historical</w:t>
      </w:r>
      <w:r>
        <w:rPr>
          <w:spacing w:val="1"/>
        </w:rPr>
        <w:t> </w:t>
      </w:r>
      <w:r>
        <w:rPr/>
        <w:t>experience and on various other factors that we believe are reasonable under the circumstances, the results of which</w:t>
      </w:r>
      <w:r>
        <w:rPr>
          <w:spacing w:val="1"/>
        </w:rPr>
        <w:t> </w:t>
      </w:r>
      <w:r>
        <w:rPr/>
        <w:t>form the basis for making judgments about the carrying value of assets and liabilities that are not readily apparent</w:t>
      </w:r>
      <w:r>
        <w:rPr>
          <w:spacing w:val="1"/>
        </w:rPr>
        <w:t> </w:t>
      </w:r>
      <w:r>
        <w:rPr/>
        <w:t>from</w:t>
      </w:r>
      <w:r>
        <w:rPr>
          <w:spacing w:val="-4"/>
        </w:rPr>
        <w:t> </w:t>
      </w:r>
      <w:r>
        <w:rPr/>
        <w:t>other</w:t>
      </w:r>
      <w:r>
        <w:rPr>
          <w:spacing w:val="-3"/>
        </w:rPr>
        <w:t> </w:t>
      </w:r>
      <w:r>
        <w:rPr/>
        <w:t>sources.</w:t>
      </w:r>
      <w:r>
        <w:rPr>
          <w:spacing w:val="-2"/>
        </w:rPr>
        <w:t> </w:t>
      </w:r>
      <w:r>
        <w:rPr/>
        <w:t>Actual</w:t>
      </w:r>
      <w:r>
        <w:rPr>
          <w:spacing w:val="-4"/>
        </w:rPr>
        <w:t> </w:t>
      </w:r>
      <w:r>
        <w:rPr/>
        <w:t>results</w:t>
      </w:r>
      <w:r>
        <w:rPr>
          <w:spacing w:val="-4"/>
        </w:rPr>
        <w:t> </w:t>
      </w:r>
      <w:r>
        <w:rPr/>
        <w:t>may</w:t>
      </w:r>
      <w:r>
        <w:rPr>
          <w:spacing w:val="-2"/>
        </w:rPr>
        <w:t> </w:t>
      </w:r>
      <w:r>
        <w:rPr/>
        <w:t>differ</w:t>
      </w:r>
      <w:r>
        <w:rPr>
          <w:spacing w:val="-3"/>
        </w:rPr>
        <w:t> </w:t>
      </w:r>
      <w:r>
        <w:rPr/>
        <w:t>from</w:t>
      </w:r>
      <w:r>
        <w:rPr>
          <w:spacing w:val="-4"/>
        </w:rPr>
        <w:t> </w:t>
      </w:r>
      <w:r>
        <w:rPr/>
        <w:t>these</w:t>
      </w:r>
      <w:r>
        <w:rPr>
          <w:spacing w:val="-3"/>
        </w:rPr>
        <w:t> </w:t>
      </w:r>
      <w:r>
        <w:rPr/>
        <w:t>estimates</w:t>
      </w:r>
      <w:r>
        <w:rPr>
          <w:spacing w:val="-4"/>
        </w:rPr>
        <w:t> </w:t>
      </w:r>
      <w:r>
        <w:rPr/>
        <w:t>under</w:t>
      </w:r>
      <w:r>
        <w:rPr>
          <w:spacing w:val="-3"/>
        </w:rPr>
        <w:t> </w:t>
      </w:r>
      <w:r>
        <w:rPr/>
        <w:t>different</w:t>
      </w:r>
      <w:r>
        <w:rPr>
          <w:spacing w:val="-3"/>
        </w:rPr>
        <w:t> </w:t>
      </w:r>
      <w:r>
        <w:rPr/>
        <w:t>assumptions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conditions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any</w:t>
      </w:r>
      <w:r>
        <w:rPr>
          <w:spacing w:val="-47"/>
        </w:rPr>
        <w:t> </w:t>
      </w:r>
      <w:r>
        <w:rPr/>
        <w:t>such</w:t>
      </w:r>
      <w:r>
        <w:rPr>
          <w:spacing w:val="-1"/>
        </w:rPr>
        <w:t> </w:t>
      </w:r>
      <w:r>
        <w:rPr/>
        <w:t>differences</w:t>
      </w:r>
      <w:r>
        <w:rPr>
          <w:spacing w:val="-1"/>
        </w:rPr>
        <w:t> </w:t>
      </w:r>
      <w:r>
        <w:rPr/>
        <w:t>may be</w:t>
      </w:r>
      <w:r>
        <w:rPr>
          <w:spacing w:val="-1"/>
        </w:rPr>
        <w:t> </w:t>
      </w:r>
      <w:r>
        <w:rPr/>
        <w:t>material.</w:t>
      </w:r>
    </w:p>
    <w:p>
      <w:pPr>
        <w:pStyle w:val="BodyText"/>
        <w:spacing w:line="249" w:lineRule="auto" w:before="186"/>
        <w:ind w:right="290"/>
      </w:pPr>
      <w:r>
        <w:rPr/>
        <w:t>The</w:t>
      </w:r>
      <w:r>
        <w:rPr>
          <w:spacing w:val="-5"/>
        </w:rPr>
        <w:t> </w:t>
      </w:r>
      <w:r>
        <w:rPr/>
        <w:t>significant</w:t>
      </w:r>
      <w:r>
        <w:rPr>
          <w:spacing w:val="-5"/>
        </w:rPr>
        <w:t> </w:t>
      </w:r>
      <w:r>
        <w:rPr/>
        <w:t>accounting</w:t>
      </w:r>
      <w:r>
        <w:rPr>
          <w:spacing w:val="-3"/>
        </w:rPr>
        <w:t> </w:t>
      </w:r>
      <w:r>
        <w:rPr/>
        <w:t>policies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estimates</w:t>
      </w:r>
      <w:r>
        <w:rPr>
          <w:spacing w:val="-5"/>
        </w:rPr>
        <w:t> </w:t>
      </w:r>
      <w:r>
        <w:rPr/>
        <w:t>used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preparation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unaudited</w:t>
      </w:r>
      <w:r>
        <w:rPr>
          <w:spacing w:val="-3"/>
        </w:rPr>
        <w:t> </w:t>
      </w:r>
      <w:r>
        <w:rPr/>
        <w:t>condensed</w:t>
      </w:r>
      <w:r>
        <w:rPr>
          <w:spacing w:val="-4"/>
        </w:rPr>
        <w:t> </w:t>
      </w:r>
      <w:r>
        <w:rPr/>
        <w:t>consolidated</w:t>
      </w:r>
      <w:r>
        <w:rPr>
          <w:spacing w:val="-47"/>
        </w:rPr>
        <w:t> </w:t>
      </w:r>
      <w:r>
        <w:rPr/>
        <w:t>financial statements are described in our audited consolidated financial statements as of and for the year ended</w:t>
      </w:r>
      <w:r>
        <w:rPr>
          <w:spacing w:val="1"/>
        </w:rPr>
        <w:t> </w:t>
      </w:r>
      <w:r>
        <w:rPr/>
        <w:t>December 31, 2020, and the notes thereto, which are included in our prospectus dated September 14, 2021 and in</w:t>
      </w:r>
      <w:r>
        <w:rPr>
          <w:spacing w:val="1"/>
        </w:rPr>
        <w:t> </w:t>
      </w:r>
      <w:r>
        <w:rPr/>
        <w:t>“Management’s Discussion and Analysis of Financial Condition and Results of Operations” included in our</w:t>
      </w:r>
      <w:r>
        <w:rPr>
          <w:spacing w:val="1"/>
        </w:rPr>
        <w:t> </w:t>
      </w:r>
      <w:r>
        <w:rPr/>
        <w:t>prospectus dated September 14, 2021”. There have been no material changes to our significant accounting policies</w:t>
      </w:r>
      <w:r>
        <w:rPr>
          <w:spacing w:val="-47"/>
        </w:rPr>
        <w:t> </w:t>
      </w:r>
      <w:r>
        <w:rPr/>
        <w:t>during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three</w:t>
      </w:r>
      <w:r>
        <w:rPr>
          <w:spacing w:val="-1"/>
        </w:rPr>
        <w:t> </w:t>
      </w:r>
      <w:r>
        <w:rPr/>
        <w:t>and nine</w:t>
      </w:r>
      <w:r>
        <w:rPr>
          <w:spacing w:val="-1"/>
        </w:rPr>
        <w:t> </w:t>
      </w:r>
      <w:r>
        <w:rPr/>
        <w:t>months</w:t>
      </w:r>
      <w:r>
        <w:rPr>
          <w:spacing w:val="-1"/>
        </w:rPr>
        <w:t> </w:t>
      </w:r>
      <w:r>
        <w:rPr/>
        <w:t>ended</w:t>
      </w:r>
      <w:r>
        <w:rPr>
          <w:spacing w:val="-1"/>
        </w:rPr>
        <w:t> </w:t>
      </w:r>
      <w:r>
        <w:rPr/>
        <w:t>September 30, 2021.</w:t>
      </w:r>
    </w:p>
    <w:p>
      <w:pPr>
        <w:pStyle w:val="Heading2"/>
        <w:spacing w:before="182"/>
      </w:pPr>
      <w:bookmarkStart w:name="Jobs Act Accounting Election" w:id="49"/>
      <w:bookmarkEnd w:id="49"/>
      <w:r>
        <w:rPr>
          <w:b w:val="0"/>
        </w:rPr>
      </w:r>
      <w:r>
        <w:rPr/>
        <w:t>JOBS</w:t>
      </w:r>
      <w:r>
        <w:rPr>
          <w:spacing w:val="-5"/>
        </w:rPr>
        <w:t> </w:t>
      </w:r>
      <w:r>
        <w:rPr/>
        <w:t>Act</w:t>
      </w:r>
      <w:r>
        <w:rPr>
          <w:spacing w:val="-4"/>
        </w:rPr>
        <w:t> </w:t>
      </w:r>
      <w:r>
        <w:rPr/>
        <w:t>Accounting</w:t>
      </w:r>
      <w:r>
        <w:rPr>
          <w:spacing w:val="-5"/>
        </w:rPr>
        <w:t> </w:t>
      </w:r>
      <w:r>
        <w:rPr/>
        <w:t>Election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Smaller</w:t>
      </w:r>
      <w:r>
        <w:rPr>
          <w:spacing w:val="-5"/>
        </w:rPr>
        <w:t> </w:t>
      </w:r>
      <w:r>
        <w:rPr/>
        <w:t>Reporting</w:t>
      </w:r>
      <w:r>
        <w:rPr>
          <w:spacing w:val="-4"/>
        </w:rPr>
        <w:t> </w:t>
      </w:r>
      <w:r>
        <w:rPr/>
        <w:t>Company</w:t>
      </w:r>
      <w:r>
        <w:rPr>
          <w:spacing w:val="-4"/>
        </w:rPr>
        <w:t> </w:t>
      </w:r>
      <w:r>
        <w:rPr/>
        <w:t>Status</w:t>
      </w:r>
    </w:p>
    <w:p>
      <w:pPr>
        <w:pStyle w:val="BodyText"/>
        <w:spacing w:line="249" w:lineRule="auto" w:before="193"/>
        <w:ind w:right="212"/>
      </w:pPr>
      <w:r>
        <w:rPr/>
        <w:t>We are an “emerging growth company,” as defined in the JOBS Act. Under the JOBS Act, emerging growth</w:t>
      </w:r>
      <w:r>
        <w:rPr>
          <w:spacing w:val="1"/>
        </w:rPr>
        <w:t> </w:t>
      </w:r>
      <w:r>
        <w:rPr/>
        <w:t>companies</w:t>
      </w:r>
      <w:r>
        <w:rPr>
          <w:spacing w:val="-4"/>
        </w:rPr>
        <w:t> </w:t>
      </w:r>
      <w:r>
        <w:rPr/>
        <w:t>can</w:t>
      </w:r>
      <w:r>
        <w:rPr>
          <w:spacing w:val="-3"/>
        </w:rPr>
        <w:t> </w:t>
      </w:r>
      <w:r>
        <w:rPr/>
        <w:t>delay</w:t>
      </w:r>
      <w:r>
        <w:rPr>
          <w:spacing w:val="-3"/>
        </w:rPr>
        <w:t> </w:t>
      </w:r>
      <w:r>
        <w:rPr/>
        <w:t>adopting</w:t>
      </w:r>
      <w:r>
        <w:rPr>
          <w:spacing w:val="-3"/>
        </w:rPr>
        <w:t> </w:t>
      </w:r>
      <w:r>
        <w:rPr/>
        <w:t>new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revised</w:t>
      </w:r>
      <w:r>
        <w:rPr>
          <w:spacing w:val="-3"/>
        </w:rPr>
        <w:t> </w:t>
      </w:r>
      <w:r>
        <w:rPr/>
        <w:t>accounting</w:t>
      </w:r>
      <w:r>
        <w:rPr>
          <w:spacing w:val="-3"/>
        </w:rPr>
        <w:t> </w:t>
      </w:r>
      <w:r>
        <w:rPr/>
        <w:t>standards</w:t>
      </w:r>
      <w:r>
        <w:rPr>
          <w:spacing w:val="-3"/>
        </w:rPr>
        <w:t> </w:t>
      </w:r>
      <w:r>
        <w:rPr/>
        <w:t>issued</w:t>
      </w:r>
      <w:r>
        <w:rPr>
          <w:spacing w:val="-3"/>
        </w:rPr>
        <w:t> </w:t>
      </w:r>
      <w:r>
        <w:rPr/>
        <w:t>subsequent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enactment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JOBS</w:t>
      </w:r>
      <w:r>
        <w:rPr>
          <w:spacing w:val="-47"/>
        </w:rPr>
        <w:t> </w:t>
      </w:r>
      <w:r>
        <w:rPr/>
        <w:t>Act until such time as those standards apply to private companies. We have elected to use this extended transition</w:t>
      </w:r>
      <w:r>
        <w:rPr>
          <w:spacing w:val="1"/>
        </w:rPr>
        <w:t> </w:t>
      </w:r>
      <w:r>
        <w:rPr/>
        <w:t>period for complying with new or revised accounting standards that have different effective dates for public and</w:t>
      </w:r>
      <w:r>
        <w:rPr>
          <w:spacing w:val="1"/>
        </w:rPr>
        <w:t> </w:t>
      </w:r>
      <w:r>
        <w:rPr/>
        <w:t>private companies until the earlier of the date that we (i) are no longer an emerging growth company or (ii)</w:t>
      </w:r>
      <w:r>
        <w:rPr>
          <w:spacing w:val="1"/>
        </w:rPr>
        <w:t> </w:t>
      </w:r>
      <w:r>
        <w:rPr/>
        <w:t>affirmatively and irrevocably opt out of the extended transition period provided in the JOBS Act. As a result, our</w:t>
      </w:r>
      <w:r>
        <w:rPr>
          <w:spacing w:val="1"/>
        </w:rPr>
        <w:t> </w:t>
      </w:r>
      <w:r>
        <w:rPr/>
        <w:t>consolidated financial statements may not be comparable to companies that comply with new or revised accounting</w:t>
      </w:r>
      <w:r>
        <w:rPr>
          <w:spacing w:val="-47"/>
        </w:rPr>
        <w:t> </w:t>
      </w:r>
      <w:r>
        <w:rPr/>
        <w:t>pronouncements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of public</w:t>
      </w:r>
      <w:r>
        <w:rPr>
          <w:spacing w:val="-1"/>
        </w:rPr>
        <w:t> </w:t>
      </w:r>
      <w:r>
        <w:rPr/>
        <w:t>company effective</w:t>
      </w:r>
      <w:r>
        <w:rPr>
          <w:spacing w:val="-2"/>
        </w:rPr>
        <w:t> </w:t>
      </w:r>
      <w:r>
        <w:rPr/>
        <w:t>dates.</w:t>
      </w:r>
    </w:p>
    <w:p>
      <w:pPr>
        <w:pStyle w:val="BodyText"/>
        <w:spacing w:line="249" w:lineRule="auto" w:before="187"/>
        <w:ind w:right="118"/>
      </w:pPr>
      <w:r>
        <w:rPr/>
        <w:t>We are also a “smaller reporting company” as defined in the Exchange Act. We may continue to be a smaller</w:t>
      </w:r>
      <w:r>
        <w:rPr>
          <w:spacing w:val="1"/>
        </w:rPr>
        <w:t> </w:t>
      </w:r>
      <w:r>
        <w:rPr/>
        <w:t>reporting company even after we are no longer an emerging growth company. We may take advantage of certain of</w:t>
      </w:r>
      <w:r>
        <w:rPr>
          <w:spacing w:val="1"/>
        </w:rPr>
        <w:t> </w:t>
      </w:r>
      <w:r>
        <w:rPr/>
        <w:t>the scaled disclosures available to smaller reporting companies and will be able to take advantage of these scaled</w:t>
      </w:r>
      <w:r>
        <w:rPr>
          <w:spacing w:val="1"/>
        </w:rPr>
        <w:t> </w:t>
      </w:r>
      <w:r>
        <w:rPr/>
        <w:t>disclosures for so long as our voting and non-voting common stock held by non-affiliates is less than $250.0 million</w:t>
      </w:r>
      <w:r>
        <w:rPr>
          <w:spacing w:val="-47"/>
        </w:rPr>
        <w:t> </w:t>
      </w:r>
      <w:r>
        <w:rPr/>
        <w:t>measured on the last business day of our second fiscal quarter, or our annual revenue is less than $100.0 million</w:t>
      </w:r>
      <w:r>
        <w:rPr>
          <w:spacing w:val="1"/>
        </w:rPr>
        <w:t> </w:t>
      </w:r>
      <w:r>
        <w:rPr/>
        <w:t>during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most</w:t>
      </w:r>
      <w:r>
        <w:rPr>
          <w:spacing w:val="-4"/>
        </w:rPr>
        <w:t> </w:t>
      </w:r>
      <w:r>
        <w:rPr/>
        <w:t>recently</w:t>
      </w:r>
      <w:r>
        <w:rPr>
          <w:spacing w:val="-2"/>
        </w:rPr>
        <w:t> </w:t>
      </w:r>
      <w:r>
        <w:rPr/>
        <w:t>completed</w:t>
      </w:r>
      <w:r>
        <w:rPr>
          <w:spacing w:val="-2"/>
        </w:rPr>
        <w:t> </w:t>
      </w:r>
      <w:r>
        <w:rPr/>
        <w:t>fiscal</w:t>
      </w:r>
      <w:r>
        <w:rPr>
          <w:spacing w:val="-4"/>
        </w:rPr>
        <w:t> </w:t>
      </w:r>
      <w:r>
        <w:rPr/>
        <w:t>year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voting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non-voting</w:t>
      </w:r>
      <w:r>
        <w:rPr>
          <w:spacing w:val="-2"/>
        </w:rPr>
        <w:t> </w:t>
      </w:r>
      <w:r>
        <w:rPr/>
        <w:t>common</w:t>
      </w:r>
      <w:r>
        <w:rPr>
          <w:spacing w:val="-3"/>
        </w:rPr>
        <w:t> </w:t>
      </w:r>
      <w:r>
        <w:rPr/>
        <w:t>stock</w:t>
      </w:r>
      <w:r>
        <w:rPr>
          <w:spacing w:val="-2"/>
        </w:rPr>
        <w:t> </w:t>
      </w:r>
      <w:r>
        <w:rPr/>
        <w:t>held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non-affiliates</w:t>
      </w:r>
      <w:r>
        <w:rPr>
          <w:spacing w:val="-3"/>
        </w:rPr>
        <w:t> </w:t>
      </w:r>
      <w:r>
        <w:rPr/>
        <w:t>is</w:t>
      </w:r>
      <w:r>
        <w:rPr>
          <w:spacing w:val="-47"/>
        </w:rPr>
        <w:t> </w:t>
      </w:r>
      <w:r>
        <w:rPr/>
        <w:t>less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/>
        <w:t>$700.0 million</w:t>
      </w:r>
      <w:r>
        <w:rPr>
          <w:spacing w:val="-1"/>
        </w:rPr>
        <w:t> </w:t>
      </w:r>
      <w:r>
        <w:rPr/>
        <w:t>measured 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last</w:t>
      </w:r>
      <w:r>
        <w:rPr>
          <w:spacing w:val="-2"/>
        </w:rPr>
        <w:t> </w:t>
      </w:r>
      <w:r>
        <w:rPr/>
        <w:t>business</w:t>
      </w:r>
      <w:r>
        <w:rPr>
          <w:spacing w:val="-1"/>
        </w:rPr>
        <w:t> </w:t>
      </w:r>
      <w:r>
        <w:rPr/>
        <w:t>day</w:t>
      </w:r>
      <w:r>
        <w:rPr>
          <w:spacing w:val="-1"/>
        </w:rPr>
        <w:t> </w:t>
      </w:r>
      <w:r>
        <w:rPr/>
        <w:t>of our</w:t>
      </w:r>
      <w:r>
        <w:rPr>
          <w:spacing w:val="-1"/>
        </w:rPr>
        <w:t> </w:t>
      </w:r>
      <w:r>
        <w:rPr/>
        <w:t>second</w:t>
      </w:r>
      <w:r>
        <w:rPr>
          <w:spacing w:val="-1"/>
        </w:rPr>
        <w:t> </w:t>
      </w:r>
      <w:r>
        <w:rPr/>
        <w:t>fiscal</w:t>
      </w:r>
      <w:r>
        <w:rPr>
          <w:spacing w:val="-1"/>
        </w:rPr>
        <w:t> </w:t>
      </w:r>
      <w:r>
        <w:rPr/>
        <w:t>quarter.</w:t>
      </w:r>
    </w:p>
    <w:p>
      <w:pPr>
        <w:pStyle w:val="Heading2"/>
        <w:spacing w:before="182"/>
      </w:pPr>
      <w:r>
        <w:rPr/>
        <w:t>Recent</w:t>
      </w:r>
      <w:r>
        <w:rPr>
          <w:spacing w:val="-7"/>
        </w:rPr>
        <w:t> </w:t>
      </w:r>
      <w:r>
        <w:rPr/>
        <w:t>Accounting</w:t>
      </w:r>
      <w:r>
        <w:rPr>
          <w:spacing w:val="-6"/>
        </w:rPr>
        <w:t> </w:t>
      </w:r>
      <w:r>
        <w:rPr/>
        <w:t>Pronouncements</w:t>
      </w:r>
    </w:p>
    <w:p>
      <w:pPr>
        <w:pStyle w:val="BodyText"/>
        <w:spacing w:line="249" w:lineRule="auto" w:before="193"/>
        <w:ind w:right="127"/>
      </w:pPr>
      <w:r>
        <w:rPr/>
        <w:t>The</w:t>
      </w:r>
      <w:r>
        <w:rPr>
          <w:spacing w:val="-4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included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Note</w:t>
      </w:r>
      <w:r>
        <w:rPr>
          <w:spacing w:val="-4"/>
        </w:rPr>
        <w:t> </w:t>
      </w:r>
      <w:r>
        <w:rPr/>
        <w:t>2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condensed</w:t>
      </w:r>
      <w:r>
        <w:rPr>
          <w:spacing w:val="-3"/>
        </w:rPr>
        <w:t> </w:t>
      </w:r>
      <w:r>
        <w:rPr/>
        <w:t>consolidated</w:t>
      </w:r>
      <w:r>
        <w:rPr>
          <w:spacing w:val="-2"/>
        </w:rPr>
        <w:t> </w:t>
      </w:r>
      <w:r>
        <w:rPr/>
        <w:t>financial</w:t>
      </w:r>
      <w:r>
        <w:rPr>
          <w:spacing w:val="-4"/>
        </w:rPr>
        <w:t> </w:t>
      </w:r>
      <w:r>
        <w:rPr/>
        <w:t>statements</w:t>
      </w:r>
      <w:r>
        <w:rPr>
          <w:spacing w:val="-4"/>
        </w:rPr>
        <w:t> </w:t>
      </w:r>
      <w:r>
        <w:rPr/>
        <w:t>included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Part</w:t>
      </w:r>
      <w:r>
        <w:rPr>
          <w:spacing w:val="-4"/>
        </w:rPr>
        <w:t> </w:t>
      </w:r>
      <w:r>
        <w:rPr/>
        <w:t>I,</w:t>
      </w:r>
      <w:r>
        <w:rPr>
          <w:spacing w:val="-2"/>
        </w:rPr>
        <w:t> </w:t>
      </w:r>
      <w:r>
        <w:rPr/>
        <w:t>Item</w:t>
      </w:r>
      <w:r>
        <w:rPr>
          <w:spacing w:val="-4"/>
        </w:rPr>
        <w:t> </w:t>
      </w:r>
      <w:r>
        <w:rPr/>
        <w:t>1</w:t>
      </w:r>
      <w:r>
        <w:rPr>
          <w:spacing w:val="-47"/>
        </w:rPr>
        <w:t> </w:t>
      </w:r>
      <w:r>
        <w:rPr/>
        <w:t>of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Quarterly Report</w:t>
      </w:r>
      <w:r>
        <w:rPr>
          <w:spacing w:val="-2"/>
        </w:rPr>
        <w:t> </w:t>
      </w:r>
      <w:r>
        <w:rPr/>
        <w:t>on Form</w:t>
      </w:r>
      <w:r>
        <w:rPr>
          <w:spacing w:val="-1"/>
        </w:rPr>
        <w:t> </w:t>
      </w:r>
      <w:r>
        <w:rPr/>
        <w:t>10-Q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incorporated herein</w:t>
      </w:r>
      <w:r>
        <w:rPr>
          <w:spacing w:val="-1"/>
        </w:rPr>
        <w:t> </w:t>
      </w:r>
      <w:r>
        <w:rPr/>
        <w:t>by reference.</w:t>
      </w:r>
    </w:p>
    <w:p>
      <w:pPr>
        <w:pStyle w:val="Heading2"/>
        <w:spacing w:before="179"/>
      </w:pPr>
      <w:bookmarkStart w:name="Item 3. Quantitative and Qualitative Dis" w:id="50"/>
      <w:bookmarkEnd w:id="50"/>
      <w:r>
        <w:rPr>
          <w:b w:val="0"/>
        </w:rPr>
      </w:r>
      <w:bookmarkStart w:name="_bookmark8" w:id="51"/>
      <w:bookmarkEnd w:id="51"/>
      <w:r>
        <w:rPr>
          <w:b w:val="0"/>
        </w:rPr>
      </w:r>
      <w:r>
        <w:rPr/>
        <w:t>Item</w:t>
      </w:r>
      <w:r>
        <w:rPr>
          <w:spacing w:val="-5"/>
        </w:rPr>
        <w:t> </w:t>
      </w:r>
      <w:r>
        <w:rPr/>
        <w:t>3.</w:t>
      </w:r>
      <w:r>
        <w:rPr>
          <w:spacing w:val="-4"/>
        </w:rPr>
        <w:t> </w:t>
      </w:r>
      <w:r>
        <w:rPr/>
        <w:t>Quantitative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Qualitative</w:t>
      </w:r>
      <w:r>
        <w:rPr>
          <w:spacing w:val="-5"/>
        </w:rPr>
        <w:t> </w:t>
      </w:r>
      <w:r>
        <w:rPr/>
        <w:t>Disclosures</w:t>
      </w:r>
      <w:r>
        <w:rPr>
          <w:spacing w:val="-5"/>
        </w:rPr>
        <w:t> </w:t>
      </w:r>
      <w:r>
        <w:rPr/>
        <w:t>About</w:t>
      </w:r>
      <w:r>
        <w:rPr>
          <w:spacing w:val="-4"/>
        </w:rPr>
        <w:t> </w:t>
      </w:r>
      <w:r>
        <w:rPr/>
        <w:t>Market</w:t>
      </w:r>
      <w:r>
        <w:rPr>
          <w:spacing w:val="-4"/>
        </w:rPr>
        <w:t> </w:t>
      </w:r>
      <w:r>
        <w:rPr/>
        <w:t>Risk</w:t>
      </w:r>
    </w:p>
    <w:p>
      <w:pPr>
        <w:pStyle w:val="Heading3"/>
        <w:spacing w:before="190"/>
        <w:rPr>
          <w:i/>
        </w:rPr>
      </w:pPr>
      <w:r>
        <w:rPr>
          <w:i/>
        </w:rPr>
        <w:t>Interest</w:t>
      </w:r>
      <w:r>
        <w:rPr>
          <w:i/>
          <w:spacing w:val="-5"/>
        </w:rPr>
        <w:t> </w:t>
      </w:r>
      <w:r>
        <w:rPr>
          <w:i/>
        </w:rPr>
        <w:t>Rate</w:t>
      </w:r>
      <w:r>
        <w:rPr>
          <w:i/>
          <w:spacing w:val="-5"/>
        </w:rPr>
        <w:t> </w:t>
      </w:r>
      <w:r>
        <w:rPr>
          <w:i/>
        </w:rPr>
        <w:t>Risk</w:t>
      </w:r>
    </w:p>
    <w:p>
      <w:pPr>
        <w:pStyle w:val="BodyText"/>
        <w:spacing w:line="249" w:lineRule="auto" w:before="193"/>
      </w:pPr>
      <w:r>
        <w:rPr/>
        <w:t>Cash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cash</w:t>
      </w:r>
      <w:r>
        <w:rPr>
          <w:spacing w:val="-2"/>
        </w:rPr>
        <w:t> </w:t>
      </w:r>
      <w:r>
        <w:rPr/>
        <w:t>equivalents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$320.5</w:t>
      </w:r>
      <w:r>
        <w:rPr>
          <w:spacing w:val="-3"/>
        </w:rPr>
        <w:t> </w:t>
      </w:r>
      <w:r>
        <w:rPr/>
        <w:t>million</w:t>
      </w:r>
      <w:r>
        <w:rPr>
          <w:spacing w:val="-2"/>
        </w:rPr>
        <w:t> </w:t>
      </w:r>
      <w:r>
        <w:rPr/>
        <w:t>as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September</w:t>
      </w:r>
      <w:r>
        <w:rPr>
          <w:spacing w:val="-3"/>
        </w:rPr>
        <w:t> </w:t>
      </w:r>
      <w:r>
        <w:rPr/>
        <w:t>30,</w:t>
      </w:r>
      <w:r>
        <w:rPr>
          <w:spacing w:val="-2"/>
        </w:rPr>
        <w:t> </w:t>
      </w:r>
      <w:r>
        <w:rPr/>
        <w:t>2021,</w:t>
      </w:r>
      <w:r>
        <w:rPr>
          <w:spacing w:val="-3"/>
        </w:rPr>
        <w:t> </w:t>
      </w:r>
      <w:r>
        <w:rPr/>
        <w:t>consisted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securities</w:t>
      </w:r>
      <w:r>
        <w:rPr>
          <w:spacing w:val="-3"/>
        </w:rPr>
        <w:t> </w:t>
      </w:r>
      <w:r>
        <w:rPr/>
        <w:t>carried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quoted</w:t>
      </w:r>
      <w:r>
        <w:rPr>
          <w:spacing w:val="-47"/>
        </w:rPr>
        <w:t> </w:t>
      </w:r>
      <w:r>
        <w:rPr/>
        <w:t>market prices with an original maturity of three months or less and therefore there is minimal risk associated with</w:t>
      </w:r>
      <w:r>
        <w:rPr>
          <w:spacing w:val="1"/>
        </w:rPr>
        <w:t> </w:t>
      </w:r>
      <w:r>
        <w:rPr/>
        <w:t>fluctuating</w:t>
      </w:r>
      <w:r>
        <w:rPr>
          <w:spacing w:val="-3"/>
        </w:rPr>
        <w:t> </w:t>
      </w:r>
      <w:r>
        <w:rPr/>
        <w:t>interest</w:t>
      </w:r>
      <w:r>
        <w:rPr>
          <w:spacing w:val="-3"/>
        </w:rPr>
        <w:t> </w:t>
      </w:r>
      <w:r>
        <w:rPr/>
        <w:t>rates.</w:t>
      </w:r>
      <w:r>
        <w:rPr>
          <w:spacing w:val="-2"/>
        </w:rPr>
        <w:t> </w:t>
      </w:r>
      <w:r>
        <w:rPr/>
        <w:t>We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currently</w:t>
      </w:r>
      <w:r>
        <w:rPr>
          <w:spacing w:val="-2"/>
        </w:rPr>
        <w:t> </w:t>
      </w:r>
      <w:r>
        <w:rPr/>
        <w:t>use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plan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use</w:t>
      </w:r>
      <w:r>
        <w:rPr>
          <w:spacing w:val="-3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derivatives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investment</w:t>
      </w:r>
      <w:r>
        <w:rPr>
          <w:spacing w:val="-3"/>
        </w:rPr>
        <w:t> </w:t>
      </w:r>
      <w:r>
        <w:rPr/>
        <w:t>portfolio.</w:t>
      </w:r>
    </w:p>
    <w:p>
      <w:pPr>
        <w:pStyle w:val="BodyText"/>
        <w:spacing w:line="249" w:lineRule="auto" w:before="183"/>
        <w:ind w:right="229"/>
      </w:pPr>
      <w:r>
        <w:rPr/>
        <w:t>In</w:t>
      </w:r>
      <w:r>
        <w:rPr>
          <w:spacing w:val="-3"/>
        </w:rPr>
        <w:t> </w:t>
      </w:r>
      <w:r>
        <w:rPr/>
        <w:t>addition,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described</w:t>
      </w:r>
      <w:r>
        <w:rPr>
          <w:spacing w:val="-3"/>
        </w:rPr>
        <w:t> </w:t>
      </w:r>
      <w:r>
        <w:rPr/>
        <w:t>above</w:t>
      </w:r>
      <w:r>
        <w:rPr>
          <w:spacing w:val="-4"/>
        </w:rPr>
        <w:t> </w:t>
      </w:r>
      <w:r>
        <w:rPr/>
        <w:t>under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subsection</w:t>
      </w:r>
      <w:r>
        <w:rPr>
          <w:spacing w:val="-3"/>
        </w:rPr>
        <w:t> </w:t>
      </w:r>
      <w:r>
        <w:rPr/>
        <w:t>titled</w:t>
      </w:r>
      <w:r>
        <w:rPr>
          <w:spacing w:val="-3"/>
        </w:rPr>
        <w:t> </w:t>
      </w:r>
      <w:r>
        <w:rPr/>
        <w:t>“Indebtedness,”</w:t>
      </w:r>
      <w:r>
        <w:rPr>
          <w:spacing w:val="-4"/>
        </w:rPr>
        <w:t> </w:t>
      </w:r>
      <w:r>
        <w:rPr/>
        <w:t>amounts</w:t>
      </w:r>
      <w:r>
        <w:rPr>
          <w:spacing w:val="-4"/>
        </w:rPr>
        <w:t> </w:t>
      </w:r>
      <w:r>
        <w:rPr/>
        <w:t>outstanding</w:t>
      </w:r>
      <w:r>
        <w:rPr>
          <w:spacing w:val="-2"/>
        </w:rPr>
        <w:t> </w:t>
      </w:r>
      <w:r>
        <w:rPr/>
        <w:t>under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loan</w:t>
      </w:r>
      <w:r>
        <w:rPr>
          <w:spacing w:val="-47"/>
        </w:rPr>
        <w:t> </w:t>
      </w:r>
      <w:r>
        <w:rPr/>
        <w:t>facility bear interest at a floating rate equal to 7.17% plus the greater of 2.2% or 30-day LIBOR. As a result, we are</w:t>
      </w:r>
      <w:r>
        <w:rPr>
          <w:spacing w:val="-47"/>
        </w:rPr>
        <w:t> </w:t>
      </w:r>
      <w:r>
        <w:rPr/>
        <w:t>exposed to risks from changes in interest rates. We do not believe that a hypothetical 100 basis point increase or</w:t>
      </w:r>
      <w:r>
        <w:rPr>
          <w:spacing w:val="1"/>
        </w:rPr>
        <w:t> </w:t>
      </w:r>
      <w:r>
        <w:rPr/>
        <w:t>decrease in interest rates or 30-day LIBOR would have had a material impact on our financial statements included</w:t>
      </w:r>
      <w:r>
        <w:rPr>
          <w:spacing w:val="1"/>
        </w:rPr>
        <w:t> </w:t>
      </w:r>
      <w:r>
        <w:rPr/>
        <w:t>elsewhere</w:t>
      </w:r>
      <w:r>
        <w:rPr>
          <w:spacing w:val="-2"/>
        </w:rPr>
        <w:t> </w:t>
      </w:r>
      <w:r>
        <w:rPr/>
        <w:t>in this</w:t>
      </w:r>
      <w:r>
        <w:rPr>
          <w:spacing w:val="-1"/>
        </w:rPr>
        <w:t> </w:t>
      </w:r>
      <w:r>
        <w:rPr/>
        <w:t>Quarterly Report</w:t>
      </w:r>
      <w:r>
        <w:rPr>
          <w:spacing w:val="-1"/>
        </w:rPr>
        <w:t> </w:t>
      </w:r>
      <w:r>
        <w:rPr/>
        <w:t>on Form</w:t>
      </w:r>
      <w:r>
        <w:rPr>
          <w:spacing w:val="-2"/>
        </w:rPr>
        <w:t> </w:t>
      </w:r>
      <w:r>
        <w:rPr/>
        <w:t>10-Q.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Heading3"/>
        <w:spacing w:before="68"/>
        <w:rPr>
          <w:i/>
        </w:rPr>
      </w:pPr>
      <w:r>
        <w:rPr>
          <w:i/>
        </w:rPr>
        <w:t>Credit</w:t>
      </w:r>
      <w:r>
        <w:rPr>
          <w:i/>
          <w:spacing w:val="-4"/>
        </w:rPr>
        <w:t> </w:t>
      </w:r>
      <w:r>
        <w:rPr>
          <w:i/>
        </w:rPr>
        <w:t>Risk</w:t>
      </w:r>
    </w:p>
    <w:p>
      <w:pPr>
        <w:pStyle w:val="BodyText"/>
        <w:spacing w:line="249" w:lineRule="auto" w:before="194"/>
        <w:ind w:right="129"/>
      </w:pPr>
      <w:r>
        <w:rPr/>
        <w:t>We maintain our cash and cash equivalents with two financial institutions in the United States, and our current</w:t>
      </w:r>
      <w:r>
        <w:rPr>
          <w:spacing w:val="1"/>
        </w:rPr>
        <w:t> </w:t>
      </w:r>
      <w:r>
        <w:rPr/>
        <w:t>deposits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excess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insured</w:t>
      </w:r>
      <w:r>
        <w:rPr>
          <w:spacing w:val="-3"/>
        </w:rPr>
        <w:t> </w:t>
      </w:r>
      <w:r>
        <w:rPr/>
        <w:t>limits.</w:t>
      </w:r>
      <w:r>
        <w:rPr>
          <w:spacing w:val="-3"/>
        </w:rPr>
        <w:t> </w:t>
      </w:r>
      <w:r>
        <w:rPr/>
        <w:t>We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reviewed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statements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these</w:t>
      </w:r>
      <w:r>
        <w:rPr>
          <w:spacing w:val="-4"/>
        </w:rPr>
        <w:t> </w:t>
      </w:r>
      <w:r>
        <w:rPr/>
        <w:t>institutions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believe</w:t>
      </w:r>
      <w:r>
        <w:rPr>
          <w:spacing w:val="-4"/>
        </w:rPr>
        <w:t> </w:t>
      </w:r>
      <w:r>
        <w:rPr/>
        <w:t>it</w:t>
      </w:r>
      <w:r>
        <w:rPr>
          <w:spacing w:val="1"/>
        </w:rPr>
        <w:t> </w:t>
      </w:r>
      <w:r>
        <w:rPr/>
        <w:t>has sufficient assets and liquidity to conduct its operations in the ordinary course of business with little or no credit</w:t>
      </w:r>
      <w:r>
        <w:rPr>
          <w:spacing w:val="1"/>
        </w:rPr>
        <w:t> </w:t>
      </w:r>
      <w:r>
        <w:rPr/>
        <w:t>risk</w:t>
      </w:r>
      <w:r>
        <w:rPr>
          <w:spacing w:val="-1"/>
        </w:rPr>
        <w:t> </w:t>
      </w:r>
      <w:r>
        <w:rPr/>
        <w:t>to us.</w:t>
      </w:r>
    </w:p>
    <w:p>
      <w:pPr>
        <w:pStyle w:val="BodyText"/>
        <w:spacing w:line="249" w:lineRule="auto" w:before="183"/>
        <w:ind w:right="240"/>
      </w:pPr>
      <w:r>
        <w:rPr/>
        <w:t>Our accounts receivable primarily relate to revenue from the sale or rental of our products. No customer</w:t>
      </w:r>
      <w:r>
        <w:rPr>
          <w:spacing w:val="1"/>
        </w:rPr>
        <w:t> </w:t>
      </w:r>
      <w:r>
        <w:rPr/>
        <w:t>accounted for more than 10% of accounts receivable at September 30, 2021. We believe that credit risk in our</w:t>
      </w:r>
      <w:r>
        <w:rPr>
          <w:spacing w:val="1"/>
        </w:rPr>
        <w:t> </w:t>
      </w:r>
      <w:r>
        <w:rPr/>
        <w:t>accounts</w:t>
      </w:r>
      <w:r>
        <w:rPr>
          <w:spacing w:val="-5"/>
        </w:rPr>
        <w:t> </w:t>
      </w:r>
      <w:r>
        <w:rPr/>
        <w:t>receivable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mitigated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our</w:t>
      </w:r>
      <w:r>
        <w:rPr>
          <w:spacing w:val="-3"/>
        </w:rPr>
        <w:t> </w:t>
      </w:r>
      <w:r>
        <w:rPr/>
        <w:t>credit</w:t>
      </w:r>
      <w:r>
        <w:rPr>
          <w:spacing w:val="-4"/>
        </w:rPr>
        <w:t> </w:t>
      </w:r>
      <w:r>
        <w:rPr/>
        <w:t>evaluation</w:t>
      </w:r>
      <w:r>
        <w:rPr>
          <w:spacing w:val="-4"/>
        </w:rPr>
        <w:t> </w:t>
      </w:r>
      <w:r>
        <w:rPr/>
        <w:t>process,</w:t>
      </w:r>
      <w:r>
        <w:rPr>
          <w:spacing w:val="-3"/>
        </w:rPr>
        <w:t> </w:t>
      </w:r>
      <w:r>
        <w:rPr/>
        <w:t>relatively</w:t>
      </w:r>
      <w:r>
        <w:rPr>
          <w:spacing w:val="-4"/>
        </w:rPr>
        <w:t> </w:t>
      </w:r>
      <w:r>
        <w:rPr/>
        <w:t>short</w:t>
      </w:r>
      <w:r>
        <w:rPr>
          <w:spacing w:val="-4"/>
        </w:rPr>
        <w:t> </w:t>
      </w:r>
      <w:r>
        <w:rPr/>
        <w:t>collection</w:t>
      </w:r>
      <w:r>
        <w:rPr>
          <w:spacing w:val="-4"/>
        </w:rPr>
        <w:t> </w:t>
      </w:r>
      <w:r>
        <w:rPr/>
        <w:t>terms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diversity</w:t>
      </w:r>
      <w:r>
        <w:rPr>
          <w:spacing w:val="-4"/>
        </w:rPr>
        <w:t> </w:t>
      </w:r>
      <w:r>
        <w:rPr/>
        <w:t>of</w:t>
      </w:r>
      <w:r>
        <w:rPr>
          <w:spacing w:val="1"/>
        </w:rPr>
        <w:t> </w:t>
      </w:r>
      <w:r>
        <w:rPr/>
        <w:t>our</w:t>
      </w:r>
      <w:r>
        <w:rPr>
          <w:spacing w:val="-1"/>
        </w:rPr>
        <w:t> </w:t>
      </w:r>
      <w:r>
        <w:rPr/>
        <w:t>customer base.</w:t>
      </w:r>
    </w:p>
    <w:p>
      <w:pPr>
        <w:pStyle w:val="Heading3"/>
        <w:rPr>
          <w:i/>
        </w:rPr>
      </w:pPr>
      <w:r>
        <w:rPr>
          <w:i/>
        </w:rPr>
        <w:t>Foreign</w:t>
      </w:r>
      <w:r>
        <w:rPr>
          <w:i/>
          <w:spacing w:val="-6"/>
        </w:rPr>
        <w:t> </w:t>
      </w:r>
      <w:r>
        <w:rPr>
          <w:i/>
        </w:rPr>
        <w:t>Currency</w:t>
      </w:r>
      <w:r>
        <w:rPr>
          <w:i/>
          <w:spacing w:val="-5"/>
        </w:rPr>
        <w:t> </w:t>
      </w:r>
      <w:r>
        <w:rPr>
          <w:i/>
        </w:rPr>
        <w:t>Risk</w:t>
      </w:r>
    </w:p>
    <w:p>
      <w:pPr>
        <w:pStyle w:val="BodyText"/>
        <w:spacing w:line="249" w:lineRule="auto" w:before="193"/>
        <w:ind w:right="212"/>
      </w:pPr>
      <w:r>
        <w:rPr/>
        <w:t>A portion of our net sales and expenses are denominated in foreign currencies, most notably the Euro. Future</w:t>
      </w:r>
      <w:r>
        <w:rPr>
          <w:spacing w:val="1"/>
        </w:rPr>
        <w:t> </w:t>
      </w:r>
      <w:r>
        <w:rPr/>
        <w:t>fluctuations in the value of the U.S. Dollar may affect the price competitiveness of our products outside the United</w:t>
      </w:r>
      <w:r>
        <w:rPr>
          <w:spacing w:val="1"/>
        </w:rPr>
        <w:t> </w:t>
      </w:r>
      <w:r>
        <w:rPr/>
        <w:t>States. For direct sales outside the United States, we sell in both U.S. Dollars and local currencies, which could</w:t>
      </w:r>
      <w:r>
        <w:rPr>
          <w:spacing w:val="1"/>
        </w:rPr>
        <w:t> </w:t>
      </w:r>
      <w:r>
        <w:rPr/>
        <w:t>expose us to additional foreign currency risks, including changes in currency exchange rates. Our operating</w:t>
      </w:r>
      <w:r>
        <w:rPr>
          <w:spacing w:val="1"/>
        </w:rPr>
        <w:t> </w:t>
      </w:r>
      <w:r>
        <w:rPr/>
        <w:t>expenses in countries outside the United States, are payable in foreign currencies and therefore expose us to</w:t>
      </w:r>
      <w:r>
        <w:rPr>
          <w:spacing w:val="1"/>
        </w:rPr>
        <w:t> </w:t>
      </w:r>
      <w:r>
        <w:rPr/>
        <w:t>currency</w:t>
      </w:r>
      <w:r>
        <w:rPr>
          <w:spacing w:val="-3"/>
        </w:rPr>
        <w:t> </w:t>
      </w:r>
      <w:r>
        <w:rPr/>
        <w:t>risk.</w:t>
      </w:r>
      <w:r>
        <w:rPr>
          <w:spacing w:val="-2"/>
        </w:rPr>
        <w:t> </w:t>
      </w:r>
      <w:r>
        <w:rPr/>
        <w:t>We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believe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hypothetical</w:t>
      </w:r>
      <w:r>
        <w:rPr>
          <w:spacing w:val="-3"/>
        </w:rPr>
        <w:t> </w:t>
      </w:r>
      <w:r>
        <w:rPr/>
        <w:t>10%</w:t>
      </w:r>
      <w:r>
        <w:rPr>
          <w:spacing w:val="-2"/>
        </w:rPr>
        <w:t> </w:t>
      </w:r>
      <w:r>
        <w:rPr/>
        <w:t>increase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decrease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relative</w:t>
      </w:r>
      <w:r>
        <w:rPr>
          <w:spacing w:val="-3"/>
        </w:rPr>
        <w:t> </w:t>
      </w:r>
      <w:r>
        <w:rPr/>
        <w:t>value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U.S.</w:t>
      </w:r>
      <w:r>
        <w:rPr>
          <w:spacing w:val="-3"/>
        </w:rPr>
        <w:t> </w:t>
      </w:r>
      <w:r>
        <w:rPr/>
        <w:t>dollar</w:t>
      </w:r>
      <w:r>
        <w:rPr>
          <w:spacing w:val="-47"/>
        </w:rPr>
        <w:t> </w:t>
      </w:r>
      <w:r>
        <w:rPr/>
        <w:t>to other currencies would have had a material impact on our financial statements included elsewhere in this</w:t>
      </w:r>
      <w:r>
        <w:rPr>
          <w:spacing w:val="1"/>
        </w:rPr>
        <w:t> </w:t>
      </w:r>
      <w:r>
        <w:rPr/>
        <w:t>Quarterly</w:t>
      </w:r>
      <w:r>
        <w:rPr>
          <w:spacing w:val="-1"/>
        </w:rPr>
        <w:t> </w:t>
      </w:r>
      <w:r>
        <w:rPr/>
        <w:t>Report</w:t>
      </w:r>
      <w:r>
        <w:rPr>
          <w:spacing w:val="-1"/>
        </w:rPr>
        <w:t> </w:t>
      </w:r>
      <w:r>
        <w:rPr/>
        <w:t>on Form</w:t>
      </w:r>
      <w:r>
        <w:rPr>
          <w:spacing w:val="-1"/>
        </w:rPr>
        <w:t> </w:t>
      </w:r>
      <w:r>
        <w:rPr/>
        <w:t>10-Q.</w:t>
      </w:r>
    </w:p>
    <w:p>
      <w:pPr>
        <w:pStyle w:val="BodyText"/>
        <w:spacing w:before="187"/>
        <w:ind w:left="460" w:firstLine="0"/>
      </w:pPr>
      <w:r>
        <w:rPr/>
        <w:t>We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currently</w:t>
      </w:r>
      <w:r>
        <w:rPr>
          <w:spacing w:val="-2"/>
        </w:rPr>
        <w:t> </w:t>
      </w:r>
      <w:r>
        <w:rPr/>
        <w:t>maintain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program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hedge</w:t>
      </w:r>
      <w:r>
        <w:rPr>
          <w:spacing w:val="-3"/>
        </w:rPr>
        <w:t> </w:t>
      </w:r>
      <w:r>
        <w:rPr/>
        <w:t>exposures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non-U.S.</w:t>
      </w:r>
      <w:r>
        <w:rPr>
          <w:spacing w:val="-2"/>
        </w:rPr>
        <w:t> </w:t>
      </w:r>
      <w:r>
        <w:rPr/>
        <w:t>dollar</w:t>
      </w:r>
      <w:r>
        <w:rPr>
          <w:spacing w:val="-2"/>
        </w:rPr>
        <w:t> </w:t>
      </w:r>
      <w:r>
        <w:rPr/>
        <w:t>currencies.</w:t>
      </w:r>
    </w:p>
    <w:p>
      <w:pPr>
        <w:pStyle w:val="Heading3"/>
        <w:spacing w:before="187"/>
        <w:rPr>
          <w:i/>
        </w:rPr>
      </w:pPr>
      <w:r>
        <w:rPr>
          <w:i/>
        </w:rPr>
        <w:t>Effects</w:t>
      </w:r>
      <w:r>
        <w:rPr>
          <w:i/>
          <w:spacing w:val="-4"/>
        </w:rPr>
        <w:t> </w:t>
      </w:r>
      <w:r>
        <w:rPr>
          <w:i/>
        </w:rPr>
        <w:t>of</w:t>
      </w:r>
      <w:r>
        <w:rPr>
          <w:i/>
          <w:spacing w:val="-3"/>
        </w:rPr>
        <w:t> </w:t>
      </w:r>
      <w:r>
        <w:rPr>
          <w:i/>
        </w:rPr>
        <w:t>Inflation</w:t>
      </w:r>
    </w:p>
    <w:p>
      <w:pPr>
        <w:pStyle w:val="BodyText"/>
        <w:spacing w:line="249" w:lineRule="auto" w:before="193"/>
        <w:ind w:right="212"/>
      </w:pPr>
      <w:r>
        <w:rPr/>
        <w:t>Inflation</w:t>
      </w:r>
      <w:r>
        <w:rPr>
          <w:spacing w:val="-3"/>
        </w:rPr>
        <w:t> </w:t>
      </w:r>
      <w:r>
        <w:rPr/>
        <w:t>generally</w:t>
      </w:r>
      <w:r>
        <w:rPr>
          <w:spacing w:val="-3"/>
        </w:rPr>
        <w:t> </w:t>
      </w:r>
      <w:r>
        <w:rPr/>
        <w:t>affects</w:t>
      </w:r>
      <w:r>
        <w:rPr>
          <w:spacing w:val="-3"/>
        </w:rPr>
        <w:t> </w:t>
      </w:r>
      <w:r>
        <w:rPr/>
        <w:t>us</w:t>
      </w:r>
      <w:r>
        <w:rPr>
          <w:spacing w:val="-4"/>
        </w:rPr>
        <w:t> </w:t>
      </w:r>
      <w:r>
        <w:rPr/>
        <w:t>by</w:t>
      </w:r>
      <w:r>
        <w:rPr>
          <w:spacing w:val="-2"/>
        </w:rPr>
        <w:t> </w:t>
      </w:r>
      <w:r>
        <w:rPr/>
        <w:t>increasing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cost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labor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development</w:t>
      </w:r>
      <w:r>
        <w:rPr>
          <w:spacing w:val="-4"/>
        </w:rPr>
        <w:t> </w:t>
      </w:r>
      <w:r>
        <w:rPr/>
        <w:t>contract</w:t>
      </w:r>
      <w:r>
        <w:rPr>
          <w:spacing w:val="-4"/>
        </w:rPr>
        <w:t> </w:t>
      </w:r>
      <w:r>
        <w:rPr/>
        <w:t>costs.</w:t>
      </w:r>
      <w:r>
        <w:rPr>
          <w:spacing w:val="-2"/>
        </w:rPr>
        <w:t> </w:t>
      </w:r>
      <w:r>
        <w:rPr/>
        <w:t>We</w:t>
      </w:r>
      <w:r>
        <w:rPr>
          <w:spacing w:val="-47"/>
        </w:rPr>
        <w:t> </w:t>
      </w:r>
      <w:r>
        <w:rPr/>
        <w:t>do not believe that inflation had a material effect on our financial statements included elsewhere in this Quarterly</w:t>
      </w:r>
      <w:r>
        <w:rPr>
          <w:spacing w:val="1"/>
        </w:rPr>
        <w:t> </w:t>
      </w:r>
      <w:r>
        <w:rPr/>
        <w:t>Report</w:t>
      </w:r>
      <w:r>
        <w:rPr>
          <w:spacing w:val="-2"/>
        </w:rPr>
        <w:t> </w:t>
      </w:r>
      <w:r>
        <w:rPr/>
        <w:t>on Form</w:t>
      </w:r>
      <w:r>
        <w:rPr>
          <w:spacing w:val="-1"/>
        </w:rPr>
        <w:t> </w:t>
      </w:r>
      <w:r>
        <w:rPr/>
        <w:t>10-Q.</w:t>
      </w:r>
    </w:p>
    <w:p>
      <w:pPr>
        <w:pStyle w:val="Heading2"/>
        <w:spacing w:before="179"/>
      </w:pPr>
      <w:bookmarkStart w:name="Item 4. Controls and Procedures" w:id="52"/>
      <w:bookmarkEnd w:id="52"/>
      <w:r>
        <w:rPr>
          <w:b w:val="0"/>
        </w:rPr>
      </w:r>
      <w:bookmarkStart w:name="_bookmark9" w:id="53"/>
      <w:bookmarkEnd w:id="53"/>
      <w:r>
        <w:rPr>
          <w:b w:val="0"/>
        </w:rPr>
      </w:r>
      <w:r>
        <w:rPr/>
        <w:t>Item</w:t>
      </w:r>
      <w:r>
        <w:rPr>
          <w:spacing w:val="-4"/>
        </w:rPr>
        <w:t> </w:t>
      </w:r>
      <w:r>
        <w:rPr/>
        <w:t>4.</w:t>
      </w:r>
      <w:r>
        <w:rPr>
          <w:spacing w:val="-4"/>
        </w:rPr>
        <w:t> </w:t>
      </w:r>
      <w:r>
        <w:rPr/>
        <w:t>Controls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Procedures</w:t>
      </w:r>
    </w:p>
    <w:p>
      <w:pPr>
        <w:pStyle w:val="Heading3"/>
        <w:spacing w:before="190"/>
        <w:ind w:left="460"/>
        <w:rPr>
          <w:i/>
        </w:rPr>
      </w:pPr>
      <w:r>
        <w:rPr>
          <w:i/>
        </w:rPr>
        <w:t>Evaluation</w:t>
      </w:r>
      <w:r>
        <w:rPr>
          <w:i/>
          <w:spacing w:val="-6"/>
        </w:rPr>
        <w:t> </w:t>
      </w:r>
      <w:r>
        <w:rPr>
          <w:i/>
        </w:rPr>
        <w:t>of</w:t>
      </w:r>
      <w:r>
        <w:rPr>
          <w:i/>
          <w:spacing w:val="-4"/>
        </w:rPr>
        <w:t> </w:t>
      </w:r>
      <w:r>
        <w:rPr>
          <w:i/>
        </w:rPr>
        <w:t>Disclosure</w:t>
      </w:r>
      <w:r>
        <w:rPr>
          <w:i/>
          <w:spacing w:val="-5"/>
        </w:rPr>
        <w:t> </w:t>
      </w:r>
      <w:r>
        <w:rPr>
          <w:i/>
        </w:rPr>
        <w:t>Controls</w:t>
      </w:r>
      <w:r>
        <w:rPr>
          <w:i/>
          <w:spacing w:val="-5"/>
        </w:rPr>
        <w:t> </w:t>
      </w:r>
      <w:r>
        <w:rPr>
          <w:i/>
        </w:rPr>
        <w:t>and</w:t>
      </w:r>
      <w:r>
        <w:rPr>
          <w:i/>
          <w:spacing w:val="-5"/>
        </w:rPr>
        <w:t> </w:t>
      </w:r>
      <w:r>
        <w:rPr>
          <w:i/>
        </w:rPr>
        <w:t>Procedures</w:t>
      </w:r>
    </w:p>
    <w:p>
      <w:pPr>
        <w:pStyle w:val="BodyText"/>
        <w:spacing w:line="249" w:lineRule="auto" w:before="193"/>
        <w:ind w:right="207"/>
      </w:pPr>
      <w:r>
        <w:rPr/>
        <w:t>Our management, with the participation of our Chief Executive Officer and our Chief Financial Officer, have</w:t>
      </w:r>
      <w:r>
        <w:rPr>
          <w:spacing w:val="1"/>
        </w:rPr>
        <w:t> </w:t>
      </w:r>
      <w:r>
        <w:rPr/>
        <w:t>evaluated the effectiveness of our disclosure controls and procedures (as defined in Rules 13a-15(e) and 15d-15(e)</w:t>
      </w:r>
      <w:r>
        <w:rPr>
          <w:spacing w:val="1"/>
        </w:rPr>
        <w:t> </w:t>
      </w:r>
      <w:r>
        <w:rPr/>
        <w:t>under the Exchange Act) as of the end of the period covered by this Quarterly Report. Based on that evaluation, our</w:t>
      </w:r>
      <w:r>
        <w:rPr>
          <w:spacing w:val="-47"/>
        </w:rPr>
        <w:t> </w:t>
      </w:r>
      <w:r>
        <w:rPr/>
        <w:t>Chief</w:t>
      </w:r>
      <w:r>
        <w:rPr>
          <w:spacing w:val="-3"/>
        </w:rPr>
        <w:t> </w:t>
      </w:r>
      <w:r>
        <w:rPr/>
        <w:t>Executive</w:t>
      </w:r>
      <w:r>
        <w:rPr>
          <w:spacing w:val="-3"/>
        </w:rPr>
        <w:t> </w:t>
      </w:r>
      <w:r>
        <w:rPr/>
        <w:t>Officer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Chief</w:t>
      </w:r>
      <w:r>
        <w:rPr>
          <w:spacing w:val="-3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Officer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concluded</w:t>
      </w:r>
      <w:r>
        <w:rPr>
          <w:spacing w:val="-2"/>
        </w:rPr>
        <w:t> </w:t>
      </w:r>
      <w:r>
        <w:rPr/>
        <w:t>that,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end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period</w:t>
      </w:r>
      <w:r>
        <w:rPr>
          <w:spacing w:val="-2"/>
        </w:rPr>
        <w:t> </w:t>
      </w:r>
      <w:r>
        <w:rPr/>
        <w:t>covered</w:t>
      </w:r>
      <w:r>
        <w:rPr>
          <w:spacing w:val="-3"/>
        </w:rPr>
        <w:t> </w:t>
      </w:r>
      <w:r>
        <w:rPr/>
        <w:t>by</w:t>
      </w:r>
      <w:r>
        <w:rPr>
          <w:spacing w:val="-47"/>
        </w:rPr>
        <w:t> </w:t>
      </w:r>
      <w:r>
        <w:rPr/>
        <w:t>this Quarterly Report on Form 10-Q, our disclosure controls and procedures were not effective at the reasonable</w:t>
      </w:r>
      <w:r>
        <w:rPr>
          <w:spacing w:val="1"/>
        </w:rPr>
        <w:t> </w:t>
      </w:r>
      <w:r>
        <w:rPr/>
        <w:t>assurance</w:t>
      </w:r>
      <w:r>
        <w:rPr>
          <w:spacing w:val="-4"/>
        </w:rPr>
        <w:t> </w:t>
      </w:r>
      <w:r>
        <w:rPr/>
        <w:t>level</w:t>
      </w:r>
      <w:r>
        <w:rPr>
          <w:spacing w:val="-3"/>
        </w:rPr>
        <w:t> </w:t>
      </w:r>
      <w:r>
        <w:rPr/>
        <w:t>because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material</w:t>
      </w:r>
      <w:r>
        <w:rPr>
          <w:spacing w:val="-3"/>
        </w:rPr>
        <w:t> </w:t>
      </w:r>
      <w:r>
        <w:rPr/>
        <w:t>weakness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internal</w:t>
      </w:r>
      <w:r>
        <w:rPr>
          <w:spacing w:val="-4"/>
        </w:rPr>
        <w:t> </w:t>
      </w:r>
      <w:r>
        <w:rPr/>
        <w:t>control</w:t>
      </w:r>
      <w:r>
        <w:rPr>
          <w:spacing w:val="-3"/>
        </w:rPr>
        <w:t> </w:t>
      </w:r>
      <w:r>
        <w:rPr/>
        <w:t>over</w:t>
      </w:r>
      <w:r>
        <w:rPr>
          <w:spacing w:val="-3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reporting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described</w:t>
      </w:r>
      <w:r>
        <w:rPr>
          <w:spacing w:val="-3"/>
        </w:rPr>
        <w:t> </w:t>
      </w:r>
      <w:r>
        <w:rPr/>
        <w:t>below.</w:t>
      </w:r>
    </w:p>
    <w:p>
      <w:pPr>
        <w:pStyle w:val="BodyText"/>
        <w:spacing w:line="249" w:lineRule="auto" w:before="185"/>
        <w:ind w:right="212"/>
      </w:pPr>
      <w:r>
        <w:rPr/>
        <w:t>However, our management, including our Chief Executive Officer and our Chief Financial Officer, has</w:t>
      </w:r>
      <w:r>
        <w:rPr>
          <w:spacing w:val="1"/>
        </w:rPr>
        <w:t> </w:t>
      </w:r>
      <w:r>
        <w:rPr/>
        <w:t>concluded</w:t>
      </w:r>
      <w:r>
        <w:rPr>
          <w:spacing w:val="-4"/>
        </w:rPr>
        <w:t> </w:t>
      </w:r>
      <w:r>
        <w:rPr/>
        <w:t>that,</w:t>
      </w:r>
      <w:r>
        <w:rPr>
          <w:spacing w:val="-3"/>
        </w:rPr>
        <w:t> </w:t>
      </w:r>
      <w:r>
        <w:rPr/>
        <w:t>notwithstanding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identified</w:t>
      </w:r>
      <w:r>
        <w:rPr>
          <w:spacing w:val="-3"/>
        </w:rPr>
        <w:t> </w:t>
      </w:r>
      <w:r>
        <w:rPr/>
        <w:t>material</w:t>
      </w:r>
      <w:r>
        <w:rPr>
          <w:spacing w:val="-5"/>
        </w:rPr>
        <w:t> </w:t>
      </w:r>
      <w:r>
        <w:rPr/>
        <w:t>weakness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our</w:t>
      </w:r>
      <w:r>
        <w:rPr>
          <w:spacing w:val="-4"/>
        </w:rPr>
        <w:t> </w:t>
      </w:r>
      <w:r>
        <w:rPr/>
        <w:t>internal</w:t>
      </w:r>
      <w:r>
        <w:rPr>
          <w:spacing w:val="-4"/>
        </w:rPr>
        <w:t> </w:t>
      </w:r>
      <w:r>
        <w:rPr/>
        <w:t>control</w:t>
      </w:r>
      <w:r>
        <w:rPr>
          <w:spacing w:val="-4"/>
        </w:rPr>
        <w:t> </w:t>
      </w:r>
      <w:r>
        <w:rPr/>
        <w:t>over</w:t>
      </w:r>
      <w:r>
        <w:rPr>
          <w:spacing w:val="-3"/>
        </w:rPr>
        <w:t> </w:t>
      </w:r>
      <w:r>
        <w:rPr/>
        <w:t>financial</w:t>
      </w:r>
      <w:r>
        <w:rPr>
          <w:spacing w:val="-5"/>
        </w:rPr>
        <w:t> </w:t>
      </w:r>
      <w:r>
        <w:rPr/>
        <w:t>reporting,</w:t>
      </w:r>
      <w:r>
        <w:rPr>
          <w:spacing w:val="-3"/>
        </w:rPr>
        <w:t> </w:t>
      </w:r>
      <w:r>
        <w:rPr/>
        <w:t>the</w:t>
      </w:r>
      <w:r>
        <w:rPr>
          <w:spacing w:val="-47"/>
        </w:rPr>
        <w:t> </w:t>
      </w:r>
      <w:r>
        <w:rPr/>
        <w:t>condensed consolidated financial statements in this Quarterly Report fairly present, in all material respects, our</w:t>
      </w:r>
      <w:r>
        <w:rPr>
          <w:spacing w:val="1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position,</w:t>
      </w:r>
      <w:r>
        <w:rPr>
          <w:spacing w:val="-2"/>
        </w:rPr>
        <w:t> </w:t>
      </w:r>
      <w:r>
        <w:rPr/>
        <w:t>results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operations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cash</w:t>
      </w:r>
      <w:r>
        <w:rPr>
          <w:spacing w:val="-2"/>
        </w:rPr>
        <w:t> </w:t>
      </w:r>
      <w:r>
        <w:rPr/>
        <w:t>flows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periods</w:t>
      </w:r>
      <w:r>
        <w:rPr>
          <w:spacing w:val="-3"/>
        </w:rPr>
        <w:t> </w:t>
      </w:r>
      <w:r>
        <w:rPr/>
        <w:t>presented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conformity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U.S.</w:t>
      </w:r>
      <w:r>
        <w:rPr>
          <w:spacing w:val="-2"/>
        </w:rPr>
        <w:t> </w:t>
      </w:r>
      <w:r>
        <w:rPr/>
        <w:t>GAAP.</w:t>
      </w:r>
    </w:p>
    <w:p>
      <w:pPr>
        <w:pStyle w:val="Heading3"/>
        <w:ind w:left="460"/>
        <w:rPr>
          <w:i/>
        </w:rPr>
      </w:pPr>
      <w:r>
        <w:rPr>
          <w:i/>
        </w:rPr>
        <w:t>Material</w:t>
      </w:r>
      <w:r>
        <w:rPr>
          <w:i/>
          <w:spacing w:val="-6"/>
        </w:rPr>
        <w:t> </w:t>
      </w:r>
      <w:r>
        <w:rPr>
          <w:i/>
        </w:rPr>
        <w:t>Weakness</w:t>
      </w:r>
      <w:r>
        <w:rPr>
          <w:i/>
          <w:spacing w:val="-5"/>
        </w:rPr>
        <w:t> </w:t>
      </w:r>
      <w:r>
        <w:rPr>
          <w:i/>
        </w:rPr>
        <w:t>in</w:t>
      </w:r>
      <w:r>
        <w:rPr>
          <w:i/>
          <w:spacing w:val="-5"/>
        </w:rPr>
        <w:t> </w:t>
      </w:r>
      <w:r>
        <w:rPr>
          <w:i/>
        </w:rPr>
        <w:t>Internal</w:t>
      </w:r>
      <w:r>
        <w:rPr>
          <w:i/>
          <w:spacing w:val="-6"/>
        </w:rPr>
        <w:t> </w:t>
      </w:r>
      <w:r>
        <w:rPr>
          <w:i/>
        </w:rPr>
        <w:t>Control</w:t>
      </w:r>
      <w:r>
        <w:rPr>
          <w:i/>
          <w:spacing w:val="-5"/>
        </w:rPr>
        <w:t> </w:t>
      </w:r>
      <w:r>
        <w:rPr>
          <w:i/>
        </w:rPr>
        <w:t>Over</w:t>
      </w:r>
      <w:r>
        <w:rPr>
          <w:i/>
          <w:spacing w:val="-5"/>
        </w:rPr>
        <w:t> </w:t>
      </w:r>
      <w:r>
        <w:rPr>
          <w:i/>
        </w:rPr>
        <w:t>Financial</w:t>
      </w:r>
      <w:r>
        <w:rPr>
          <w:i/>
          <w:spacing w:val="-6"/>
        </w:rPr>
        <w:t> </w:t>
      </w:r>
      <w:r>
        <w:rPr>
          <w:i/>
        </w:rPr>
        <w:t>Reporting</w:t>
      </w:r>
    </w:p>
    <w:p>
      <w:pPr>
        <w:pStyle w:val="BodyText"/>
        <w:spacing w:line="249" w:lineRule="auto" w:before="194"/>
        <w:ind w:right="148"/>
      </w:pPr>
      <w:r>
        <w:rPr/>
        <w:t>We previously identified a material weakness in our internal control over financial reporting that continues to</w:t>
      </w:r>
      <w:r>
        <w:rPr>
          <w:spacing w:val="1"/>
        </w:rPr>
        <w:t> </w:t>
      </w:r>
      <w:r>
        <w:rPr/>
        <w:t>exist. A material weakness is a deficiency, or a combination of deficiencies, in internal control over financial</w:t>
      </w:r>
      <w:r>
        <w:rPr>
          <w:spacing w:val="1"/>
        </w:rPr>
        <w:t> </w:t>
      </w:r>
      <w:r>
        <w:rPr/>
        <w:t>reporting such that there is a reasonable possibility that a material misstatement of our annual or interim financial</w:t>
      </w:r>
      <w:r>
        <w:rPr>
          <w:spacing w:val="1"/>
        </w:rPr>
        <w:t> </w:t>
      </w:r>
      <w:r>
        <w:rPr/>
        <w:t>statements will not be prevented or detected on a timely basis. The material weakness is the result of our failure to</w:t>
      </w:r>
      <w:r>
        <w:rPr>
          <w:spacing w:val="1"/>
        </w:rPr>
        <w:t> </w:t>
      </w:r>
      <w:r>
        <w:rPr/>
        <w:t>design and maintain effective controls over certain information technology, or IT, general controls for information</w:t>
      </w:r>
      <w:r>
        <w:rPr>
          <w:spacing w:val="1"/>
        </w:rPr>
        <w:t> </w:t>
      </w:r>
      <w:r>
        <w:rPr/>
        <w:t>systems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relevant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preparation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financial</w:t>
      </w:r>
      <w:r>
        <w:rPr>
          <w:spacing w:val="-4"/>
        </w:rPr>
        <w:t> </w:t>
      </w:r>
      <w:r>
        <w:rPr/>
        <w:t>statements.</w:t>
      </w:r>
      <w:r>
        <w:rPr>
          <w:spacing w:val="-3"/>
        </w:rPr>
        <w:t> </w:t>
      </w:r>
      <w:r>
        <w:rPr/>
        <w:t>Specifically,</w:t>
      </w:r>
      <w:r>
        <w:rPr>
          <w:spacing w:val="-3"/>
        </w:rPr>
        <w:t> </w:t>
      </w:r>
      <w:r>
        <w:rPr/>
        <w:t>we</w:t>
      </w:r>
      <w:r>
        <w:rPr>
          <w:spacing w:val="-4"/>
        </w:rPr>
        <w:t> </w:t>
      </w:r>
      <w:r>
        <w:rPr/>
        <w:t>did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design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maintain: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9" w:lineRule="auto" w:before="72" w:after="0"/>
        <w:ind w:left="100" w:right="500" w:firstLine="360"/>
        <w:jc w:val="left"/>
        <w:rPr>
          <w:sz w:val="20"/>
        </w:rPr>
      </w:pPr>
      <w:r>
        <w:rPr>
          <w:sz w:val="20"/>
        </w:rPr>
        <w:t>program</w:t>
      </w:r>
      <w:r>
        <w:rPr>
          <w:spacing w:val="-4"/>
          <w:sz w:val="20"/>
        </w:rPr>
        <w:t> </w:t>
      </w:r>
      <w:r>
        <w:rPr>
          <w:sz w:val="20"/>
        </w:rPr>
        <w:t>change</w:t>
      </w:r>
      <w:r>
        <w:rPr>
          <w:spacing w:val="-4"/>
          <w:sz w:val="20"/>
        </w:rPr>
        <w:t> </w:t>
      </w:r>
      <w:r>
        <w:rPr>
          <w:sz w:val="20"/>
        </w:rPr>
        <w:t>management</w:t>
      </w:r>
      <w:r>
        <w:rPr>
          <w:spacing w:val="-3"/>
          <w:sz w:val="20"/>
        </w:rPr>
        <w:t> </w:t>
      </w:r>
      <w:r>
        <w:rPr>
          <w:sz w:val="20"/>
        </w:rPr>
        <w:t>controls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ensure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information</w:t>
      </w:r>
      <w:r>
        <w:rPr>
          <w:spacing w:val="-2"/>
          <w:sz w:val="20"/>
        </w:rPr>
        <w:t> </w:t>
      </w:r>
      <w:r>
        <w:rPr>
          <w:sz w:val="20"/>
        </w:rPr>
        <w:t>technology</w:t>
      </w:r>
      <w:r>
        <w:rPr>
          <w:spacing w:val="-3"/>
          <w:sz w:val="20"/>
        </w:rPr>
        <w:t> </w:t>
      </w:r>
      <w:r>
        <w:rPr>
          <w:sz w:val="20"/>
        </w:rPr>
        <w:t>program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4"/>
          <w:sz w:val="20"/>
        </w:rPr>
        <w:t> </w:t>
      </w:r>
      <w:r>
        <w:rPr>
          <w:sz w:val="20"/>
        </w:rPr>
        <w:t>changes</w:t>
      </w:r>
      <w:r>
        <w:rPr>
          <w:spacing w:val="-47"/>
          <w:sz w:val="20"/>
        </w:rPr>
        <w:t> </w:t>
      </w:r>
      <w:r>
        <w:rPr>
          <w:sz w:val="20"/>
        </w:rPr>
        <w:t>affecting financial IT applications and underlying accounting records are identified, tested, authorized and</w:t>
      </w:r>
      <w:r>
        <w:rPr>
          <w:spacing w:val="1"/>
          <w:sz w:val="20"/>
        </w:rPr>
        <w:t> </w:t>
      </w:r>
      <w:r>
        <w:rPr>
          <w:sz w:val="20"/>
        </w:rPr>
        <w:t>implemented</w:t>
      </w:r>
      <w:r>
        <w:rPr>
          <w:spacing w:val="-1"/>
          <w:sz w:val="20"/>
        </w:rPr>
        <w:t> </w:t>
      </w:r>
      <w:r>
        <w:rPr>
          <w:sz w:val="20"/>
        </w:rPr>
        <w:t>appropriately, and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9" w:lineRule="auto" w:before="182" w:after="0"/>
        <w:ind w:left="100" w:right="790" w:firstLine="360"/>
        <w:jc w:val="left"/>
        <w:rPr>
          <w:sz w:val="20"/>
        </w:rPr>
      </w:pPr>
      <w:r>
        <w:rPr>
          <w:sz w:val="20"/>
        </w:rPr>
        <w:t>user</w:t>
      </w:r>
      <w:r>
        <w:rPr>
          <w:spacing w:val="-3"/>
          <w:sz w:val="20"/>
        </w:rPr>
        <w:t> </w:t>
      </w:r>
      <w:r>
        <w:rPr>
          <w:sz w:val="20"/>
        </w:rPr>
        <w:t>access</w:t>
      </w:r>
      <w:r>
        <w:rPr>
          <w:spacing w:val="-4"/>
          <w:sz w:val="20"/>
        </w:rPr>
        <w:t> </w:t>
      </w:r>
      <w:r>
        <w:rPr>
          <w:sz w:val="20"/>
        </w:rPr>
        <w:t>controls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ensure</w:t>
      </w:r>
      <w:r>
        <w:rPr>
          <w:spacing w:val="-4"/>
          <w:sz w:val="20"/>
        </w:rPr>
        <w:t> </w:t>
      </w:r>
      <w:r>
        <w:rPr>
          <w:sz w:val="20"/>
        </w:rPr>
        <w:t>appropriate</w:t>
      </w:r>
      <w:r>
        <w:rPr>
          <w:spacing w:val="-4"/>
          <w:sz w:val="20"/>
        </w:rPr>
        <w:t> </w:t>
      </w:r>
      <w:r>
        <w:rPr>
          <w:sz w:val="20"/>
        </w:rPr>
        <w:t>segregation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duties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adequately</w:t>
      </w:r>
      <w:r>
        <w:rPr>
          <w:spacing w:val="-3"/>
          <w:sz w:val="20"/>
        </w:rPr>
        <w:t> </w:t>
      </w:r>
      <w:r>
        <w:rPr>
          <w:sz w:val="20"/>
        </w:rPr>
        <w:t>restrict</w:t>
      </w:r>
      <w:r>
        <w:rPr>
          <w:spacing w:val="-4"/>
          <w:sz w:val="20"/>
        </w:rPr>
        <w:t> </w:t>
      </w:r>
      <w:r>
        <w:rPr>
          <w:sz w:val="20"/>
        </w:rPr>
        <w:t>user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privileged</w:t>
      </w:r>
      <w:r>
        <w:rPr>
          <w:spacing w:val="-2"/>
          <w:sz w:val="20"/>
        </w:rPr>
        <w:t> </w:t>
      </w:r>
      <w:r>
        <w:rPr>
          <w:sz w:val="20"/>
        </w:rPr>
        <w:t>access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financial</w:t>
      </w:r>
      <w:r>
        <w:rPr>
          <w:spacing w:val="-3"/>
          <w:sz w:val="20"/>
        </w:rPr>
        <w:t> </w:t>
      </w:r>
      <w:r>
        <w:rPr>
          <w:sz w:val="20"/>
        </w:rPr>
        <w:t>applications,</w:t>
      </w:r>
      <w:r>
        <w:rPr>
          <w:spacing w:val="-1"/>
          <w:sz w:val="20"/>
        </w:rPr>
        <w:t> </w:t>
      </w:r>
      <w:r>
        <w:rPr>
          <w:sz w:val="20"/>
        </w:rPr>
        <w:t>programs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data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appropriate</w:t>
      </w:r>
      <w:r>
        <w:rPr>
          <w:spacing w:val="-3"/>
          <w:sz w:val="20"/>
        </w:rPr>
        <w:t> </w:t>
      </w:r>
      <w:r>
        <w:rPr>
          <w:sz w:val="20"/>
        </w:rPr>
        <w:t>company</w:t>
      </w:r>
      <w:r>
        <w:rPr>
          <w:spacing w:val="-1"/>
          <w:sz w:val="20"/>
        </w:rPr>
        <w:t> </w:t>
      </w:r>
      <w:r>
        <w:rPr>
          <w:sz w:val="20"/>
        </w:rPr>
        <w:t>personnel.</w:t>
      </w:r>
    </w:p>
    <w:p>
      <w:pPr>
        <w:pStyle w:val="BodyText"/>
        <w:spacing w:line="249" w:lineRule="auto" w:before="182"/>
        <w:ind w:right="151"/>
      </w:pPr>
      <w:r>
        <w:rPr/>
        <w:t>These IT general control deficiencies did not result in a material misstatement to the consolidated financial</w:t>
      </w:r>
      <w:r>
        <w:rPr>
          <w:spacing w:val="1"/>
        </w:rPr>
        <w:t> </w:t>
      </w:r>
      <w:r>
        <w:rPr/>
        <w:t>statements;</w:t>
      </w:r>
      <w:r>
        <w:rPr>
          <w:spacing w:val="-6"/>
        </w:rPr>
        <w:t> </w:t>
      </w:r>
      <w:r>
        <w:rPr/>
        <w:t>however,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deficiencies,</w:t>
      </w:r>
      <w:r>
        <w:rPr>
          <w:spacing w:val="-4"/>
        </w:rPr>
        <w:t> </w:t>
      </w:r>
      <w:r>
        <w:rPr/>
        <w:t>when</w:t>
      </w:r>
      <w:r>
        <w:rPr>
          <w:spacing w:val="-4"/>
        </w:rPr>
        <w:t> </w:t>
      </w:r>
      <w:r>
        <w:rPr/>
        <w:t>aggregated,</w:t>
      </w:r>
      <w:r>
        <w:rPr>
          <w:spacing w:val="-4"/>
        </w:rPr>
        <w:t> </w:t>
      </w:r>
      <w:r>
        <w:rPr/>
        <w:t>could</w:t>
      </w:r>
      <w:r>
        <w:rPr>
          <w:spacing w:val="-4"/>
        </w:rPr>
        <w:t> </w:t>
      </w:r>
      <w:r>
        <w:rPr/>
        <w:t>impact</w:t>
      </w:r>
      <w:r>
        <w:rPr>
          <w:spacing w:val="-5"/>
        </w:rPr>
        <w:t> </w:t>
      </w:r>
      <w:r>
        <w:rPr/>
        <w:t>maintaining</w:t>
      </w:r>
      <w:r>
        <w:rPr>
          <w:spacing w:val="-4"/>
        </w:rPr>
        <w:t> </w:t>
      </w:r>
      <w:r>
        <w:rPr/>
        <w:t>effective</w:t>
      </w:r>
      <w:r>
        <w:rPr>
          <w:spacing w:val="-6"/>
        </w:rPr>
        <w:t> </w:t>
      </w:r>
      <w:r>
        <w:rPr/>
        <w:t>segregation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duties,</w:t>
      </w:r>
      <w:r>
        <w:rPr>
          <w:spacing w:val="-4"/>
        </w:rPr>
        <w:t> </w:t>
      </w:r>
      <w:r>
        <w:rPr/>
        <w:t>as</w:t>
      </w:r>
      <w:r>
        <w:rPr>
          <w:spacing w:val="1"/>
        </w:rPr>
        <w:t> </w:t>
      </w:r>
      <w:r>
        <w:rPr/>
        <w:t>well as the effectiveness of IT-dependent controls (such as automated controls that address the risk of material</w:t>
      </w:r>
      <w:r>
        <w:rPr>
          <w:spacing w:val="1"/>
        </w:rPr>
        <w:t> </w:t>
      </w:r>
      <w:r>
        <w:rPr/>
        <w:t>misstatement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more</w:t>
      </w:r>
      <w:r>
        <w:rPr>
          <w:spacing w:val="-3"/>
        </w:rPr>
        <w:t> </w:t>
      </w:r>
      <w:r>
        <w:rPr/>
        <w:t>assertions,</w:t>
      </w:r>
      <w:r>
        <w:rPr>
          <w:spacing w:val="-3"/>
        </w:rPr>
        <w:t> </w:t>
      </w:r>
      <w:r>
        <w:rPr/>
        <w:t>along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IT</w:t>
      </w:r>
      <w:r>
        <w:rPr>
          <w:spacing w:val="-4"/>
        </w:rPr>
        <w:t> </w:t>
      </w:r>
      <w:r>
        <w:rPr/>
        <w:t>controls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underlying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support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effectiveness</w:t>
      </w:r>
      <w:r>
        <w:rPr>
          <w:spacing w:val="1"/>
        </w:rPr>
        <w:t> </w:t>
      </w:r>
      <w:r>
        <w:rPr/>
        <w:t>of system-generated data and reports) that could result in misstatements potentially impacting all financial statement</w:t>
      </w:r>
      <w:r>
        <w:rPr>
          <w:spacing w:val="-47"/>
        </w:rPr>
        <w:t> </w:t>
      </w:r>
      <w:r>
        <w:rPr/>
        <w:t>accounts and disclosures that would result in a material misstatement to the annual or interim consolidated financial</w:t>
      </w:r>
      <w:r>
        <w:rPr>
          <w:spacing w:val="1"/>
        </w:rPr>
        <w:t> </w:t>
      </w:r>
      <w:r>
        <w:rPr/>
        <w:t>statements that would not be prevented or detected. Accordingly, our management determined these deficiencies in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aggregate</w:t>
      </w:r>
      <w:r>
        <w:rPr>
          <w:spacing w:val="-1"/>
        </w:rPr>
        <w:t> </w:t>
      </w:r>
      <w:r>
        <w:rPr/>
        <w:t>constitute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material</w:t>
      </w:r>
      <w:r>
        <w:rPr>
          <w:spacing w:val="-1"/>
        </w:rPr>
        <w:t> </w:t>
      </w:r>
      <w:r>
        <w:rPr/>
        <w:t>weakness.</w:t>
      </w:r>
    </w:p>
    <w:p>
      <w:pPr>
        <w:pStyle w:val="Heading3"/>
        <w:spacing w:before="183"/>
        <w:ind w:left="460"/>
        <w:rPr>
          <w:i/>
        </w:rPr>
      </w:pPr>
      <w:r>
        <w:rPr>
          <w:i/>
        </w:rPr>
        <w:t>Management’s</w:t>
      </w:r>
      <w:r>
        <w:rPr>
          <w:i/>
          <w:spacing w:val="-5"/>
        </w:rPr>
        <w:t> </w:t>
      </w:r>
      <w:r>
        <w:rPr>
          <w:i/>
        </w:rPr>
        <w:t>Plan</w:t>
      </w:r>
      <w:r>
        <w:rPr>
          <w:i/>
          <w:spacing w:val="-5"/>
        </w:rPr>
        <w:t> </w:t>
      </w:r>
      <w:r>
        <w:rPr>
          <w:i/>
        </w:rPr>
        <w:t>to</w:t>
      </w:r>
      <w:r>
        <w:rPr>
          <w:i/>
          <w:spacing w:val="-4"/>
        </w:rPr>
        <w:t> </w:t>
      </w:r>
      <w:r>
        <w:rPr>
          <w:i/>
        </w:rPr>
        <w:t>Remediate</w:t>
      </w:r>
      <w:r>
        <w:rPr>
          <w:i/>
          <w:spacing w:val="-5"/>
        </w:rPr>
        <w:t> </w:t>
      </w:r>
      <w:r>
        <w:rPr>
          <w:i/>
        </w:rPr>
        <w:t>the</w:t>
      </w:r>
      <w:r>
        <w:rPr>
          <w:i/>
          <w:spacing w:val="-5"/>
        </w:rPr>
        <w:t> </w:t>
      </w:r>
      <w:r>
        <w:rPr>
          <w:i/>
        </w:rPr>
        <w:t>Material</w:t>
      </w:r>
      <w:r>
        <w:rPr>
          <w:i/>
          <w:spacing w:val="-4"/>
        </w:rPr>
        <w:t> </w:t>
      </w:r>
      <w:r>
        <w:rPr>
          <w:i/>
        </w:rPr>
        <w:t>Weakness</w:t>
      </w:r>
    </w:p>
    <w:p>
      <w:pPr>
        <w:pStyle w:val="BodyText"/>
        <w:spacing w:line="249" w:lineRule="auto" w:before="193"/>
        <w:ind w:right="136"/>
      </w:pPr>
      <w:r>
        <w:rPr/>
        <w:t>We are in the process of designing, implementing, and testing the operating effectiveness of measures to</w:t>
      </w:r>
      <w:r>
        <w:rPr>
          <w:spacing w:val="1"/>
        </w:rPr>
        <w:t> </w:t>
      </w:r>
      <w:r>
        <w:rPr/>
        <w:t>remediate the material weakness in our internal control over financial reporting. During the three months ended</w:t>
      </w:r>
      <w:r>
        <w:rPr>
          <w:spacing w:val="1"/>
        </w:rPr>
        <w:t> </w:t>
      </w:r>
      <w:r>
        <w:rPr/>
        <w:t>September 30, 2021, we completed the design and implementation of controls over the review and update of user</w:t>
      </w:r>
      <w:r>
        <w:rPr>
          <w:spacing w:val="1"/>
        </w:rPr>
        <w:t> </w:t>
      </w:r>
      <w:r>
        <w:rPr/>
        <w:t>access rights</w:t>
      </w:r>
      <w:r>
        <w:rPr>
          <w:spacing w:val="1"/>
        </w:rPr>
        <w:t> </w:t>
      </w:r>
      <w:r>
        <w:rPr/>
        <w:t>and</w:t>
      </w:r>
      <w:r>
        <w:rPr>
          <w:spacing w:val="2"/>
        </w:rPr>
        <w:t> </w:t>
      </w:r>
      <w:r>
        <w:rPr/>
        <w:t>privileges,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controls</w:t>
      </w:r>
      <w:r>
        <w:rPr>
          <w:spacing w:val="1"/>
        </w:rPr>
        <w:t> </w:t>
      </w:r>
      <w:r>
        <w:rPr/>
        <w:t>over</w:t>
      </w:r>
      <w:r>
        <w:rPr>
          <w:spacing w:val="2"/>
        </w:rPr>
        <w:t> </w:t>
      </w:r>
      <w:r>
        <w:rPr/>
        <w:t>program changes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/>
        <w:t>our</w:t>
      </w:r>
      <w:r>
        <w:rPr>
          <w:spacing w:val="2"/>
        </w:rPr>
        <w:t> </w:t>
      </w:r>
      <w:r>
        <w:rPr/>
        <w:t>information</w:t>
      </w:r>
      <w:r>
        <w:rPr>
          <w:spacing w:val="2"/>
        </w:rPr>
        <w:t> </w:t>
      </w:r>
      <w:r>
        <w:rPr/>
        <w:t>systems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contain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for financial reporting. We plan to complete the design and implementation of controls over segregation of duties</w:t>
      </w:r>
      <w:r>
        <w:rPr>
          <w:spacing w:val="1"/>
        </w:rPr>
        <w:t> </w:t>
      </w:r>
      <w:r>
        <w:rPr/>
        <w:t>subsequent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three</w:t>
      </w:r>
      <w:r>
        <w:rPr>
          <w:spacing w:val="-4"/>
        </w:rPr>
        <w:t> </w:t>
      </w:r>
      <w:r>
        <w:rPr/>
        <w:t>months</w:t>
      </w:r>
      <w:r>
        <w:rPr>
          <w:spacing w:val="-4"/>
        </w:rPr>
        <w:t> </w:t>
      </w:r>
      <w:r>
        <w:rPr/>
        <w:t>ended</w:t>
      </w:r>
      <w:r>
        <w:rPr>
          <w:spacing w:val="-2"/>
        </w:rPr>
        <w:t> </w:t>
      </w:r>
      <w:r>
        <w:rPr/>
        <w:t>September</w:t>
      </w:r>
      <w:r>
        <w:rPr>
          <w:spacing w:val="-3"/>
        </w:rPr>
        <w:t> </w:t>
      </w:r>
      <w:r>
        <w:rPr/>
        <w:t>30,</w:t>
      </w:r>
      <w:r>
        <w:rPr>
          <w:spacing w:val="-3"/>
        </w:rPr>
        <w:t> </w:t>
      </w:r>
      <w:r>
        <w:rPr/>
        <w:t>2021.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material</w:t>
      </w:r>
      <w:r>
        <w:rPr>
          <w:spacing w:val="-4"/>
        </w:rPr>
        <w:t> </w:t>
      </w:r>
      <w:r>
        <w:rPr/>
        <w:t>weakness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considered</w:t>
      </w:r>
      <w:r>
        <w:rPr>
          <w:spacing w:val="-3"/>
        </w:rPr>
        <w:t> </w:t>
      </w:r>
      <w:r>
        <w:rPr/>
        <w:t>remediated</w:t>
      </w:r>
      <w:r>
        <w:rPr>
          <w:spacing w:val="-47"/>
        </w:rPr>
        <w:t> </w:t>
      </w:r>
      <w:r>
        <w:rPr/>
        <w:t>until management completes the design and implementation of the measures described above and the controls</w:t>
      </w:r>
      <w:r>
        <w:rPr>
          <w:spacing w:val="1"/>
        </w:rPr>
        <w:t> </w:t>
      </w:r>
      <w:r>
        <w:rPr/>
        <w:t>operate for a sufficient period of time and management has concluded, through testing, that these controls are</w:t>
      </w:r>
      <w:r>
        <w:rPr>
          <w:spacing w:val="1"/>
        </w:rPr>
        <w:t> </w:t>
      </w:r>
      <w:r>
        <w:rPr/>
        <w:t>effective.</w:t>
      </w:r>
    </w:p>
    <w:p>
      <w:pPr>
        <w:pStyle w:val="Heading3"/>
        <w:spacing w:before="184"/>
        <w:ind w:left="460"/>
        <w:rPr>
          <w:i/>
        </w:rPr>
      </w:pPr>
      <w:r>
        <w:rPr>
          <w:i/>
        </w:rPr>
        <w:t>Limitations</w:t>
      </w:r>
      <w:r>
        <w:rPr>
          <w:i/>
          <w:spacing w:val="-6"/>
        </w:rPr>
        <w:t> </w:t>
      </w:r>
      <w:r>
        <w:rPr>
          <w:i/>
        </w:rPr>
        <w:t>on</w:t>
      </w:r>
      <w:r>
        <w:rPr>
          <w:i/>
          <w:spacing w:val="-6"/>
        </w:rPr>
        <w:t> </w:t>
      </w:r>
      <w:r>
        <w:rPr>
          <w:i/>
        </w:rPr>
        <w:t>Effectiveness</w:t>
      </w:r>
      <w:r>
        <w:rPr>
          <w:i/>
          <w:spacing w:val="-5"/>
        </w:rPr>
        <w:t> </w:t>
      </w:r>
      <w:r>
        <w:rPr>
          <w:i/>
        </w:rPr>
        <w:t>of</w:t>
      </w:r>
      <w:r>
        <w:rPr>
          <w:i/>
          <w:spacing w:val="-5"/>
        </w:rPr>
        <w:t> </w:t>
      </w:r>
      <w:r>
        <w:rPr>
          <w:i/>
        </w:rPr>
        <w:t>Disclosure</w:t>
      </w:r>
      <w:r>
        <w:rPr>
          <w:i/>
          <w:spacing w:val="-6"/>
        </w:rPr>
        <w:t> </w:t>
      </w:r>
      <w:r>
        <w:rPr>
          <w:i/>
        </w:rPr>
        <w:t>Controls</w:t>
      </w:r>
      <w:r>
        <w:rPr>
          <w:i/>
          <w:spacing w:val="-5"/>
        </w:rPr>
        <w:t> </w:t>
      </w:r>
      <w:r>
        <w:rPr>
          <w:i/>
        </w:rPr>
        <w:t>and</w:t>
      </w:r>
      <w:r>
        <w:rPr>
          <w:i/>
          <w:spacing w:val="-5"/>
        </w:rPr>
        <w:t> </w:t>
      </w:r>
      <w:r>
        <w:rPr>
          <w:i/>
        </w:rPr>
        <w:t>Procedures</w:t>
      </w:r>
    </w:p>
    <w:p>
      <w:pPr>
        <w:pStyle w:val="BodyText"/>
        <w:spacing w:line="249" w:lineRule="auto" w:before="194"/>
        <w:ind w:right="212"/>
      </w:pPr>
      <w:r>
        <w:rPr/>
        <w:t>In designing and evaluating our disclosure controls and procedures, management recognizes that any controls</w:t>
      </w:r>
      <w:r>
        <w:rPr>
          <w:spacing w:val="1"/>
        </w:rPr>
        <w:t> </w:t>
      </w:r>
      <w:r>
        <w:rPr/>
        <w:t>and</w:t>
      </w:r>
      <w:r>
        <w:rPr>
          <w:spacing w:val="-3"/>
        </w:rPr>
        <w:t> </w:t>
      </w:r>
      <w:r>
        <w:rPr/>
        <w:t>procedures,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matter</w:t>
      </w:r>
      <w:r>
        <w:rPr>
          <w:spacing w:val="-3"/>
        </w:rPr>
        <w:t> </w:t>
      </w:r>
      <w:r>
        <w:rPr/>
        <w:t>how</w:t>
      </w:r>
      <w:r>
        <w:rPr>
          <w:spacing w:val="-3"/>
        </w:rPr>
        <w:t> </w:t>
      </w:r>
      <w:r>
        <w:rPr/>
        <w:t>well</w:t>
      </w:r>
      <w:r>
        <w:rPr>
          <w:spacing w:val="-3"/>
        </w:rPr>
        <w:t> </w:t>
      </w:r>
      <w:r>
        <w:rPr/>
        <w:t>designed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operated,</w:t>
      </w:r>
      <w:r>
        <w:rPr>
          <w:spacing w:val="-3"/>
        </w:rPr>
        <w:t> </w:t>
      </w:r>
      <w:r>
        <w:rPr/>
        <w:t>can</w:t>
      </w:r>
      <w:r>
        <w:rPr>
          <w:spacing w:val="-2"/>
        </w:rPr>
        <w:t> </w:t>
      </w:r>
      <w:r>
        <w:rPr/>
        <w:t>provide</w:t>
      </w:r>
      <w:r>
        <w:rPr>
          <w:spacing w:val="-4"/>
        </w:rPr>
        <w:t> </w:t>
      </w:r>
      <w:r>
        <w:rPr/>
        <w:t>only</w:t>
      </w:r>
      <w:r>
        <w:rPr>
          <w:spacing w:val="-2"/>
        </w:rPr>
        <w:t> </w:t>
      </w:r>
      <w:r>
        <w:rPr/>
        <w:t>reasonable</w:t>
      </w:r>
      <w:r>
        <w:rPr>
          <w:spacing w:val="-4"/>
        </w:rPr>
        <w:t> </w:t>
      </w:r>
      <w:r>
        <w:rPr/>
        <w:t>assurance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achieving</w:t>
      </w:r>
      <w:r>
        <w:rPr>
          <w:spacing w:val="-2"/>
        </w:rPr>
        <w:t> </w:t>
      </w:r>
      <w:r>
        <w:rPr/>
        <w:t>the</w:t>
      </w:r>
      <w:r>
        <w:rPr>
          <w:spacing w:val="-47"/>
        </w:rPr>
        <w:t> </w:t>
      </w:r>
      <w:r>
        <w:rPr/>
        <w:t>desired control objectives. In addition, the design of disclosure controls and procedures must reflect the fact that</w:t>
      </w:r>
      <w:r>
        <w:rPr>
          <w:spacing w:val="1"/>
        </w:rPr>
        <w:t> </w:t>
      </w:r>
      <w:r>
        <w:rPr/>
        <w:t>there are resource constraints and that management is required to apply judgment in evaluating the benefits of</w:t>
      </w:r>
      <w:r>
        <w:rPr>
          <w:spacing w:val="1"/>
        </w:rPr>
        <w:t> </w:t>
      </w:r>
      <w:r>
        <w:rPr/>
        <w:t>possible</w:t>
      </w:r>
      <w:r>
        <w:rPr>
          <w:spacing w:val="-2"/>
        </w:rPr>
        <w:t> </w:t>
      </w:r>
      <w:r>
        <w:rPr/>
        <w:t>controls</w:t>
      </w:r>
      <w:r>
        <w:rPr>
          <w:spacing w:val="-1"/>
        </w:rPr>
        <w:t> </w:t>
      </w:r>
      <w:r>
        <w:rPr/>
        <w:t>and procedures</w:t>
      </w:r>
      <w:r>
        <w:rPr>
          <w:spacing w:val="-1"/>
        </w:rPr>
        <w:t> </w:t>
      </w:r>
      <w:r>
        <w:rPr/>
        <w:t>relative</w:t>
      </w:r>
      <w:r>
        <w:rPr>
          <w:spacing w:val="-2"/>
        </w:rPr>
        <w:t> </w:t>
      </w:r>
      <w:r>
        <w:rPr/>
        <w:t>to their costs.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before="0"/>
        <w:ind w:left="0" w:firstLine="0"/>
        <w:rPr>
          <w:sz w:val="22"/>
        </w:rPr>
      </w:pPr>
    </w:p>
    <w:p>
      <w:pPr>
        <w:pStyle w:val="BodyText"/>
        <w:spacing w:before="0"/>
        <w:ind w:left="0" w:firstLine="0"/>
        <w:rPr>
          <w:sz w:val="22"/>
        </w:rPr>
      </w:pPr>
    </w:p>
    <w:p>
      <w:pPr>
        <w:pStyle w:val="BodyText"/>
        <w:spacing w:before="0"/>
        <w:ind w:left="0" w:firstLine="0"/>
        <w:rPr>
          <w:sz w:val="22"/>
        </w:rPr>
      </w:pPr>
    </w:p>
    <w:p>
      <w:pPr>
        <w:spacing w:before="149"/>
        <w:ind w:left="100" w:right="0" w:firstLine="0"/>
        <w:jc w:val="left"/>
        <w:rPr>
          <w:b/>
          <w:sz w:val="20"/>
        </w:rPr>
      </w:pPr>
      <w:bookmarkStart w:name="Part II - Other Information" w:id="54"/>
      <w:bookmarkEnd w:id="54"/>
      <w:r>
        <w:rPr/>
      </w:r>
      <w:bookmarkStart w:name="Item 1. Legal Proceedings" w:id="55"/>
      <w:bookmarkEnd w:id="55"/>
      <w:r>
        <w:rPr/>
      </w:r>
      <w:bookmarkStart w:name="_bookmark10" w:id="56"/>
      <w:bookmarkEnd w:id="56"/>
      <w:r>
        <w:rPr/>
      </w:r>
      <w:bookmarkStart w:name="_bookmark11" w:id="57"/>
      <w:bookmarkEnd w:id="57"/>
      <w:r>
        <w:rPr/>
      </w:r>
      <w:r>
        <w:rPr>
          <w:b/>
          <w:sz w:val="20"/>
        </w:rPr>
        <w:t>Item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1.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Legal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Proceeding</w:t>
      </w:r>
    </w:p>
    <w:p>
      <w:pPr>
        <w:pStyle w:val="Heading1"/>
        <w:spacing w:line="439" w:lineRule="auto" w:before="68"/>
        <w:ind w:left="100" w:right="3659" w:firstLine="755"/>
        <w:jc w:val="left"/>
      </w:pPr>
      <w:r>
        <w:rPr>
          <w:b w:val="0"/>
        </w:rPr>
        <w:br w:type="column"/>
      </w:r>
      <w:r>
        <w:rPr/>
        <w:t>PART</w:t>
      </w:r>
      <w:r>
        <w:rPr>
          <w:spacing w:val="50"/>
        </w:rPr>
        <w:t> </w:t>
      </w:r>
      <w:r>
        <w:rPr/>
        <w:t>II</w:t>
      </w:r>
      <w:r>
        <w:rPr>
          <w:spacing w:val="1"/>
        </w:rPr>
        <w:t> </w:t>
      </w:r>
      <w:r>
        <w:rPr/>
        <w:t>OTHER</w:t>
      </w:r>
      <w:r>
        <w:rPr>
          <w:spacing w:val="-12"/>
        </w:rPr>
        <w:t> </w:t>
      </w:r>
      <w:r>
        <w:rPr/>
        <w:t>INFORMATION</w:t>
      </w:r>
    </w:p>
    <w:p>
      <w:pPr>
        <w:spacing w:after="0" w:line="439" w:lineRule="auto"/>
        <w:jc w:val="left"/>
        <w:sectPr>
          <w:pgSz w:w="12240" w:h="15840"/>
          <w:pgMar w:header="0" w:footer="741" w:top="1320" w:bottom="940" w:left="1340" w:right="1320"/>
          <w:cols w:num="2" w:equalWidth="0">
            <w:col w:w="2272" w:space="1279"/>
            <w:col w:w="6029"/>
          </w:cols>
        </w:sectPr>
      </w:pPr>
    </w:p>
    <w:p>
      <w:pPr>
        <w:pStyle w:val="BodyText"/>
        <w:spacing w:before="10"/>
        <w:ind w:left="0" w:firstLine="0"/>
        <w:rPr>
          <w:b/>
          <w:sz w:val="8"/>
        </w:rPr>
      </w:pPr>
    </w:p>
    <w:p>
      <w:pPr>
        <w:pStyle w:val="BodyText"/>
        <w:spacing w:line="249" w:lineRule="auto" w:before="92"/>
        <w:ind w:right="148"/>
      </w:pPr>
      <w:r>
        <w:rPr/>
        <w:t>From time to time, we may be involved in legal proceedings arising in the ordinary course of our business. We</w:t>
      </w:r>
      <w:r>
        <w:rPr>
          <w:spacing w:val="1"/>
        </w:rPr>
        <w:t> </w:t>
      </w:r>
      <w:r>
        <w:rPr/>
        <w:t>are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presently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party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any</w:t>
      </w:r>
      <w:r>
        <w:rPr>
          <w:spacing w:val="-3"/>
        </w:rPr>
        <w:t> </w:t>
      </w:r>
      <w:r>
        <w:rPr/>
        <w:t>legal</w:t>
      </w:r>
      <w:r>
        <w:rPr>
          <w:spacing w:val="-3"/>
        </w:rPr>
        <w:t> </w:t>
      </w:r>
      <w:r>
        <w:rPr/>
        <w:t>proceedings</w:t>
      </w:r>
      <w:r>
        <w:rPr>
          <w:spacing w:val="-3"/>
        </w:rPr>
        <w:t> </w:t>
      </w:r>
      <w:r>
        <w:rPr/>
        <w:t>that,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opinion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management,</w:t>
      </w:r>
      <w:r>
        <w:rPr>
          <w:spacing w:val="-2"/>
        </w:rPr>
        <w:t> </w:t>
      </w:r>
      <w:r>
        <w:rPr/>
        <w:t>would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material</w:t>
      </w:r>
      <w:r>
        <w:rPr>
          <w:spacing w:val="-3"/>
        </w:rPr>
        <w:t> </w:t>
      </w:r>
      <w:r>
        <w:rPr/>
        <w:t>adverse</w:t>
      </w:r>
      <w:r>
        <w:rPr>
          <w:spacing w:val="-47"/>
        </w:rPr>
        <w:t> </w:t>
      </w:r>
      <w:r>
        <w:rPr/>
        <w:t>effect on our business. Regardless of outcome, litigation can have an adverse impact on us due to defense and</w:t>
      </w:r>
      <w:r>
        <w:rPr>
          <w:spacing w:val="1"/>
        </w:rPr>
        <w:t> </w:t>
      </w:r>
      <w:r>
        <w:rPr/>
        <w:t>settlement</w:t>
      </w:r>
      <w:r>
        <w:rPr>
          <w:spacing w:val="-4"/>
        </w:rPr>
        <w:t> </w:t>
      </w:r>
      <w:r>
        <w:rPr/>
        <w:t>costs,</w:t>
      </w:r>
      <w:r>
        <w:rPr>
          <w:spacing w:val="-2"/>
        </w:rPr>
        <w:t> </w:t>
      </w:r>
      <w:r>
        <w:rPr/>
        <w:t>diversion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management</w:t>
      </w:r>
      <w:r>
        <w:rPr>
          <w:spacing w:val="-3"/>
        </w:rPr>
        <w:t> </w:t>
      </w:r>
      <w:r>
        <w:rPr/>
        <w:t>resources,</w:t>
      </w:r>
      <w:r>
        <w:rPr>
          <w:spacing w:val="-2"/>
        </w:rPr>
        <w:t> </w:t>
      </w:r>
      <w:r>
        <w:rPr/>
        <w:t>negative</w:t>
      </w:r>
      <w:r>
        <w:rPr>
          <w:spacing w:val="-3"/>
        </w:rPr>
        <w:t> </w:t>
      </w:r>
      <w:r>
        <w:rPr/>
        <w:t>publicity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reputation</w:t>
      </w:r>
      <w:r>
        <w:rPr>
          <w:spacing w:val="-2"/>
        </w:rPr>
        <w:t> </w:t>
      </w:r>
      <w:r>
        <w:rPr/>
        <w:t>harm,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</w:t>
      </w:r>
      <w:r>
        <w:rPr/>
        <w:t>factors.</w:t>
      </w:r>
    </w:p>
    <w:p>
      <w:pPr>
        <w:pStyle w:val="Heading2"/>
        <w:spacing w:before="180"/>
      </w:pPr>
      <w:bookmarkStart w:name="Item 1A. Risk Factors" w:id="58"/>
      <w:bookmarkEnd w:id="58"/>
      <w:r>
        <w:rPr>
          <w:b w:val="0"/>
        </w:rPr>
      </w:r>
      <w:bookmarkStart w:name="_bookmark12" w:id="59"/>
      <w:bookmarkEnd w:id="59"/>
      <w:r>
        <w:rPr>
          <w:b w:val="0"/>
        </w:rPr>
      </w:r>
      <w:r>
        <w:rPr/>
        <w:t>Item</w:t>
      </w:r>
      <w:r>
        <w:rPr>
          <w:spacing w:val="-4"/>
        </w:rPr>
        <w:t> </w:t>
      </w:r>
      <w:r>
        <w:rPr/>
        <w:t>1A.</w:t>
      </w:r>
      <w:r>
        <w:rPr>
          <w:spacing w:val="-3"/>
        </w:rPr>
        <w:t> </w:t>
      </w:r>
      <w:r>
        <w:rPr/>
        <w:t>Risk</w:t>
      </w:r>
      <w:r>
        <w:rPr>
          <w:spacing w:val="-3"/>
        </w:rPr>
        <w:t> </w:t>
      </w:r>
      <w:r>
        <w:rPr/>
        <w:t>Factors</w:t>
      </w:r>
    </w:p>
    <w:p>
      <w:pPr>
        <w:spacing w:line="249" w:lineRule="auto" w:before="193"/>
        <w:ind w:left="100" w:right="212" w:firstLine="360"/>
        <w:jc w:val="left"/>
        <w:rPr>
          <w:i/>
          <w:sz w:val="20"/>
        </w:rPr>
      </w:pPr>
      <w:r>
        <w:rPr>
          <w:i/>
          <w:sz w:val="20"/>
        </w:rPr>
        <w:t>Our operations and financial results are subject to various risks and uncertainties including those described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below. You should consider carefully the risks and uncertainties described below, in addition to other information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contained in this Quarterly Report on Form 10-Q, including our unaudited condensed consolidated financial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statements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related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notes.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risks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uncertainties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described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below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face.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Additional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risks and uncertainties that we are unaware of, or that we currently believe are not material, may also become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important factors that adversely affect our business. If any of the following risks or others not specified below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materialize, our business, financial condition and results of operations could be materially and adversely affected.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case, 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trading price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common stock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could decline.</w:t>
      </w:r>
    </w:p>
    <w:p>
      <w:pPr>
        <w:pStyle w:val="Heading2"/>
        <w:spacing w:before="183"/>
      </w:pPr>
      <w:r>
        <w:rPr/>
        <w:t>Risks</w:t>
      </w:r>
      <w:r>
        <w:rPr>
          <w:spacing w:val="-5"/>
        </w:rPr>
        <w:t> </w:t>
      </w:r>
      <w:r>
        <w:rPr/>
        <w:t>Related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Our</w:t>
      </w:r>
      <w:r>
        <w:rPr>
          <w:spacing w:val="-4"/>
        </w:rPr>
        <w:t> </w:t>
      </w:r>
      <w:r>
        <w:rPr/>
        <w:t>Business</w:t>
      </w:r>
    </w:p>
    <w:p>
      <w:pPr>
        <w:pStyle w:val="Heading3"/>
        <w:spacing w:line="249" w:lineRule="auto" w:before="190"/>
      </w:pPr>
      <w:r>
        <w:rPr>
          <w:i/>
        </w:rPr>
        <w:t>We</w:t>
      </w:r>
      <w:r>
        <w:rPr>
          <w:i/>
          <w:spacing w:val="-4"/>
        </w:rPr>
        <w:t> </w:t>
      </w:r>
      <w:r>
        <w:rPr>
          <w:i/>
        </w:rPr>
        <w:t>are</w:t>
      </w:r>
      <w:r>
        <w:rPr>
          <w:i/>
          <w:spacing w:val="-4"/>
        </w:rPr>
        <w:t> </w:t>
      </w:r>
      <w:r>
        <w:rPr>
          <w:i/>
        </w:rPr>
        <w:t>an</w:t>
      </w:r>
      <w:r>
        <w:rPr>
          <w:i/>
          <w:spacing w:val="-4"/>
        </w:rPr>
        <w:t> </w:t>
      </w:r>
      <w:r>
        <w:rPr>
          <w:i/>
        </w:rPr>
        <w:t>early-stage</w:t>
      </w:r>
      <w:r>
        <w:rPr>
          <w:i/>
          <w:spacing w:val="-4"/>
        </w:rPr>
        <w:t> </w:t>
      </w:r>
      <w:r>
        <w:rPr>
          <w:i/>
        </w:rPr>
        <w:t>company</w:t>
      </w:r>
      <w:r>
        <w:rPr>
          <w:i/>
          <w:spacing w:val="-3"/>
        </w:rPr>
        <w:t> </w:t>
      </w:r>
      <w:r>
        <w:rPr>
          <w:i/>
        </w:rPr>
        <w:t>with</w:t>
      </w:r>
      <w:r>
        <w:rPr>
          <w:i/>
          <w:spacing w:val="-4"/>
        </w:rPr>
        <w:t> </w:t>
      </w:r>
      <w:r>
        <w:rPr>
          <w:i/>
        </w:rPr>
        <w:t>a</w:t>
      </w:r>
      <w:r>
        <w:rPr>
          <w:i/>
          <w:spacing w:val="-3"/>
        </w:rPr>
        <w:t> </w:t>
      </w:r>
      <w:r>
        <w:rPr>
          <w:i/>
        </w:rPr>
        <w:t>history</w:t>
      </w:r>
      <w:r>
        <w:rPr>
          <w:i/>
          <w:spacing w:val="-4"/>
        </w:rPr>
        <w:t> </w:t>
      </w:r>
      <w:r>
        <w:rPr>
          <w:i/>
        </w:rPr>
        <w:t>of</w:t>
      </w:r>
      <w:r>
        <w:rPr>
          <w:i/>
          <w:spacing w:val="-3"/>
        </w:rPr>
        <w:t> </w:t>
      </w:r>
      <w:r>
        <w:rPr>
          <w:i/>
        </w:rPr>
        <w:t>significant</w:t>
      </w:r>
      <w:r>
        <w:rPr>
          <w:i/>
          <w:spacing w:val="-3"/>
        </w:rPr>
        <w:t> </w:t>
      </w:r>
      <w:r>
        <w:rPr>
          <w:i/>
        </w:rPr>
        <w:t>net</w:t>
      </w:r>
      <w:r>
        <w:rPr>
          <w:i/>
          <w:spacing w:val="-4"/>
        </w:rPr>
        <w:t> </w:t>
      </w:r>
      <w:r>
        <w:rPr>
          <w:i/>
        </w:rPr>
        <w:t>losses,</w:t>
      </w:r>
      <w:r>
        <w:rPr>
          <w:i/>
          <w:spacing w:val="-3"/>
        </w:rPr>
        <w:t> </w:t>
      </w:r>
      <w:r>
        <w:rPr>
          <w:i/>
        </w:rPr>
        <w:t>we</w:t>
      </w:r>
      <w:r>
        <w:rPr>
          <w:i/>
          <w:spacing w:val="-4"/>
        </w:rPr>
        <w:t> </w:t>
      </w:r>
      <w:r>
        <w:rPr>
          <w:i/>
        </w:rPr>
        <w:t>expect</w:t>
      </w:r>
      <w:r>
        <w:rPr>
          <w:i/>
          <w:spacing w:val="-4"/>
        </w:rPr>
        <w:t> </w:t>
      </w:r>
      <w:r>
        <w:rPr>
          <w:i/>
        </w:rPr>
        <w:t>to</w:t>
      </w:r>
      <w:r>
        <w:rPr>
          <w:i/>
          <w:spacing w:val="-3"/>
        </w:rPr>
        <w:t> </w:t>
      </w:r>
      <w:r>
        <w:rPr>
          <w:i/>
        </w:rPr>
        <w:t>continue</w:t>
      </w:r>
      <w:r>
        <w:rPr>
          <w:i/>
          <w:spacing w:val="-3"/>
        </w:rPr>
        <w:t> </w:t>
      </w:r>
      <w:r>
        <w:rPr>
          <w:i/>
        </w:rPr>
        <w:t>to</w:t>
      </w:r>
      <w:r>
        <w:rPr>
          <w:i/>
          <w:spacing w:val="-3"/>
        </w:rPr>
        <w:t> </w:t>
      </w:r>
      <w:r>
        <w:rPr>
          <w:i/>
        </w:rPr>
        <w:t>incur</w:t>
      </w:r>
      <w:r>
        <w:rPr>
          <w:i/>
          <w:spacing w:val="-4"/>
        </w:rPr>
        <w:t> </w:t>
      </w:r>
      <w:r>
        <w:rPr>
          <w:i/>
        </w:rPr>
        <w:t>operating</w:t>
      </w:r>
      <w:r>
        <w:rPr>
          <w:i/>
          <w:spacing w:val="1"/>
        </w:rPr>
        <w:t> </w:t>
      </w:r>
      <w:r>
        <w:rPr/>
        <w:t>losses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foreseeable</w:t>
      </w:r>
      <w:r>
        <w:rPr>
          <w:spacing w:val="-2"/>
        </w:rPr>
        <w:t> </w:t>
      </w:r>
      <w:r>
        <w:rPr/>
        <w:t>future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we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able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achieve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sustain</w:t>
      </w:r>
      <w:r>
        <w:rPr>
          <w:spacing w:val="-2"/>
        </w:rPr>
        <w:t> </w:t>
      </w:r>
      <w:r>
        <w:rPr/>
        <w:t>profitability.</w:t>
      </w:r>
    </w:p>
    <w:p>
      <w:pPr>
        <w:pStyle w:val="BodyText"/>
        <w:spacing w:line="249" w:lineRule="auto" w:before="185"/>
        <w:ind w:right="152"/>
      </w:pPr>
      <w:r>
        <w:rPr/>
        <w:t>We have incurred significant net losses in each reporting period since our inception. For the nine months ended</w:t>
      </w:r>
      <w:r>
        <w:rPr>
          <w:spacing w:val="1"/>
        </w:rPr>
        <w:t> </w:t>
      </w:r>
      <w:r>
        <w:rPr/>
        <w:t>September</w:t>
      </w:r>
      <w:r>
        <w:rPr>
          <w:spacing w:val="-2"/>
        </w:rPr>
        <w:t> </w:t>
      </w:r>
      <w:r>
        <w:rPr/>
        <w:t>30,</w:t>
      </w:r>
      <w:r>
        <w:rPr>
          <w:spacing w:val="-2"/>
        </w:rPr>
        <w:t> </w:t>
      </w:r>
      <w:r>
        <w:rPr/>
        <w:t>2021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2020,</w:t>
      </w:r>
      <w:r>
        <w:rPr>
          <w:spacing w:val="-1"/>
        </w:rPr>
        <w:t> </w:t>
      </w:r>
      <w:r>
        <w:rPr/>
        <w:t>we</w:t>
      </w:r>
      <w:r>
        <w:rPr>
          <w:spacing w:val="-3"/>
        </w:rPr>
        <w:t> </w:t>
      </w:r>
      <w:r>
        <w:rPr/>
        <w:t>had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net</w:t>
      </w:r>
      <w:r>
        <w:rPr>
          <w:spacing w:val="-2"/>
        </w:rPr>
        <w:t> </w:t>
      </w:r>
      <w:r>
        <w:rPr/>
        <w:t>loss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$41.5</w:t>
      </w:r>
      <w:r>
        <w:rPr>
          <w:spacing w:val="-2"/>
        </w:rPr>
        <w:t> </w:t>
      </w:r>
      <w:r>
        <w:rPr/>
        <w:t>million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$37.7</w:t>
      </w:r>
      <w:r>
        <w:rPr>
          <w:spacing w:val="-2"/>
        </w:rPr>
        <w:t> </w:t>
      </w:r>
      <w:r>
        <w:rPr/>
        <w:t>million,</w:t>
      </w:r>
      <w:r>
        <w:rPr>
          <w:spacing w:val="-2"/>
        </w:rPr>
        <w:t> </w:t>
      </w:r>
      <w:r>
        <w:rPr/>
        <w:t>respectively.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year</w:t>
      </w:r>
      <w:r>
        <w:rPr>
          <w:spacing w:val="-2"/>
        </w:rPr>
        <w:t> </w:t>
      </w:r>
      <w:r>
        <w:rPr/>
        <w:t>ended</w:t>
      </w:r>
      <w:r>
        <w:rPr>
          <w:spacing w:val="-47"/>
        </w:rPr>
        <w:t> </w:t>
      </w:r>
      <w:r>
        <w:rPr/>
        <w:t>December 31, 2020, we had a net loss of $53.0 million. We expect to continue to incur additional losses in the</w:t>
      </w:r>
      <w:r>
        <w:rPr>
          <w:spacing w:val="1"/>
        </w:rPr>
        <w:t> </w:t>
      </w:r>
      <w:r>
        <w:rPr/>
        <w:t>future. As of September 30, 2021, we had an accumulated deficit of $243.2 million. To date, we have financed our</w:t>
      </w:r>
      <w:r>
        <w:rPr>
          <w:spacing w:val="1"/>
        </w:rPr>
        <w:t> </w:t>
      </w:r>
      <w:r>
        <w:rPr/>
        <w:t>operations primarily through net proceeds from the sale of our redeemable convertible preferred stock in private</w:t>
      </w:r>
      <w:r>
        <w:rPr>
          <w:spacing w:val="1"/>
        </w:rPr>
        <w:t> </w:t>
      </w:r>
      <w:r>
        <w:rPr/>
        <w:t>placements, indebtedness, including our loan and security agreement, and, to a lesser extent, product revenue from</w:t>
      </w:r>
      <w:r>
        <w:rPr>
          <w:spacing w:val="1"/>
        </w:rPr>
        <w:t> </w:t>
      </w:r>
      <w:r>
        <w:rPr/>
        <w:t>sales of our AquaBeam Robotic System and single-use disposable handpieces. The losses and accumulated deficit</w:t>
      </w:r>
      <w:r>
        <w:rPr>
          <w:spacing w:val="1"/>
        </w:rPr>
        <w:t> </w:t>
      </w:r>
      <w:r>
        <w:rPr/>
        <w:t>have primarily been due to the substantial investments we have made to develop our products, costs related to our</w:t>
      </w:r>
      <w:r>
        <w:rPr>
          <w:spacing w:val="1"/>
        </w:rPr>
        <w:t> </w:t>
      </w:r>
      <w:r>
        <w:rPr/>
        <w:t>sales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marketing</w:t>
      </w:r>
      <w:r>
        <w:rPr>
          <w:spacing w:val="1"/>
        </w:rPr>
        <w:t> </w:t>
      </w:r>
      <w:r>
        <w:rPr/>
        <w:t>efforts,</w:t>
      </w:r>
      <w:r>
        <w:rPr>
          <w:spacing w:val="1"/>
        </w:rPr>
        <w:t> </w:t>
      </w:r>
      <w:r>
        <w:rPr/>
        <w:t>including</w:t>
      </w:r>
      <w:r>
        <w:rPr>
          <w:spacing w:val="1"/>
        </w:rPr>
        <w:t> </w:t>
      </w:r>
      <w:r>
        <w:rPr/>
        <w:t>costs related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clinical and regulatory</w:t>
      </w:r>
      <w:r>
        <w:rPr>
          <w:spacing w:val="1"/>
        </w:rPr>
        <w:t> </w:t>
      </w:r>
      <w:r>
        <w:rPr/>
        <w:t>initiatives to</w:t>
      </w:r>
      <w:r>
        <w:rPr>
          <w:spacing w:val="1"/>
        </w:rPr>
        <w:t> </w:t>
      </w:r>
      <w:r>
        <w:rPr/>
        <w:t>obtain</w:t>
      </w:r>
      <w:r>
        <w:rPr>
          <w:spacing w:val="1"/>
        </w:rPr>
        <w:t> </w:t>
      </w:r>
      <w:r>
        <w:rPr/>
        <w:t>marketing</w:t>
      </w:r>
      <w:r>
        <w:rPr>
          <w:spacing w:val="1"/>
        </w:rPr>
        <w:t> </w:t>
      </w:r>
      <w:r>
        <w:rPr/>
        <w:t>approval,</w:t>
      </w:r>
      <w:r>
        <w:rPr>
          <w:spacing w:val="-1"/>
        </w:rPr>
        <w:t> </w:t>
      </w:r>
      <w:r>
        <w:rPr/>
        <w:t>and infrastructure</w:t>
      </w:r>
      <w:r>
        <w:rPr>
          <w:spacing w:val="-1"/>
        </w:rPr>
        <w:t> </w:t>
      </w:r>
      <w:r>
        <w:rPr/>
        <w:t>improvements.</w:t>
      </w:r>
    </w:p>
    <w:p>
      <w:pPr>
        <w:pStyle w:val="BodyText"/>
        <w:spacing w:line="249" w:lineRule="auto" w:before="188"/>
        <w:ind w:right="136"/>
      </w:pPr>
      <w:r>
        <w:rPr/>
        <w:t>We may also encounter unforeseen expenses, difficulties, complications, delays and other known and unknown</w:t>
      </w:r>
      <w:r>
        <w:rPr>
          <w:spacing w:val="1"/>
        </w:rPr>
        <w:t> </w:t>
      </w:r>
      <w:r>
        <w:rPr/>
        <w:t>factors and risks frequently experienced by early-stage medical technology companies in rapidly evolving fields. In</w:t>
      </w:r>
      <w:r>
        <w:rPr>
          <w:spacing w:val="1"/>
        </w:rPr>
        <w:t> </w:t>
      </w:r>
      <w:r>
        <w:rPr/>
        <w:t>addition,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public</w:t>
      </w:r>
      <w:r>
        <w:rPr>
          <w:spacing w:val="-3"/>
        </w:rPr>
        <w:t> </w:t>
      </w:r>
      <w:r>
        <w:rPr/>
        <w:t>company,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incur</w:t>
      </w:r>
      <w:r>
        <w:rPr>
          <w:spacing w:val="-2"/>
        </w:rPr>
        <w:t> </w:t>
      </w:r>
      <w:r>
        <w:rPr/>
        <w:t>significant</w:t>
      </w:r>
      <w:r>
        <w:rPr>
          <w:spacing w:val="-4"/>
        </w:rPr>
        <w:t> </w:t>
      </w:r>
      <w:r>
        <w:rPr/>
        <w:t>legal,</w:t>
      </w:r>
      <w:r>
        <w:rPr>
          <w:spacing w:val="-2"/>
        </w:rPr>
        <w:t> </w:t>
      </w:r>
      <w:r>
        <w:rPr/>
        <w:t>accounting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other</w:t>
      </w:r>
      <w:r>
        <w:rPr>
          <w:spacing w:val="-2"/>
        </w:rPr>
        <w:t> </w:t>
      </w:r>
      <w:r>
        <w:rPr/>
        <w:t>expenses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did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incur</w:t>
      </w:r>
      <w:r>
        <w:rPr>
          <w:spacing w:val="-2"/>
        </w:rPr>
        <w:t> </w:t>
      </w:r>
      <w:r>
        <w:rPr/>
        <w:t>as</w:t>
      </w:r>
      <w:r>
        <w:rPr>
          <w:spacing w:val="-47"/>
        </w:rPr>
        <w:t> </w:t>
      </w:r>
      <w:r>
        <w:rPr/>
        <w:t>a private company.</w:t>
      </w:r>
      <w:r>
        <w:rPr>
          <w:spacing w:val="1"/>
        </w:rPr>
        <w:t> </w:t>
      </w:r>
      <w:r>
        <w:rPr/>
        <w:t>Accordingly,</w:t>
      </w:r>
      <w:r>
        <w:rPr>
          <w:spacing w:val="2"/>
        </w:rPr>
        <w:t> </w:t>
      </w:r>
      <w:r>
        <w:rPr/>
        <w:t>we expect to</w:t>
      </w:r>
      <w:r>
        <w:rPr>
          <w:spacing w:val="2"/>
        </w:rPr>
        <w:t> </w:t>
      </w:r>
      <w:r>
        <w:rPr/>
        <w:t>continue to</w:t>
      </w:r>
      <w:r>
        <w:rPr>
          <w:spacing w:val="1"/>
        </w:rPr>
        <w:t> </w:t>
      </w:r>
      <w:r>
        <w:rPr/>
        <w:t>incur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operating</w:t>
      </w:r>
      <w:r>
        <w:rPr>
          <w:spacing w:val="1"/>
        </w:rPr>
        <w:t> </w:t>
      </w:r>
      <w:r>
        <w:rPr/>
        <w:t>losses for</w:t>
      </w:r>
      <w:r>
        <w:rPr>
          <w:spacing w:val="2"/>
        </w:rPr>
        <w:t> </w:t>
      </w:r>
      <w:r>
        <w:rPr/>
        <w:t>the foreseeable</w:t>
      </w:r>
      <w:r>
        <w:rPr>
          <w:spacing w:val="1"/>
        </w:rPr>
        <w:t> </w:t>
      </w:r>
      <w:r>
        <w:rPr/>
        <w:t>future and we cannot assure you that we will achieve profitability in the future or that, if we do become profitable,</w:t>
      </w:r>
      <w:r>
        <w:rPr>
          <w:spacing w:val="1"/>
        </w:rPr>
        <w:t> </w:t>
      </w:r>
      <w:r>
        <w:rPr/>
        <w:t>we will sustain profitability. Our failure to achieve and sustain profitability in the future will make it more difficult</w:t>
      </w:r>
      <w:r>
        <w:rPr>
          <w:spacing w:val="1"/>
        </w:rPr>
        <w:t> </w:t>
      </w:r>
      <w:r>
        <w:rPr/>
        <w:t>to finance our capital requirements needed to operate our business and accomplish our strategic objectives, which</w:t>
      </w:r>
      <w:r>
        <w:rPr>
          <w:spacing w:val="1"/>
        </w:rPr>
        <w:t> </w:t>
      </w:r>
      <w:r>
        <w:rPr/>
        <w:t>would have a material adverse effect on our business, financial condition and results of operations and cause the</w:t>
      </w:r>
      <w:r>
        <w:rPr>
          <w:spacing w:val="1"/>
        </w:rPr>
        <w:t> </w:t>
      </w:r>
      <w:r>
        <w:rPr/>
        <w:t>market</w:t>
      </w:r>
      <w:r>
        <w:rPr>
          <w:spacing w:val="-2"/>
        </w:rPr>
        <w:t> </w:t>
      </w:r>
      <w:r>
        <w:rPr/>
        <w:t>price</w:t>
      </w:r>
      <w:r>
        <w:rPr>
          <w:spacing w:val="-1"/>
        </w:rPr>
        <w:t> </w:t>
      </w:r>
      <w:r>
        <w:rPr/>
        <w:t>of our common stock to decline.</w:t>
      </w:r>
    </w:p>
    <w:p>
      <w:pPr>
        <w:pStyle w:val="Heading3"/>
        <w:spacing w:line="249" w:lineRule="auto" w:before="185"/>
        <w:ind w:right="180"/>
      </w:pPr>
      <w:r>
        <w:rPr>
          <w:i/>
        </w:rPr>
        <w:t>Our</w:t>
      </w:r>
      <w:r>
        <w:rPr>
          <w:i/>
          <w:spacing w:val="-5"/>
        </w:rPr>
        <w:t> </w:t>
      </w:r>
      <w:r>
        <w:rPr>
          <w:i/>
        </w:rPr>
        <w:t>revenue</w:t>
      </w:r>
      <w:r>
        <w:rPr>
          <w:i/>
          <w:spacing w:val="-4"/>
        </w:rPr>
        <w:t> </w:t>
      </w:r>
      <w:r>
        <w:rPr>
          <w:i/>
        </w:rPr>
        <w:t>is</w:t>
      </w:r>
      <w:r>
        <w:rPr>
          <w:i/>
          <w:spacing w:val="-4"/>
        </w:rPr>
        <w:t> </w:t>
      </w:r>
      <w:r>
        <w:rPr>
          <w:i/>
        </w:rPr>
        <w:t>primarily</w:t>
      </w:r>
      <w:r>
        <w:rPr>
          <w:i/>
          <w:spacing w:val="-5"/>
        </w:rPr>
        <w:t> </w:t>
      </w:r>
      <w:r>
        <w:rPr>
          <w:i/>
        </w:rPr>
        <w:t>generated</w:t>
      </w:r>
      <w:r>
        <w:rPr>
          <w:i/>
          <w:spacing w:val="-3"/>
        </w:rPr>
        <w:t> </w:t>
      </w:r>
      <w:r>
        <w:rPr>
          <w:i/>
        </w:rPr>
        <w:t>from</w:t>
      </w:r>
      <w:r>
        <w:rPr>
          <w:i/>
          <w:spacing w:val="-4"/>
        </w:rPr>
        <w:t> </w:t>
      </w:r>
      <w:r>
        <w:rPr>
          <w:i/>
        </w:rPr>
        <w:t>sales</w:t>
      </w:r>
      <w:r>
        <w:rPr>
          <w:i/>
          <w:spacing w:val="-4"/>
        </w:rPr>
        <w:t> </w:t>
      </w:r>
      <w:r>
        <w:rPr>
          <w:i/>
        </w:rPr>
        <w:t>of</w:t>
      </w:r>
      <w:r>
        <w:rPr>
          <w:i/>
          <w:spacing w:val="-4"/>
        </w:rPr>
        <w:t> </w:t>
      </w:r>
      <w:r>
        <w:rPr>
          <w:i/>
        </w:rPr>
        <w:t>our</w:t>
      </w:r>
      <w:r>
        <w:rPr>
          <w:i/>
          <w:spacing w:val="-4"/>
        </w:rPr>
        <w:t> </w:t>
      </w:r>
      <w:r>
        <w:rPr>
          <w:i/>
        </w:rPr>
        <w:t>AquaBeam</w:t>
      </w:r>
      <w:r>
        <w:rPr>
          <w:i/>
          <w:spacing w:val="-4"/>
        </w:rPr>
        <w:t> </w:t>
      </w:r>
      <w:r>
        <w:rPr>
          <w:i/>
        </w:rPr>
        <w:t>Robotic</w:t>
      </w:r>
      <w:r>
        <w:rPr>
          <w:i/>
          <w:spacing w:val="-4"/>
        </w:rPr>
        <w:t> </w:t>
      </w:r>
      <w:r>
        <w:rPr>
          <w:i/>
        </w:rPr>
        <w:t>System</w:t>
      </w:r>
      <w:r>
        <w:rPr>
          <w:i/>
          <w:spacing w:val="-5"/>
        </w:rPr>
        <w:t> </w:t>
      </w:r>
      <w:r>
        <w:rPr>
          <w:i/>
        </w:rPr>
        <w:t>and</w:t>
      </w:r>
      <w:r>
        <w:rPr>
          <w:i/>
          <w:spacing w:val="-3"/>
        </w:rPr>
        <w:t> </w:t>
      </w:r>
      <w:r>
        <w:rPr>
          <w:i/>
        </w:rPr>
        <w:t>the</w:t>
      </w:r>
      <w:r>
        <w:rPr>
          <w:i/>
          <w:spacing w:val="-4"/>
        </w:rPr>
        <w:t> </w:t>
      </w:r>
      <w:r>
        <w:rPr>
          <w:i/>
        </w:rPr>
        <w:t>accompanying</w:t>
      </w:r>
      <w:r>
        <w:rPr>
          <w:i/>
          <w:spacing w:val="-4"/>
        </w:rPr>
        <w:t> </w:t>
      </w:r>
      <w:r>
        <w:rPr>
          <w:i/>
        </w:rPr>
        <w:t>single-</w:t>
      </w:r>
      <w:r>
        <w:rPr>
          <w:i/>
          <w:spacing w:val="1"/>
        </w:rPr>
        <w:t> </w:t>
      </w:r>
      <w:r>
        <w:rPr/>
        <w:t>use</w:t>
      </w:r>
      <w:r>
        <w:rPr>
          <w:spacing w:val="-3"/>
        </w:rPr>
        <w:t> </w:t>
      </w:r>
      <w:r>
        <w:rPr/>
        <w:t>disposable</w:t>
      </w:r>
      <w:r>
        <w:rPr>
          <w:spacing w:val="-2"/>
        </w:rPr>
        <w:t> </w:t>
      </w:r>
      <w:r>
        <w:rPr/>
        <w:t>handpieces,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we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therefore</w:t>
      </w:r>
      <w:r>
        <w:rPr>
          <w:spacing w:val="-2"/>
        </w:rPr>
        <w:t> </w:t>
      </w:r>
      <w:r>
        <w:rPr/>
        <w:t>highly</w:t>
      </w:r>
      <w:r>
        <w:rPr>
          <w:spacing w:val="-2"/>
        </w:rPr>
        <w:t> </w:t>
      </w:r>
      <w:r>
        <w:rPr/>
        <w:t>dependent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success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those</w:t>
      </w:r>
      <w:r>
        <w:rPr>
          <w:spacing w:val="-2"/>
        </w:rPr>
        <w:t> </w:t>
      </w:r>
      <w:r>
        <w:rPr/>
        <w:t>products.</w:t>
      </w:r>
    </w:p>
    <w:p>
      <w:pPr>
        <w:pStyle w:val="BodyText"/>
        <w:spacing w:line="249" w:lineRule="auto" w:before="184"/>
        <w:ind w:right="251"/>
      </w:pPr>
      <w:r>
        <w:rPr/>
        <w:t>To date, substantially all of our revenue has been derived, and we expect it to continue to be substantially</w:t>
      </w:r>
      <w:r>
        <w:rPr>
          <w:spacing w:val="1"/>
        </w:rPr>
        <w:t> </w:t>
      </w:r>
      <w:r>
        <w:rPr/>
        <w:t>derived,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sales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AquaBeam</w:t>
      </w:r>
      <w:r>
        <w:rPr>
          <w:spacing w:val="-4"/>
        </w:rPr>
        <w:t> </w:t>
      </w:r>
      <w:r>
        <w:rPr/>
        <w:t>Robotic</w:t>
      </w:r>
      <w:r>
        <w:rPr>
          <w:spacing w:val="-4"/>
        </w:rPr>
        <w:t> </w:t>
      </w:r>
      <w:r>
        <w:rPr/>
        <w:t>System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its</w:t>
      </w:r>
      <w:r>
        <w:rPr>
          <w:spacing w:val="-4"/>
        </w:rPr>
        <w:t> </w:t>
      </w:r>
      <w:r>
        <w:rPr/>
        <w:t>accompanying</w:t>
      </w:r>
      <w:r>
        <w:rPr>
          <w:spacing w:val="-3"/>
        </w:rPr>
        <w:t> </w:t>
      </w:r>
      <w:r>
        <w:rPr/>
        <w:t>single-use</w:t>
      </w:r>
      <w:r>
        <w:rPr>
          <w:spacing w:val="-4"/>
        </w:rPr>
        <w:t> </w:t>
      </w:r>
      <w:r>
        <w:rPr/>
        <w:t>disposable</w:t>
      </w:r>
      <w:r>
        <w:rPr>
          <w:spacing w:val="-4"/>
        </w:rPr>
        <w:t> </w:t>
      </w:r>
      <w:r>
        <w:rPr/>
        <w:t>handpieces.</w:t>
      </w:r>
      <w:r>
        <w:rPr>
          <w:spacing w:val="-3"/>
        </w:rPr>
        <w:t> </w:t>
      </w:r>
      <w:r>
        <w:rPr/>
        <w:t>Our</w:t>
      </w:r>
      <w:r>
        <w:rPr>
          <w:spacing w:val="-47"/>
        </w:rPr>
        <w:t> </w:t>
      </w:r>
      <w:r>
        <w:rPr/>
        <w:t>products deliver our Aquablation therapy, the first and only image-guided, heat-free robotic therapy for BPH.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began commercializing our products in the United States in 2017 and physician awareness of, and experience with,</w:t>
      </w:r>
      <w:r>
        <w:rPr>
          <w:spacing w:val="-47"/>
        </w:rPr>
        <w:t> </w:t>
      </w:r>
      <w:r>
        <w:rPr/>
        <w:t>our</w:t>
      </w:r>
      <w:r>
        <w:rPr>
          <w:spacing w:val="-3"/>
        </w:rPr>
        <w:t> </w:t>
      </w:r>
      <w:r>
        <w:rPr/>
        <w:t>products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been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currently</w:t>
      </w:r>
      <w:r>
        <w:rPr>
          <w:spacing w:val="-2"/>
        </w:rPr>
        <w:t> </w:t>
      </w:r>
      <w:r>
        <w:rPr/>
        <w:t>limited.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result,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products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limited</w:t>
      </w:r>
      <w:r>
        <w:rPr>
          <w:spacing w:val="-3"/>
        </w:rPr>
        <w:t> </w:t>
      </w:r>
      <w:r>
        <w:rPr/>
        <w:t>product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brand</w:t>
      </w:r>
      <w:r>
        <w:rPr>
          <w:spacing w:val="-2"/>
        </w:rPr>
        <w:t> </w:t>
      </w:r>
      <w:r>
        <w:rPr/>
        <w:t>recognition</w:t>
      </w:r>
    </w:p>
    <w:p>
      <w:pPr>
        <w:spacing w:after="0" w:line="249" w:lineRule="auto"/>
        <w:sectPr>
          <w:type w:val="continuous"/>
          <w:pgSz w:w="12240" w:h="15840"/>
          <w:pgMar w:header="0" w:footer="741" w:top="800" w:bottom="280" w:left="1340" w:right="1320"/>
        </w:sectPr>
      </w:pPr>
    </w:p>
    <w:p>
      <w:pPr>
        <w:pStyle w:val="BodyText"/>
        <w:spacing w:line="249" w:lineRule="auto" w:before="72"/>
        <w:ind w:right="129" w:firstLine="0"/>
      </w:pPr>
      <w:r>
        <w:rPr/>
        <w:t>within the medical industry for the treatment of BPH. We do not have a long history operating as a commercial</w:t>
      </w:r>
      <w:r>
        <w:rPr>
          <w:spacing w:val="1"/>
        </w:rPr>
        <w:t> </w:t>
      </w:r>
      <w:r>
        <w:rPr/>
        <w:t>company,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novelty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our</w:t>
      </w:r>
      <w:r>
        <w:rPr>
          <w:spacing w:val="-4"/>
        </w:rPr>
        <w:t> </w:t>
      </w:r>
      <w:r>
        <w:rPr/>
        <w:t>products,</w:t>
      </w:r>
      <w:r>
        <w:rPr>
          <w:spacing w:val="-3"/>
        </w:rPr>
        <w:t> </w:t>
      </w:r>
      <w:r>
        <w:rPr/>
        <w:t>together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our</w:t>
      </w:r>
      <w:r>
        <w:rPr>
          <w:spacing w:val="-4"/>
        </w:rPr>
        <w:t> </w:t>
      </w:r>
      <w:r>
        <w:rPr/>
        <w:t>limited</w:t>
      </w:r>
      <w:r>
        <w:rPr>
          <w:spacing w:val="-3"/>
        </w:rPr>
        <w:t> </w:t>
      </w:r>
      <w:r>
        <w:rPr/>
        <w:t>commercialization</w:t>
      </w:r>
      <w:r>
        <w:rPr>
          <w:spacing w:val="-3"/>
        </w:rPr>
        <w:t> </w:t>
      </w:r>
      <w:r>
        <w:rPr/>
        <w:t>experience,</w:t>
      </w:r>
      <w:r>
        <w:rPr>
          <w:spacing w:val="-3"/>
        </w:rPr>
        <w:t> </w:t>
      </w:r>
      <w:r>
        <w:rPr/>
        <w:t>makes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difficult</w:t>
      </w:r>
      <w:r>
        <w:rPr>
          <w:spacing w:val="-47"/>
        </w:rPr>
        <w:t> </w:t>
      </w:r>
      <w:r>
        <w:rPr/>
        <w:t>to evaluate our current business and predict our future prospects with precision. These factors also make it difficult</w:t>
      </w:r>
      <w:r>
        <w:rPr>
          <w:spacing w:val="1"/>
        </w:rPr>
        <w:t> </w:t>
      </w:r>
      <w:r>
        <w:rPr/>
        <w:t>for us to forecast our financial performance and future growth, and such forecasts are subject to a number of</w:t>
      </w:r>
      <w:r>
        <w:rPr>
          <w:spacing w:val="1"/>
        </w:rPr>
        <w:t> </w:t>
      </w:r>
      <w:r>
        <w:rPr/>
        <w:t>uncertainties,</w:t>
      </w:r>
      <w:r>
        <w:rPr>
          <w:spacing w:val="-1"/>
        </w:rPr>
        <w:t> </w:t>
      </w:r>
      <w:r>
        <w:rPr/>
        <w:t>including those</w:t>
      </w:r>
      <w:r>
        <w:rPr>
          <w:spacing w:val="-1"/>
        </w:rPr>
        <w:t> </w:t>
      </w:r>
      <w:r>
        <w:rPr/>
        <w:t>outside</w:t>
      </w:r>
      <w:r>
        <w:rPr>
          <w:spacing w:val="-1"/>
        </w:rPr>
        <w:t> </w:t>
      </w:r>
      <w:r>
        <w:rPr/>
        <w:t>of our</w:t>
      </w:r>
      <w:r>
        <w:rPr>
          <w:spacing w:val="-1"/>
        </w:rPr>
        <w:t> </w:t>
      </w:r>
      <w:r>
        <w:rPr/>
        <w:t>control.</w:t>
      </w:r>
    </w:p>
    <w:p>
      <w:pPr>
        <w:pStyle w:val="Heading3"/>
        <w:spacing w:line="249" w:lineRule="auto"/>
      </w:pPr>
      <w:r>
        <w:rPr>
          <w:i/>
        </w:rPr>
        <w:t>Our</w:t>
      </w:r>
      <w:r>
        <w:rPr>
          <w:i/>
          <w:spacing w:val="-5"/>
        </w:rPr>
        <w:t> </w:t>
      </w:r>
      <w:r>
        <w:rPr>
          <w:i/>
        </w:rPr>
        <w:t>quarterly</w:t>
      </w:r>
      <w:r>
        <w:rPr>
          <w:i/>
          <w:spacing w:val="-5"/>
        </w:rPr>
        <w:t> </w:t>
      </w:r>
      <w:r>
        <w:rPr>
          <w:i/>
        </w:rPr>
        <w:t>and</w:t>
      </w:r>
      <w:r>
        <w:rPr>
          <w:i/>
          <w:spacing w:val="-4"/>
        </w:rPr>
        <w:t> </w:t>
      </w:r>
      <w:r>
        <w:rPr>
          <w:i/>
        </w:rPr>
        <w:t>annual</w:t>
      </w:r>
      <w:r>
        <w:rPr>
          <w:i/>
          <w:spacing w:val="-4"/>
        </w:rPr>
        <w:t> </w:t>
      </w:r>
      <w:r>
        <w:rPr>
          <w:i/>
        </w:rPr>
        <w:t>operating</w:t>
      </w:r>
      <w:r>
        <w:rPr>
          <w:i/>
          <w:spacing w:val="-4"/>
        </w:rPr>
        <w:t> </w:t>
      </w:r>
      <w:r>
        <w:rPr>
          <w:i/>
        </w:rPr>
        <w:t>results</w:t>
      </w:r>
      <w:r>
        <w:rPr>
          <w:i/>
          <w:spacing w:val="-5"/>
        </w:rPr>
        <w:t> </w:t>
      </w:r>
      <w:r>
        <w:rPr>
          <w:i/>
        </w:rPr>
        <w:t>may</w:t>
      </w:r>
      <w:r>
        <w:rPr>
          <w:i/>
          <w:spacing w:val="-4"/>
        </w:rPr>
        <w:t> </w:t>
      </w:r>
      <w:r>
        <w:rPr>
          <w:i/>
        </w:rPr>
        <w:t>fluctuate</w:t>
      </w:r>
      <w:r>
        <w:rPr>
          <w:i/>
          <w:spacing w:val="-5"/>
        </w:rPr>
        <w:t> </w:t>
      </w:r>
      <w:r>
        <w:rPr>
          <w:i/>
        </w:rPr>
        <w:t>significantly</w:t>
      </w:r>
      <w:r>
        <w:rPr>
          <w:i/>
          <w:spacing w:val="-5"/>
        </w:rPr>
        <w:t> </w:t>
      </w:r>
      <w:r>
        <w:rPr>
          <w:i/>
        </w:rPr>
        <w:t>and</w:t>
      </w:r>
      <w:r>
        <w:rPr>
          <w:i/>
          <w:spacing w:val="-3"/>
        </w:rPr>
        <w:t> </w:t>
      </w:r>
      <w:r>
        <w:rPr>
          <w:i/>
        </w:rPr>
        <w:t>may</w:t>
      </w:r>
      <w:r>
        <w:rPr>
          <w:i/>
          <w:spacing w:val="-5"/>
        </w:rPr>
        <w:t> </w:t>
      </w:r>
      <w:r>
        <w:rPr>
          <w:i/>
        </w:rPr>
        <w:t>not</w:t>
      </w:r>
      <w:r>
        <w:rPr>
          <w:i/>
          <w:spacing w:val="-5"/>
        </w:rPr>
        <w:t> </w:t>
      </w:r>
      <w:r>
        <w:rPr>
          <w:i/>
        </w:rPr>
        <w:t>fully</w:t>
      </w:r>
      <w:r>
        <w:rPr>
          <w:i/>
          <w:spacing w:val="-4"/>
        </w:rPr>
        <w:t> </w:t>
      </w:r>
      <w:r>
        <w:rPr>
          <w:i/>
        </w:rPr>
        <w:t>reflect</w:t>
      </w:r>
      <w:r>
        <w:rPr>
          <w:i/>
          <w:spacing w:val="-5"/>
        </w:rPr>
        <w:t> </w:t>
      </w:r>
      <w:r>
        <w:rPr>
          <w:i/>
        </w:rPr>
        <w:t>the</w:t>
      </w:r>
      <w:r>
        <w:rPr>
          <w:i/>
          <w:spacing w:val="-5"/>
        </w:rPr>
        <w:t> </w:t>
      </w:r>
      <w:r>
        <w:rPr>
          <w:i/>
        </w:rPr>
        <w:t>underlying</w:t>
      </w:r>
      <w:r>
        <w:rPr>
          <w:i/>
          <w:spacing w:val="1"/>
        </w:rPr>
        <w:t> </w:t>
      </w:r>
      <w:r>
        <w:rPr/>
        <w:t>performance of our business. This makes our future operating results difficult to predict and could cause our</w:t>
      </w:r>
      <w:r>
        <w:rPr>
          <w:spacing w:val="1"/>
        </w:rPr>
        <w:t> </w:t>
      </w:r>
      <w:r>
        <w:rPr/>
        <w:t>operating</w:t>
      </w:r>
      <w:r>
        <w:rPr>
          <w:spacing w:val="-1"/>
        </w:rPr>
        <w:t> </w:t>
      </w:r>
      <w:r>
        <w:rPr/>
        <w:t>results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fall</w:t>
      </w:r>
      <w:r>
        <w:rPr>
          <w:spacing w:val="-1"/>
        </w:rPr>
        <w:t> </w:t>
      </w:r>
      <w:r>
        <w:rPr/>
        <w:t>below</w:t>
      </w:r>
      <w:r>
        <w:rPr>
          <w:spacing w:val="-2"/>
        </w:rPr>
        <w:t> </w:t>
      </w:r>
      <w:r>
        <w:rPr/>
        <w:t>expectations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any</w:t>
      </w:r>
      <w:r>
        <w:rPr>
          <w:spacing w:val="-1"/>
        </w:rPr>
        <w:t> </w:t>
      </w:r>
      <w:r>
        <w:rPr/>
        <w:t>guidance</w:t>
      </w:r>
      <w:r>
        <w:rPr>
          <w:spacing w:val="-2"/>
        </w:rPr>
        <w:t> </w:t>
      </w:r>
      <w:r>
        <w:rPr/>
        <w:t>we</w:t>
      </w:r>
      <w:r>
        <w:rPr>
          <w:spacing w:val="-1"/>
        </w:rPr>
        <w:t> </w:t>
      </w:r>
      <w:r>
        <w:rPr/>
        <w:t>may</w:t>
      </w:r>
      <w:r>
        <w:rPr>
          <w:spacing w:val="-2"/>
        </w:rPr>
        <w:t> </w:t>
      </w:r>
      <w:r>
        <w:rPr/>
        <w:t>provide.</w:t>
      </w:r>
    </w:p>
    <w:p>
      <w:pPr>
        <w:pStyle w:val="BodyText"/>
        <w:spacing w:line="249" w:lineRule="auto" w:before="186"/>
      </w:pPr>
      <w:r>
        <w:rPr/>
        <w:t>Our</w:t>
      </w:r>
      <w:r>
        <w:rPr>
          <w:spacing w:val="-3"/>
        </w:rPr>
        <w:t> </w:t>
      </w:r>
      <w:r>
        <w:rPr/>
        <w:t>quarterly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annual</w:t>
      </w:r>
      <w:r>
        <w:rPr>
          <w:spacing w:val="-4"/>
        </w:rPr>
        <w:t> </w:t>
      </w:r>
      <w:r>
        <w:rPr/>
        <w:t>results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operations,</w:t>
      </w:r>
      <w:r>
        <w:rPr>
          <w:spacing w:val="-2"/>
        </w:rPr>
        <w:t> </w:t>
      </w:r>
      <w:r>
        <w:rPr/>
        <w:t>including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revenue,</w:t>
      </w:r>
      <w:r>
        <w:rPr>
          <w:spacing w:val="-3"/>
        </w:rPr>
        <w:t> </w:t>
      </w:r>
      <w:r>
        <w:rPr/>
        <w:t>profitability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cash</w:t>
      </w:r>
      <w:r>
        <w:rPr>
          <w:spacing w:val="-2"/>
        </w:rPr>
        <w:t> </w:t>
      </w:r>
      <w:r>
        <w:rPr/>
        <w:t>flow,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vary</w:t>
      </w:r>
      <w:r>
        <w:rPr>
          <w:spacing w:val="-47"/>
        </w:rPr>
        <w:t> </w:t>
      </w:r>
      <w:r>
        <w:rPr/>
        <w:t>significantly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future,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period-to-period</w:t>
      </w:r>
      <w:r>
        <w:rPr>
          <w:spacing w:val="-2"/>
        </w:rPr>
        <w:t> </w:t>
      </w:r>
      <w:r>
        <w:rPr/>
        <w:t>comparisons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operating</w:t>
      </w:r>
      <w:r>
        <w:rPr>
          <w:spacing w:val="-2"/>
        </w:rPr>
        <w:t> </w:t>
      </w:r>
      <w:r>
        <w:rPr/>
        <w:t>results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meaningful.</w:t>
      </w:r>
    </w:p>
    <w:p>
      <w:pPr>
        <w:pStyle w:val="BodyText"/>
        <w:spacing w:line="249" w:lineRule="auto" w:before="2"/>
        <w:ind w:right="129" w:firstLine="0"/>
      </w:pPr>
      <w:r>
        <w:rPr/>
        <w:t>Accordingly, the results of any one quarter or period should not be relied upon as an indication of future</w:t>
      </w:r>
      <w:r>
        <w:rPr>
          <w:spacing w:val="1"/>
        </w:rPr>
        <w:t> </w:t>
      </w:r>
      <w:r>
        <w:rPr/>
        <w:t>performance.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quarterly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annual</w:t>
      </w:r>
      <w:r>
        <w:rPr>
          <w:spacing w:val="-4"/>
        </w:rPr>
        <w:t> </w:t>
      </w:r>
      <w:r>
        <w:rPr/>
        <w:t>operating</w:t>
      </w:r>
      <w:r>
        <w:rPr>
          <w:spacing w:val="-3"/>
        </w:rPr>
        <w:t> </w:t>
      </w:r>
      <w:r>
        <w:rPr/>
        <w:t>results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fluctuate</w:t>
      </w:r>
      <w:r>
        <w:rPr>
          <w:spacing w:val="-4"/>
        </w:rPr>
        <w:t> </w:t>
      </w:r>
      <w:r>
        <w:rPr/>
        <w:t>significantly</w:t>
      </w:r>
      <w:r>
        <w:rPr>
          <w:spacing w:val="-2"/>
        </w:rPr>
        <w:t> </w:t>
      </w:r>
      <w:r>
        <w:rPr/>
        <w:t>as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result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variety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factors,</w:t>
      </w:r>
      <w:r>
        <w:rPr>
          <w:spacing w:val="-47"/>
        </w:rPr>
        <w:t> </w:t>
      </w:r>
      <w:r>
        <w:rPr/>
        <w:t>many of which are outside our control and, as a result, may not fully reflect the underlying performance of our</w:t>
      </w:r>
      <w:r>
        <w:rPr>
          <w:spacing w:val="1"/>
        </w:rPr>
        <w:t> </w:t>
      </w:r>
      <w:r>
        <w:rPr/>
        <w:t>business. Such fluctuations in quarterly and annual operating results may decrease the value of our common stock.</w:t>
      </w:r>
      <w:r>
        <w:rPr>
          <w:spacing w:val="1"/>
        </w:rPr>
        <w:t> </w:t>
      </w:r>
      <w:r>
        <w:rPr/>
        <w:t>Because our quarterly operating results may fluctuate, period-to-period comparisons may not be the best indication</w:t>
      </w:r>
      <w:r>
        <w:rPr>
          <w:spacing w:val="1"/>
        </w:rPr>
        <w:t> </w:t>
      </w:r>
      <w:r>
        <w:rPr/>
        <w:t>of the underlying results of our business and should only be relied upon as one factor in determining how our</w:t>
      </w:r>
      <w:r>
        <w:rPr>
          <w:spacing w:val="1"/>
        </w:rPr>
        <w:t> </w:t>
      </w:r>
      <w:r>
        <w:rPr/>
        <w:t>business is performing. These fluctuations may occur due to a variety of factors, many of which are outside of our</w:t>
      </w:r>
      <w:r>
        <w:rPr>
          <w:spacing w:val="1"/>
        </w:rPr>
        <w:t> </w:t>
      </w:r>
      <w:r>
        <w:rPr/>
        <w:t>control,</w:t>
      </w:r>
      <w:r>
        <w:rPr>
          <w:spacing w:val="-1"/>
        </w:rPr>
        <w:t> </w:t>
      </w:r>
      <w:r>
        <w:rPr/>
        <w:t>including, but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limited to: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86" w:after="0"/>
        <w:ind w:left="820" w:right="0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level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surgeon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hospital</w:t>
      </w:r>
      <w:r>
        <w:rPr>
          <w:spacing w:val="-3"/>
          <w:sz w:val="20"/>
        </w:rPr>
        <w:t> </w:t>
      </w:r>
      <w:r>
        <w:rPr>
          <w:sz w:val="20"/>
        </w:rPr>
        <w:t>adoption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demand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our</w:t>
      </w:r>
      <w:r>
        <w:rPr>
          <w:spacing w:val="-2"/>
          <w:sz w:val="20"/>
        </w:rPr>
        <w:t> </w:t>
      </w:r>
      <w:r>
        <w:rPr>
          <w:sz w:val="20"/>
        </w:rPr>
        <w:t>products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Aquablation</w:t>
      </w:r>
      <w:r>
        <w:rPr>
          <w:spacing w:val="-2"/>
          <w:sz w:val="20"/>
        </w:rPr>
        <w:t> </w:t>
      </w:r>
      <w:r>
        <w:rPr>
          <w:sz w:val="20"/>
        </w:rPr>
        <w:t>therapy;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changes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reimbursement</w:t>
      </w:r>
      <w:r>
        <w:rPr>
          <w:spacing w:val="-4"/>
          <w:sz w:val="20"/>
        </w:rPr>
        <w:t> </w:t>
      </w:r>
      <w:r>
        <w:rPr>
          <w:sz w:val="20"/>
        </w:rPr>
        <w:t>rates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government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commercial</w:t>
      </w:r>
      <w:r>
        <w:rPr>
          <w:spacing w:val="-4"/>
          <w:sz w:val="20"/>
        </w:rPr>
        <w:t> </w:t>
      </w:r>
      <w:r>
        <w:rPr>
          <w:sz w:val="20"/>
        </w:rPr>
        <w:t>payors;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9" w:lineRule="auto" w:before="190" w:after="0"/>
        <w:ind w:left="820" w:right="574" w:hanging="360"/>
        <w:jc w:val="left"/>
        <w:rPr>
          <w:sz w:val="20"/>
        </w:rPr>
      </w:pPr>
      <w:r>
        <w:rPr>
          <w:sz w:val="20"/>
        </w:rPr>
        <w:t>positive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negative</w:t>
      </w:r>
      <w:r>
        <w:rPr>
          <w:spacing w:val="-3"/>
          <w:sz w:val="20"/>
        </w:rPr>
        <w:t> </w:t>
      </w:r>
      <w:r>
        <w:rPr>
          <w:sz w:val="20"/>
        </w:rPr>
        <w:t>coverage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media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clinical</w:t>
      </w:r>
      <w:r>
        <w:rPr>
          <w:spacing w:val="-3"/>
          <w:sz w:val="20"/>
        </w:rPr>
        <w:t> </w:t>
      </w:r>
      <w:r>
        <w:rPr>
          <w:sz w:val="20"/>
        </w:rPr>
        <w:t>publications,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changes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public,</w:t>
      </w:r>
      <w:r>
        <w:rPr>
          <w:spacing w:val="-3"/>
          <w:sz w:val="20"/>
        </w:rPr>
        <w:t> </w:t>
      </w:r>
      <w:r>
        <w:rPr>
          <w:sz w:val="20"/>
        </w:rPr>
        <w:t>patient</w:t>
      </w:r>
      <w:r>
        <w:rPr>
          <w:spacing w:val="-3"/>
          <w:sz w:val="20"/>
        </w:rPr>
        <w:t> </w:t>
      </w:r>
      <w:r>
        <w:rPr>
          <w:sz w:val="20"/>
        </w:rPr>
        <w:t>and/or</w:t>
      </w:r>
      <w:r>
        <w:rPr>
          <w:spacing w:val="-47"/>
          <w:sz w:val="20"/>
        </w:rPr>
        <w:t> </w:t>
      </w:r>
      <w:r>
        <w:rPr>
          <w:sz w:val="20"/>
        </w:rPr>
        <w:t>physician perception, of our products or competing products and treatments, including our brand</w:t>
      </w:r>
      <w:r>
        <w:rPr>
          <w:spacing w:val="1"/>
          <w:sz w:val="20"/>
        </w:rPr>
        <w:t> </w:t>
      </w:r>
      <w:r>
        <w:rPr>
          <w:sz w:val="20"/>
        </w:rPr>
        <w:t>reputation;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9" w:lineRule="auto" w:before="183" w:after="0"/>
        <w:ind w:left="820" w:right="1007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degree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competition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industry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2"/>
          <w:sz w:val="20"/>
        </w:rPr>
        <w:t> </w:t>
      </w:r>
      <w:r>
        <w:rPr>
          <w:sz w:val="20"/>
        </w:rPr>
        <w:t>change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competitive</w:t>
      </w:r>
      <w:r>
        <w:rPr>
          <w:spacing w:val="-3"/>
          <w:sz w:val="20"/>
        </w:rPr>
        <w:t> </w:t>
      </w:r>
      <w:r>
        <w:rPr>
          <w:sz w:val="20"/>
        </w:rPr>
        <w:t>landscape,</w:t>
      </w:r>
      <w:r>
        <w:rPr>
          <w:spacing w:val="-3"/>
          <w:sz w:val="20"/>
        </w:rPr>
        <w:t> </w:t>
      </w:r>
      <w:r>
        <w:rPr>
          <w:sz w:val="20"/>
        </w:rPr>
        <w:t>including</w:t>
      </w:r>
      <w:r>
        <w:rPr>
          <w:spacing w:val="-47"/>
          <w:sz w:val="20"/>
        </w:rPr>
        <w:t> </w:t>
      </w:r>
      <w:r>
        <w:rPr>
          <w:sz w:val="20"/>
        </w:rPr>
        <w:t>consolidation</w:t>
      </w:r>
      <w:r>
        <w:rPr>
          <w:spacing w:val="-1"/>
          <w:sz w:val="20"/>
        </w:rPr>
        <w:t> </w:t>
      </w:r>
      <w:r>
        <w:rPr>
          <w:sz w:val="20"/>
        </w:rPr>
        <w:t>among competitors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future</w:t>
      </w:r>
      <w:r>
        <w:rPr>
          <w:spacing w:val="-1"/>
          <w:sz w:val="20"/>
        </w:rPr>
        <w:t> </w:t>
      </w:r>
      <w:r>
        <w:rPr>
          <w:sz w:val="20"/>
        </w:rPr>
        <w:t>partners;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9" w:lineRule="auto" w:before="181" w:after="0"/>
        <w:ind w:left="820" w:right="135" w:hanging="360"/>
        <w:jc w:val="left"/>
        <w:rPr>
          <w:sz w:val="20"/>
        </w:rPr>
      </w:pP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safety,</w:t>
      </w:r>
      <w:r>
        <w:rPr>
          <w:spacing w:val="-3"/>
          <w:sz w:val="20"/>
        </w:rPr>
        <w:t> </w:t>
      </w:r>
      <w:r>
        <w:rPr>
          <w:sz w:val="20"/>
        </w:rPr>
        <w:t>reliability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effectiveness</w:t>
      </w:r>
      <w:r>
        <w:rPr>
          <w:spacing w:val="-4"/>
          <w:sz w:val="20"/>
        </w:rPr>
        <w:t> </w:t>
      </w:r>
      <w:r>
        <w:rPr>
          <w:sz w:val="20"/>
        </w:rPr>
        <w:t>concerns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arise</w:t>
      </w:r>
      <w:r>
        <w:rPr>
          <w:spacing w:val="-4"/>
          <w:sz w:val="20"/>
        </w:rPr>
        <w:t> </w:t>
      </w:r>
      <w:r>
        <w:rPr>
          <w:sz w:val="20"/>
        </w:rPr>
        <w:t>regarding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products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procedures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treat</w:t>
      </w:r>
      <w:r>
        <w:rPr>
          <w:spacing w:val="-47"/>
          <w:sz w:val="20"/>
        </w:rPr>
        <w:t> </w:t>
      </w:r>
      <w:r>
        <w:rPr>
          <w:sz w:val="20"/>
        </w:rPr>
        <w:t>BPH;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9" w:lineRule="auto" w:before="182" w:after="0"/>
        <w:ind w:left="820" w:right="610" w:hanging="360"/>
        <w:jc w:val="left"/>
        <w:rPr>
          <w:sz w:val="20"/>
        </w:rPr>
      </w:pPr>
      <w:r>
        <w:rPr>
          <w:sz w:val="20"/>
        </w:rPr>
        <w:t>unanticipated</w:t>
      </w:r>
      <w:r>
        <w:rPr>
          <w:spacing w:val="-3"/>
          <w:sz w:val="20"/>
        </w:rPr>
        <w:t> </w:t>
      </w:r>
      <w:r>
        <w:rPr>
          <w:sz w:val="20"/>
        </w:rPr>
        <w:t>pricing</w:t>
      </w:r>
      <w:r>
        <w:rPr>
          <w:spacing w:val="-3"/>
          <w:sz w:val="20"/>
        </w:rPr>
        <w:t> </w:t>
      </w:r>
      <w:r>
        <w:rPr>
          <w:sz w:val="20"/>
        </w:rPr>
        <w:t>pressures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connection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sale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products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downward</w:t>
      </w:r>
      <w:r>
        <w:rPr>
          <w:spacing w:val="-2"/>
          <w:sz w:val="20"/>
        </w:rPr>
        <w:t> </w:t>
      </w:r>
      <w:r>
        <w:rPr>
          <w:sz w:val="20"/>
        </w:rPr>
        <w:t>pressure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7"/>
          <w:sz w:val="20"/>
        </w:rPr>
        <w:t> </w:t>
      </w:r>
      <w:r>
        <w:rPr>
          <w:sz w:val="20"/>
        </w:rPr>
        <w:t>healthcare</w:t>
      </w:r>
      <w:r>
        <w:rPr>
          <w:spacing w:val="-2"/>
          <w:sz w:val="20"/>
        </w:rPr>
        <w:t> </w:t>
      </w:r>
      <w:r>
        <w:rPr>
          <w:sz w:val="20"/>
        </w:rPr>
        <w:t>costs</w:t>
      </w:r>
      <w:r>
        <w:rPr>
          <w:spacing w:val="-1"/>
          <w:sz w:val="20"/>
        </w:rPr>
        <w:t> </w:t>
      </w:r>
      <w:r>
        <w:rPr>
          <w:sz w:val="20"/>
        </w:rPr>
        <w:t>in general;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9" w:lineRule="auto" w:before="182" w:after="0"/>
        <w:ind w:left="820" w:right="328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effectiveness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2"/>
          <w:sz w:val="20"/>
        </w:rPr>
        <w:t> </w:t>
      </w:r>
      <w:r>
        <w:rPr>
          <w:sz w:val="20"/>
        </w:rPr>
        <w:t>sales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marketing</w:t>
      </w:r>
      <w:r>
        <w:rPr>
          <w:spacing w:val="-2"/>
          <w:sz w:val="20"/>
        </w:rPr>
        <w:t> </w:t>
      </w:r>
      <w:r>
        <w:rPr>
          <w:sz w:val="20"/>
        </w:rPr>
        <w:t>efforts,</w:t>
      </w:r>
      <w:r>
        <w:rPr>
          <w:spacing w:val="-3"/>
          <w:sz w:val="20"/>
        </w:rPr>
        <w:t> </w:t>
      </w:r>
      <w:r>
        <w:rPr>
          <w:sz w:val="20"/>
        </w:rPr>
        <w:t>including</w:t>
      </w:r>
      <w:r>
        <w:rPr>
          <w:spacing w:val="-2"/>
          <w:sz w:val="20"/>
        </w:rPr>
        <w:t> </w:t>
      </w: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ability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deploy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sufficient</w:t>
      </w:r>
      <w:r>
        <w:rPr>
          <w:spacing w:val="-3"/>
          <w:sz w:val="20"/>
        </w:rPr>
        <w:t> </w:t>
      </w:r>
      <w:r>
        <w:rPr>
          <w:sz w:val="20"/>
        </w:rPr>
        <w:t>number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qualified</w:t>
      </w:r>
      <w:r>
        <w:rPr>
          <w:spacing w:val="-1"/>
          <w:sz w:val="20"/>
        </w:rPr>
        <w:t> </w:t>
      </w:r>
      <w:r>
        <w:rPr>
          <w:sz w:val="20"/>
        </w:rPr>
        <w:t>sales</w:t>
      </w:r>
      <w:r>
        <w:rPr>
          <w:spacing w:val="-1"/>
          <w:sz w:val="20"/>
        </w:rPr>
        <w:t> </w:t>
      </w:r>
      <w:r>
        <w:rPr>
          <w:sz w:val="20"/>
        </w:rPr>
        <w:t>representatives</w:t>
      </w:r>
      <w:r>
        <w:rPr>
          <w:spacing w:val="-2"/>
          <w:sz w:val="20"/>
        </w:rPr>
        <w:t> </w:t>
      </w:r>
      <w:r>
        <w:rPr>
          <w:sz w:val="20"/>
        </w:rPr>
        <w:t>to sell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market</w:t>
      </w:r>
      <w:r>
        <w:rPr>
          <w:spacing w:val="-1"/>
          <w:sz w:val="20"/>
        </w:rPr>
        <w:t> </w:t>
      </w:r>
      <w:r>
        <w:rPr>
          <w:sz w:val="20"/>
        </w:rPr>
        <w:t>our products;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9" w:lineRule="auto" w:before="181" w:after="0"/>
        <w:ind w:left="820" w:right="167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timing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customer</w:t>
      </w:r>
      <w:r>
        <w:rPr>
          <w:spacing w:val="-3"/>
          <w:sz w:val="20"/>
        </w:rPr>
        <w:t> </w:t>
      </w:r>
      <w:r>
        <w:rPr>
          <w:sz w:val="20"/>
        </w:rPr>
        <w:t>orders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medical</w:t>
      </w:r>
      <w:r>
        <w:rPr>
          <w:spacing w:val="-3"/>
          <w:sz w:val="20"/>
        </w:rPr>
        <w:t> </w:t>
      </w:r>
      <w:r>
        <w:rPr>
          <w:sz w:val="20"/>
        </w:rPr>
        <w:t>procedures</w:t>
      </w:r>
      <w:r>
        <w:rPr>
          <w:spacing w:val="-4"/>
          <w:sz w:val="20"/>
        </w:rPr>
        <w:t> </w:t>
      </w:r>
      <w:r>
        <w:rPr>
          <w:sz w:val="20"/>
        </w:rPr>
        <w:t>using</w:t>
      </w:r>
      <w:r>
        <w:rPr>
          <w:spacing w:val="-2"/>
          <w:sz w:val="20"/>
        </w:rPr>
        <w:t> </w:t>
      </w:r>
      <w:r>
        <w:rPr>
          <w:sz w:val="20"/>
        </w:rPr>
        <w:t>our</w:t>
      </w:r>
      <w:r>
        <w:rPr>
          <w:spacing w:val="-2"/>
          <w:sz w:val="20"/>
        </w:rPr>
        <w:t> </w:t>
      </w:r>
      <w:r>
        <w:rPr>
          <w:sz w:val="20"/>
        </w:rPr>
        <w:t>products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number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available</w:t>
      </w:r>
      <w:r>
        <w:rPr>
          <w:spacing w:val="-4"/>
          <w:sz w:val="20"/>
        </w:rPr>
        <w:t> </w:t>
      </w:r>
      <w:r>
        <w:rPr>
          <w:sz w:val="20"/>
        </w:rPr>
        <w:t>selling</w:t>
      </w:r>
      <w:r>
        <w:rPr>
          <w:spacing w:val="-47"/>
          <w:sz w:val="20"/>
        </w:rPr>
        <w:t> </w:t>
      </w:r>
      <w:r>
        <w:rPr>
          <w:sz w:val="20"/>
        </w:rPr>
        <w:t>days in any quarterly period, which can be impacted by holidays, the mix of products sold and the</w:t>
      </w:r>
      <w:r>
        <w:rPr>
          <w:spacing w:val="1"/>
          <w:sz w:val="20"/>
        </w:rPr>
        <w:t> </w:t>
      </w:r>
      <w:r>
        <w:rPr>
          <w:sz w:val="20"/>
        </w:rPr>
        <w:t>geographic</w:t>
      </w:r>
      <w:r>
        <w:rPr>
          <w:spacing w:val="-2"/>
          <w:sz w:val="20"/>
        </w:rPr>
        <w:t> </w:t>
      </w:r>
      <w:r>
        <w:rPr>
          <w:sz w:val="20"/>
        </w:rPr>
        <w:t>mix of where</w:t>
      </w:r>
      <w:r>
        <w:rPr>
          <w:spacing w:val="-1"/>
          <w:sz w:val="20"/>
        </w:rPr>
        <w:t> </w:t>
      </w:r>
      <w:r>
        <w:rPr>
          <w:sz w:val="20"/>
        </w:rPr>
        <w:t>products</w:t>
      </w:r>
      <w:r>
        <w:rPr>
          <w:spacing w:val="-1"/>
          <w:sz w:val="20"/>
        </w:rPr>
        <w:t> </w:t>
      </w:r>
      <w:r>
        <w:rPr>
          <w:sz w:val="20"/>
        </w:rPr>
        <w:t>are</w:t>
      </w:r>
      <w:r>
        <w:rPr>
          <w:spacing w:val="-1"/>
          <w:sz w:val="20"/>
        </w:rPr>
        <w:t> </w:t>
      </w:r>
      <w:r>
        <w:rPr>
          <w:sz w:val="20"/>
        </w:rPr>
        <w:t>sold;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83" w:after="0"/>
        <w:ind w:left="820" w:right="0" w:hanging="360"/>
        <w:jc w:val="left"/>
        <w:rPr>
          <w:sz w:val="20"/>
        </w:rPr>
      </w:pPr>
      <w:r>
        <w:rPr>
          <w:sz w:val="20"/>
        </w:rPr>
        <w:t>unanticipated</w:t>
      </w:r>
      <w:r>
        <w:rPr>
          <w:spacing w:val="-3"/>
          <w:sz w:val="20"/>
        </w:rPr>
        <w:t> </w:t>
      </w:r>
      <w:r>
        <w:rPr>
          <w:sz w:val="20"/>
        </w:rPr>
        <w:t>delays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product</w:t>
      </w:r>
      <w:r>
        <w:rPr>
          <w:spacing w:val="-4"/>
          <w:sz w:val="20"/>
        </w:rPr>
        <w:t> </w:t>
      </w:r>
      <w:r>
        <w:rPr>
          <w:sz w:val="20"/>
        </w:rPr>
        <w:t>development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product</w:t>
      </w:r>
      <w:r>
        <w:rPr>
          <w:spacing w:val="-4"/>
          <w:sz w:val="20"/>
        </w:rPr>
        <w:t> </w:t>
      </w:r>
      <w:r>
        <w:rPr>
          <w:sz w:val="20"/>
        </w:rPr>
        <w:t>launches;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9" w:lineRule="auto" w:before="190" w:after="0"/>
        <w:ind w:left="820" w:right="371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cost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manufacturing</w:t>
      </w:r>
      <w:r>
        <w:rPr>
          <w:spacing w:val="-2"/>
          <w:sz w:val="20"/>
        </w:rPr>
        <w:t> </w:t>
      </w:r>
      <w:r>
        <w:rPr>
          <w:sz w:val="20"/>
        </w:rPr>
        <w:t>our</w:t>
      </w:r>
      <w:r>
        <w:rPr>
          <w:spacing w:val="-2"/>
          <w:sz w:val="20"/>
        </w:rPr>
        <w:t> </w:t>
      </w:r>
      <w:r>
        <w:rPr>
          <w:sz w:val="20"/>
        </w:rPr>
        <w:t>products,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may</w:t>
      </w:r>
      <w:r>
        <w:rPr>
          <w:spacing w:val="-1"/>
          <w:sz w:val="20"/>
        </w:rPr>
        <w:t> </w:t>
      </w:r>
      <w:r>
        <w:rPr>
          <w:sz w:val="20"/>
        </w:rPr>
        <w:t>vary</w:t>
      </w:r>
      <w:r>
        <w:rPr>
          <w:spacing w:val="-2"/>
          <w:sz w:val="20"/>
        </w:rPr>
        <w:t> </w:t>
      </w:r>
      <w:r>
        <w:rPr>
          <w:sz w:val="20"/>
        </w:rPr>
        <w:t>depending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quantity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production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7"/>
          <w:sz w:val="20"/>
        </w:rPr>
        <w:t> </w:t>
      </w:r>
      <w:r>
        <w:rPr>
          <w:sz w:val="20"/>
        </w:rPr>
        <w:t>terms</w:t>
      </w:r>
      <w:r>
        <w:rPr>
          <w:spacing w:val="-2"/>
          <w:sz w:val="20"/>
        </w:rPr>
        <w:t> </w:t>
      </w:r>
      <w:r>
        <w:rPr>
          <w:sz w:val="20"/>
        </w:rPr>
        <w:t>of our agreements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third-party suppliers;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9" w:lineRule="auto" w:before="182" w:after="0"/>
        <w:ind w:left="820" w:right="1534" w:hanging="360"/>
        <w:jc w:val="left"/>
        <w:rPr>
          <w:sz w:val="20"/>
        </w:rPr>
      </w:pP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ability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raise</w:t>
      </w:r>
      <w:r>
        <w:rPr>
          <w:spacing w:val="-3"/>
          <w:sz w:val="20"/>
        </w:rPr>
        <w:t> </w:t>
      </w:r>
      <w:r>
        <w:rPr>
          <w:sz w:val="20"/>
        </w:rPr>
        <w:t>additional</w:t>
      </w:r>
      <w:r>
        <w:rPr>
          <w:spacing w:val="-4"/>
          <w:sz w:val="20"/>
        </w:rPr>
        <w:t> </w:t>
      </w:r>
      <w:r>
        <w:rPr>
          <w:sz w:val="20"/>
        </w:rPr>
        <w:t>capital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acceptable</w:t>
      </w:r>
      <w:r>
        <w:rPr>
          <w:spacing w:val="-3"/>
          <w:sz w:val="20"/>
        </w:rPr>
        <w:t> </w:t>
      </w:r>
      <w:r>
        <w:rPr>
          <w:sz w:val="20"/>
        </w:rPr>
        <w:t>terms,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all,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2"/>
          <w:sz w:val="20"/>
        </w:rPr>
        <w:t> </w:t>
      </w:r>
      <w:r>
        <w:rPr>
          <w:sz w:val="20"/>
        </w:rPr>
        <w:t>needed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support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7"/>
          <w:sz w:val="20"/>
        </w:rPr>
        <w:t> </w:t>
      </w:r>
      <w:r>
        <w:rPr>
          <w:sz w:val="20"/>
        </w:rPr>
        <w:t>commercialization</w:t>
      </w:r>
      <w:r>
        <w:rPr>
          <w:spacing w:val="-1"/>
          <w:sz w:val="20"/>
        </w:rPr>
        <w:t> </w:t>
      </w:r>
      <w:r>
        <w:rPr>
          <w:sz w:val="20"/>
        </w:rPr>
        <w:t>of our products;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9" w:lineRule="auto" w:before="181" w:after="0"/>
        <w:ind w:left="820" w:right="258" w:hanging="360"/>
        <w:jc w:val="left"/>
        <w:rPr>
          <w:sz w:val="20"/>
        </w:rPr>
      </w:pPr>
      <w:r>
        <w:rPr>
          <w:sz w:val="20"/>
        </w:rPr>
        <w:t>our</w:t>
      </w:r>
      <w:r>
        <w:rPr>
          <w:spacing w:val="-4"/>
          <w:sz w:val="20"/>
        </w:rPr>
        <w:t> </w:t>
      </w:r>
      <w:r>
        <w:rPr>
          <w:sz w:val="20"/>
        </w:rPr>
        <w:t>ability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achieve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maintain</w:t>
      </w:r>
      <w:r>
        <w:rPr>
          <w:spacing w:val="-3"/>
          <w:sz w:val="20"/>
        </w:rPr>
        <w:t> </w:t>
      </w:r>
      <w:r>
        <w:rPr>
          <w:sz w:val="20"/>
        </w:rPr>
        <w:t>compliance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regulatory</w:t>
      </w:r>
      <w:r>
        <w:rPr>
          <w:spacing w:val="-3"/>
          <w:sz w:val="20"/>
        </w:rPr>
        <w:t> </w:t>
      </w:r>
      <w:r>
        <w:rPr>
          <w:sz w:val="20"/>
        </w:rPr>
        <w:t>requirements</w:t>
      </w:r>
      <w:r>
        <w:rPr>
          <w:spacing w:val="-4"/>
          <w:sz w:val="20"/>
        </w:rPr>
        <w:t> </w:t>
      </w:r>
      <w:r>
        <w:rPr>
          <w:sz w:val="20"/>
        </w:rPr>
        <w:t>applicable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4"/>
          <w:sz w:val="20"/>
        </w:rPr>
        <w:t> </w:t>
      </w:r>
      <w:r>
        <w:rPr>
          <w:sz w:val="20"/>
        </w:rPr>
        <w:t>products</w:t>
      </w:r>
      <w:r>
        <w:rPr>
          <w:spacing w:val="-47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services;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82" w:after="0"/>
        <w:ind w:left="820" w:right="0" w:hanging="360"/>
        <w:jc w:val="left"/>
        <w:rPr>
          <w:sz w:val="20"/>
        </w:rPr>
      </w:pP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ability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obtain,</w:t>
      </w:r>
      <w:r>
        <w:rPr>
          <w:spacing w:val="-3"/>
          <w:sz w:val="20"/>
        </w:rPr>
        <w:t> </w:t>
      </w:r>
      <w:r>
        <w:rPr>
          <w:sz w:val="20"/>
        </w:rPr>
        <w:t>maintain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enforce</w:t>
      </w:r>
      <w:r>
        <w:rPr>
          <w:spacing w:val="-4"/>
          <w:sz w:val="20"/>
        </w:rPr>
        <w:t> </w:t>
      </w: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intellectual</w:t>
      </w:r>
      <w:r>
        <w:rPr>
          <w:spacing w:val="-4"/>
          <w:sz w:val="20"/>
        </w:rPr>
        <w:t> </w:t>
      </w:r>
      <w:r>
        <w:rPr>
          <w:sz w:val="20"/>
        </w:rPr>
        <w:t>property</w:t>
      </w:r>
      <w:r>
        <w:rPr>
          <w:spacing w:val="-3"/>
          <w:sz w:val="20"/>
        </w:rPr>
        <w:t> </w:t>
      </w:r>
      <w:r>
        <w:rPr>
          <w:sz w:val="20"/>
        </w:rPr>
        <w:t>rights;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741" w:top="1320" w:bottom="940" w:left="1340" w:right="1320"/>
        </w:sectPr>
      </w:pP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9" w:lineRule="auto" w:before="72" w:after="0"/>
        <w:ind w:left="820" w:right="225" w:hanging="360"/>
        <w:jc w:val="left"/>
        <w:rPr>
          <w:sz w:val="20"/>
        </w:rPr>
      </w:pPr>
      <w:r>
        <w:rPr>
          <w:sz w:val="20"/>
        </w:rPr>
        <w:t>our ability and our third-party suppliers’ ability to supply the components of our products in a timely</w:t>
      </w:r>
      <w:r>
        <w:rPr>
          <w:spacing w:val="1"/>
          <w:sz w:val="20"/>
        </w:rPr>
        <w:t> </w:t>
      </w:r>
      <w:r>
        <w:rPr>
          <w:sz w:val="20"/>
        </w:rPr>
        <w:t>manner,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accordance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our</w:t>
      </w:r>
      <w:r>
        <w:rPr>
          <w:spacing w:val="-4"/>
          <w:sz w:val="20"/>
        </w:rPr>
        <w:t> </w:t>
      </w:r>
      <w:r>
        <w:rPr>
          <w:sz w:val="20"/>
        </w:rPr>
        <w:t>specifications,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compliance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applicable</w:t>
      </w:r>
      <w:r>
        <w:rPr>
          <w:spacing w:val="-5"/>
          <w:sz w:val="20"/>
        </w:rPr>
        <w:t> </w:t>
      </w:r>
      <w:r>
        <w:rPr>
          <w:sz w:val="20"/>
        </w:rPr>
        <w:t>regulatory</w:t>
      </w:r>
      <w:r>
        <w:rPr>
          <w:spacing w:val="-4"/>
          <w:sz w:val="20"/>
        </w:rPr>
        <w:t> </w:t>
      </w:r>
      <w:r>
        <w:rPr>
          <w:sz w:val="20"/>
        </w:rPr>
        <w:t>requirements;</w:t>
      </w:r>
      <w:r>
        <w:rPr>
          <w:spacing w:val="-47"/>
          <w:sz w:val="20"/>
        </w:rPr>
        <w:t> </w:t>
      </w:r>
      <w:r>
        <w:rPr>
          <w:sz w:val="20"/>
        </w:rPr>
        <w:t>and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9" w:lineRule="auto" w:before="182" w:after="0"/>
        <w:ind w:left="820" w:right="822" w:hanging="360"/>
        <w:jc w:val="left"/>
        <w:rPr>
          <w:sz w:val="20"/>
        </w:rPr>
      </w:pPr>
      <w:r>
        <w:rPr>
          <w:sz w:val="20"/>
        </w:rPr>
        <w:t>introduction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new</w:t>
      </w:r>
      <w:r>
        <w:rPr>
          <w:spacing w:val="-4"/>
          <w:sz w:val="20"/>
        </w:rPr>
        <w:t> </w:t>
      </w:r>
      <w:r>
        <w:rPr>
          <w:sz w:val="20"/>
        </w:rPr>
        <w:t>products,</w:t>
      </w:r>
      <w:r>
        <w:rPr>
          <w:spacing w:val="-3"/>
          <w:sz w:val="20"/>
        </w:rPr>
        <w:t> </w:t>
      </w:r>
      <w:r>
        <w:rPr>
          <w:sz w:val="20"/>
        </w:rPr>
        <w:t>technologies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alternative</w:t>
      </w:r>
      <w:r>
        <w:rPr>
          <w:spacing w:val="-4"/>
          <w:sz w:val="20"/>
        </w:rPr>
        <w:t> </w:t>
      </w:r>
      <w:r>
        <w:rPr>
          <w:sz w:val="20"/>
        </w:rPr>
        <w:t>treatments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BPH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compete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47"/>
          <w:sz w:val="20"/>
        </w:rPr>
        <w:t> </w:t>
      </w:r>
      <w:r>
        <w:rPr>
          <w:sz w:val="20"/>
        </w:rPr>
        <w:t>products.</w:t>
      </w:r>
    </w:p>
    <w:p>
      <w:pPr>
        <w:pStyle w:val="BodyText"/>
        <w:spacing w:line="249" w:lineRule="auto" w:before="182"/>
        <w:ind w:right="212"/>
      </w:pPr>
      <w:r>
        <w:rPr/>
        <w:t>The cumulative effects of these factors could result in large fluctuations and unpredictability in our quarterly</w:t>
      </w:r>
      <w:r>
        <w:rPr>
          <w:spacing w:val="1"/>
        </w:rPr>
        <w:t> </w:t>
      </w:r>
      <w:r>
        <w:rPr/>
        <w:t>and</w:t>
      </w:r>
      <w:r>
        <w:rPr>
          <w:spacing w:val="-3"/>
        </w:rPr>
        <w:t> </w:t>
      </w:r>
      <w:r>
        <w:rPr/>
        <w:t>annual</w:t>
      </w:r>
      <w:r>
        <w:rPr>
          <w:spacing w:val="-3"/>
        </w:rPr>
        <w:t> </w:t>
      </w:r>
      <w:r>
        <w:rPr/>
        <w:t>operating</w:t>
      </w:r>
      <w:r>
        <w:rPr>
          <w:spacing w:val="-3"/>
        </w:rPr>
        <w:t> </w:t>
      </w:r>
      <w:r>
        <w:rPr/>
        <w:t>results.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our</w:t>
      </w:r>
      <w:r>
        <w:rPr>
          <w:spacing w:val="-3"/>
        </w:rPr>
        <w:t> </w:t>
      </w:r>
      <w:r>
        <w:rPr/>
        <w:t>assumptions</w:t>
      </w:r>
      <w:r>
        <w:rPr>
          <w:spacing w:val="-3"/>
        </w:rPr>
        <w:t> </w:t>
      </w:r>
      <w:r>
        <w:rPr/>
        <w:t>regarding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risks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uncertainties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face,</w:t>
      </w:r>
      <w:r>
        <w:rPr>
          <w:spacing w:val="-3"/>
        </w:rPr>
        <w:t> </w:t>
      </w:r>
      <w:r>
        <w:rPr/>
        <w:t>which</w:t>
      </w:r>
      <w:r>
        <w:rPr>
          <w:spacing w:val="-2"/>
        </w:rPr>
        <w:t> </w:t>
      </w:r>
      <w:r>
        <w:rPr/>
        <w:t>we</w:t>
      </w:r>
      <w:r>
        <w:rPr>
          <w:spacing w:val="-3"/>
        </w:rPr>
        <w:t> </w:t>
      </w:r>
      <w:r>
        <w:rPr/>
        <w:t>use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plan</w:t>
      </w:r>
      <w:r>
        <w:rPr>
          <w:spacing w:val="-47"/>
        </w:rPr>
        <w:t> </w:t>
      </w:r>
      <w:r>
        <w:rPr/>
        <w:t>our business, are incorrect or change due to circumstances in our business or our markets, or if we do not address</w:t>
      </w:r>
      <w:r>
        <w:rPr>
          <w:spacing w:val="1"/>
        </w:rPr>
        <w:t> </w:t>
      </w:r>
      <w:r>
        <w:rPr/>
        <w:t>these risks successfully, our operating and financial results could deviate materially from our expectations and our</w:t>
      </w:r>
      <w:r>
        <w:rPr>
          <w:spacing w:val="1"/>
        </w:rPr>
        <w:t> </w:t>
      </w:r>
      <w:r>
        <w:rPr/>
        <w:t>business</w:t>
      </w:r>
      <w:r>
        <w:rPr>
          <w:spacing w:val="-2"/>
        </w:rPr>
        <w:t> </w:t>
      </w:r>
      <w:r>
        <w:rPr/>
        <w:t>could suffer.</w:t>
      </w:r>
    </w:p>
    <w:p>
      <w:pPr>
        <w:pStyle w:val="BodyText"/>
        <w:spacing w:line="249" w:lineRule="auto" w:before="184"/>
        <w:ind w:right="180"/>
      </w:pPr>
      <w:r>
        <w:rPr/>
        <w:t>This variability and unpredictability could also result in our failure to meet the expectations of industry or</w:t>
      </w:r>
      <w:r>
        <w:rPr>
          <w:spacing w:val="1"/>
        </w:rPr>
        <w:t> </w:t>
      </w:r>
      <w:r>
        <w:rPr/>
        <w:t>financial analysts or investors for any period. If our revenue or operating results fall below the expectations of</w:t>
      </w:r>
      <w:r>
        <w:rPr>
          <w:spacing w:val="1"/>
        </w:rPr>
        <w:t> </w:t>
      </w:r>
      <w:r>
        <w:rPr/>
        <w:t>analysts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investors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below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forecasts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provide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market,</w:t>
      </w:r>
      <w:r>
        <w:rPr>
          <w:spacing w:val="-2"/>
        </w:rPr>
        <w:t> </w:t>
      </w:r>
      <w:r>
        <w:rPr/>
        <w:t>it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negatively</w:t>
      </w:r>
      <w:r>
        <w:rPr>
          <w:spacing w:val="-2"/>
        </w:rPr>
        <w:t> </w:t>
      </w:r>
      <w:r>
        <w:rPr/>
        <w:t>affect</w:t>
      </w:r>
      <w:r>
        <w:rPr>
          <w:spacing w:val="-4"/>
        </w:rPr>
        <w:t> </w:t>
      </w:r>
      <w:r>
        <w:rPr/>
        <w:t>our</w:t>
      </w:r>
      <w:r>
        <w:rPr>
          <w:spacing w:val="-2"/>
        </w:rPr>
        <w:t> </w:t>
      </w:r>
      <w:r>
        <w:rPr/>
        <w:t>business,</w:t>
      </w:r>
      <w:r>
        <w:rPr>
          <w:spacing w:val="-47"/>
        </w:rPr>
        <w:t> </w:t>
      </w:r>
      <w:r>
        <w:rPr/>
        <w:t>financial</w:t>
      </w:r>
      <w:r>
        <w:rPr>
          <w:spacing w:val="-2"/>
        </w:rPr>
        <w:t> </w:t>
      </w:r>
      <w:r>
        <w:rPr/>
        <w:t>condition and results</w:t>
      </w:r>
      <w:r>
        <w:rPr>
          <w:spacing w:val="-1"/>
        </w:rPr>
        <w:t> </w:t>
      </w:r>
      <w:r>
        <w:rPr/>
        <w:t>of operations.</w:t>
      </w:r>
    </w:p>
    <w:p>
      <w:pPr>
        <w:pStyle w:val="Heading3"/>
        <w:spacing w:line="249" w:lineRule="auto"/>
        <w:ind w:right="148"/>
      </w:pPr>
      <w:r>
        <w:rPr>
          <w:i/>
        </w:rPr>
        <w:t>The terms of our loan and security agreement require us to meet certain operating and financial covenants and</w:t>
      </w:r>
      <w:r>
        <w:rPr>
          <w:i/>
          <w:spacing w:val="1"/>
        </w:rPr>
        <w:t> </w:t>
      </w:r>
      <w:r>
        <w:rPr/>
        <w:t>place</w:t>
      </w:r>
      <w:r>
        <w:rPr>
          <w:spacing w:val="-5"/>
        </w:rPr>
        <w:t> </w:t>
      </w:r>
      <w:r>
        <w:rPr/>
        <w:t>restrictions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our</w:t>
      </w:r>
      <w:r>
        <w:rPr>
          <w:spacing w:val="-4"/>
        </w:rPr>
        <w:t> </w:t>
      </w:r>
      <w:r>
        <w:rPr/>
        <w:t>operating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financial</w:t>
      </w:r>
      <w:r>
        <w:rPr>
          <w:spacing w:val="-4"/>
        </w:rPr>
        <w:t> </w:t>
      </w:r>
      <w:r>
        <w:rPr/>
        <w:t>flexibility.</w:t>
      </w:r>
      <w:r>
        <w:rPr>
          <w:spacing w:val="-4"/>
        </w:rPr>
        <w:t> </w:t>
      </w:r>
      <w:r>
        <w:rPr/>
        <w:t>If</w:t>
      </w:r>
      <w:r>
        <w:rPr>
          <w:spacing w:val="-3"/>
        </w:rPr>
        <w:t> </w:t>
      </w:r>
      <w:r>
        <w:rPr/>
        <w:t>we</w:t>
      </w:r>
      <w:r>
        <w:rPr>
          <w:spacing w:val="-4"/>
        </w:rPr>
        <w:t> </w:t>
      </w:r>
      <w:r>
        <w:rPr/>
        <w:t>raise</w:t>
      </w:r>
      <w:r>
        <w:rPr>
          <w:spacing w:val="-5"/>
        </w:rPr>
        <w:t> </w:t>
      </w:r>
      <w:r>
        <w:rPr/>
        <w:t>additional</w:t>
      </w:r>
      <w:r>
        <w:rPr>
          <w:spacing w:val="-4"/>
        </w:rPr>
        <w:t> </w:t>
      </w:r>
      <w:r>
        <w:rPr/>
        <w:t>capital</w:t>
      </w:r>
      <w:r>
        <w:rPr>
          <w:spacing w:val="-5"/>
        </w:rPr>
        <w:t> </w:t>
      </w:r>
      <w:r>
        <w:rPr/>
        <w:t>through</w:t>
      </w:r>
      <w:r>
        <w:rPr>
          <w:spacing w:val="-4"/>
        </w:rPr>
        <w:t> </w:t>
      </w:r>
      <w:r>
        <w:rPr/>
        <w:t>debt</w:t>
      </w:r>
      <w:r>
        <w:rPr>
          <w:spacing w:val="-4"/>
        </w:rPr>
        <w:t> </w:t>
      </w:r>
      <w:r>
        <w:rPr/>
        <w:t>financing,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terms</w:t>
      </w:r>
      <w:r>
        <w:rPr>
          <w:spacing w:val="-2"/>
        </w:rPr>
        <w:t> </w:t>
      </w:r>
      <w:r>
        <w:rPr/>
        <w:t>of any</w:t>
      </w:r>
      <w:r>
        <w:rPr>
          <w:spacing w:val="-2"/>
        </w:rPr>
        <w:t> </w:t>
      </w:r>
      <w:r>
        <w:rPr/>
        <w:t>new</w:t>
      </w:r>
      <w:r>
        <w:rPr>
          <w:spacing w:val="-2"/>
        </w:rPr>
        <w:t> </w:t>
      </w:r>
      <w:r>
        <w:rPr/>
        <w:t>debt</w:t>
      </w:r>
      <w:r>
        <w:rPr>
          <w:spacing w:val="-1"/>
        </w:rPr>
        <w:t> </w:t>
      </w:r>
      <w:r>
        <w:rPr/>
        <w:t>could</w:t>
      </w:r>
      <w:r>
        <w:rPr>
          <w:spacing w:val="-1"/>
        </w:rPr>
        <w:t> </w:t>
      </w:r>
      <w:r>
        <w:rPr/>
        <w:t>further</w:t>
      </w:r>
      <w:r>
        <w:rPr>
          <w:spacing w:val="-2"/>
        </w:rPr>
        <w:t> </w:t>
      </w:r>
      <w:r>
        <w:rPr/>
        <w:t>restrict</w:t>
      </w:r>
      <w:r>
        <w:rPr>
          <w:spacing w:val="-1"/>
        </w:rPr>
        <w:t> </w:t>
      </w:r>
      <w:r>
        <w:rPr/>
        <w:t>our</w:t>
      </w:r>
      <w:r>
        <w:rPr>
          <w:spacing w:val="-2"/>
        </w:rPr>
        <w:t> </w:t>
      </w:r>
      <w:r>
        <w:rPr/>
        <w:t>ability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operate</w:t>
      </w:r>
      <w:r>
        <w:rPr>
          <w:spacing w:val="-2"/>
        </w:rPr>
        <w:t> </w:t>
      </w:r>
      <w:r>
        <w:rPr/>
        <w:t>our</w:t>
      </w:r>
      <w:r>
        <w:rPr>
          <w:spacing w:val="-1"/>
        </w:rPr>
        <w:t> </w:t>
      </w:r>
      <w:r>
        <w:rPr/>
        <w:t>business.</w:t>
      </w:r>
    </w:p>
    <w:p>
      <w:pPr>
        <w:pStyle w:val="BodyText"/>
        <w:spacing w:line="249" w:lineRule="auto" w:before="186"/>
        <w:ind w:right="180"/>
      </w:pPr>
      <w:r>
        <w:rPr/>
        <w:t>As of September 30, 2021, we had $50.0 million outstanding in the form of a term loan under our loan and</w:t>
      </w:r>
      <w:r>
        <w:rPr>
          <w:spacing w:val="1"/>
        </w:rPr>
        <w:t> </w:t>
      </w:r>
      <w:r>
        <w:rPr/>
        <w:t>security agreement with Oxford Finance LLC, which was entered into in September 2019. The loan is secured by</w:t>
      </w:r>
      <w:r>
        <w:rPr>
          <w:spacing w:val="1"/>
        </w:rPr>
        <w:t> </w:t>
      </w:r>
      <w:r>
        <w:rPr/>
        <w:t>substantially all of our assets, including all of the capital stock held by us, if any. The loan and security agreement</w:t>
      </w:r>
      <w:r>
        <w:rPr>
          <w:spacing w:val="1"/>
        </w:rPr>
        <w:t> </w:t>
      </w:r>
      <w:r>
        <w:rPr/>
        <w:t>contains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restrictive</w:t>
      </w:r>
      <w:r>
        <w:rPr>
          <w:spacing w:val="-4"/>
        </w:rPr>
        <w:t> </w:t>
      </w:r>
      <w:r>
        <w:rPr/>
        <w:t>covenants,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terms</w:t>
      </w:r>
      <w:r>
        <w:rPr>
          <w:spacing w:val="-4"/>
        </w:rPr>
        <w:t> </w:t>
      </w:r>
      <w:r>
        <w:rPr/>
        <w:t>may</w:t>
      </w:r>
      <w:r>
        <w:rPr>
          <w:spacing w:val="-3"/>
        </w:rPr>
        <w:t> </w:t>
      </w:r>
      <w:r>
        <w:rPr/>
        <w:t>restrict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current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future</w:t>
      </w:r>
      <w:r>
        <w:rPr>
          <w:spacing w:val="-4"/>
        </w:rPr>
        <w:t> </w:t>
      </w:r>
      <w:r>
        <w:rPr/>
        <w:t>operations,</w:t>
      </w:r>
      <w:r>
        <w:rPr>
          <w:spacing w:val="-3"/>
        </w:rPr>
        <w:t> </w:t>
      </w:r>
      <w:r>
        <w:rPr/>
        <w:t>particularly</w:t>
      </w:r>
      <w:r>
        <w:rPr>
          <w:spacing w:val="-47"/>
        </w:rPr>
        <w:t> </w:t>
      </w:r>
      <w:r>
        <w:rPr/>
        <w:t>our ability to respond to certain changes in our business or industry, or take future actions. See the section of this</w:t>
      </w:r>
      <w:r>
        <w:rPr>
          <w:spacing w:val="1"/>
        </w:rPr>
        <w:t> </w:t>
      </w:r>
      <w:r>
        <w:rPr/>
        <w:t>Quarterly Report on Form 10-Q titled “Management’s Discussion and Analysis of Financial Condition and Results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Operations—Liquidity and</w:t>
      </w:r>
      <w:r>
        <w:rPr>
          <w:spacing w:val="-1"/>
        </w:rPr>
        <w:t> </w:t>
      </w:r>
      <w:r>
        <w:rPr/>
        <w:t>Capital</w:t>
      </w:r>
      <w:r>
        <w:rPr>
          <w:spacing w:val="-1"/>
        </w:rPr>
        <w:t> </w:t>
      </w:r>
      <w:r>
        <w:rPr/>
        <w:t>Resources—Indebtedness.”</w:t>
      </w:r>
    </w:p>
    <w:p>
      <w:pPr>
        <w:pStyle w:val="BodyText"/>
        <w:spacing w:line="249" w:lineRule="auto" w:before="185"/>
        <w:ind w:right="140"/>
      </w:pPr>
      <w:r>
        <w:rPr/>
        <w:t>The loan and security agreement contains customary representations and warranties and affirmative covenants</w:t>
      </w:r>
      <w:r>
        <w:rPr>
          <w:spacing w:val="1"/>
        </w:rPr>
        <w:t> </w:t>
      </w:r>
      <w:r>
        <w:rPr/>
        <w:t>and also contains certain restrictive covenants, including, among others, limitations on: the incurrence of additional</w:t>
      </w:r>
      <w:r>
        <w:rPr>
          <w:spacing w:val="1"/>
        </w:rPr>
        <w:t> </w:t>
      </w:r>
      <w:r>
        <w:rPr/>
        <w:t>debt, liens or other encumbrances on property, acquisitions and investments, loans and guarantees, mergers,</w:t>
      </w:r>
      <w:r>
        <w:rPr>
          <w:spacing w:val="1"/>
        </w:rPr>
        <w:t> </w:t>
      </w:r>
      <w:r>
        <w:rPr/>
        <w:t>consolidations, liquidations and dissolutions, asset sales, dividends and other payments in respect of our capital</w:t>
      </w:r>
      <w:r>
        <w:rPr>
          <w:spacing w:val="1"/>
        </w:rPr>
        <w:t> </w:t>
      </w:r>
      <w:r>
        <w:rPr/>
        <w:t>stock, prepayments of certain debt, transactions with affiliates and changes to our type of business, management of</w:t>
      </w:r>
      <w:r>
        <w:rPr>
          <w:spacing w:val="1"/>
        </w:rPr>
        <w:t> </w:t>
      </w:r>
      <w:r>
        <w:rPr/>
        <w:t>the business, control of the business or business locations. The loan and security agreement also includes financial</w:t>
      </w:r>
      <w:r>
        <w:rPr>
          <w:spacing w:val="1"/>
        </w:rPr>
        <w:t> </w:t>
      </w:r>
      <w:r>
        <w:rPr/>
        <w:t>covenants that require us to, among other things, meet certain revenue targets detailed in an approved forecast. The</w:t>
      </w:r>
      <w:r>
        <w:rPr>
          <w:spacing w:val="1"/>
        </w:rPr>
        <w:t> </w:t>
      </w:r>
      <w:r>
        <w:rPr/>
        <w:t>loan and security agreement also contains customary events of default. If we fail to comply with such covenants,</w:t>
      </w:r>
      <w:r>
        <w:rPr>
          <w:spacing w:val="1"/>
        </w:rPr>
        <w:t> </w:t>
      </w:r>
      <w:r>
        <w:rPr/>
        <w:t>payments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</w:t>
      </w:r>
      <w:r>
        <w:rPr/>
        <w:t>terms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agreement,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lender</w:t>
      </w:r>
      <w:r>
        <w:rPr>
          <w:spacing w:val="-2"/>
        </w:rPr>
        <w:t> </w:t>
      </w:r>
      <w:r>
        <w:rPr/>
        <w:t>could</w:t>
      </w:r>
      <w:r>
        <w:rPr>
          <w:spacing w:val="-2"/>
        </w:rPr>
        <w:t> </w:t>
      </w:r>
      <w:r>
        <w:rPr/>
        <w:t>declare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event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default,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/>
        <w:t>would</w:t>
      </w:r>
      <w:r>
        <w:rPr>
          <w:spacing w:val="-2"/>
        </w:rPr>
        <w:t> </w:t>
      </w:r>
      <w:r>
        <w:rPr/>
        <w:t>give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right</w:t>
      </w:r>
      <w:r>
        <w:rPr>
          <w:spacing w:val="-47"/>
        </w:rPr>
        <w:t> </w:t>
      </w:r>
      <w:r>
        <w:rPr/>
        <w:t>to declare all borrowings outstanding, together with accrued and unpaid interest and fees, to be immediately due and</w:t>
      </w:r>
      <w:r>
        <w:rPr>
          <w:spacing w:val="-47"/>
        </w:rPr>
        <w:t> </w:t>
      </w:r>
      <w:r>
        <w:rPr/>
        <w:t>payable. In addition, our lender would have the right to proceed against the assets we provided as collateral pursuant</w:t>
      </w:r>
      <w:r>
        <w:rPr>
          <w:spacing w:val="-47"/>
        </w:rPr>
        <w:t> </w:t>
      </w:r>
      <w:r>
        <w:rPr/>
        <w:t>to the loan and security agreement. If the debt under the loan and security agreement were accelerated, we may not</w:t>
      </w:r>
      <w:r>
        <w:rPr>
          <w:spacing w:val="1"/>
        </w:rPr>
        <w:t> </w:t>
      </w:r>
      <w:r>
        <w:rPr/>
        <w:t>have sufficient cash or be able to sell sufficient assets to repay this debt, which would harm our business and</w:t>
      </w:r>
      <w:r>
        <w:rPr>
          <w:spacing w:val="1"/>
        </w:rPr>
        <w:t> </w:t>
      </w:r>
      <w:r>
        <w:rPr/>
        <w:t>financial</w:t>
      </w:r>
      <w:r>
        <w:rPr>
          <w:spacing w:val="-2"/>
        </w:rPr>
        <w:t> </w:t>
      </w:r>
      <w:r>
        <w:rPr/>
        <w:t>condition.</w:t>
      </w:r>
    </w:p>
    <w:p>
      <w:pPr>
        <w:pStyle w:val="Heading3"/>
        <w:spacing w:line="249" w:lineRule="auto" w:before="189"/>
        <w:ind w:right="129"/>
      </w:pPr>
      <w:r>
        <w:rPr>
          <w:i/>
        </w:rPr>
        <w:t>We may need additional funding to finance our planned operations, and may not be able to raise capital when</w:t>
      </w:r>
      <w:r>
        <w:rPr>
          <w:i/>
          <w:spacing w:val="1"/>
        </w:rPr>
        <w:t> </w:t>
      </w:r>
      <w:r>
        <w:rPr/>
        <w:t>needed,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could</w:t>
      </w:r>
      <w:r>
        <w:rPr>
          <w:spacing w:val="-3"/>
        </w:rPr>
        <w:t> </w:t>
      </w:r>
      <w:r>
        <w:rPr/>
        <w:t>force</w:t>
      </w:r>
      <w:r>
        <w:rPr>
          <w:spacing w:val="-3"/>
        </w:rPr>
        <w:t> </w:t>
      </w:r>
      <w:r>
        <w:rPr/>
        <w:t>us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delay,</w:t>
      </w:r>
      <w:r>
        <w:rPr>
          <w:spacing w:val="-3"/>
        </w:rPr>
        <w:t> </w:t>
      </w:r>
      <w:r>
        <w:rPr/>
        <w:t>reduce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eliminate</w:t>
      </w:r>
      <w:r>
        <w:rPr>
          <w:spacing w:val="-3"/>
        </w:rPr>
        <w:t> </w:t>
      </w:r>
      <w:r>
        <w:rPr/>
        <w:t>one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more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product</w:t>
      </w:r>
      <w:r>
        <w:rPr>
          <w:spacing w:val="-4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programs</w:t>
      </w:r>
      <w:r>
        <w:rPr>
          <w:spacing w:val="-4"/>
        </w:rPr>
        <w:t> </w:t>
      </w:r>
      <w:r>
        <w:rPr/>
        <w:t>and</w:t>
      </w:r>
      <w:r>
        <w:rPr>
          <w:spacing w:val="1"/>
        </w:rPr>
        <w:t> </w:t>
      </w:r>
      <w:r>
        <w:rPr/>
        <w:t>future</w:t>
      </w:r>
      <w:r>
        <w:rPr>
          <w:spacing w:val="-2"/>
        </w:rPr>
        <w:t> </w:t>
      </w:r>
      <w:r>
        <w:rPr/>
        <w:t>commercialization</w:t>
      </w:r>
      <w:r>
        <w:rPr>
          <w:spacing w:val="-1"/>
        </w:rPr>
        <w:t> </w:t>
      </w:r>
      <w:r>
        <w:rPr/>
        <w:t>efforts.</w:t>
      </w:r>
    </w:p>
    <w:p>
      <w:pPr>
        <w:pStyle w:val="BodyText"/>
        <w:spacing w:line="249" w:lineRule="auto" w:before="185"/>
        <w:ind w:right="113"/>
      </w:pPr>
      <w:r>
        <w:rPr/>
        <w:t>Since our inception, we have incurred significant net losses and expect to continue to incur net losses for the</w:t>
      </w:r>
      <w:r>
        <w:rPr>
          <w:spacing w:val="1"/>
        </w:rPr>
        <w:t> </w:t>
      </w:r>
      <w:r>
        <w:rPr/>
        <w:t>foreseeable future. Since our inception, our operations have been financed primarily by net proceeds from the sale of</w:t>
      </w:r>
      <w:r>
        <w:rPr>
          <w:spacing w:val="-47"/>
        </w:rPr>
        <w:t> </w:t>
      </w:r>
      <w:r>
        <w:rPr/>
        <w:t>our redeemable convertible preferred stock in private placements, indebtedness and, to a lesser extent, product</w:t>
      </w:r>
      <w:r>
        <w:rPr>
          <w:spacing w:val="1"/>
        </w:rPr>
        <w:t> </w:t>
      </w:r>
      <w:r>
        <w:rPr/>
        <w:t>revenue from sales of our AquaBeam Robotic System and single-use disposable handpieces. As of September 30,</w:t>
      </w:r>
      <w:r>
        <w:rPr>
          <w:spacing w:val="1"/>
        </w:rPr>
        <w:t> </w:t>
      </w:r>
      <w:r>
        <w:rPr/>
        <w:t>2021, we had $320.5 million in cash and cash equivalents, and an accumulated deficit of $243.2 million. Based on</w:t>
      </w:r>
      <w:r>
        <w:rPr>
          <w:spacing w:val="1"/>
        </w:rPr>
        <w:t> </w:t>
      </w:r>
      <w:r>
        <w:rPr/>
        <w:t>our</w:t>
      </w:r>
      <w:r>
        <w:rPr>
          <w:spacing w:val="-3"/>
        </w:rPr>
        <w:t> </w:t>
      </w:r>
      <w:r>
        <w:rPr/>
        <w:t>current</w:t>
      </w:r>
      <w:r>
        <w:rPr>
          <w:spacing w:val="-4"/>
        </w:rPr>
        <w:t> </w:t>
      </w:r>
      <w:r>
        <w:rPr/>
        <w:t>operating</w:t>
      </w:r>
      <w:r>
        <w:rPr>
          <w:spacing w:val="-3"/>
        </w:rPr>
        <w:t> </w:t>
      </w:r>
      <w:r>
        <w:rPr/>
        <w:t>plan,</w:t>
      </w:r>
      <w:r>
        <w:rPr>
          <w:spacing w:val="-3"/>
        </w:rPr>
        <w:t> </w:t>
      </w:r>
      <w:r>
        <w:rPr/>
        <w:t>we</w:t>
      </w:r>
      <w:r>
        <w:rPr>
          <w:spacing w:val="-4"/>
        </w:rPr>
        <w:t> </w:t>
      </w:r>
      <w:r>
        <w:rPr/>
        <w:t>currently</w:t>
      </w:r>
      <w:r>
        <w:rPr>
          <w:spacing w:val="-3"/>
        </w:rPr>
        <w:t> </w:t>
      </w:r>
      <w:r>
        <w:rPr/>
        <w:t>believe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our</w:t>
      </w:r>
      <w:r>
        <w:rPr>
          <w:spacing w:val="-3"/>
        </w:rPr>
        <w:t> </w:t>
      </w:r>
      <w:r>
        <w:rPr/>
        <w:t>cash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cash</w:t>
      </w:r>
      <w:r>
        <w:rPr>
          <w:spacing w:val="-3"/>
        </w:rPr>
        <w:t> </w:t>
      </w:r>
      <w:r>
        <w:rPr/>
        <w:t>equivalents,</w:t>
      </w:r>
      <w:r>
        <w:rPr>
          <w:spacing w:val="-3"/>
        </w:rPr>
        <w:t> </w:t>
      </w:r>
      <w:r>
        <w:rPr/>
        <w:t>anticipated</w:t>
      </w:r>
      <w:r>
        <w:rPr>
          <w:spacing w:val="-3"/>
        </w:rPr>
        <w:t> </w:t>
      </w:r>
      <w:r>
        <w:rPr/>
        <w:t>revenue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available</w:t>
      </w:r>
      <w:r>
        <w:rPr>
          <w:spacing w:val="-47"/>
        </w:rPr>
        <w:t> </w:t>
      </w:r>
      <w:r>
        <w:rPr/>
        <w:t>debt</w:t>
      </w:r>
      <w:r>
        <w:rPr>
          <w:spacing w:val="-4"/>
        </w:rPr>
        <w:t> </w:t>
      </w:r>
      <w:r>
        <w:rPr/>
        <w:t>financing</w:t>
      </w:r>
      <w:r>
        <w:rPr>
          <w:spacing w:val="-2"/>
        </w:rPr>
        <w:t> </w:t>
      </w:r>
      <w:r>
        <w:rPr/>
        <w:t>arrangements,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sufficient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meet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capital</w:t>
      </w:r>
      <w:r>
        <w:rPr>
          <w:spacing w:val="-3"/>
        </w:rPr>
        <w:t> </w:t>
      </w:r>
      <w:r>
        <w:rPr/>
        <w:t>requirements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fund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operations</w:t>
      </w:r>
      <w:r>
        <w:rPr>
          <w:spacing w:val="-3"/>
        </w:rPr>
        <w:t> </w:t>
      </w:r>
      <w:r>
        <w:rPr/>
        <w:t>through</w:t>
      </w:r>
      <w:r>
        <w:rPr>
          <w:spacing w:val="-3"/>
        </w:rPr>
        <w:t> </w:t>
      </w:r>
      <w:r>
        <w:rPr/>
        <w:t>at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  <w:ind w:right="148" w:firstLine="0"/>
      </w:pPr>
      <w:r>
        <w:rPr/>
        <w:t>least the next 12 months. However, we have based these estimates on assumptions that may prove to be wrong, and</w:t>
      </w:r>
      <w:r>
        <w:rPr>
          <w:spacing w:val="1"/>
        </w:rPr>
        <w:t> </w:t>
      </w:r>
      <w:r>
        <w:rPr/>
        <w:t>we could utilize our available capital resources sooner than we currently expect. Changing circumstances could</w:t>
      </w:r>
      <w:r>
        <w:rPr>
          <w:spacing w:val="1"/>
        </w:rPr>
        <w:t> </w:t>
      </w:r>
      <w:r>
        <w:rPr/>
        <w:t>result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lower</w:t>
      </w:r>
      <w:r>
        <w:rPr>
          <w:spacing w:val="-3"/>
        </w:rPr>
        <w:t> </w:t>
      </w:r>
      <w:r>
        <w:rPr/>
        <w:t>revenues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cause</w:t>
      </w:r>
      <w:r>
        <w:rPr>
          <w:spacing w:val="-4"/>
        </w:rPr>
        <w:t> </w:t>
      </w:r>
      <w:r>
        <w:rPr/>
        <w:t>us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consume</w:t>
      </w:r>
      <w:r>
        <w:rPr>
          <w:spacing w:val="-3"/>
        </w:rPr>
        <w:t> </w:t>
      </w:r>
      <w:r>
        <w:rPr/>
        <w:t>capital</w:t>
      </w:r>
      <w:r>
        <w:rPr>
          <w:spacing w:val="-4"/>
        </w:rPr>
        <w:t> </w:t>
      </w:r>
      <w:r>
        <w:rPr/>
        <w:t>significantly</w:t>
      </w:r>
      <w:r>
        <w:rPr>
          <w:spacing w:val="-3"/>
        </w:rPr>
        <w:t> </w:t>
      </w:r>
      <w:r>
        <w:rPr/>
        <w:t>faster</w:t>
      </w:r>
      <w:r>
        <w:rPr>
          <w:spacing w:val="-3"/>
        </w:rPr>
        <w:t> </w:t>
      </w:r>
      <w:r>
        <w:rPr/>
        <w:t>than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currently</w:t>
      </w:r>
      <w:r>
        <w:rPr>
          <w:spacing w:val="-3"/>
        </w:rPr>
        <w:t> </w:t>
      </w:r>
      <w:r>
        <w:rPr/>
        <w:t>anticipate,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may</w:t>
      </w:r>
      <w:r>
        <w:rPr>
          <w:spacing w:val="1"/>
        </w:rPr>
        <w:t> </w:t>
      </w:r>
      <w:r>
        <w:rPr/>
        <w:t>need to raise capital sooner or in greater amounts than currently expected because of circumstances beyond our</w:t>
      </w:r>
      <w:r>
        <w:rPr>
          <w:spacing w:val="1"/>
        </w:rPr>
        <w:t> </w:t>
      </w:r>
      <w:r>
        <w:rPr/>
        <w:t>control.</w:t>
      </w:r>
    </w:p>
    <w:p>
      <w:pPr>
        <w:pStyle w:val="BodyText"/>
        <w:spacing w:line="249" w:lineRule="auto" w:before="184"/>
        <w:ind w:right="186"/>
      </w:pPr>
      <w:r>
        <w:rPr/>
        <w:t>We may require additional capital in the future as we expect to continue to invest in clinical trials and registries</w:t>
      </w:r>
      <w:r>
        <w:rPr>
          <w:spacing w:val="-47"/>
        </w:rPr>
        <w:t> </w:t>
      </w:r>
      <w:r>
        <w:rPr/>
        <w:t>that are designed to provide clinical evidence of the safety and efficacy of our products, expanding our sales and</w:t>
      </w:r>
      <w:r>
        <w:rPr>
          <w:spacing w:val="1"/>
        </w:rPr>
        <w:t> </w:t>
      </w:r>
      <w:r>
        <w:rPr/>
        <w:t>marketing</w:t>
      </w:r>
      <w:r>
        <w:rPr>
          <w:spacing w:val="-3"/>
        </w:rPr>
        <w:t> </w:t>
      </w:r>
      <w:r>
        <w:rPr/>
        <w:t>organization,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development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product</w:t>
      </w:r>
      <w:r>
        <w:rPr>
          <w:spacing w:val="-4"/>
        </w:rPr>
        <w:t> </w:t>
      </w:r>
      <w:r>
        <w:rPr/>
        <w:t>improvements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future</w:t>
      </w:r>
      <w:r>
        <w:rPr>
          <w:spacing w:val="-4"/>
        </w:rPr>
        <w:t> </w:t>
      </w:r>
      <w:r>
        <w:rPr/>
        <w:t>products.</w:t>
      </w:r>
      <w:r>
        <w:rPr>
          <w:spacing w:val="-2"/>
        </w:rPr>
        <w:t> </w:t>
      </w:r>
      <w:r>
        <w:rPr/>
        <w:t>Moreover,</w:t>
      </w:r>
      <w:r>
        <w:rPr>
          <w:spacing w:val="-3"/>
        </w:rPr>
        <w:t> </w:t>
      </w:r>
      <w:r>
        <w:rPr/>
        <w:t>we</w:t>
      </w:r>
      <w:r>
        <w:rPr>
          <w:spacing w:val="-47"/>
        </w:rPr>
        <w:t> </w:t>
      </w:r>
      <w:r>
        <w:rPr/>
        <w:t>expect to incur additional expenses associated with operating as a public company, including legal, accounting,</w:t>
      </w:r>
      <w:r>
        <w:rPr>
          <w:spacing w:val="1"/>
        </w:rPr>
        <w:t> </w:t>
      </w:r>
      <w:r>
        <w:rPr/>
        <w:t>insurance, exchange listing and SEC compliance, investor relations and other expenses. To the extent additional</w:t>
      </w:r>
      <w:r>
        <w:rPr>
          <w:spacing w:val="1"/>
        </w:rPr>
        <w:t> </w:t>
      </w:r>
      <w:r>
        <w:rPr/>
        <w:t>capital is necessary, there are no assurances that we will be able to raise additional capital on favorable terms or at</w:t>
      </w:r>
      <w:r>
        <w:rPr>
          <w:spacing w:val="1"/>
        </w:rPr>
        <w:t> </w:t>
      </w:r>
      <w:r>
        <w:rPr/>
        <w:t>all, and therefore we may not be able to execute our business plan. Our future funding requirements will depend on</w:t>
      </w:r>
      <w:r>
        <w:rPr>
          <w:spacing w:val="1"/>
        </w:rPr>
        <w:t> </w:t>
      </w:r>
      <w:r>
        <w:rPr/>
        <w:t>many</w:t>
      </w:r>
      <w:r>
        <w:rPr>
          <w:spacing w:val="-1"/>
        </w:rPr>
        <w:t> </w:t>
      </w:r>
      <w:r>
        <w:rPr/>
        <w:t>factors, including: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86" w:after="0"/>
        <w:ind w:left="820" w:right="0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degree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rate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market</w:t>
      </w:r>
      <w:r>
        <w:rPr>
          <w:spacing w:val="-3"/>
          <w:sz w:val="20"/>
        </w:rPr>
        <w:t> </w:t>
      </w:r>
      <w:r>
        <w:rPr>
          <w:sz w:val="20"/>
        </w:rPr>
        <w:t>acceptance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our</w:t>
      </w:r>
      <w:r>
        <w:rPr>
          <w:spacing w:val="-2"/>
          <w:sz w:val="20"/>
        </w:rPr>
        <w:t> </w:t>
      </w:r>
      <w:r>
        <w:rPr>
          <w:sz w:val="20"/>
        </w:rPr>
        <w:t>current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future</w:t>
      </w:r>
      <w:r>
        <w:rPr>
          <w:spacing w:val="-3"/>
          <w:sz w:val="20"/>
        </w:rPr>
        <w:t> </w:t>
      </w:r>
      <w:r>
        <w:rPr>
          <w:sz w:val="20"/>
        </w:rPr>
        <w:t>products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Aquablation</w:t>
      </w:r>
      <w:r>
        <w:rPr>
          <w:spacing w:val="-2"/>
          <w:sz w:val="20"/>
        </w:rPr>
        <w:t> </w:t>
      </w:r>
      <w:r>
        <w:rPr>
          <w:sz w:val="20"/>
        </w:rPr>
        <w:t>therapy;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scope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timing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investment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2"/>
          <w:sz w:val="20"/>
        </w:rPr>
        <w:t> </w:t>
      </w:r>
      <w:r>
        <w:rPr>
          <w:sz w:val="20"/>
        </w:rPr>
        <w:t>sales</w:t>
      </w:r>
      <w:r>
        <w:rPr>
          <w:spacing w:val="-3"/>
          <w:sz w:val="20"/>
        </w:rPr>
        <w:t> </w:t>
      </w:r>
      <w:r>
        <w:rPr>
          <w:sz w:val="20"/>
        </w:rPr>
        <w:t>force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expansion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2"/>
          <w:sz w:val="20"/>
        </w:rPr>
        <w:t> </w:t>
      </w:r>
      <w:r>
        <w:rPr>
          <w:sz w:val="20"/>
        </w:rPr>
        <w:t>commercial</w:t>
      </w:r>
      <w:r>
        <w:rPr>
          <w:spacing w:val="-3"/>
          <w:sz w:val="20"/>
        </w:rPr>
        <w:t> </w:t>
      </w:r>
      <w:r>
        <w:rPr>
          <w:sz w:val="20"/>
        </w:rPr>
        <w:t>organization;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9" w:lineRule="auto" w:before="190" w:after="0"/>
        <w:ind w:left="820" w:right="1042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impact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1"/>
          <w:sz w:val="20"/>
        </w:rPr>
        <w:t> </w:t>
      </w:r>
      <w:r>
        <w:rPr>
          <w:sz w:val="20"/>
        </w:rPr>
        <w:t>our</w:t>
      </w:r>
      <w:r>
        <w:rPr>
          <w:spacing w:val="-2"/>
          <w:sz w:val="20"/>
        </w:rPr>
        <w:t> </w:t>
      </w:r>
      <w:r>
        <w:rPr>
          <w:sz w:val="20"/>
        </w:rPr>
        <w:t>business</w:t>
      </w:r>
      <w:r>
        <w:rPr>
          <w:spacing w:val="-2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ongoing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global</w:t>
      </w:r>
      <w:r>
        <w:rPr>
          <w:spacing w:val="-2"/>
          <w:sz w:val="20"/>
        </w:rPr>
        <w:t> </w:t>
      </w:r>
      <w:r>
        <w:rPr>
          <w:sz w:val="20"/>
        </w:rPr>
        <w:t>COVID-19</w:t>
      </w:r>
      <w:r>
        <w:rPr>
          <w:spacing w:val="-2"/>
          <w:sz w:val="20"/>
        </w:rPr>
        <w:t> </w:t>
      </w:r>
      <w:r>
        <w:rPr>
          <w:sz w:val="20"/>
        </w:rPr>
        <w:t>pandemic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end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47"/>
          <w:sz w:val="20"/>
        </w:rPr>
        <w:t> </w:t>
      </w:r>
      <w:r>
        <w:rPr>
          <w:sz w:val="20"/>
        </w:rPr>
        <w:t>COVID-19</w:t>
      </w:r>
      <w:r>
        <w:rPr>
          <w:spacing w:val="-2"/>
          <w:sz w:val="20"/>
        </w:rPr>
        <w:t> </w:t>
      </w:r>
      <w:r>
        <w:rPr>
          <w:sz w:val="20"/>
        </w:rPr>
        <w:t>pandemic,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2"/>
          <w:sz w:val="20"/>
        </w:rPr>
        <w:t> </w:t>
      </w:r>
      <w:r>
        <w:rPr>
          <w:sz w:val="20"/>
        </w:rPr>
        <w:t>other</w:t>
      </w:r>
      <w:r>
        <w:rPr>
          <w:spacing w:val="-2"/>
          <w:sz w:val="20"/>
        </w:rPr>
        <w:t> </w:t>
      </w:r>
      <w:r>
        <w:rPr>
          <w:sz w:val="20"/>
        </w:rPr>
        <w:t>pandemic,</w:t>
      </w:r>
      <w:r>
        <w:rPr>
          <w:spacing w:val="-2"/>
          <w:sz w:val="20"/>
        </w:rPr>
        <w:t> </w:t>
      </w:r>
      <w:r>
        <w:rPr>
          <w:sz w:val="20"/>
        </w:rPr>
        <w:t>epidemic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outbreak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infectious</w:t>
      </w:r>
      <w:r>
        <w:rPr>
          <w:spacing w:val="-3"/>
          <w:sz w:val="20"/>
        </w:rPr>
        <w:t> </w:t>
      </w:r>
      <w:r>
        <w:rPr>
          <w:sz w:val="20"/>
        </w:rPr>
        <w:t>disease;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82" w:after="0"/>
        <w:ind w:left="820" w:right="0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scope,</w:t>
      </w:r>
      <w:r>
        <w:rPr>
          <w:spacing w:val="-2"/>
          <w:sz w:val="20"/>
        </w:rPr>
        <w:t> </w:t>
      </w:r>
      <w:r>
        <w:rPr>
          <w:sz w:val="20"/>
        </w:rPr>
        <w:t>rate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progress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cost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our</w:t>
      </w:r>
      <w:r>
        <w:rPr>
          <w:spacing w:val="-2"/>
          <w:sz w:val="20"/>
        </w:rPr>
        <w:t> </w:t>
      </w:r>
      <w:r>
        <w:rPr>
          <w:sz w:val="20"/>
        </w:rPr>
        <w:t>current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future</w:t>
      </w:r>
      <w:r>
        <w:rPr>
          <w:spacing w:val="-3"/>
          <w:sz w:val="20"/>
        </w:rPr>
        <w:t> </w:t>
      </w:r>
      <w:r>
        <w:rPr>
          <w:sz w:val="20"/>
        </w:rPr>
        <w:t>clinical</w:t>
      </w:r>
      <w:r>
        <w:rPr>
          <w:spacing w:val="-3"/>
          <w:sz w:val="20"/>
        </w:rPr>
        <w:t> </w:t>
      </w:r>
      <w:r>
        <w:rPr>
          <w:sz w:val="20"/>
        </w:rPr>
        <w:t>trials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registries;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cost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2"/>
          <w:sz w:val="20"/>
        </w:rPr>
        <w:t> </w:t>
      </w:r>
      <w:r>
        <w:rPr>
          <w:sz w:val="20"/>
        </w:rPr>
        <w:t>research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development</w:t>
      </w:r>
      <w:r>
        <w:rPr>
          <w:spacing w:val="-4"/>
          <w:sz w:val="20"/>
        </w:rPr>
        <w:t> </w:t>
      </w:r>
      <w:r>
        <w:rPr>
          <w:sz w:val="20"/>
        </w:rPr>
        <w:t>activities;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cost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timing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additional</w:t>
      </w:r>
      <w:r>
        <w:rPr>
          <w:spacing w:val="-4"/>
          <w:sz w:val="20"/>
        </w:rPr>
        <w:t> </w:t>
      </w:r>
      <w:r>
        <w:rPr>
          <w:sz w:val="20"/>
        </w:rPr>
        <w:t>regulatory</w:t>
      </w:r>
      <w:r>
        <w:rPr>
          <w:spacing w:val="-2"/>
          <w:sz w:val="20"/>
        </w:rPr>
        <w:t> </w:t>
      </w:r>
      <w:r>
        <w:rPr>
          <w:sz w:val="20"/>
        </w:rPr>
        <w:t>clearances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approvals;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costs</w:t>
      </w:r>
      <w:r>
        <w:rPr>
          <w:spacing w:val="-4"/>
          <w:sz w:val="20"/>
        </w:rPr>
        <w:t> </w:t>
      </w:r>
      <w:r>
        <w:rPr>
          <w:sz w:val="20"/>
        </w:rPr>
        <w:t>associated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product</w:t>
      </w:r>
      <w:r>
        <w:rPr>
          <w:spacing w:val="-3"/>
          <w:sz w:val="20"/>
        </w:rPr>
        <w:t> </w:t>
      </w:r>
      <w:r>
        <w:rPr>
          <w:sz w:val="20"/>
        </w:rPr>
        <w:t>recall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occur;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costs</w:t>
      </w:r>
      <w:r>
        <w:rPr>
          <w:spacing w:val="-4"/>
          <w:sz w:val="20"/>
        </w:rPr>
        <w:t> </w:t>
      </w:r>
      <w:r>
        <w:rPr>
          <w:sz w:val="20"/>
        </w:rPr>
        <w:t>associated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manufacturing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products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increased</w:t>
      </w:r>
      <w:r>
        <w:rPr>
          <w:spacing w:val="-3"/>
          <w:sz w:val="20"/>
        </w:rPr>
        <w:t> </w:t>
      </w:r>
      <w:r>
        <w:rPr>
          <w:sz w:val="20"/>
        </w:rPr>
        <w:t>production</w:t>
      </w:r>
      <w:r>
        <w:rPr>
          <w:spacing w:val="-3"/>
          <w:sz w:val="20"/>
        </w:rPr>
        <w:t> </w:t>
      </w:r>
      <w:r>
        <w:rPr>
          <w:sz w:val="20"/>
        </w:rPr>
        <w:t>levels;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costs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attaining,</w:t>
      </w:r>
      <w:r>
        <w:rPr>
          <w:spacing w:val="-2"/>
          <w:sz w:val="20"/>
        </w:rPr>
        <w:t> </w:t>
      </w:r>
      <w:r>
        <w:rPr>
          <w:sz w:val="20"/>
        </w:rPr>
        <w:t>defending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enforcing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2"/>
          <w:sz w:val="20"/>
        </w:rPr>
        <w:t> </w:t>
      </w:r>
      <w:r>
        <w:rPr>
          <w:sz w:val="20"/>
        </w:rPr>
        <w:t>intellectual</w:t>
      </w:r>
      <w:r>
        <w:rPr>
          <w:spacing w:val="-4"/>
          <w:sz w:val="20"/>
        </w:rPr>
        <w:t> </w:t>
      </w:r>
      <w:r>
        <w:rPr>
          <w:sz w:val="20"/>
        </w:rPr>
        <w:t>property</w:t>
      </w:r>
      <w:r>
        <w:rPr>
          <w:spacing w:val="-3"/>
          <w:sz w:val="20"/>
        </w:rPr>
        <w:t> </w:t>
      </w:r>
      <w:r>
        <w:rPr>
          <w:sz w:val="20"/>
        </w:rPr>
        <w:t>rights;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whether</w:t>
      </w:r>
      <w:r>
        <w:rPr>
          <w:spacing w:val="-4"/>
          <w:sz w:val="20"/>
        </w:rPr>
        <w:t> </w:t>
      </w:r>
      <w:r>
        <w:rPr>
          <w:sz w:val="20"/>
        </w:rPr>
        <w:t>we</w:t>
      </w:r>
      <w:r>
        <w:rPr>
          <w:spacing w:val="-4"/>
          <w:sz w:val="20"/>
        </w:rPr>
        <w:t> </w:t>
      </w:r>
      <w:r>
        <w:rPr>
          <w:sz w:val="20"/>
        </w:rPr>
        <w:t>acquire</w:t>
      </w:r>
      <w:r>
        <w:rPr>
          <w:spacing w:val="-4"/>
          <w:sz w:val="20"/>
        </w:rPr>
        <w:t> </w:t>
      </w:r>
      <w:r>
        <w:rPr>
          <w:sz w:val="20"/>
        </w:rPr>
        <w:t>third-party</w:t>
      </w:r>
      <w:r>
        <w:rPr>
          <w:spacing w:val="-3"/>
          <w:sz w:val="20"/>
        </w:rPr>
        <w:t> </w:t>
      </w:r>
      <w:r>
        <w:rPr>
          <w:sz w:val="20"/>
        </w:rPr>
        <w:t>companies,</w:t>
      </w:r>
      <w:r>
        <w:rPr>
          <w:spacing w:val="-4"/>
          <w:sz w:val="20"/>
        </w:rPr>
        <w:t> </w:t>
      </w:r>
      <w:r>
        <w:rPr>
          <w:sz w:val="20"/>
        </w:rPr>
        <w:t>products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technologies;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terms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timing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collaborative,</w:t>
      </w:r>
      <w:r>
        <w:rPr>
          <w:spacing w:val="-3"/>
          <w:sz w:val="20"/>
        </w:rPr>
        <w:t> </w:t>
      </w:r>
      <w:r>
        <w:rPr>
          <w:sz w:val="20"/>
        </w:rPr>
        <w:t>licensing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arrangements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we</w:t>
      </w:r>
      <w:r>
        <w:rPr>
          <w:spacing w:val="-4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establish;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emergence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competing</w:t>
      </w:r>
      <w:r>
        <w:rPr>
          <w:spacing w:val="-3"/>
          <w:sz w:val="20"/>
        </w:rPr>
        <w:t> </w:t>
      </w:r>
      <w:r>
        <w:rPr>
          <w:sz w:val="20"/>
        </w:rPr>
        <w:t>technologies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adverse</w:t>
      </w:r>
      <w:r>
        <w:rPr>
          <w:spacing w:val="-4"/>
          <w:sz w:val="20"/>
        </w:rPr>
        <w:t> </w:t>
      </w:r>
      <w:r>
        <w:rPr>
          <w:sz w:val="20"/>
        </w:rPr>
        <w:t>market</w:t>
      </w:r>
      <w:r>
        <w:rPr>
          <w:spacing w:val="-4"/>
          <w:sz w:val="20"/>
        </w:rPr>
        <w:t> </w:t>
      </w:r>
      <w:r>
        <w:rPr>
          <w:sz w:val="20"/>
        </w:rPr>
        <w:t>developments;</w:t>
      </w:r>
      <w:r>
        <w:rPr>
          <w:spacing w:val="-4"/>
          <w:sz w:val="20"/>
        </w:rPr>
        <w:t> </w:t>
      </w:r>
      <w:r>
        <w:rPr>
          <w:sz w:val="20"/>
        </w:rPr>
        <w:t>and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rate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we</w:t>
      </w:r>
      <w:r>
        <w:rPr>
          <w:spacing w:val="-3"/>
          <w:sz w:val="20"/>
        </w:rPr>
        <w:t> </w:t>
      </w:r>
      <w:r>
        <w:rPr>
          <w:sz w:val="20"/>
        </w:rPr>
        <w:t>expand</w:t>
      </w:r>
      <w:r>
        <w:rPr>
          <w:spacing w:val="-3"/>
          <w:sz w:val="20"/>
        </w:rPr>
        <w:t> </w:t>
      </w:r>
      <w:r>
        <w:rPr>
          <w:sz w:val="20"/>
        </w:rPr>
        <w:t>internationally.</w:t>
      </w:r>
    </w:p>
    <w:p>
      <w:pPr>
        <w:pStyle w:val="BodyText"/>
        <w:spacing w:line="249" w:lineRule="auto"/>
        <w:ind w:right="122"/>
      </w:pPr>
      <w:r>
        <w:rPr/>
        <w:t>We</w:t>
      </w:r>
      <w:r>
        <w:rPr>
          <w:spacing w:val="-1"/>
        </w:rPr>
        <w:t> </w:t>
      </w:r>
      <w:r>
        <w:rPr/>
        <w:t>may</w:t>
      </w:r>
      <w:r>
        <w:rPr>
          <w:spacing w:val="1"/>
        </w:rPr>
        <w:t> </w:t>
      </w:r>
      <w:r>
        <w:rPr/>
        <w:t>seek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raise additional capital through</w:t>
      </w:r>
      <w:r>
        <w:rPr>
          <w:spacing w:val="1"/>
        </w:rPr>
        <w:t> </w:t>
      </w:r>
      <w:r>
        <w:rPr/>
        <w:t>equity</w:t>
      </w:r>
      <w:r>
        <w:rPr>
          <w:spacing w:val="1"/>
        </w:rPr>
        <w:t> </w:t>
      </w:r>
      <w:r>
        <w:rPr/>
        <w:t>offerings or</w:t>
      </w:r>
      <w:r>
        <w:rPr>
          <w:spacing w:val="1"/>
        </w:rPr>
        <w:t> </w:t>
      </w:r>
      <w:r>
        <w:rPr/>
        <w:t>debt financings and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additional</w:t>
      </w:r>
      <w:r>
        <w:rPr>
          <w:spacing w:val="1"/>
        </w:rPr>
        <w:t> </w:t>
      </w:r>
      <w:r>
        <w:rPr/>
        <w:t>financing may not be available to us on acceptable terms, or at all. In addition, any additional equity or debt</w:t>
      </w:r>
      <w:r>
        <w:rPr>
          <w:spacing w:val="1"/>
        </w:rPr>
        <w:t> </w:t>
      </w:r>
      <w:r>
        <w:rPr/>
        <w:t>financing that we raise may contain terms that are not favorable to us or our stockholders. For example, if we raise</w:t>
      </w:r>
      <w:r>
        <w:rPr>
          <w:spacing w:val="1"/>
        </w:rPr>
        <w:t> </w:t>
      </w:r>
      <w:r>
        <w:rPr/>
        <w:t>funds by issuing equity or equity-linked securities, the issuance of such securities could result in dilution to our</w:t>
      </w:r>
      <w:r>
        <w:rPr>
          <w:spacing w:val="1"/>
        </w:rPr>
        <w:t> </w:t>
      </w:r>
      <w:r>
        <w:rPr/>
        <w:t>stockholders. Any equity securities issued may also provide for rights, preferences or privileges senior to those of</w:t>
      </w:r>
      <w:r>
        <w:rPr>
          <w:spacing w:val="1"/>
        </w:rPr>
        <w:t> </w:t>
      </w:r>
      <w:r>
        <w:rPr/>
        <w:t>holders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common</w:t>
      </w:r>
      <w:r>
        <w:rPr>
          <w:spacing w:val="-2"/>
        </w:rPr>
        <w:t> </w:t>
      </w:r>
      <w:r>
        <w:rPr/>
        <w:t>stock.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addition,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issuance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additional</w:t>
      </w:r>
      <w:r>
        <w:rPr>
          <w:spacing w:val="-3"/>
        </w:rPr>
        <w:t> </w:t>
      </w:r>
      <w:r>
        <w:rPr/>
        <w:t>equity</w:t>
      </w:r>
      <w:r>
        <w:rPr>
          <w:spacing w:val="-2"/>
        </w:rPr>
        <w:t> </w:t>
      </w:r>
      <w:r>
        <w:rPr/>
        <w:t>securities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us,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possibility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such</w:t>
      </w:r>
      <w:r>
        <w:rPr>
          <w:spacing w:val="-47"/>
        </w:rPr>
        <w:t> </w:t>
      </w:r>
      <w:r>
        <w:rPr/>
        <w:t>issuance, may cause the market price of our common stock to decline, and the price per share at which we sell</w:t>
      </w:r>
      <w:r>
        <w:rPr>
          <w:spacing w:val="1"/>
        </w:rPr>
        <w:t> </w:t>
      </w:r>
      <w:r>
        <w:rPr/>
        <w:t>additional</w:t>
      </w:r>
      <w:r>
        <w:rPr>
          <w:spacing w:val="1"/>
        </w:rPr>
        <w:t> </w:t>
      </w:r>
      <w:r>
        <w:rPr/>
        <w:t>shares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our</w:t>
      </w:r>
      <w:r>
        <w:rPr>
          <w:spacing w:val="3"/>
        </w:rPr>
        <w:t> </w:t>
      </w:r>
      <w:r>
        <w:rPr/>
        <w:t>common</w:t>
      </w:r>
      <w:r>
        <w:rPr>
          <w:spacing w:val="2"/>
        </w:rPr>
        <w:t> </w:t>
      </w:r>
      <w:r>
        <w:rPr/>
        <w:t>stock,</w:t>
      </w:r>
      <w:r>
        <w:rPr>
          <w:spacing w:val="3"/>
        </w:rPr>
        <w:t> </w:t>
      </w:r>
      <w:r>
        <w:rPr/>
        <w:t>or</w:t>
      </w:r>
      <w:r>
        <w:rPr>
          <w:spacing w:val="3"/>
        </w:rPr>
        <w:t> </w:t>
      </w:r>
      <w:r>
        <w:rPr/>
        <w:t>securities</w:t>
      </w:r>
      <w:r>
        <w:rPr>
          <w:spacing w:val="1"/>
        </w:rPr>
        <w:t> </w:t>
      </w:r>
      <w:r>
        <w:rPr/>
        <w:t>convertible</w:t>
      </w:r>
      <w:r>
        <w:rPr>
          <w:spacing w:val="2"/>
        </w:rPr>
        <w:t> </w:t>
      </w:r>
      <w:r>
        <w:rPr/>
        <w:t>into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/>
        <w:t>exercisable</w:t>
      </w:r>
      <w:r>
        <w:rPr>
          <w:spacing w:val="2"/>
        </w:rPr>
        <w:t> </w:t>
      </w:r>
      <w:r>
        <w:rPr/>
        <w:t>or</w:t>
      </w:r>
      <w:r>
        <w:rPr>
          <w:spacing w:val="2"/>
        </w:rPr>
        <w:t> </w:t>
      </w:r>
      <w:r>
        <w:rPr/>
        <w:t>exchangeable</w:t>
      </w:r>
      <w:r>
        <w:rPr>
          <w:spacing w:val="2"/>
        </w:rPr>
        <w:t> </w:t>
      </w:r>
      <w:r>
        <w:rPr/>
        <w:t>for</w:t>
      </w:r>
      <w:r>
        <w:rPr>
          <w:spacing w:val="2"/>
        </w:rPr>
        <w:t> </w:t>
      </w:r>
      <w:r>
        <w:rPr/>
        <w:t>shares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/>
        <w:t>our common stock, in future transactions may be higher or lower than the price per share paid by investors in our</w:t>
      </w:r>
      <w:r>
        <w:rPr>
          <w:spacing w:val="1"/>
        </w:rPr>
        <w:t> </w:t>
      </w:r>
      <w:r>
        <w:rPr/>
        <w:t>prior</w:t>
      </w:r>
      <w:r>
        <w:rPr>
          <w:spacing w:val="-1"/>
        </w:rPr>
        <w:t> </w:t>
      </w:r>
      <w:r>
        <w:rPr/>
        <w:t>offerings.</w:t>
      </w:r>
    </w:p>
    <w:p>
      <w:pPr>
        <w:pStyle w:val="BodyText"/>
        <w:spacing w:line="249" w:lineRule="auto" w:before="188"/>
        <w:ind w:right="212"/>
      </w:pPr>
      <w:r>
        <w:rPr/>
        <w:t>In addition, the terms of debt securities issued or borrowings could impose significant restrictions on our</w:t>
      </w:r>
      <w:r>
        <w:rPr>
          <w:spacing w:val="1"/>
        </w:rPr>
        <w:t> </w:t>
      </w:r>
      <w:r>
        <w:rPr/>
        <w:t>operations including restrictive covenants, such as limitations on our ability to incur additional debt or issue</w:t>
      </w:r>
      <w:r>
        <w:rPr>
          <w:spacing w:val="1"/>
        </w:rPr>
        <w:t> </w:t>
      </w:r>
      <w:r>
        <w:rPr/>
        <w:t>additional equity, limitations on our ability to pay dividends, limitations on our ability to acquire or license</w:t>
      </w:r>
      <w:r>
        <w:rPr>
          <w:spacing w:val="1"/>
        </w:rPr>
        <w:t> </w:t>
      </w:r>
      <w:r>
        <w:rPr/>
        <w:t>intellectual property rights, and other operating restrictions that could adversely affect our ability to conduct our</w:t>
      </w:r>
      <w:r>
        <w:rPr>
          <w:spacing w:val="1"/>
        </w:rPr>
        <w:t> </w:t>
      </w:r>
      <w:r>
        <w:rPr/>
        <w:t>business.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example,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current</w:t>
      </w:r>
      <w:r>
        <w:rPr>
          <w:spacing w:val="-4"/>
        </w:rPr>
        <w:t> </w:t>
      </w:r>
      <w:r>
        <w:rPr/>
        <w:t>loan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security</w:t>
      </w:r>
      <w:r>
        <w:rPr>
          <w:spacing w:val="-3"/>
        </w:rPr>
        <w:t> </w:t>
      </w:r>
      <w:r>
        <w:rPr/>
        <w:t>agreement</w:t>
      </w:r>
      <w:r>
        <w:rPr>
          <w:spacing w:val="-4"/>
        </w:rPr>
        <w:t> </w:t>
      </w:r>
      <w:r>
        <w:rPr/>
        <w:t>prohibits</w:t>
      </w:r>
      <w:r>
        <w:rPr>
          <w:spacing w:val="-3"/>
        </w:rPr>
        <w:t> </w:t>
      </w:r>
      <w:r>
        <w:rPr/>
        <w:t>us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incurring</w:t>
      </w:r>
      <w:r>
        <w:rPr>
          <w:spacing w:val="-3"/>
        </w:rPr>
        <w:t> </w:t>
      </w:r>
      <w:r>
        <w:rPr/>
        <w:t>additional</w:t>
      </w:r>
      <w:r>
        <w:rPr>
          <w:spacing w:val="-4"/>
        </w:rPr>
        <w:t> </w:t>
      </w:r>
      <w:r>
        <w:rPr/>
        <w:t>indebtedness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  <w:ind w:right="175" w:firstLine="0"/>
      </w:pPr>
      <w:r>
        <w:rPr/>
        <w:t>without the prior written consent of our lender. In the event that we enter into collaborations or licensing</w:t>
      </w:r>
      <w:r>
        <w:rPr>
          <w:spacing w:val="1"/>
        </w:rPr>
        <w:t> </w:t>
      </w:r>
      <w:r>
        <w:rPr/>
        <w:t>arrangements to raise capital, we may be required to accept unfavorable terms, such as relinquishment or licensing</w:t>
      </w:r>
      <w:r>
        <w:rPr>
          <w:spacing w:val="1"/>
        </w:rPr>
        <w:t> </w:t>
      </w:r>
      <w:r>
        <w:rPr/>
        <w:t>of certain technologies or products that we otherwise would seek to develop or commercialize ourselves, or reserve</w:t>
      </w:r>
      <w:r>
        <w:rPr>
          <w:spacing w:val="1"/>
        </w:rPr>
        <w:t> </w:t>
      </w:r>
      <w:r>
        <w:rPr/>
        <w:t>for</w:t>
      </w:r>
      <w:r>
        <w:rPr>
          <w:spacing w:val="-3"/>
        </w:rPr>
        <w:t> </w:t>
      </w:r>
      <w:r>
        <w:rPr/>
        <w:t>future</w:t>
      </w:r>
      <w:r>
        <w:rPr>
          <w:spacing w:val="-3"/>
        </w:rPr>
        <w:t> </w:t>
      </w:r>
      <w:r>
        <w:rPr/>
        <w:t>potential</w:t>
      </w:r>
      <w:r>
        <w:rPr>
          <w:spacing w:val="-3"/>
        </w:rPr>
        <w:t> </w:t>
      </w:r>
      <w:r>
        <w:rPr/>
        <w:t>arrangements</w:t>
      </w:r>
      <w:r>
        <w:rPr>
          <w:spacing w:val="-4"/>
        </w:rPr>
        <w:t> </w:t>
      </w:r>
      <w:r>
        <w:rPr/>
        <w:t>when</w:t>
      </w:r>
      <w:r>
        <w:rPr>
          <w:spacing w:val="-2"/>
        </w:rPr>
        <w:t> </w:t>
      </w:r>
      <w:r>
        <w:rPr/>
        <w:t>we</w:t>
      </w:r>
      <w:r>
        <w:rPr>
          <w:spacing w:val="-3"/>
        </w:rPr>
        <w:t> </w:t>
      </w:r>
      <w:r>
        <w:rPr/>
        <w:t>might</w:t>
      </w:r>
      <w:r>
        <w:rPr>
          <w:spacing w:val="-4"/>
        </w:rPr>
        <w:t> </w:t>
      </w:r>
      <w:r>
        <w:rPr/>
        <w:t>otherwise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able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achieve</w:t>
      </w:r>
      <w:r>
        <w:rPr>
          <w:spacing w:val="-3"/>
        </w:rPr>
        <w:t> </w:t>
      </w:r>
      <w:r>
        <w:rPr/>
        <w:t>more</w:t>
      </w:r>
      <w:r>
        <w:rPr>
          <w:spacing w:val="-4"/>
        </w:rPr>
        <w:t> </w:t>
      </w:r>
      <w:r>
        <w:rPr/>
        <w:t>favorable</w:t>
      </w:r>
      <w:r>
        <w:rPr>
          <w:spacing w:val="-3"/>
        </w:rPr>
        <w:t> </w:t>
      </w:r>
      <w:r>
        <w:rPr/>
        <w:t>terms.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addition,</w:t>
      </w:r>
      <w:r>
        <w:rPr>
          <w:spacing w:val="-2"/>
        </w:rPr>
        <w:t> </w:t>
      </w:r>
      <w:r>
        <w:rPr/>
        <w:t>we</w:t>
      </w:r>
      <w:r>
        <w:rPr>
          <w:spacing w:val="-47"/>
        </w:rPr>
        <w:t> </w:t>
      </w:r>
      <w:r>
        <w:rPr/>
        <w:t>may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forced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work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partner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one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more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products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market</w:t>
      </w:r>
      <w:r>
        <w:rPr>
          <w:spacing w:val="-2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programs,</w:t>
      </w:r>
      <w:r>
        <w:rPr>
          <w:spacing w:val="-2"/>
        </w:rPr>
        <w:t> </w:t>
      </w:r>
      <w:r>
        <w:rPr/>
        <w:t>which</w:t>
      </w:r>
      <w:r>
        <w:rPr>
          <w:spacing w:val="-1"/>
        </w:rPr>
        <w:t> </w:t>
      </w:r>
      <w:r>
        <w:rPr/>
        <w:t>could</w:t>
      </w:r>
      <w:r>
        <w:rPr>
          <w:spacing w:val="-47"/>
        </w:rPr>
        <w:t> </w:t>
      </w:r>
      <w:r>
        <w:rPr/>
        <w:t>lower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economic</w:t>
      </w:r>
      <w:r>
        <w:rPr>
          <w:spacing w:val="-1"/>
        </w:rPr>
        <w:t> </w:t>
      </w:r>
      <w:r>
        <w:rPr/>
        <w:t>value</w:t>
      </w:r>
      <w:r>
        <w:rPr>
          <w:spacing w:val="-1"/>
        </w:rPr>
        <w:t> </w:t>
      </w:r>
      <w:r>
        <w:rPr/>
        <w:t>of those</w:t>
      </w:r>
      <w:r>
        <w:rPr>
          <w:spacing w:val="-1"/>
        </w:rPr>
        <w:t> </w:t>
      </w:r>
      <w:r>
        <w:rPr/>
        <w:t>programs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us.</w:t>
      </w:r>
    </w:p>
    <w:p>
      <w:pPr>
        <w:pStyle w:val="BodyText"/>
        <w:spacing w:line="249" w:lineRule="auto" w:before="185"/>
        <w:ind w:right="129"/>
      </w:pPr>
      <w:r>
        <w:rPr/>
        <w:t>If</w:t>
      </w:r>
      <w:r>
        <w:rPr>
          <w:spacing w:val="-2"/>
        </w:rPr>
        <w:t> </w:t>
      </w:r>
      <w:r>
        <w:rPr/>
        <w:t>we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unable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obtain</w:t>
      </w:r>
      <w:r>
        <w:rPr>
          <w:spacing w:val="-2"/>
        </w:rPr>
        <w:t> </w:t>
      </w:r>
      <w:r>
        <w:rPr/>
        <w:t>adequate</w:t>
      </w:r>
      <w:r>
        <w:rPr>
          <w:spacing w:val="-3"/>
        </w:rPr>
        <w:t> </w:t>
      </w:r>
      <w:r>
        <w:rPr/>
        <w:t>financing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terms</w:t>
      </w:r>
      <w:r>
        <w:rPr>
          <w:spacing w:val="-3"/>
        </w:rPr>
        <w:t> </w:t>
      </w:r>
      <w:r>
        <w:rPr/>
        <w:t>satisfactory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us</w:t>
      </w:r>
      <w:r>
        <w:rPr>
          <w:spacing w:val="-3"/>
        </w:rPr>
        <w:t> </w:t>
      </w:r>
      <w:r>
        <w:rPr/>
        <w:t>when</w:t>
      </w:r>
      <w:r>
        <w:rPr>
          <w:spacing w:val="-2"/>
        </w:rPr>
        <w:t> </w:t>
      </w:r>
      <w:r>
        <w:rPr/>
        <w:t>we</w:t>
      </w:r>
      <w:r>
        <w:rPr>
          <w:spacing w:val="-3"/>
        </w:rPr>
        <w:t> </w:t>
      </w:r>
      <w:r>
        <w:rPr/>
        <w:t>require</w:t>
      </w:r>
      <w:r>
        <w:rPr>
          <w:spacing w:val="-3"/>
        </w:rPr>
        <w:t> </w:t>
      </w:r>
      <w:r>
        <w:rPr/>
        <w:t>it,</w:t>
      </w:r>
      <w:r>
        <w:rPr>
          <w:spacing w:val="-2"/>
        </w:rPr>
        <w:t> </w:t>
      </w:r>
      <w:r>
        <w:rPr/>
        <w:t>we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required</w:t>
      </w:r>
      <w:r>
        <w:rPr>
          <w:spacing w:val="-47"/>
        </w:rPr>
        <w:t> </w:t>
      </w:r>
      <w:r>
        <w:rPr/>
        <w:t>to terminate or delay the development of one or more of our products, delay clinical trials necessary to market our</w:t>
      </w:r>
      <w:r>
        <w:rPr>
          <w:spacing w:val="1"/>
        </w:rPr>
        <w:t> </w:t>
      </w:r>
      <w:r>
        <w:rPr/>
        <w:t>products, or delay establishment of sales and marketing capabilities or other activities necessary to commercialize</w:t>
      </w:r>
      <w:r>
        <w:rPr>
          <w:spacing w:val="1"/>
        </w:rPr>
        <w:t> </w:t>
      </w:r>
      <w:r>
        <w:rPr/>
        <w:t>our products. If this were to occur, our ability to grow and support our business and to respond to market challenges</w:t>
      </w:r>
      <w:r>
        <w:rPr>
          <w:spacing w:val="1"/>
        </w:rPr>
        <w:t> </w:t>
      </w:r>
      <w:r>
        <w:rPr/>
        <w:t>could be significantly limited, which could have a material adverse effect on our business, financial condition and</w:t>
      </w:r>
      <w:r>
        <w:rPr>
          <w:spacing w:val="1"/>
        </w:rPr>
        <w:t> </w:t>
      </w:r>
      <w:r>
        <w:rPr/>
        <w:t>results</w:t>
      </w:r>
      <w:r>
        <w:rPr>
          <w:spacing w:val="-2"/>
        </w:rPr>
        <w:t> </w:t>
      </w:r>
      <w:r>
        <w:rPr/>
        <w:t>of operations.</w:t>
      </w:r>
    </w:p>
    <w:p>
      <w:pPr>
        <w:pStyle w:val="Heading3"/>
        <w:spacing w:line="249" w:lineRule="auto" w:before="181"/>
        <w:ind w:right="148"/>
      </w:pPr>
      <w:r>
        <w:rPr>
          <w:i/>
        </w:rPr>
        <w:t>The</w:t>
      </w:r>
      <w:r>
        <w:rPr>
          <w:i/>
          <w:spacing w:val="-5"/>
        </w:rPr>
        <w:t> </w:t>
      </w:r>
      <w:r>
        <w:rPr>
          <w:i/>
        </w:rPr>
        <w:t>commercial</w:t>
      </w:r>
      <w:r>
        <w:rPr>
          <w:i/>
          <w:spacing w:val="-4"/>
        </w:rPr>
        <w:t> </w:t>
      </w:r>
      <w:r>
        <w:rPr>
          <w:i/>
        </w:rPr>
        <w:t>success</w:t>
      </w:r>
      <w:r>
        <w:rPr>
          <w:i/>
          <w:spacing w:val="-4"/>
        </w:rPr>
        <w:t> </w:t>
      </w:r>
      <w:r>
        <w:rPr>
          <w:i/>
        </w:rPr>
        <w:t>of</w:t>
      </w:r>
      <w:r>
        <w:rPr>
          <w:i/>
          <w:spacing w:val="-3"/>
        </w:rPr>
        <w:t> </w:t>
      </w:r>
      <w:r>
        <w:rPr>
          <w:i/>
        </w:rPr>
        <w:t>our</w:t>
      </w:r>
      <w:r>
        <w:rPr>
          <w:i/>
          <w:spacing w:val="-4"/>
        </w:rPr>
        <w:t> </w:t>
      </w:r>
      <w:r>
        <w:rPr>
          <w:i/>
        </w:rPr>
        <w:t>AquaBeam</w:t>
      </w:r>
      <w:r>
        <w:rPr>
          <w:i/>
          <w:spacing w:val="-4"/>
        </w:rPr>
        <w:t> </w:t>
      </w:r>
      <w:r>
        <w:rPr>
          <w:i/>
        </w:rPr>
        <w:t>Robotic</w:t>
      </w:r>
      <w:r>
        <w:rPr>
          <w:i/>
          <w:spacing w:val="-4"/>
        </w:rPr>
        <w:t> </w:t>
      </w:r>
      <w:r>
        <w:rPr>
          <w:i/>
        </w:rPr>
        <w:t>System</w:t>
      </w:r>
      <w:r>
        <w:rPr>
          <w:i/>
          <w:spacing w:val="-4"/>
        </w:rPr>
        <w:t> </w:t>
      </w:r>
      <w:r>
        <w:rPr>
          <w:i/>
        </w:rPr>
        <w:t>and</w:t>
      </w:r>
      <w:r>
        <w:rPr>
          <w:i/>
          <w:spacing w:val="-3"/>
        </w:rPr>
        <w:t> </w:t>
      </w:r>
      <w:r>
        <w:rPr>
          <w:i/>
        </w:rPr>
        <w:t>Aquablation</w:t>
      </w:r>
      <w:r>
        <w:rPr>
          <w:i/>
          <w:spacing w:val="-4"/>
        </w:rPr>
        <w:t> </w:t>
      </w:r>
      <w:r>
        <w:rPr>
          <w:i/>
        </w:rPr>
        <w:t>therapy</w:t>
      </w:r>
      <w:r>
        <w:rPr>
          <w:i/>
          <w:spacing w:val="-5"/>
        </w:rPr>
        <w:t> </w:t>
      </w:r>
      <w:r>
        <w:rPr>
          <w:i/>
        </w:rPr>
        <w:t>will</w:t>
      </w:r>
      <w:r>
        <w:rPr>
          <w:i/>
          <w:spacing w:val="-4"/>
        </w:rPr>
        <w:t> </w:t>
      </w:r>
      <w:r>
        <w:rPr>
          <w:i/>
        </w:rPr>
        <w:t>depend</w:t>
      </w:r>
      <w:r>
        <w:rPr>
          <w:i/>
          <w:spacing w:val="-3"/>
        </w:rPr>
        <w:t> </w:t>
      </w:r>
      <w:r>
        <w:rPr>
          <w:i/>
        </w:rPr>
        <w:t>upon</w:t>
      </w:r>
      <w:r>
        <w:rPr>
          <w:i/>
          <w:spacing w:val="-4"/>
        </w:rPr>
        <w:t> </w:t>
      </w:r>
      <w:r>
        <w:rPr>
          <w:i/>
        </w:rPr>
        <w:t>the</w:t>
      </w:r>
      <w:r>
        <w:rPr>
          <w:i/>
          <w:spacing w:val="-4"/>
        </w:rPr>
        <w:t> </w:t>
      </w:r>
      <w:r>
        <w:rPr>
          <w:i/>
        </w:rPr>
        <w:t>degree</w:t>
      </w:r>
      <w:r>
        <w:rPr>
          <w:i/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market</w:t>
      </w:r>
      <w:r>
        <w:rPr>
          <w:spacing w:val="-1"/>
        </w:rPr>
        <w:t> </w:t>
      </w:r>
      <w:r>
        <w:rPr/>
        <w:t>acceptance</w:t>
      </w:r>
      <w:r>
        <w:rPr>
          <w:spacing w:val="-2"/>
        </w:rPr>
        <w:t> </w:t>
      </w:r>
      <w:r>
        <w:rPr/>
        <w:t>of our</w:t>
      </w:r>
      <w:r>
        <w:rPr>
          <w:spacing w:val="-2"/>
        </w:rPr>
        <w:t> </w:t>
      </w:r>
      <w:r>
        <w:rPr/>
        <w:t>products</w:t>
      </w:r>
      <w:r>
        <w:rPr>
          <w:spacing w:val="-1"/>
        </w:rPr>
        <w:t> </w:t>
      </w:r>
      <w:r>
        <w:rPr/>
        <w:t>among</w:t>
      </w:r>
      <w:r>
        <w:rPr>
          <w:spacing w:val="-1"/>
        </w:rPr>
        <w:t> </w:t>
      </w:r>
      <w:r>
        <w:rPr/>
        <w:t>hospitals, surgeons</w:t>
      </w:r>
      <w:r>
        <w:rPr>
          <w:spacing w:val="-2"/>
        </w:rPr>
        <w:t> </w:t>
      </w:r>
      <w:r>
        <w:rPr/>
        <w:t>and patients.</w:t>
      </w:r>
    </w:p>
    <w:p>
      <w:pPr>
        <w:pStyle w:val="BodyText"/>
        <w:spacing w:line="249" w:lineRule="auto" w:before="185"/>
        <w:ind w:right="191"/>
      </w:pPr>
      <w:r>
        <w:rPr/>
        <w:t>Our success will depend, in large part, on the acceptance of our AquaBeam Robotic System as safe, effective,</w:t>
      </w:r>
      <w:r>
        <w:rPr>
          <w:spacing w:val="1"/>
        </w:rPr>
        <w:t> </w:t>
      </w:r>
      <w:r>
        <w:rPr/>
        <w:t>reliable and durable and, with respect to hospitals, healthcare providers and patients, as cost-effective. We believe</w:t>
      </w:r>
      <w:r>
        <w:rPr>
          <w:spacing w:val="1"/>
        </w:rPr>
        <w:t> </w:t>
      </w:r>
      <w:r>
        <w:rPr/>
        <w:t>Aquablation therapy represents a new approach for treating BPH, employing a computer-assisted patient-specific</w:t>
      </w:r>
      <w:r>
        <w:rPr>
          <w:spacing w:val="1"/>
        </w:rPr>
        <w:t> </w:t>
      </w:r>
      <w:r>
        <w:rPr/>
        <w:t>visualization system, a heat-free waterjet and automated robotic system to target and remove prostate tissue. We</w:t>
      </w:r>
      <w:r>
        <w:rPr>
          <w:spacing w:val="1"/>
        </w:rPr>
        <w:t> </w:t>
      </w:r>
      <w:r>
        <w:rPr/>
        <w:t>believe that market acceptance will be driven primarily by surgeons and hospitals, and if they do not adopt the</w:t>
      </w:r>
      <w:r>
        <w:rPr>
          <w:spacing w:val="1"/>
        </w:rPr>
        <w:t> </w:t>
      </w:r>
      <w:r>
        <w:rPr/>
        <w:t>concept of computer-assisted robotics-enabled technology and perceive such technology as having significant</w:t>
      </w:r>
      <w:r>
        <w:rPr>
          <w:spacing w:val="1"/>
        </w:rPr>
        <w:t> </w:t>
      </w:r>
      <w:r>
        <w:rPr/>
        <w:t>advantages over other surgical alternatives, patients will be less likely to accept or be offered Aquablation therapy</w:t>
      </w:r>
      <w:r>
        <w:rPr>
          <w:spacing w:val="1"/>
        </w:rPr>
        <w:t> </w:t>
      </w:r>
      <w:r>
        <w:rPr/>
        <w:t>and we will fail to meet our business objectives. Surgeons’ and hospitals’ perceptions of such technology having</w:t>
      </w:r>
      <w:r>
        <w:rPr>
          <w:spacing w:val="1"/>
        </w:rPr>
        <w:t> </w:t>
      </w:r>
      <w:r>
        <w:rPr/>
        <w:t>significant advantages are likely to be based on a determination that, among other factors, our products are safe,</w:t>
      </w:r>
      <w:r>
        <w:rPr>
          <w:spacing w:val="1"/>
        </w:rPr>
        <w:t> </w:t>
      </w:r>
      <w:r>
        <w:rPr/>
        <w:t>cost-effective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represent</w:t>
      </w:r>
      <w:r>
        <w:rPr>
          <w:spacing w:val="-4"/>
        </w:rPr>
        <w:t> </w:t>
      </w:r>
      <w:r>
        <w:rPr/>
        <w:t>acceptable</w:t>
      </w:r>
      <w:r>
        <w:rPr>
          <w:spacing w:val="-4"/>
        </w:rPr>
        <w:t> </w:t>
      </w:r>
      <w:r>
        <w:rPr/>
        <w:t>methods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treatment.</w:t>
      </w:r>
      <w:r>
        <w:rPr>
          <w:spacing w:val="-4"/>
        </w:rPr>
        <w:t> </w:t>
      </w:r>
      <w:r>
        <w:rPr/>
        <w:t>Even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we</w:t>
      </w:r>
      <w:r>
        <w:rPr>
          <w:spacing w:val="-4"/>
        </w:rPr>
        <w:t> </w:t>
      </w:r>
      <w:r>
        <w:rPr/>
        <w:t>can</w:t>
      </w:r>
      <w:r>
        <w:rPr>
          <w:spacing w:val="-3"/>
        </w:rPr>
        <w:t> </w:t>
      </w:r>
      <w:r>
        <w:rPr/>
        <w:t>prove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effectiveness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Aquablation</w:t>
      </w:r>
      <w:r>
        <w:rPr>
          <w:spacing w:val="-47"/>
        </w:rPr>
        <w:t> </w:t>
      </w:r>
      <w:r>
        <w:rPr/>
        <w:t>therapy through clinical trials, there may not be broad adoption and use of our products and surgeons may elect not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our products</w:t>
      </w:r>
      <w:r>
        <w:rPr>
          <w:spacing w:val="-1"/>
        </w:rPr>
        <w:t> </w:t>
      </w:r>
      <w:r>
        <w:rPr/>
        <w:t>for any</w:t>
      </w:r>
      <w:r>
        <w:rPr>
          <w:spacing w:val="-1"/>
        </w:rPr>
        <w:t> </w:t>
      </w:r>
      <w:r>
        <w:rPr/>
        <w:t>number of other reasons, including: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lack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experience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products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concerns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we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relatively</w:t>
      </w:r>
      <w:r>
        <w:rPr>
          <w:spacing w:val="-2"/>
          <w:sz w:val="20"/>
        </w:rPr>
        <w:t> </w:t>
      </w:r>
      <w:r>
        <w:rPr>
          <w:sz w:val="20"/>
        </w:rPr>
        <w:t>new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market;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perceived</w:t>
      </w:r>
      <w:r>
        <w:rPr>
          <w:spacing w:val="-4"/>
          <w:sz w:val="20"/>
        </w:rPr>
        <w:t> </w:t>
      </w:r>
      <w:r>
        <w:rPr>
          <w:sz w:val="20"/>
        </w:rPr>
        <w:t>liability</w:t>
      </w:r>
      <w:r>
        <w:rPr>
          <w:spacing w:val="-3"/>
          <w:sz w:val="20"/>
        </w:rPr>
        <w:t> </w:t>
      </w:r>
      <w:r>
        <w:rPr>
          <w:sz w:val="20"/>
        </w:rPr>
        <w:t>risk</w:t>
      </w:r>
      <w:r>
        <w:rPr>
          <w:spacing w:val="-3"/>
          <w:sz w:val="20"/>
        </w:rPr>
        <w:t> </w:t>
      </w:r>
      <w:r>
        <w:rPr>
          <w:sz w:val="20"/>
        </w:rPr>
        <w:t>generally</w:t>
      </w:r>
      <w:r>
        <w:rPr>
          <w:spacing w:val="-3"/>
          <w:sz w:val="20"/>
        </w:rPr>
        <w:t> </w:t>
      </w:r>
      <w:r>
        <w:rPr>
          <w:sz w:val="20"/>
        </w:rPr>
        <w:t>associated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new</w:t>
      </w:r>
      <w:r>
        <w:rPr>
          <w:spacing w:val="-4"/>
          <w:sz w:val="20"/>
        </w:rPr>
        <w:t> </w:t>
      </w:r>
      <w:r>
        <w:rPr>
          <w:sz w:val="20"/>
        </w:rPr>
        <w:t>products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treatment</w:t>
      </w:r>
      <w:r>
        <w:rPr>
          <w:spacing w:val="-4"/>
          <w:sz w:val="20"/>
        </w:rPr>
        <w:t> </w:t>
      </w:r>
      <w:r>
        <w:rPr>
          <w:sz w:val="20"/>
        </w:rPr>
        <w:t>options;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9" w:lineRule="auto" w:before="190" w:after="0"/>
        <w:ind w:left="820" w:right="231" w:hanging="360"/>
        <w:jc w:val="left"/>
        <w:rPr>
          <w:sz w:val="20"/>
        </w:rPr>
      </w:pPr>
      <w:r>
        <w:rPr>
          <w:sz w:val="20"/>
        </w:rPr>
        <w:t>lack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perceived</w:t>
      </w:r>
      <w:r>
        <w:rPr>
          <w:spacing w:val="-3"/>
          <w:sz w:val="20"/>
        </w:rPr>
        <w:t> </w:t>
      </w:r>
      <w:r>
        <w:rPr>
          <w:sz w:val="20"/>
        </w:rPr>
        <w:t>lack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sufficient</w:t>
      </w:r>
      <w:r>
        <w:rPr>
          <w:spacing w:val="-4"/>
          <w:sz w:val="20"/>
        </w:rPr>
        <w:t> </w:t>
      </w:r>
      <w:r>
        <w:rPr>
          <w:sz w:val="20"/>
        </w:rPr>
        <w:t>clinical</w:t>
      </w:r>
      <w:r>
        <w:rPr>
          <w:spacing w:val="-5"/>
          <w:sz w:val="20"/>
        </w:rPr>
        <w:t> </w:t>
      </w:r>
      <w:r>
        <w:rPr>
          <w:sz w:val="20"/>
        </w:rPr>
        <w:t>evidence,</w:t>
      </w:r>
      <w:r>
        <w:rPr>
          <w:spacing w:val="-3"/>
          <w:sz w:val="20"/>
        </w:rPr>
        <w:t> </w:t>
      </w:r>
      <w:r>
        <w:rPr>
          <w:sz w:val="20"/>
        </w:rPr>
        <w:t>including</w:t>
      </w:r>
      <w:r>
        <w:rPr>
          <w:spacing w:val="-4"/>
          <w:sz w:val="20"/>
        </w:rPr>
        <w:t> </w:t>
      </w:r>
      <w:r>
        <w:rPr>
          <w:sz w:val="20"/>
        </w:rPr>
        <w:t>long-term</w:t>
      </w:r>
      <w:r>
        <w:rPr>
          <w:spacing w:val="-4"/>
          <w:sz w:val="20"/>
        </w:rPr>
        <w:t> </w:t>
      </w:r>
      <w:r>
        <w:rPr>
          <w:sz w:val="20"/>
        </w:rPr>
        <w:t>data,</w:t>
      </w:r>
      <w:r>
        <w:rPr>
          <w:spacing w:val="-4"/>
          <w:sz w:val="20"/>
        </w:rPr>
        <w:t> </w:t>
      </w:r>
      <w:r>
        <w:rPr>
          <w:sz w:val="20"/>
        </w:rPr>
        <w:t>supporting</w:t>
      </w:r>
      <w:r>
        <w:rPr>
          <w:spacing w:val="-4"/>
          <w:sz w:val="20"/>
        </w:rPr>
        <w:t> </w:t>
      </w:r>
      <w:r>
        <w:rPr>
          <w:sz w:val="20"/>
        </w:rPr>
        <w:t>clinical</w:t>
      </w:r>
      <w:r>
        <w:rPr>
          <w:spacing w:val="-4"/>
          <w:sz w:val="20"/>
        </w:rPr>
        <w:t> </w:t>
      </w:r>
      <w:r>
        <w:rPr>
          <w:sz w:val="20"/>
        </w:rPr>
        <w:t>benefits</w:t>
      </w:r>
      <w:r>
        <w:rPr>
          <w:spacing w:val="-47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cost-effectiveness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our</w:t>
      </w:r>
      <w:r>
        <w:rPr>
          <w:spacing w:val="-1"/>
          <w:sz w:val="20"/>
        </w:rPr>
        <w:t> </w:t>
      </w:r>
      <w:r>
        <w:rPr>
          <w:sz w:val="20"/>
        </w:rPr>
        <w:t>products</w:t>
      </w:r>
      <w:r>
        <w:rPr>
          <w:spacing w:val="-1"/>
          <w:sz w:val="20"/>
        </w:rPr>
        <w:t> </w:t>
      </w:r>
      <w:r>
        <w:rPr>
          <w:sz w:val="20"/>
        </w:rPr>
        <w:t>over</w:t>
      </w:r>
      <w:r>
        <w:rPr>
          <w:spacing w:val="-1"/>
          <w:sz w:val="20"/>
        </w:rPr>
        <w:t> </w:t>
      </w:r>
      <w:r>
        <w:rPr>
          <w:sz w:val="20"/>
        </w:rPr>
        <w:t>existing treatment</w:t>
      </w:r>
      <w:r>
        <w:rPr>
          <w:spacing w:val="-2"/>
          <w:sz w:val="20"/>
        </w:rPr>
        <w:t> </w:t>
      </w:r>
      <w:r>
        <w:rPr>
          <w:sz w:val="20"/>
        </w:rPr>
        <w:t>alternatives;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9" w:lineRule="auto" w:before="182" w:after="0"/>
        <w:ind w:left="820" w:right="263" w:hanging="360"/>
        <w:jc w:val="left"/>
        <w:rPr>
          <w:sz w:val="20"/>
        </w:rPr>
      </w:pPr>
      <w:r>
        <w:rPr>
          <w:sz w:val="20"/>
        </w:rPr>
        <w:t>the failure of key opinion leaders to provide recommendations regarding our products, or to assure</w:t>
      </w:r>
      <w:r>
        <w:rPr>
          <w:spacing w:val="1"/>
          <w:sz w:val="20"/>
        </w:rPr>
        <w:t> </w:t>
      </w:r>
      <w:r>
        <w:rPr>
          <w:sz w:val="20"/>
        </w:rPr>
        <w:t>surgeons,</w:t>
      </w:r>
      <w:r>
        <w:rPr>
          <w:spacing w:val="-3"/>
          <w:sz w:val="20"/>
        </w:rPr>
        <w:t> </w:t>
      </w:r>
      <w:r>
        <w:rPr>
          <w:sz w:val="20"/>
        </w:rPr>
        <w:t>patients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healthcare</w:t>
      </w:r>
      <w:r>
        <w:rPr>
          <w:spacing w:val="-3"/>
          <w:sz w:val="20"/>
        </w:rPr>
        <w:t> </w:t>
      </w:r>
      <w:r>
        <w:rPr>
          <w:sz w:val="20"/>
        </w:rPr>
        <w:t>payors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benefits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2"/>
          <w:sz w:val="20"/>
        </w:rPr>
        <w:t> </w:t>
      </w:r>
      <w:r>
        <w:rPr>
          <w:sz w:val="20"/>
        </w:rPr>
        <w:t>products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attractive</w:t>
      </w:r>
      <w:r>
        <w:rPr>
          <w:spacing w:val="-3"/>
          <w:sz w:val="20"/>
        </w:rPr>
        <w:t> </w:t>
      </w:r>
      <w:r>
        <w:rPr>
          <w:sz w:val="20"/>
        </w:rPr>
        <w:t>alternative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other</w:t>
      </w:r>
      <w:r>
        <w:rPr>
          <w:spacing w:val="-47"/>
          <w:sz w:val="20"/>
        </w:rPr>
        <w:t> </w:t>
      </w:r>
      <w:r>
        <w:rPr>
          <w:sz w:val="20"/>
        </w:rPr>
        <w:t>treatment</w:t>
      </w:r>
      <w:r>
        <w:rPr>
          <w:spacing w:val="-2"/>
          <w:sz w:val="20"/>
        </w:rPr>
        <w:t> </w:t>
      </w:r>
      <w:r>
        <w:rPr>
          <w:sz w:val="20"/>
        </w:rPr>
        <w:t>options;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82" w:after="0"/>
        <w:ind w:left="820" w:right="0" w:hanging="360"/>
        <w:jc w:val="left"/>
        <w:rPr>
          <w:sz w:val="20"/>
        </w:rPr>
      </w:pPr>
      <w:r>
        <w:rPr>
          <w:sz w:val="20"/>
        </w:rPr>
        <w:t>perception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2"/>
          <w:sz w:val="20"/>
        </w:rPr>
        <w:t> </w:t>
      </w:r>
      <w:r>
        <w:rPr>
          <w:sz w:val="20"/>
        </w:rPr>
        <w:t>products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unproven;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9" w:lineRule="auto" w:before="190" w:after="0"/>
        <w:ind w:left="820" w:right="161" w:hanging="360"/>
        <w:jc w:val="left"/>
        <w:rPr>
          <w:sz w:val="20"/>
        </w:rPr>
      </w:pPr>
      <w:r>
        <w:rPr>
          <w:sz w:val="20"/>
        </w:rPr>
        <w:t>long-standing</w:t>
      </w:r>
      <w:r>
        <w:rPr>
          <w:spacing w:val="-4"/>
          <w:sz w:val="20"/>
        </w:rPr>
        <w:t> </w:t>
      </w:r>
      <w:r>
        <w:rPr>
          <w:sz w:val="20"/>
        </w:rPr>
        <w:t>relationships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companies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distributors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sell</w:t>
      </w:r>
      <w:r>
        <w:rPr>
          <w:spacing w:val="-4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products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treatment</w:t>
      </w:r>
      <w:r>
        <w:rPr>
          <w:spacing w:val="-5"/>
          <w:sz w:val="20"/>
        </w:rPr>
        <w:t> </w:t>
      </w:r>
      <w:r>
        <w:rPr>
          <w:sz w:val="20"/>
        </w:rPr>
        <w:t>options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7"/>
          <w:sz w:val="20"/>
        </w:rPr>
        <w:t> </w:t>
      </w:r>
      <w:r>
        <w:rPr>
          <w:sz w:val="20"/>
        </w:rPr>
        <w:t>BPH;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9" w:lineRule="auto" w:before="182" w:after="0"/>
        <w:ind w:left="820" w:right="539" w:hanging="360"/>
        <w:jc w:val="left"/>
        <w:rPr>
          <w:sz w:val="20"/>
        </w:rPr>
      </w:pPr>
      <w:r>
        <w:rPr>
          <w:sz w:val="20"/>
        </w:rPr>
        <w:t>concerns</w:t>
      </w:r>
      <w:r>
        <w:rPr>
          <w:spacing w:val="-4"/>
          <w:sz w:val="20"/>
        </w:rPr>
        <w:t> </w:t>
      </w:r>
      <w:r>
        <w:rPr>
          <w:sz w:val="20"/>
        </w:rPr>
        <w:t>over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capital</w:t>
      </w:r>
      <w:r>
        <w:rPr>
          <w:spacing w:val="-3"/>
          <w:sz w:val="20"/>
        </w:rPr>
        <w:t> </w:t>
      </w:r>
      <w:r>
        <w:rPr>
          <w:sz w:val="20"/>
        </w:rPr>
        <w:t>investment</w:t>
      </w:r>
      <w:r>
        <w:rPr>
          <w:spacing w:val="-4"/>
          <w:sz w:val="20"/>
        </w:rPr>
        <w:t> </w:t>
      </w:r>
      <w:r>
        <w:rPr>
          <w:sz w:val="20"/>
        </w:rPr>
        <w:t>required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purchase</w:t>
      </w:r>
      <w:r>
        <w:rPr>
          <w:spacing w:val="-4"/>
          <w:sz w:val="20"/>
        </w:rPr>
        <w:t> </w:t>
      </w: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AquaBeam</w:t>
      </w:r>
      <w:r>
        <w:rPr>
          <w:spacing w:val="-3"/>
          <w:sz w:val="20"/>
        </w:rPr>
        <w:t> </w:t>
      </w:r>
      <w:r>
        <w:rPr>
          <w:sz w:val="20"/>
        </w:rPr>
        <w:t>Robotic</w:t>
      </w:r>
      <w:r>
        <w:rPr>
          <w:spacing w:val="-4"/>
          <w:sz w:val="20"/>
        </w:rPr>
        <w:t> </w:t>
      </w:r>
      <w:r>
        <w:rPr>
          <w:sz w:val="20"/>
        </w:rPr>
        <w:t>System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perform</w:t>
      </w:r>
      <w:r>
        <w:rPr>
          <w:spacing w:val="-47"/>
          <w:sz w:val="20"/>
        </w:rPr>
        <w:t> </w:t>
      </w:r>
      <w:r>
        <w:rPr>
          <w:sz w:val="20"/>
        </w:rPr>
        <w:t>Aquablation</w:t>
      </w:r>
      <w:r>
        <w:rPr>
          <w:spacing w:val="-1"/>
          <w:sz w:val="20"/>
        </w:rPr>
        <w:t> </w:t>
      </w:r>
      <w:r>
        <w:rPr>
          <w:sz w:val="20"/>
        </w:rPr>
        <w:t>therapy procedures;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81" w:after="0"/>
        <w:ind w:left="820" w:right="0" w:hanging="360"/>
        <w:jc w:val="left"/>
        <w:rPr>
          <w:sz w:val="20"/>
        </w:rPr>
      </w:pPr>
      <w:r>
        <w:rPr>
          <w:sz w:val="20"/>
        </w:rPr>
        <w:t>lack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availability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adequate</w:t>
      </w:r>
      <w:r>
        <w:rPr>
          <w:spacing w:val="-4"/>
          <w:sz w:val="20"/>
        </w:rPr>
        <w:t> </w:t>
      </w:r>
      <w:r>
        <w:rPr>
          <w:sz w:val="20"/>
        </w:rPr>
        <w:t>third-party</w:t>
      </w:r>
      <w:r>
        <w:rPr>
          <w:spacing w:val="-3"/>
          <w:sz w:val="20"/>
        </w:rPr>
        <w:t> </w:t>
      </w:r>
      <w:r>
        <w:rPr>
          <w:sz w:val="20"/>
        </w:rPr>
        <w:t>payor</w:t>
      </w:r>
      <w:r>
        <w:rPr>
          <w:spacing w:val="-3"/>
          <w:sz w:val="20"/>
        </w:rPr>
        <w:t> </w:t>
      </w:r>
      <w:r>
        <w:rPr>
          <w:sz w:val="20"/>
        </w:rPr>
        <w:t>coverage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reimbursement;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9" w:lineRule="auto" w:before="190" w:after="0"/>
        <w:ind w:left="820" w:right="249" w:hanging="360"/>
        <w:jc w:val="left"/>
        <w:rPr>
          <w:sz w:val="20"/>
        </w:rPr>
      </w:pPr>
      <w:r>
        <w:rPr>
          <w:sz w:val="20"/>
        </w:rPr>
        <w:t>pricing pressure, including from Group Purchasing Organizations, or GPOs, and Integrated Delivery</w:t>
      </w:r>
      <w:r>
        <w:rPr>
          <w:spacing w:val="1"/>
          <w:sz w:val="20"/>
        </w:rPr>
        <w:t> </w:t>
      </w:r>
      <w:r>
        <w:rPr>
          <w:sz w:val="20"/>
        </w:rPr>
        <w:t>Networks,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IDNs,</w:t>
      </w:r>
      <w:r>
        <w:rPr>
          <w:spacing w:val="-3"/>
          <w:sz w:val="20"/>
        </w:rPr>
        <w:t> </w:t>
      </w:r>
      <w:r>
        <w:rPr>
          <w:sz w:val="20"/>
        </w:rPr>
        <w:t>seeking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obtain</w:t>
      </w:r>
      <w:r>
        <w:rPr>
          <w:spacing w:val="-3"/>
          <w:sz w:val="20"/>
        </w:rPr>
        <w:t> </w:t>
      </w:r>
      <w:r>
        <w:rPr>
          <w:sz w:val="20"/>
        </w:rPr>
        <w:t>discounts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AquaBeam</w:t>
      </w:r>
      <w:r>
        <w:rPr>
          <w:spacing w:val="-4"/>
          <w:sz w:val="20"/>
        </w:rPr>
        <w:t> </w:t>
      </w:r>
      <w:r>
        <w:rPr>
          <w:sz w:val="20"/>
        </w:rPr>
        <w:t>Robotic</w:t>
      </w:r>
      <w:r>
        <w:rPr>
          <w:spacing w:val="-3"/>
          <w:sz w:val="20"/>
        </w:rPr>
        <w:t> </w:t>
      </w:r>
      <w:r>
        <w:rPr>
          <w:sz w:val="20"/>
        </w:rPr>
        <w:t>System</w:t>
      </w:r>
      <w:r>
        <w:rPr>
          <w:spacing w:val="-4"/>
          <w:sz w:val="20"/>
        </w:rPr>
        <w:t> </w:t>
      </w:r>
      <w:r>
        <w:rPr>
          <w:sz w:val="20"/>
        </w:rPr>
        <w:t>based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collective</w:t>
      </w:r>
      <w:r>
        <w:rPr>
          <w:spacing w:val="-47"/>
          <w:sz w:val="20"/>
        </w:rPr>
        <w:t> </w:t>
      </w:r>
      <w:r>
        <w:rPr>
          <w:sz w:val="20"/>
        </w:rPr>
        <w:t>buying</w:t>
      </w:r>
      <w:r>
        <w:rPr>
          <w:spacing w:val="-1"/>
          <w:sz w:val="20"/>
        </w:rPr>
        <w:t> </w:t>
      </w:r>
      <w:r>
        <w:rPr>
          <w:sz w:val="20"/>
        </w:rPr>
        <w:t>power of the</w:t>
      </w:r>
      <w:r>
        <w:rPr>
          <w:spacing w:val="-1"/>
          <w:sz w:val="20"/>
        </w:rPr>
        <w:t> </w:t>
      </w:r>
      <w:r>
        <w:rPr>
          <w:sz w:val="20"/>
        </w:rPr>
        <w:t>GPO</w:t>
      </w:r>
      <w:r>
        <w:rPr>
          <w:spacing w:val="-1"/>
          <w:sz w:val="20"/>
        </w:rPr>
        <w:t> </w:t>
      </w:r>
      <w:r>
        <w:rPr>
          <w:sz w:val="20"/>
        </w:rPr>
        <w:t>and IDN</w:t>
      </w:r>
      <w:r>
        <w:rPr>
          <w:spacing w:val="-1"/>
          <w:sz w:val="20"/>
        </w:rPr>
        <w:t> </w:t>
      </w:r>
      <w:r>
        <w:rPr>
          <w:sz w:val="20"/>
        </w:rPr>
        <w:t>members;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83" w:after="0"/>
        <w:ind w:left="820" w:right="0" w:hanging="360"/>
        <w:jc w:val="left"/>
        <w:rPr>
          <w:sz w:val="20"/>
        </w:rPr>
      </w:pPr>
      <w:r>
        <w:rPr>
          <w:sz w:val="20"/>
        </w:rPr>
        <w:t>competitive</w:t>
      </w:r>
      <w:r>
        <w:rPr>
          <w:spacing w:val="-5"/>
          <w:sz w:val="20"/>
        </w:rPr>
        <w:t> </w:t>
      </w:r>
      <w:r>
        <w:rPr>
          <w:sz w:val="20"/>
        </w:rPr>
        <w:t>response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negative</w:t>
      </w:r>
      <w:r>
        <w:rPr>
          <w:spacing w:val="-4"/>
          <w:sz w:val="20"/>
        </w:rPr>
        <w:t> </w:t>
      </w:r>
      <w:r>
        <w:rPr>
          <w:sz w:val="20"/>
        </w:rPr>
        <w:t>selling</w:t>
      </w:r>
      <w:r>
        <w:rPr>
          <w:spacing w:val="-4"/>
          <w:sz w:val="20"/>
        </w:rPr>
        <w:t> </w:t>
      </w:r>
      <w:r>
        <w:rPr>
          <w:sz w:val="20"/>
        </w:rPr>
        <w:t>efforts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providers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alternative</w:t>
      </w:r>
      <w:r>
        <w:rPr>
          <w:spacing w:val="-5"/>
          <w:sz w:val="20"/>
        </w:rPr>
        <w:t> </w:t>
      </w:r>
      <w:r>
        <w:rPr>
          <w:sz w:val="20"/>
        </w:rPr>
        <w:t>treatments;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741" w:top="1320" w:bottom="940" w:left="1340" w:right="1320"/>
        </w:sectPr>
      </w:pP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72" w:after="0"/>
        <w:ind w:left="820" w:right="0" w:hanging="360"/>
        <w:jc w:val="left"/>
        <w:rPr>
          <w:sz w:val="20"/>
        </w:rPr>
      </w:pPr>
      <w:r>
        <w:rPr>
          <w:sz w:val="20"/>
        </w:rPr>
        <w:t>limitations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warnings</w:t>
      </w:r>
      <w:r>
        <w:rPr>
          <w:spacing w:val="-3"/>
          <w:sz w:val="20"/>
        </w:rPr>
        <w:t> </w:t>
      </w:r>
      <w:r>
        <w:rPr>
          <w:sz w:val="20"/>
        </w:rPr>
        <w:t>contained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labeling</w:t>
      </w:r>
      <w:r>
        <w:rPr>
          <w:spacing w:val="-2"/>
          <w:sz w:val="20"/>
        </w:rPr>
        <w:t> </w:t>
      </w:r>
      <w:r>
        <w:rPr>
          <w:sz w:val="20"/>
        </w:rPr>
        <w:t>cleared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approved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FDA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authorities.</w:t>
      </w:r>
    </w:p>
    <w:p>
      <w:pPr>
        <w:pStyle w:val="BodyText"/>
        <w:spacing w:line="249" w:lineRule="auto"/>
        <w:ind w:right="148"/>
      </w:pPr>
      <w:r>
        <w:rPr/>
        <w:t>Even</w:t>
      </w:r>
      <w:r>
        <w:rPr>
          <w:spacing w:val="-4"/>
        </w:rPr>
        <w:t> </w:t>
      </w:r>
      <w:r>
        <w:rPr/>
        <w:t>if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AquaBeam</w:t>
      </w:r>
      <w:r>
        <w:rPr>
          <w:spacing w:val="-4"/>
        </w:rPr>
        <w:t> </w:t>
      </w:r>
      <w:r>
        <w:rPr/>
        <w:t>Robotic</w:t>
      </w:r>
      <w:r>
        <w:rPr>
          <w:spacing w:val="-4"/>
        </w:rPr>
        <w:t> </w:t>
      </w:r>
      <w:r>
        <w:rPr/>
        <w:t>System</w:t>
      </w:r>
      <w:r>
        <w:rPr>
          <w:spacing w:val="-5"/>
        </w:rPr>
        <w:t> </w:t>
      </w:r>
      <w:r>
        <w:rPr/>
        <w:t>achieves</w:t>
      </w:r>
      <w:r>
        <w:rPr>
          <w:spacing w:val="-4"/>
        </w:rPr>
        <w:t> </w:t>
      </w:r>
      <w:r>
        <w:rPr/>
        <w:t>widespread</w:t>
      </w:r>
      <w:r>
        <w:rPr>
          <w:spacing w:val="-3"/>
        </w:rPr>
        <w:t> </w:t>
      </w:r>
      <w:r>
        <w:rPr/>
        <w:t>market</w:t>
      </w:r>
      <w:r>
        <w:rPr>
          <w:spacing w:val="-4"/>
        </w:rPr>
        <w:t> </w:t>
      </w:r>
      <w:r>
        <w:rPr/>
        <w:t>acceptance,</w:t>
      </w:r>
      <w:r>
        <w:rPr>
          <w:spacing w:val="-3"/>
        </w:rPr>
        <w:t> </w:t>
      </w:r>
      <w:r>
        <w:rPr/>
        <w:t>it</w:t>
      </w:r>
      <w:r>
        <w:rPr>
          <w:spacing w:val="-4"/>
        </w:rPr>
        <w:t> </w:t>
      </w:r>
      <w:r>
        <w:rPr/>
        <w:t>may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maintain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level</w:t>
      </w:r>
      <w:r>
        <w:rPr>
          <w:spacing w:val="-47"/>
        </w:rPr>
        <w:t> </w:t>
      </w:r>
      <w:r>
        <w:rPr/>
        <w:t>of market acceptance over the long term if competing products or technologies, which are more cost-effective or</w:t>
      </w:r>
      <w:r>
        <w:rPr>
          <w:spacing w:val="1"/>
        </w:rPr>
        <w:t> </w:t>
      </w:r>
      <w:r>
        <w:rPr/>
        <w:t>received more favorably, are introduced. In addition, our limited commercialization experience makes it difficult to</w:t>
      </w:r>
      <w:r>
        <w:rPr>
          <w:spacing w:val="-47"/>
        </w:rPr>
        <w:t> </w:t>
      </w:r>
      <w:r>
        <w:rPr/>
        <w:t>evaluate our current business and predict our future prospects. We cannot predict how quickly, if at all, hospitals,</w:t>
      </w:r>
      <w:r>
        <w:rPr>
          <w:spacing w:val="1"/>
        </w:rPr>
        <w:t> </w:t>
      </w:r>
      <w:r>
        <w:rPr/>
        <w:t>surgeons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patients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accept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AquaBeam</w:t>
      </w:r>
      <w:r>
        <w:rPr>
          <w:spacing w:val="-3"/>
        </w:rPr>
        <w:t> </w:t>
      </w:r>
      <w:r>
        <w:rPr/>
        <w:t>Robotic</w:t>
      </w:r>
      <w:r>
        <w:rPr>
          <w:spacing w:val="-3"/>
        </w:rPr>
        <w:t> </w:t>
      </w:r>
      <w:r>
        <w:rPr/>
        <w:t>System</w:t>
      </w:r>
      <w:r>
        <w:rPr>
          <w:spacing w:val="-3"/>
        </w:rPr>
        <w:t> </w:t>
      </w:r>
      <w:r>
        <w:rPr/>
        <w:t>or,</w:t>
      </w:r>
      <w:r>
        <w:rPr>
          <w:spacing w:val="-2"/>
        </w:rPr>
        <w:t> </w:t>
      </w:r>
      <w:r>
        <w:rPr/>
        <w:t>if</w:t>
      </w:r>
      <w:r>
        <w:rPr>
          <w:spacing w:val="-1"/>
        </w:rPr>
        <w:t> </w:t>
      </w:r>
      <w:r>
        <w:rPr/>
        <w:t>accepted,</w:t>
      </w:r>
      <w:r>
        <w:rPr>
          <w:spacing w:val="-2"/>
        </w:rPr>
        <w:t> </w:t>
      </w:r>
      <w:r>
        <w:rPr/>
        <w:t>how</w:t>
      </w:r>
      <w:r>
        <w:rPr>
          <w:spacing w:val="-3"/>
        </w:rPr>
        <w:t> </w:t>
      </w:r>
      <w:r>
        <w:rPr/>
        <w:t>frequently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used.</w:t>
      </w:r>
    </w:p>
    <w:p>
      <w:pPr>
        <w:pStyle w:val="BodyText"/>
        <w:spacing w:line="249" w:lineRule="auto" w:before="4"/>
        <w:ind w:right="212" w:firstLine="0"/>
      </w:pPr>
      <w:r>
        <w:rPr/>
        <w:t>Failure to achieve or maintain market acceptance and/or market share could materially and adversely affect our</w:t>
      </w:r>
      <w:r>
        <w:rPr>
          <w:spacing w:val="1"/>
        </w:rPr>
        <w:t> </w:t>
      </w: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generate</w:t>
      </w:r>
      <w:r>
        <w:rPr>
          <w:spacing w:val="-3"/>
        </w:rPr>
        <w:t> </w:t>
      </w:r>
      <w:r>
        <w:rPr/>
        <w:t>revenue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would</w:t>
      </w:r>
      <w:r>
        <w:rPr>
          <w:spacing w:val="-2"/>
        </w:rPr>
        <w:t> </w:t>
      </w:r>
      <w:r>
        <w:rPr/>
        <w:t>have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material</w:t>
      </w:r>
      <w:r>
        <w:rPr>
          <w:spacing w:val="-4"/>
        </w:rPr>
        <w:t> </w:t>
      </w:r>
      <w:r>
        <w:rPr/>
        <w:t>adverse</w:t>
      </w:r>
      <w:r>
        <w:rPr>
          <w:spacing w:val="-4"/>
        </w:rPr>
        <w:t> </w:t>
      </w:r>
      <w:r>
        <w:rPr/>
        <w:t>effect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business,</w:t>
      </w:r>
      <w:r>
        <w:rPr>
          <w:spacing w:val="-3"/>
        </w:rPr>
        <w:t> </w:t>
      </w:r>
      <w:r>
        <w:rPr/>
        <w:t>financial</w:t>
      </w:r>
      <w:r>
        <w:rPr>
          <w:spacing w:val="-4"/>
        </w:rPr>
        <w:t> </w:t>
      </w:r>
      <w:r>
        <w:rPr/>
        <w:t>condition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results</w:t>
      </w:r>
      <w:r>
        <w:rPr>
          <w:spacing w:val="-47"/>
        </w:rPr>
        <w:t> </w:t>
      </w:r>
      <w:r>
        <w:rPr/>
        <w:t>of</w:t>
      </w:r>
      <w:r>
        <w:rPr>
          <w:spacing w:val="-1"/>
        </w:rPr>
        <w:t> </w:t>
      </w:r>
      <w:r>
        <w:rPr/>
        <w:t>operations.</w:t>
      </w:r>
    </w:p>
    <w:p>
      <w:pPr>
        <w:pStyle w:val="Heading3"/>
        <w:spacing w:line="249" w:lineRule="auto" w:before="179"/>
        <w:ind w:right="180"/>
      </w:pPr>
      <w:r>
        <w:rPr>
          <w:i/>
        </w:rPr>
        <w:t>We</w:t>
      </w:r>
      <w:r>
        <w:rPr>
          <w:i/>
          <w:spacing w:val="-5"/>
        </w:rPr>
        <w:t> </w:t>
      </w:r>
      <w:r>
        <w:rPr>
          <w:i/>
        </w:rPr>
        <w:t>have</w:t>
      </w:r>
      <w:r>
        <w:rPr>
          <w:i/>
          <w:spacing w:val="-4"/>
        </w:rPr>
        <w:t> </w:t>
      </w:r>
      <w:r>
        <w:rPr>
          <w:i/>
        </w:rPr>
        <w:t>limited</w:t>
      </w:r>
      <w:r>
        <w:rPr>
          <w:i/>
          <w:spacing w:val="-3"/>
        </w:rPr>
        <w:t> </w:t>
      </w:r>
      <w:r>
        <w:rPr>
          <w:i/>
        </w:rPr>
        <w:t>experience</w:t>
      </w:r>
      <w:r>
        <w:rPr>
          <w:i/>
          <w:spacing w:val="-4"/>
        </w:rPr>
        <w:t> </w:t>
      </w:r>
      <w:r>
        <w:rPr>
          <w:i/>
        </w:rPr>
        <w:t>in</w:t>
      </w:r>
      <w:r>
        <w:rPr>
          <w:i/>
          <w:spacing w:val="-4"/>
        </w:rPr>
        <w:t> </w:t>
      </w:r>
      <w:r>
        <w:rPr>
          <w:i/>
        </w:rPr>
        <w:t>training</w:t>
      </w:r>
      <w:r>
        <w:rPr>
          <w:i/>
          <w:spacing w:val="-3"/>
        </w:rPr>
        <w:t> </w:t>
      </w:r>
      <w:r>
        <w:rPr>
          <w:i/>
        </w:rPr>
        <w:t>and</w:t>
      </w:r>
      <w:r>
        <w:rPr>
          <w:i/>
          <w:spacing w:val="-3"/>
        </w:rPr>
        <w:t> </w:t>
      </w:r>
      <w:r>
        <w:rPr>
          <w:i/>
        </w:rPr>
        <w:t>marketing</w:t>
      </w:r>
      <w:r>
        <w:rPr>
          <w:i/>
          <w:spacing w:val="-3"/>
        </w:rPr>
        <w:t> </w:t>
      </w:r>
      <w:r>
        <w:rPr>
          <w:i/>
        </w:rPr>
        <w:t>and</w:t>
      </w:r>
      <w:r>
        <w:rPr>
          <w:i/>
          <w:spacing w:val="-3"/>
        </w:rPr>
        <w:t> </w:t>
      </w:r>
      <w:r>
        <w:rPr>
          <w:i/>
        </w:rPr>
        <w:t>selling</w:t>
      </w:r>
      <w:r>
        <w:rPr>
          <w:i/>
          <w:spacing w:val="-3"/>
        </w:rPr>
        <w:t> </w:t>
      </w:r>
      <w:r>
        <w:rPr>
          <w:i/>
        </w:rPr>
        <w:t>our</w:t>
      </w:r>
      <w:r>
        <w:rPr>
          <w:i/>
          <w:spacing w:val="-5"/>
        </w:rPr>
        <w:t> </w:t>
      </w:r>
      <w:r>
        <w:rPr>
          <w:i/>
        </w:rPr>
        <w:t>products</w:t>
      </w:r>
      <w:r>
        <w:rPr>
          <w:i/>
          <w:spacing w:val="-4"/>
        </w:rPr>
        <w:t> </w:t>
      </w:r>
      <w:r>
        <w:rPr>
          <w:i/>
        </w:rPr>
        <w:t>and</w:t>
      </w:r>
      <w:r>
        <w:rPr>
          <w:i/>
          <w:spacing w:val="-3"/>
        </w:rPr>
        <w:t> </w:t>
      </w:r>
      <w:r>
        <w:rPr>
          <w:i/>
        </w:rPr>
        <w:t>we</w:t>
      </w:r>
      <w:r>
        <w:rPr>
          <w:i/>
          <w:spacing w:val="-4"/>
        </w:rPr>
        <w:t> </w:t>
      </w:r>
      <w:r>
        <w:rPr>
          <w:i/>
        </w:rPr>
        <w:t>may</w:t>
      </w:r>
      <w:r>
        <w:rPr>
          <w:i/>
          <w:spacing w:val="-4"/>
        </w:rPr>
        <w:t> </w:t>
      </w:r>
      <w:r>
        <w:rPr>
          <w:i/>
        </w:rPr>
        <w:t>provide</w:t>
      </w:r>
      <w:r>
        <w:rPr>
          <w:i/>
          <w:spacing w:val="-4"/>
        </w:rPr>
        <w:t> </w:t>
      </w:r>
      <w:r>
        <w:rPr>
          <w:i/>
        </w:rPr>
        <w:t>inadequate</w:t>
      </w:r>
      <w:r>
        <w:rPr>
          <w:i/>
          <w:spacing w:val="1"/>
        </w:rPr>
        <w:t> </w:t>
      </w:r>
      <w:r>
        <w:rPr/>
        <w:t>training, fail to increase our sales and marketing capabilities or fail to develop and maintain broad brand</w:t>
      </w:r>
      <w:r>
        <w:rPr>
          <w:spacing w:val="1"/>
        </w:rPr>
        <w:t> </w:t>
      </w:r>
      <w:r>
        <w:rPr/>
        <w:t>awareness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 cost-effective</w:t>
      </w:r>
      <w:r>
        <w:rPr>
          <w:spacing w:val="-1"/>
        </w:rPr>
        <w:t> </w:t>
      </w:r>
      <w:r>
        <w:rPr/>
        <w:t>manner.</w:t>
      </w:r>
    </w:p>
    <w:p>
      <w:pPr>
        <w:pStyle w:val="BodyText"/>
        <w:spacing w:line="249" w:lineRule="auto" w:before="186"/>
        <w:ind w:right="212"/>
      </w:pPr>
      <w:r>
        <w:rPr/>
        <w:t>We</w:t>
      </w:r>
      <w:r>
        <w:rPr>
          <w:spacing w:val="-4"/>
        </w:rPr>
        <w:t> </w:t>
      </w:r>
      <w:r>
        <w:rPr/>
        <w:t>have</w:t>
      </w:r>
      <w:r>
        <w:rPr>
          <w:spacing w:val="-3"/>
        </w:rPr>
        <w:t> </w:t>
      </w:r>
      <w:r>
        <w:rPr/>
        <w:t>limited</w:t>
      </w:r>
      <w:r>
        <w:rPr>
          <w:spacing w:val="-3"/>
        </w:rPr>
        <w:t> </w:t>
      </w:r>
      <w:r>
        <w:rPr/>
        <w:t>experience</w:t>
      </w:r>
      <w:r>
        <w:rPr>
          <w:spacing w:val="-3"/>
        </w:rPr>
        <w:t> </w:t>
      </w:r>
      <w:r>
        <w:rPr/>
        <w:t>marketing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selling</w:t>
      </w:r>
      <w:r>
        <w:rPr>
          <w:spacing w:val="-2"/>
        </w:rPr>
        <w:t> </w:t>
      </w:r>
      <w:r>
        <w:rPr/>
        <w:t>our</w:t>
      </w:r>
      <w:r>
        <w:rPr>
          <w:spacing w:val="-3"/>
        </w:rPr>
        <w:t> </w:t>
      </w:r>
      <w:r>
        <w:rPr/>
        <w:t>products.</w:t>
      </w:r>
      <w:r>
        <w:rPr>
          <w:spacing w:val="-2"/>
        </w:rPr>
        <w:t> </w:t>
      </w:r>
      <w:r>
        <w:rPr/>
        <w:t>We</w:t>
      </w:r>
      <w:r>
        <w:rPr>
          <w:spacing w:val="-3"/>
        </w:rPr>
        <w:t> </w:t>
      </w:r>
      <w:r>
        <w:rPr/>
        <w:t>currently</w:t>
      </w:r>
      <w:r>
        <w:rPr>
          <w:spacing w:val="-3"/>
        </w:rPr>
        <w:t> </w:t>
      </w:r>
      <w:r>
        <w:rPr/>
        <w:t>rely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direct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force</w:t>
      </w:r>
      <w:r>
        <w:rPr>
          <w:spacing w:val="-3"/>
        </w:rPr>
        <w:t> </w:t>
      </w:r>
      <w:r>
        <w:rPr/>
        <w:t>and</w:t>
      </w:r>
      <w:r>
        <w:rPr>
          <w:spacing w:val="-47"/>
        </w:rPr>
        <w:t> </w:t>
      </w:r>
      <w:r>
        <w:rPr/>
        <w:t>distributors to sell our products in targeted geographic regions and territories, and any failure to maintain and grow</w:t>
      </w:r>
      <w:r>
        <w:rPr>
          <w:spacing w:val="1"/>
        </w:rPr>
        <w:t> </w:t>
      </w:r>
      <w:r>
        <w:rPr/>
        <w:t>our direct sales force and distributor relationships could harm our business. The members of our direct sales force</w:t>
      </w:r>
      <w:r>
        <w:rPr>
          <w:spacing w:val="1"/>
        </w:rPr>
        <w:t> </w:t>
      </w:r>
      <w:r>
        <w:rPr/>
        <w:t>are adequately trained and possess technical expertise, which we believe is critical in driving the awareness and</w:t>
      </w:r>
      <w:r>
        <w:rPr>
          <w:spacing w:val="1"/>
        </w:rPr>
        <w:t> </w:t>
      </w:r>
      <w:r>
        <w:rPr/>
        <w:t>adoption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products.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members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U.S.</w:t>
      </w:r>
      <w:r>
        <w:rPr>
          <w:spacing w:val="-2"/>
        </w:rPr>
        <w:t> </w:t>
      </w:r>
      <w:r>
        <w:rPr/>
        <w:t>sales</w:t>
      </w:r>
      <w:r>
        <w:rPr>
          <w:spacing w:val="-3"/>
        </w:rPr>
        <w:t> </w:t>
      </w:r>
      <w:r>
        <w:rPr/>
        <w:t>force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at-will</w:t>
      </w:r>
      <w:r>
        <w:rPr>
          <w:spacing w:val="-3"/>
        </w:rPr>
        <w:t> </w:t>
      </w:r>
      <w:r>
        <w:rPr/>
        <w:t>employees.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loss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these</w:t>
      </w:r>
      <w:r>
        <w:rPr>
          <w:spacing w:val="-3"/>
        </w:rPr>
        <w:t> </w:t>
      </w:r>
      <w:r>
        <w:rPr/>
        <w:t>personnel</w:t>
      </w:r>
      <w:r>
        <w:rPr>
          <w:spacing w:val="-3"/>
        </w:rPr>
        <w:t> </w:t>
      </w:r>
      <w:r>
        <w:rPr/>
        <w:t>to</w:t>
      </w:r>
      <w:r>
        <w:rPr>
          <w:spacing w:val="-47"/>
        </w:rPr>
        <w:t> </w:t>
      </w:r>
      <w:r>
        <w:rPr/>
        <w:t>competitors, or otherwise, could materially harm our business. If we are unable to retain our direct sales force</w:t>
      </w:r>
      <w:r>
        <w:rPr>
          <w:spacing w:val="1"/>
        </w:rPr>
        <w:t> </w:t>
      </w:r>
      <w:r>
        <w:rPr/>
        <w:t>personnel or replace them with individuals of comparable expertise and qualifications, or if we are unable to</w:t>
      </w:r>
      <w:r>
        <w:rPr>
          <w:spacing w:val="1"/>
        </w:rPr>
        <w:t> </w:t>
      </w:r>
      <w:r>
        <w:rPr/>
        <w:t>successfully instill such expertise in replacement personnel, our product sales, revenues and results of operations</w:t>
      </w:r>
      <w:r>
        <w:rPr>
          <w:spacing w:val="1"/>
        </w:rPr>
        <w:t> </w:t>
      </w:r>
      <w:r>
        <w:rPr/>
        <w:t>could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materially harmed.</w:t>
      </w:r>
    </w:p>
    <w:p>
      <w:pPr>
        <w:pStyle w:val="BodyText"/>
        <w:spacing w:line="249" w:lineRule="auto" w:before="187"/>
        <w:ind w:right="155"/>
      </w:pPr>
      <w:r>
        <w:rPr/>
        <w:t>In order to generate future growth, we plan to continue to significantly expand and leverage our commercial</w:t>
      </w:r>
      <w:r>
        <w:rPr>
          <w:spacing w:val="1"/>
        </w:rPr>
        <w:t> </w:t>
      </w:r>
      <w:r>
        <w:rPr/>
        <w:t>infrastructure to increase our customer base and increase awareness and adoption by existing customers to drive our</w:t>
      </w:r>
      <w:r>
        <w:rPr>
          <w:spacing w:val="1"/>
        </w:rPr>
        <w:t> </w:t>
      </w:r>
      <w:r>
        <w:rPr/>
        <w:t>growth.</w:t>
      </w:r>
      <w:r>
        <w:rPr>
          <w:spacing w:val="-3"/>
        </w:rPr>
        <w:t> </w:t>
      </w:r>
      <w:r>
        <w:rPr/>
        <w:t>Identifying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recruiting</w:t>
      </w:r>
      <w:r>
        <w:rPr>
          <w:spacing w:val="-2"/>
        </w:rPr>
        <w:t> </w:t>
      </w:r>
      <w:r>
        <w:rPr/>
        <w:t>qualified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marketing</w:t>
      </w:r>
      <w:r>
        <w:rPr>
          <w:spacing w:val="-2"/>
        </w:rPr>
        <w:t> </w:t>
      </w:r>
      <w:r>
        <w:rPr/>
        <w:t>professionals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training</w:t>
      </w:r>
      <w:r>
        <w:rPr>
          <w:spacing w:val="-2"/>
        </w:rPr>
        <w:t> </w:t>
      </w:r>
      <w:r>
        <w:rPr/>
        <w:t>them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products</w:t>
      </w:r>
      <w:r>
        <w:rPr>
          <w:spacing w:val="-3"/>
        </w:rPr>
        <w:t> </w:t>
      </w:r>
      <w:r>
        <w:rPr/>
        <w:t>and</w:t>
      </w:r>
      <w:r>
        <w:rPr>
          <w:spacing w:val="-47"/>
        </w:rPr>
        <w:t> </w:t>
      </w:r>
      <w:r>
        <w:rPr/>
        <w:t>Aquablation therapy,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applicable federal and</w:t>
      </w:r>
      <w:r>
        <w:rPr>
          <w:spacing w:val="1"/>
        </w:rPr>
        <w:t> </w:t>
      </w:r>
      <w:r>
        <w:rPr/>
        <w:t>state laws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regulations and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our</w:t>
      </w:r>
      <w:r>
        <w:rPr>
          <w:spacing w:val="1"/>
        </w:rPr>
        <w:t> </w:t>
      </w:r>
      <w:r>
        <w:rPr/>
        <w:t>internal policies and</w:t>
      </w:r>
      <w:r>
        <w:rPr>
          <w:spacing w:val="1"/>
        </w:rPr>
        <w:t> </w:t>
      </w:r>
      <w:r>
        <w:rPr/>
        <w:t>procedures requires significant time, expense and attention. It can take several months or more before a sales</w:t>
      </w:r>
      <w:r>
        <w:rPr>
          <w:spacing w:val="1"/>
        </w:rPr>
        <w:t> </w:t>
      </w:r>
      <w:r>
        <w:rPr/>
        <w:t>representative is fully trained and productive. Our sales force may subject us to higher fixed costs than those of</w:t>
      </w:r>
      <w:r>
        <w:rPr>
          <w:spacing w:val="1"/>
        </w:rPr>
        <w:t> </w:t>
      </w:r>
      <w:r>
        <w:rPr/>
        <w:t>companies with competing products or treatments that can utilize independent third parties, placing us at a</w:t>
      </w:r>
      <w:r>
        <w:rPr>
          <w:spacing w:val="1"/>
        </w:rPr>
        <w:t> </w:t>
      </w:r>
      <w:r>
        <w:rPr/>
        <w:t>competitive disadvantage. Our business may be harmed if our efforts to expand and train our sales force do not</w:t>
      </w:r>
      <w:r>
        <w:rPr>
          <w:spacing w:val="1"/>
        </w:rPr>
        <w:t> </w:t>
      </w:r>
      <w:r>
        <w:rPr/>
        <w:t>generate a corresponding increase in product sales and revenue, and our higher fixed costs may slow our ability to</w:t>
      </w:r>
      <w:r>
        <w:rPr>
          <w:spacing w:val="1"/>
        </w:rPr>
        <w:t> </w:t>
      </w:r>
      <w:r>
        <w:rPr/>
        <w:t>reduce costs in the face of a sudden decline in demand for our products. Any failure to hire, develop and retain</w:t>
      </w:r>
      <w:r>
        <w:rPr>
          <w:spacing w:val="1"/>
        </w:rPr>
        <w:t> </w:t>
      </w:r>
      <w:r>
        <w:rPr/>
        <w:t>talented sales personnel, to achieve desired productivity levels in a reasonable period of time or timely reduce fixed</w:t>
      </w:r>
      <w:r>
        <w:rPr>
          <w:spacing w:val="1"/>
        </w:rPr>
        <w:t> </w:t>
      </w:r>
      <w:r>
        <w:rPr/>
        <w:t>costs,</w:t>
      </w:r>
      <w:r>
        <w:rPr>
          <w:spacing w:val="-2"/>
        </w:rPr>
        <w:t> </w:t>
      </w:r>
      <w:r>
        <w:rPr/>
        <w:t>could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material</w:t>
      </w:r>
      <w:r>
        <w:rPr>
          <w:spacing w:val="-2"/>
        </w:rPr>
        <w:t> </w:t>
      </w:r>
      <w:r>
        <w:rPr/>
        <w:t>adverse</w:t>
      </w:r>
      <w:r>
        <w:rPr>
          <w:spacing w:val="-2"/>
        </w:rPr>
        <w:t> </w:t>
      </w:r>
      <w:r>
        <w:rPr/>
        <w:t>effect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our</w:t>
      </w:r>
      <w:r>
        <w:rPr>
          <w:spacing w:val="-2"/>
        </w:rPr>
        <w:t> </w:t>
      </w:r>
      <w:r>
        <w:rPr/>
        <w:t>business,</w:t>
      </w:r>
      <w:r>
        <w:rPr>
          <w:spacing w:val="-1"/>
        </w:rPr>
        <w:t> </w:t>
      </w:r>
      <w:r>
        <w:rPr/>
        <w:t>financial</w:t>
      </w:r>
      <w:r>
        <w:rPr>
          <w:spacing w:val="-2"/>
        </w:rPr>
        <w:t> </w:t>
      </w:r>
      <w:r>
        <w:rPr/>
        <w:t>condition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results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operations.</w:t>
      </w:r>
    </w:p>
    <w:p>
      <w:pPr>
        <w:pStyle w:val="BodyText"/>
        <w:spacing w:line="249" w:lineRule="auto"/>
        <w:ind w:right="107"/>
      </w:pPr>
      <w:r>
        <w:rPr/>
        <w:t>Our</w:t>
      </w:r>
      <w:r>
        <w:rPr>
          <w:spacing w:val="-3"/>
        </w:rPr>
        <w:t> </w:t>
      </w:r>
      <w:r>
        <w:rPr/>
        <w:t>ability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increase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customer</w:t>
      </w:r>
      <w:r>
        <w:rPr>
          <w:spacing w:val="-2"/>
        </w:rPr>
        <w:t> </w:t>
      </w:r>
      <w:r>
        <w:rPr/>
        <w:t>base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achieve</w:t>
      </w:r>
      <w:r>
        <w:rPr>
          <w:spacing w:val="-3"/>
        </w:rPr>
        <w:t> </w:t>
      </w:r>
      <w:r>
        <w:rPr/>
        <w:t>broader</w:t>
      </w:r>
      <w:r>
        <w:rPr>
          <w:spacing w:val="-3"/>
        </w:rPr>
        <w:t> </w:t>
      </w:r>
      <w:r>
        <w:rPr/>
        <w:t>market</w:t>
      </w:r>
      <w:r>
        <w:rPr>
          <w:spacing w:val="-3"/>
        </w:rPr>
        <w:t> </w:t>
      </w:r>
      <w:r>
        <w:rPr/>
        <w:t>acceptance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our</w:t>
      </w:r>
      <w:r>
        <w:rPr>
          <w:spacing w:val="-3"/>
        </w:rPr>
        <w:t> </w:t>
      </w:r>
      <w:r>
        <w:rPr/>
        <w:t>products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depend,</w:t>
      </w:r>
      <w:r>
        <w:rPr>
          <w:spacing w:val="-3"/>
        </w:rPr>
        <w:t> </w:t>
      </w:r>
      <w:r>
        <w:rPr/>
        <w:t>to</w:t>
      </w:r>
      <w:r>
        <w:rPr>
          <w:spacing w:val="1"/>
        </w:rPr>
        <w:t> </w:t>
      </w:r>
      <w:r>
        <w:rPr/>
        <w:t>a significant extent, on our ability to expand our sales and marketing and educational efforts. We plan to dedicate</w:t>
      </w:r>
      <w:r>
        <w:rPr>
          <w:spacing w:val="1"/>
        </w:rPr>
        <w:t> </w:t>
      </w:r>
      <w:r>
        <w:rPr/>
        <w:t>significant resources to our sales and marketing and educational programs. Our business may be harmed if these</w:t>
      </w:r>
      <w:r>
        <w:rPr>
          <w:spacing w:val="1"/>
        </w:rPr>
        <w:t> </w:t>
      </w:r>
      <w:r>
        <w:rPr/>
        <w:t>efforts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expenditures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generate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corresponding</w:t>
      </w:r>
      <w:r>
        <w:rPr>
          <w:spacing w:val="-2"/>
        </w:rPr>
        <w:t> </w:t>
      </w:r>
      <w:r>
        <w:rPr/>
        <w:t>increase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revenue.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addition,</w:t>
      </w:r>
      <w:r>
        <w:rPr>
          <w:spacing w:val="-2"/>
        </w:rPr>
        <w:t> </w:t>
      </w:r>
      <w:r>
        <w:rPr/>
        <w:t>we</w:t>
      </w:r>
      <w:r>
        <w:rPr>
          <w:spacing w:val="-4"/>
        </w:rPr>
        <w:t> </w:t>
      </w:r>
      <w:r>
        <w:rPr/>
        <w:t>believe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developing</w:t>
      </w:r>
      <w:r>
        <w:rPr>
          <w:spacing w:val="-47"/>
        </w:rPr>
        <w:t> </w:t>
      </w:r>
      <w:r>
        <w:rPr/>
        <w:t>and maintaining broad awareness of our Aquablation therapy in a cost-effective manner is critical to achieving broad</w:t>
      </w:r>
      <w:r>
        <w:rPr>
          <w:spacing w:val="-47"/>
        </w:rPr>
        <w:t> </w:t>
      </w:r>
      <w:r>
        <w:rPr/>
        <w:t>acceptance of our products and reaching new physicians, hospitals and patients. Promotion and educational activities</w:t>
      </w:r>
      <w:r>
        <w:rPr>
          <w:spacing w:val="-47"/>
        </w:rPr>
        <w:t> </w:t>
      </w:r>
      <w:r>
        <w:rPr/>
        <w:t>may not generate hospital or surgeon awareness or increase revenue, and even if they do, any increase in revenue</w:t>
      </w:r>
      <w:r>
        <w:rPr>
          <w:spacing w:val="1"/>
        </w:rPr>
        <w:t> </w:t>
      </w:r>
      <w:r>
        <w:rPr/>
        <w:t>may not offset the costs and expenses we incur. If we fail to successfully promote Aquablation therapy in a cost-</w:t>
      </w:r>
      <w:r>
        <w:rPr>
          <w:spacing w:val="1"/>
        </w:rPr>
        <w:t> </w:t>
      </w:r>
      <w:r>
        <w:rPr/>
        <w:t>effective manner, we may fail to attract or retain the market acceptance necessary to realize a sufficient return on our</w:t>
      </w:r>
      <w:r>
        <w:rPr>
          <w:spacing w:val="-47"/>
        </w:rPr>
        <w:t> </w:t>
      </w:r>
      <w:r>
        <w:rPr/>
        <w:t>promotional</w:t>
      </w:r>
      <w:r>
        <w:rPr>
          <w:spacing w:val="-2"/>
        </w:rPr>
        <w:t> </w:t>
      </w:r>
      <w:r>
        <w:rPr/>
        <w:t>and educational</w:t>
      </w:r>
      <w:r>
        <w:rPr>
          <w:spacing w:val="-2"/>
        </w:rPr>
        <w:t> </w:t>
      </w:r>
      <w:r>
        <w:rPr/>
        <w:t>efforts, or to</w:t>
      </w:r>
      <w:r>
        <w:rPr>
          <w:spacing w:val="-1"/>
        </w:rPr>
        <w:t> </w:t>
      </w:r>
      <w:r>
        <w:rPr/>
        <w:t>achieve</w:t>
      </w:r>
      <w:r>
        <w:rPr>
          <w:spacing w:val="-1"/>
        </w:rPr>
        <w:t> </w:t>
      </w:r>
      <w:r>
        <w:rPr/>
        <w:t>broad</w:t>
      </w:r>
      <w:r>
        <w:rPr>
          <w:spacing w:val="-1"/>
        </w:rPr>
        <w:t> </w:t>
      </w:r>
      <w:r>
        <w:rPr/>
        <w:t>adoption of our</w:t>
      </w:r>
      <w:r>
        <w:rPr>
          <w:spacing w:val="-1"/>
        </w:rPr>
        <w:t> </w:t>
      </w:r>
      <w:r>
        <w:rPr/>
        <w:t>products.</w:t>
      </w:r>
    </w:p>
    <w:p>
      <w:pPr>
        <w:pStyle w:val="Heading3"/>
        <w:spacing w:line="249" w:lineRule="auto" w:before="185"/>
      </w:pPr>
      <w:r>
        <w:rPr>
          <w:i/>
        </w:rPr>
        <w:t>We</w:t>
      </w:r>
      <w:r>
        <w:rPr>
          <w:i/>
          <w:spacing w:val="-4"/>
        </w:rPr>
        <w:t> </w:t>
      </w:r>
      <w:r>
        <w:rPr>
          <w:i/>
        </w:rPr>
        <w:t>may</w:t>
      </w:r>
      <w:r>
        <w:rPr>
          <w:i/>
          <w:spacing w:val="-4"/>
        </w:rPr>
        <w:t> </w:t>
      </w:r>
      <w:r>
        <w:rPr>
          <w:i/>
        </w:rPr>
        <w:t>not</w:t>
      </w:r>
      <w:r>
        <w:rPr>
          <w:i/>
          <w:spacing w:val="-3"/>
        </w:rPr>
        <w:t> </w:t>
      </w:r>
      <w:r>
        <w:rPr>
          <w:i/>
        </w:rPr>
        <w:t>be</w:t>
      </w:r>
      <w:r>
        <w:rPr>
          <w:i/>
          <w:spacing w:val="-4"/>
        </w:rPr>
        <w:t> </w:t>
      </w:r>
      <w:r>
        <w:rPr>
          <w:i/>
        </w:rPr>
        <w:t>able</w:t>
      </w:r>
      <w:r>
        <w:rPr>
          <w:i/>
          <w:spacing w:val="-4"/>
        </w:rPr>
        <w:t> </w:t>
      </w:r>
      <w:r>
        <w:rPr>
          <w:i/>
        </w:rPr>
        <w:t>to</w:t>
      </w:r>
      <w:r>
        <w:rPr>
          <w:i/>
          <w:spacing w:val="-2"/>
        </w:rPr>
        <w:t> </w:t>
      </w:r>
      <w:r>
        <w:rPr>
          <w:i/>
        </w:rPr>
        <w:t>obtain</w:t>
      </w:r>
      <w:r>
        <w:rPr>
          <w:i/>
          <w:spacing w:val="-4"/>
        </w:rPr>
        <w:t> </w:t>
      </w:r>
      <w:r>
        <w:rPr>
          <w:i/>
        </w:rPr>
        <w:t>or</w:t>
      </w:r>
      <w:r>
        <w:rPr>
          <w:i/>
          <w:spacing w:val="-4"/>
        </w:rPr>
        <w:t> </w:t>
      </w:r>
      <w:r>
        <w:rPr>
          <w:i/>
        </w:rPr>
        <w:t>maintain</w:t>
      </w:r>
      <w:r>
        <w:rPr>
          <w:i/>
          <w:spacing w:val="-3"/>
        </w:rPr>
        <w:t> </w:t>
      </w:r>
      <w:r>
        <w:rPr>
          <w:i/>
        </w:rPr>
        <w:t>adequate</w:t>
      </w:r>
      <w:r>
        <w:rPr>
          <w:i/>
          <w:spacing w:val="-4"/>
        </w:rPr>
        <w:t> </w:t>
      </w:r>
      <w:r>
        <w:rPr>
          <w:i/>
        </w:rPr>
        <w:t>levels</w:t>
      </w:r>
      <w:r>
        <w:rPr>
          <w:i/>
          <w:spacing w:val="-4"/>
        </w:rPr>
        <w:t> </w:t>
      </w:r>
      <w:r>
        <w:rPr>
          <w:i/>
        </w:rPr>
        <w:t>of</w:t>
      </w:r>
      <w:r>
        <w:rPr>
          <w:i/>
          <w:spacing w:val="-2"/>
        </w:rPr>
        <w:t> </w:t>
      </w:r>
      <w:r>
        <w:rPr>
          <w:i/>
        </w:rPr>
        <w:t>third-party</w:t>
      </w:r>
      <w:r>
        <w:rPr>
          <w:i/>
          <w:spacing w:val="-4"/>
        </w:rPr>
        <w:t> </w:t>
      </w:r>
      <w:r>
        <w:rPr>
          <w:i/>
        </w:rPr>
        <w:t>coverage</w:t>
      </w:r>
      <w:r>
        <w:rPr>
          <w:i/>
          <w:spacing w:val="-3"/>
        </w:rPr>
        <w:t> </w:t>
      </w:r>
      <w:r>
        <w:rPr>
          <w:i/>
        </w:rPr>
        <w:t>and</w:t>
      </w:r>
      <w:r>
        <w:rPr>
          <w:i/>
          <w:spacing w:val="-3"/>
        </w:rPr>
        <w:t> </w:t>
      </w:r>
      <w:r>
        <w:rPr>
          <w:i/>
        </w:rPr>
        <w:t>reimbursement,</w:t>
      </w:r>
      <w:r>
        <w:rPr>
          <w:i/>
          <w:spacing w:val="-3"/>
        </w:rPr>
        <w:t> </w:t>
      </w:r>
      <w:r>
        <w:rPr>
          <w:i/>
        </w:rPr>
        <w:t>and</w:t>
      </w:r>
      <w:r>
        <w:rPr>
          <w:i/>
          <w:spacing w:val="-3"/>
        </w:rPr>
        <w:t> </w:t>
      </w:r>
      <w:r>
        <w:rPr>
          <w:i/>
        </w:rPr>
        <w:t>third</w:t>
      </w:r>
      <w:r>
        <w:rPr>
          <w:i/>
          <w:spacing w:val="1"/>
        </w:rPr>
        <w:t> </w:t>
      </w:r>
      <w:r>
        <w:rPr/>
        <w:t>parties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rescind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modify</w:t>
      </w:r>
      <w:r>
        <w:rPr>
          <w:spacing w:val="-2"/>
        </w:rPr>
        <w:t> </w:t>
      </w:r>
      <w:r>
        <w:rPr/>
        <w:t>their</w:t>
      </w:r>
      <w:r>
        <w:rPr>
          <w:spacing w:val="-2"/>
        </w:rPr>
        <w:t> </w:t>
      </w:r>
      <w:r>
        <w:rPr/>
        <w:t>coverage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delay</w:t>
      </w:r>
      <w:r>
        <w:rPr>
          <w:spacing w:val="-2"/>
        </w:rPr>
        <w:t> </w:t>
      </w:r>
      <w:r>
        <w:rPr/>
        <w:t>payments</w:t>
      </w:r>
      <w:r>
        <w:rPr>
          <w:spacing w:val="-2"/>
        </w:rPr>
        <w:t> </w:t>
      </w:r>
      <w:r>
        <w:rPr/>
        <w:t>related</w:t>
      </w:r>
      <w:r>
        <w:rPr>
          <w:spacing w:val="-1"/>
        </w:rPr>
        <w:t> </w:t>
      </w:r>
      <w:r>
        <w:rPr/>
        <w:t>to our</w:t>
      </w:r>
      <w:r>
        <w:rPr>
          <w:spacing w:val="-2"/>
        </w:rPr>
        <w:t> </w:t>
      </w:r>
      <w:r>
        <w:rPr/>
        <w:t>products.</w:t>
      </w:r>
    </w:p>
    <w:p>
      <w:pPr>
        <w:pStyle w:val="BodyText"/>
        <w:spacing w:line="249" w:lineRule="auto" w:before="185"/>
        <w:ind w:right="282"/>
        <w:jc w:val="both"/>
      </w:pPr>
      <w:r>
        <w:rPr/>
        <w:t>We</w:t>
      </w:r>
      <w:r>
        <w:rPr>
          <w:spacing w:val="-4"/>
        </w:rPr>
        <w:t> </w:t>
      </w:r>
      <w:r>
        <w:rPr/>
        <w:t>derive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majority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revenue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AquaBeam</w:t>
      </w:r>
      <w:r>
        <w:rPr>
          <w:spacing w:val="-4"/>
        </w:rPr>
        <w:t> </w:t>
      </w:r>
      <w:r>
        <w:rPr/>
        <w:t>Robotic</w:t>
      </w:r>
      <w:r>
        <w:rPr>
          <w:spacing w:val="-3"/>
        </w:rPr>
        <w:t> </w:t>
      </w:r>
      <w:r>
        <w:rPr/>
        <w:t>System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single-use</w:t>
      </w:r>
      <w:r>
        <w:rPr>
          <w:spacing w:val="-3"/>
        </w:rPr>
        <w:t> </w:t>
      </w:r>
      <w:r>
        <w:rPr/>
        <w:t>disposable</w:t>
      </w:r>
      <w:r>
        <w:rPr>
          <w:spacing w:val="-48"/>
        </w:rPr>
        <w:t> </w:t>
      </w:r>
      <w:r>
        <w:rPr/>
        <w:t>handpieces to hospitals. Sales of our products will depend, in part, on the extent to which the procedures using our</w:t>
      </w:r>
      <w:r>
        <w:rPr>
          <w:spacing w:val="-47"/>
        </w:rPr>
        <w:t> </w:t>
      </w:r>
      <w:r>
        <w:rPr/>
        <w:t>products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covered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reimbursed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third-party</w:t>
      </w:r>
      <w:r>
        <w:rPr>
          <w:spacing w:val="-2"/>
        </w:rPr>
        <w:t> </w:t>
      </w:r>
      <w:r>
        <w:rPr/>
        <w:t>payors,</w:t>
      </w:r>
      <w:r>
        <w:rPr>
          <w:spacing w:val="-3"/>
        </w:rPr>
        <w:t> </w:t>
      </w:r>
      <w:r>
        <w:rPr/>
        <w:t>including</w:t>
      </w:r>
      <w:r>
        <w:rPr>
          <w:spacing w:val="-2"/>
        </w:rPr>
        <w:t> </w:t>
      </w:r>
      <w:r>
        <w:rPr/>
        <w:t>private</w:t>
      </w:r>
      <w:r>
        <w:rPr>
          <w:spacing w:val="-3"/>
        </w:rPr>
        <w:t> </w:t>
      </w:r>
      <w:r>
        <w:rPr/>
        <w:t>insurers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healthcare</w:t>
      </w:r>
    </w:p>
    <w:p>
      <w:pPr>
        <w:spacing w:after="0" w:line="249" w:lineRule="auto"/>
        <w:jc w:val="both"/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  <w:ind w:right="148" w:firstLine="0"/>
      </w:pPr>
      <w:r>
        <w:rPr/>
        <w:t>programs. Even if a third-party payor covers a particular treatment that uses our products, the resulting</w:t>
      </w:r>
      <w:r>
        <w:rPr>
          <w:spacing w:val="1"/>
        </w:rPr>
        <w:t> </w:t>
      </w:r>
      <w:r>
        <w:rPr/>
        <w:t>reimbursement</w:t>
      </w:r>
      <w:r>
        <w:rPr>
          <w:spacing w:val="-3"/>
        </w:rPr>
        <w:t> </w:t>
      </w:r>
      <w:r>
        <w:rPr/>
        <w:t>rate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adequate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cover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provider’s</w:t>
      </w:r>
      <w:r>
        <w:rPr>
          <w:spacing w:val="-3"/>
        </w:rPr>
        <w:t> </w:t>
      </w:r>
      <w:r>
        <w:rPr/>
        <w:t>cost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purchase</w:t>
      </w:r>
      <w:r>
        <w:rPr>
          <w:spacing w:val="-3"/>
        </w:rPr>
        <w:t> </w:t>
      </w:r>
      <w:r>
        <w:rPr/>
        <w:t>our</w:t>
      </w:r>
      <w:r>
        <w:rPr>
          <w:spacing w:val="-1"/>
        </w:rPr>
        <w:t> </w:t>
      </w:r>
      <w:r>
        <w:rPr/>
        <w:t>products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ensure</w:t>
      </w:r>
      <w:r>
        <w:rPr>
          <w:spacing w:val="-3"/>
        </w:rPr>
        <w:t> </w:t>
      </w:r>
      <w:r>
        <w:rPr/>
        <w:t>such</w:t>
      </w:r>
      <w:r>
        <w:rPr>
          <w:spacing w:val="-2"/>
        </w:rPr>
        <w:t> </w:t>
      </w:r>
      <w:r>
        <w:rPr/>
        <w:t>purchase</w:t>
      </w:r>
      <w:r>
        <w:rPr>
          <w:spacing w:val="-47"/>
        </w:rPr>
        <w:t> </w:t>
      </w:r>
      <w:r>
        <w:rPr/>
        <w:t>is profitable for the provider. As a result, access to adequate coverage and reimbursement for our products by third-</w:t>
      </w:r>
      <w:r>
        <w:rPr>
          <w:spacing w:val="1"/>
        </w:rPr>
        <w:t> </w:t>
      </w:r>
      <w:r>
        <w:rPr/>
        <w:t>party</w:t>
      </w:r>
      <w:r>
        <w:rPr>
          <w:spacing w:val="-1"/>
        </w:rPr>
        <w:t> </w:t>
      </w:r>
      <w:r>
        <w:rPr/>
        <w:t>payors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essential</w:t>
      </w:r>
      <w:r>
        <w:rPr>
          <w:spacing w:val="-2"/>
        </w:rPr>
        <w:t> </w:t>
      </w:r>
      <w:r>
        <w:rPr/>
        <w:t>to the</w:t>
      </w:r>
      <w:r>
        <w:rPr>
          <w:spacing w:val="-1"/>
        </w:rPr>
        <w:t> </w:t>
      </w:r>
      <w:r>
        <w:rPr/>
        <w:t>acceptance</w:t>
      </w:r>
      <w:r>
        <w:rPr>
          <w:spacing w:val="-2"/>
        </w:rPr>
        <w:t> </w:t>
      </w:r>
      <w:r>
        <w:rPr/>
        <w:t>and adoption of</w:t>
      </w:r>
      <w:r>
        <w:rPr>
          <w:spacing w:val="-1"/>
        </w:rPr>
        <w:t> </w:t>
      </w:r>
      <w:r>
        <w:rPr/>
        <w:t>our products</w:t>
      </w:r>
    </w:p>
    <w:p>
      <w:pPr>
        <w:pStyle w:val="BodyText"/>
        <w:spacing w:line="249" w:lineRule="auto" w:before="183"/>
      </w:pPr>
      <w:r>
        <w:rPr/>
        <w:t>Coverage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reimbursement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governmental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third-party</w:t>
      </w:r>
      <w:r>
        <w:rPr>
          <w:spacing w:val="-2"/>
        </w:rPr>
        <w:t> </w:t>
      </w:r>
      <w:r>
        <w:rPr/>
        <w:t>payors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depend</w:t>
      </w:r>
      <w:r>
        <w:rPr>
          <w:spacing w:val="-2"/>
        </w:rPr>
        <w:t> </w:t>
      </w:r>
      <w:r>
        <w:rPr/>
        <w:t>upon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factors,</w:t>
      </w:r>
      <w:r>
        <w:rPr>
          <w:spacing w:val="-47"/>
        </w:rPr>
        <w:t> </w:t>
      </w:r>
      <w:r>
        <w:rPr/>
        <w:t>including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determination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product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service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its</w:t>
      </w:r>
      <w:r>
        <w:rPr>
          <w:spacing w:val="-3"/>
        </w:rPr>
        <w:t> </w:t>
      </w:r>
      <w:r>
        <w:rPr/>
        <w:t>use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administration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2"/>
        </w:rPr>
        <w:t> </w:t>
      </w:r>
      <w:r>
        <w:rPr/>
        <w:t>patient</w:t>
      </w:r>
      <w:r>
        <w:rPr>
          <w:spacing w:val="-3"/>
        </w:rPr>
        <w:t> </w:t>
      </w:r>
      <w:r>
        <w:rPr/>
        <w:t>is: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82" w:after="0"/>
        <w:ind w:left="820" w:right="0" w:hanging="36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covered</w:t>
      </w:r>
      <w:r>
        <w:rPr>
          <w:spacing w:val="-2"/>
          <w:sz w:val="20"/>
        </w:rPr>
        <w:t> </w:t>
      </w:r>
      <w:r>
        <w:rPr>
          <w:sz w:val="20"/>
        </w:rPr>
        <w:t>benefit;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safe,</w:t>
      </w:r>
      <w:r>
        <w:rPr>
          <w:spacing w:val="-5"/>
          <w:sz w:val="20"/>
        </w:rPr>
        <w:t> </w:t>
      </w:r>
      <w:r>
        <w:rPr>
          <w:sz w:val="20"/>
        </w:rPr>
        <w:t>effective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medically</w:t>
      </w:r>
      <w:r>
        <w:rPr>
          <w:spacing w:val="-4"/>
          <w:sz w:val="20"/>
        </w:rPr>
        <w:t> </w:t>
      </w:r>
      <w:r>
        <w:rPr>
          <w:sz w:val="20"/>
        </w:rPr>
        <w:t>necessary;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appropriate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specific</w:t>
      </w:r>
      <w:r>
        <w:rPr>
          <w:spacing w:val="-4"/>
          <w:sz w:val="20"/>
        </w:rPr>
        <w:t> </w:t>
      </w:r>
      <w:r>
        <w:rPr>
          <w:sz w:val="20"/>
        </w:rPr>
        <w:t>patient;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supported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guidelines</w:t>
      </w:r>
      <w:r>
        <w:rPr>
          <w:spacing w:val="-4"/>
          <w:sz w:val="20"/>
        </w:rPr>
        <w:t> </w:t>
      </w:r>
      <w:r>
        <w:rPr>
          <w:sz w:val="20"/>
        </w:rPr>
        <w:t>established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relevant</w:t>
      </w:r>
      <w:r>
        <w:rPr>
          <w:spacing w:val="-5"/>
          <w:sz w:val="20"/>
        </w:rPr>
        <w:t> </w:t>
      </w:r>
      <w:r>
        <w:rPr>
          <w:sz w:val="20"/>
        </w:rPr>
        <w:t>professional</w:t>
      </w:r>
      <w:r>
        <w:rPr>
          <w:spacing w:val="-5"/>
          <w:sz w:val="20"/>
        </w:rPr>
        <w:t> </w:t>
      </w:r>
      <w:r>
        <w:rPr>
          <w:sz w:val="20"/>
        </w:rPr>
        <w:t>societies;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cost-effective;</w:t>
      </w:r>
      <w:r>
        <w:rPr>
          <w:spacing w:val="-6"/>
          <w:sz w:val="20"/>
        </w:rPr>
        <w:t> </w:t>
      </w:r>
      <w:r>
        <w:rPr>
          <w:sz w:val="20"/>
        </w:rPr>
        <w:t>and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neither</w:t>
      </w:r>
      <w:r>
        <w:rPr>
          <w:spacing w:val="-5"/>
          <w:sz w:val="20"/>
        </w:rPr>
        <w:t> </w:t>
      </w:r>
      <w:r>
        <w:rPr>
          <w:sz w:val="20"/>
        </w:rPr>
        <w:t>experimental</w:t>
      </w:r>
      <w:r>
        <w:rPr>
          <w:spacing w:val="-6"/>
          <w:sz w:val="20"/>
        </w:rPr>
        <w:t> </w:t>
      </w:r>
      <w:r>
        <w:rPr>
          <w:sz w:val="20"/>
        </w:rPr>
        <w:t>nor</w:t>
      </w:r>
      <w:r>
        <w:rPr>
          <w:spacing w:val="-5"/>
          <w:sz w:val="20"/>
        </w:rPr>
        <w:t> </w:t>
      </w:r>
      <w:r>
        <w:rPr>
          <w:sz w:val="20"/>
        </w:rPr>
        <w:t>investigational.</w:t>
      </w:r>
    </w:p>
    <w:p>
      <w:pPr>
        <w:pStyle w:val="BodyText"/>
        <w:spacing w:line="249" w:lineRule="auto"/>
        <w:ind w:right="121"/>
      </w:pPr>
      <w:r>
        <w:rPr/>
        <w:t>Our</w:t>
      </w:r>
      <w:r>
        <w:rPr>
          <w:spacing w:val="1"/>
        </w:rPr>
        <w:t> </w:t>
      </w:r>
      <w:r>
        <w:rPr/>
        <w:t>customers</w:t>
      </w:r>
      <w:r>
        <w:rPr>
          <w:spacing w:val="1"/>
        </w:rPr>
        <w:t> </w:t>
      </w:r>
      <w:r>
        <w:rPr/>
        <w:t>typically</w:t>
      </w:r>
      <w:r>
        <w:rPr>
          <w:spacing w:val="2"/>
        </w:rPr>
        <w:t> </w:t>
      </w:r>
      <w:r>
        <w:rPr/>
        <w:t>bill</w:t>
      </w:r>
      <w:r>
        <w:rPr>
          <w:spacing w:val="1"/>
        </w:rPr>
        <w:t> </w:t>
      </w:r>
      <w:r>
        <w:rPr/>
        <w:t>third-party</w:t>
      </w:r>
      <w:r>
        <w:rPr>
          <w:spacing w:val="2"/>
        </w:rPr>
        <w:t> </w:t>
      </w:r>
      <w:r>
        <w:rPr/>
        <w:t>payors</w:t>
      </w:r>
      <w:r>
        <w:rPr>
          <w:spacing w:val="1"/>
        </w:rPr>
        <w:t> </w:t>
      </w:r>
      <w:r>
        <w:rPr/>
        <w:t>for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costs</w:t>
      </w:r>
      <w:r>
        <w:rPr>
          <w:spacing w:val="1"/>
        </w:rPr>
        <w:t> </w:t>
      </w:r>
      <w:r>
        <w:rPr/>
        <w:t>and</w:t>
      </w:r>
      <w:r>
        <w:rPr>
          <w:spacing w:val="2"/>
        </w:rPr>
        <w:t> </w:t>
      </w:r>
      <w:r>
        <w:rPr/>
        <w:t>fees</w:t>
      </w:r>
      <w:r>
        <w:rPr>
          <w:spacing w:val="1"/>
        </w:rPr>
        <w:t> </w:t>
      </w:r>
      <w:r>
        <w:rPr/>
        <w:t>associated</w:t>
      </w:r>
      <w:r>
        <w:rPr>
          <w:spacing w:val="2"/>
        </w:rPr>
        <w:t> </w:t>
      </w:r>
      <w:r>
        <w:rPr/>
        <w:t>with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procedures</w:t>
      </w:r>
      <w:r>
        <w:rPr>
          <w:spacing w:val="1"/>
        </w:rPr>
        <w:t> </w:t>
      </w:r>
      <w:r>
        <w:rPr/>
        <w:t>in</w:t>
      </w:r>
      <w:r>
        <w:rPr>
          <w:spacing w:val="2"/>
        </w:rPr>
        <w:t> </w:t>
      </w:r>
      <w:r>
        <w:rPr/>
        <w:t>which</w:t>
      </w:r>
      <w:r>
        <w:rPr>
          <w:spacing w:val="1"/>
        </w:rPr>
        <w:t> </w:t>
      </w:r>
      <w:r>
        <w:rPr/>
        <w:t>our products are used. Because there is often no separate reimbursement for supplies used in surgical procedures or</w:t>
      </w:r>
      <w:r>
        <w:rPr>
          <w:spacing w:val="1"/>
        </w:rPr>
        <w:t> </w:t>
      </w:r>
      <w:r>
        <w:rPr/>
        <w:t>for the purchase of the capital equipment needed to perform a procedure, the additional cost associated with the use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products</w:t>
      </w:r>
      <w:r>
        <w:rPr>
          <w:spacing w:val="-3"/>
        </w:rPr>
        <w:t> </w:t>
      </w:r>
      <w:r>
        <w:rPr/>
        <w:t>can</w:t>
      </w:r>
      <w:r>
        <w:rPr>
          <w:spacing w:val="-1"/>
        </w:rPr>
        <w:t> </w:t>
      </w:r>
      <w:r>
        <w:rPr/>
        <w:t>affect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profit</w:t>
      </w:r>
      <w:r>
        <w:rPr>
          <w:spacing w:val="-2"/>
        </w:rPr>
        <w:t> </w:t>
      </w:r>
      <w:r>
        <w:rPr/>
        <w:t>margin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hospital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surgery</w:t>
      </w:r>
      <w:r>
        <w:rPr>
          <w:spacing w:val="-2"/>
        </w:rPr>
        <w:t> </w:t>
      </w:r>
      <w:r>
        <w:rPr/>
        <w:t>center</w:t>
      </w:r>
      <w:r>
        <w:rPr>
          <w:spacing w:val="-2"/>
        </w:rPr>
        <w:t> </w:t>
      </w:r>
      <w:r>
        <w:rPr/>
        <w:t>where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procedure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performed.</w:t>
      </w:r>
      <w:r>
        <w:rPr>
          <w:spacing w:val="-2"/>
        </w:rPr>
        <w:t> </w:t>
      </w:r>
      <w:r>
        <w:rPr/>
        <w:t>Some</w:t>
      </w:r>
      <w:r>
        <w:rPr>
          <w:spacing w:val="-47"/>
        </w:rPr>
        <w:t> </w:t>
      </w:r>
      <w:r>
        <w:rPr/>
        <w:t>of our target customers may be unwilling to adopt our products in light of potential additional associated cost. In</w:t>
      </w:r>
      <w:r>
        <w:rPr>
          <w:spacing w:val="1"/>
        </w:rPr>
        <w:t> </w:t>
      </w:r>
      <w:r>
        <w:rPr/>
        <w:t>addition, customers that perform the procedure may be subject to reimbursement claim denials upon submission of</w:t>
      </w:r>
      <w:r>
        <w:rPr>
          <w:spacing w:val="1"/>
        </w:rPr>
        <w:t> </w:t>
      </w:r>
      <w:r>
        <w:rPr/>
        <w:t>the claim. Customers may also be subject to recovery of overpayments if a payor makes payment for the claim and</w:t>
      </w:r>
      <w:r>
        <w:rPr>
          <w:spacing w:val="1"/>
        </w:rPr>
        <w:t> </w:t>
      </w:r>
      <w:r>
        <w:rPr/>
        <w:t>subsequently</w:t>
      </w:r>
      <w:r>
        <w:rPr>
          <w:spacing w:val="1"/>
        </w:rPr>
        <w:t> </w:t>
      </w:r>
      <w:r>
        <w:rPr/>
        <w:t>determines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payor’s coding,</w:t>
      </w:r>
      <w:r>
        <w:rPr>
          <w:spacing w:val="2"/>
        </w:rPr>
        <w:t> </w:t>
      </w:r>
      <w:r>
        <w:rPr/>
        <w:t>billing</w:t>
      </w:r>
      <w:r>
        <w:rPr>
          <w:spacing w:val="2"/>
        </w:rPr>
        <w:t> </w:t>
      </w:r>
      <w:r>
        <w:rPr/>
        <w:t>or</w:t>
      </w:r>
      <w:r>
        <w:rPr>
          <w:spacing w:val="2"/>
        </w:rPr>
        <w:t> </w:t>
      </w:r>
      <w:r>
        <w:rPr/>
        <w:t>coverage policies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followed.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events,</w:t>
      </w:r>
      <w:r>
        <w:rPr>
          <w:spacing w:val="2"/>
        </w:rPr>
        <w:t> </w:t>
      </w:r>
      <w:r>
        <w:rPr/>
        <w:t>or</w:t>
      </w:r>
      <w:r>
        <w:rPr>
          <w:spacing w:val="1"/>
        </w:rPr>
        <w:t> </w:t>
      </w:r>
      <w:r>
        <w:rPr/>
        <w:t>any other decline in the amount payors are willing to reimburse our customers, could make it difficult for existing</w:t>
      </w:r>
      <w:r>
        <w:rPr>
          <w:spacing w:val="1"/>
        </w:rPr>
        <w:t> </w:t>
      </w:r>
      <w:r>
        <w:rPr/>
        <w:t>customers to continue using or to adopt our products and could create additional pricing pressure for us. If we are</w:t>
      </w:r>
      <w:r>
        <w:rPr>
          <w:spacing w:val="1"/>
        </w:rPr>
        <w:t> </w:t>
      </w:r>
      <w:r>
        <w:rPr/>
        <w:t>forced to lower the price we charge for our products, our gross margins will decrease, which could have a material</w:t>
      </w:r>
      <w:r>
        <w:rPr>
          <w:spacing w:val="1"/>
        </w:rPr>
        <w:t> </w:t>
      </w:r>
      <w:r>
        <w:rPr/>
        <w:t>adverse effect on our business, financial condition and results of operations and impair our ability to grow our</w:t>
      </w:r>
      <w:r>
        <w:rPr>
          <w:spacing w:val="1"/>
        </w:rPr>
        <w:t> </w:t>
      </w:r>
      <w:r>
        <w:rPr/>
        <w:t>business.</w:t>
      </w:r>
    </w:p>
    <w:p>
      <w:pPr>
        <w:pStyle w:val="BodyText"/>
        <w:spacing w:line="249" w:lineRule="auto"/>
        <w:ind w:right="136"/>
      </w:pPr>
      <w:r>
        <w:rPr/>
        <w:t>Third-party payors, whether foreign or domestic, or governmental or commercial, are developing increasingly</w:t>
      </w:r>
      <w:r>
        <w:rPr>
          <w:spacing w:val="1"/>
        </w:rPr>
        <w:t> </w:t>
      </w:r>
      <w:r>
        <w:rPr/>
        <w:t>sophisticated methods of controlling healthcare costs by limiting coverage and the amount of reimbursement for</w:t>
      </w:r>
      <w:r>
        <w:rPr>
          <w:spacing w:val="1"/>
        </w:rPr>
        <w:t> </w:t>
      </w:r>
      <w:r>
        <w:rPr/>
        <w:t>particular</w:t>
      </w:r>
      <w:r>
        <w:rPr>
          <w:spacing w:val="-3"/>
        </w:rPr>
        <w:t> </w:t>
      </w:r>
      <w:r>
        <w:rPr/>
        <w:t>products.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addition,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uniform</w:t>
      </w:r>
      <w:r>
        <w:rPr>
          <w:spacing w:val="-3"/>
        </w:rPr>
        <w:t> </w:t>
      </w:r>
      <w:r>
        <w:rPr/>
        <w:t>policy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coverage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reimbursement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procedures</w:t>
      </w:r>
      <w:r>
        <w:rPr>
          <w:spacing w:val="-3"/>
        </w:rPr>
        <w:t> </w:t>
      </w:r>
      <w:r>
        <w:rPr/>
        <w:t>using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products</w:t>
      </w:r>
      <w:r>
        <w:rPr>
          <w:spacing w:val="-47"/>
        </w:rPr>
        <w:t> </w:t>
      </w:r>
      <w:r>
        <w:rPr/>
        <w:t>exists among third-party payors. Therefore, coverage and reimbursement for procedures using our products can</w:t>
      </w:r>
      <w:r>
        <w:rPr>
          <w:spacing w:val="1"/>
        </w:rPr>
        <w:t> </w:t>
      </w:r>
      <w:r>
        <w:rPr/>
        <w:t>differ significantly from payor to payor. Obtaining coverage and reimbursement can be a time-consuming process</w:t>
      </w:r>
      <w:r>
        <w:rPr>
          <w:spacing w:val="1"/>
        </w:rPr>
        <w:t> </w:t>
      </w:r>
      <w:r>
        <w:rPr/>
        <w:t>that could require us to provide supporting scientific, clinical and cost-effectiveness data for the use of our products.</w:t>
      </w:r>
      <w:r>
        <w:rPr>
          <w:spacing w:val="-47"/>
        </w:rPr>
        <w:t> </w:t>
      </w:r>
      <w:r>
        <w:rPr/>
        <w:t>We may not be able to provide data sufficient to satisfy governmental and third-party payors that procedures using</w:t>
      </w:r>
      <w:r>
        <w:rPr>
          <w:spacing w:val="1"/>
        </w:rPr>
        <w:t> </w:t>
      </w:r>
      <w:r>
        <w:rPr/>
        <w:t>our</w:t>
      </w:r>
      <w:r>
        <w:rPr>
          <w:spacing w:val="-1"/>
        </w:rPr>
        <w:t> </w:t>
      </w:r>
      <w:r>
        <w:rPr/>
        <w:t>products</w:t>
      </w:r>
      <w:r>
        <w:rPr>
          <w:spacing w:val="-1"/>
        </w:rPr>
        <w:t> </w:t>
      </w:r>
      <w:r>
        <w:rPr/>
        <w:t>should be</w:t>
      </w:r>
      <w:r>
        <w:rPr>
          <w:spacing w:val="-1"/>
        </w:rPr>
        <w:t> </w:t>
      </w:r>
      <w:r>
        <w:rPr/>
        <w:t>covered and reimbursed.</w:t>
      </w:r>
    </w:p>
    <w:p>
      <w:pPr>
        <w:pStyle w:val="BodyText"/>
        <w:spacing w:line="249" w:lineRule="auto" w:before="187"/>
        <w:ind w:right="169"/>
      </w:pPr>
      <w:r>
        <w:rPr/>
        <w:t>Payors</w:t>
      </w:r>
      <w:r>
        <w:rPr>
          <w:spacing w:val="-4"/>
        </w:rPr>
        <w:t> </w:t>
      </w:r>
      <w:r>
        <w:rPr/>
        <w:t>continually</w:t>
      </w:r>
      <w:r>
        <w:rPr>
          <w:spacing w:val="-3"/>
        </w:rPr>
        <w:t> </w:t>
      </w:r>
      <w:r>
        <w:rPr/>
        <w:t>review</w:t>
      </w:r>
      <w:r>
        <w:rPr>
          <w:spacing w:val="-3"/>
        </w:rPr>
        <w:t> </w:t>
      </w:r>
      <w:r>
        <w:rPr/>
        <w:t>new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existing</w:t>
      </w:r>
      <w:r>
        <w:rPr>
          <w:spacing w:val="-2"/>
        </w:rPr>
        <w:t> </w:t>
      </w:r>
      <w:r>
        <w:rPr/>
        <w:t>technologies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possible</w:t>
      </w:r>
      <w:r>
        <w:rPr>
          <w:spacing w:val="-3"/>
        </w:rPr>
        <w:t> </w:t>
      </w:r>
      <w:r>
        <w:rPr/>
        <w:t>coverage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can,</w:t>
      </w:r>
      <w:r>
        <w:rPr>
          <w:spacing w:val="-2"/>
        </w:rPr>
        <w:t> </w:t>
      </w:r>
      <w:r>
        <w:rPr/>
        <w:t>without</w:t>
      </w:r>
      <w:r>
        <w:rPr>
          <w:spacing w:val="-4"/>
        </w:rPr>
        <w:t> </w:t>
      </w:r>
      <w:r>
        <w:rPr/>
        <w:t>notice,</w:t>
      </w:r>
      <w:r>
        <w:rPr>
          <w:spacing w:val="-2"/>
        </w:rPr>
        <w:t> </w:t>
      </w:r>
      <w:r>
        <w:rPr/>
        <w:t>deny</w:t>
      </w:r>
      <w:r>
        <w:rPr>
          <w:spacing w:val="-3"/>
        </w:rPr>
        <w:t> </w:t>
      </w:r>
      <w:r>
        <w:rPr/>
        <w:t>or</w:t>
      </w:r>
      <w:r>
        <w:rPr>
          <w:spacing w:val="-47"/>
        </w:rPr>
        <w:t> </w:t>
      </w:r>
      <w:r>
        <w:rPr/>
        <w:t>reverse coverage for new or existing products and procedures. There can be no assurance that third-party payor</w:t>
      </w:r>
      <w:r>
        <w:rPr>
          <w:spacing w:val="1"/>
        </w:rPr>
        <w:t> </w:t>
      </w:r>
      <w:r>
        <w:rPr/>
        <w:t>policies will provide coverage for procedures in which our products are used. Many third-party payors do not</w:t>
      </w:r>
      <w:r>
        <w:rPr>
          <w:spacing w:val="1"/>
        </w:rPr>
        <w:t> </w:t>
      </w:r>
      <w:r>
        <w:rPr/>
        <w:t>currently cover our products and the related procedures because they have determined that our products and the</w:t>
      </w:r>
      <w:r>
        <w:rPr>
          <w:spacing w:val="1"/>
        </w:rPr>
        <w:t> </w:t>
      </w:r>
      <w:r>
        <w:rPr/>
        <w:t>related procedures are experimental or investigational. When our products and the related procedures are</w:t>
      </w:r>
      <w:r>
        <w:rPr>
          <w:spacing w:val="1"/>
        </w:rPr>
        <w:t> </w:t>
      </w:r>
      <w:r>
        <w:rPr/>
        <w:t>reimbursed, they are reimbursed primarily on a per-patient prior authorization basis for patients covered by</w:t>
      </w:r>
      <w:r>
        <w:rPr>
          <w:spacing w:val="1"/>
        </w:rPr>
        <w:t> </w:t>
      </w:r>
      <w:r>
        <w:rPr/>
        <w:t>commercial</w:t>
      </w:r>
      <w:r>
        <w:rPr>
          <w:spacing w:val="-2"/>
        </w:rPr>
        <w:t> </w:t>
      </w:r>
      <w:r>
        <w:rPr/>
        <w:t>insurers.</w:t>
      </w:r>
    </w:p>
    <w:p>
      <w:pPr>
        <w:pStyle w:val="BodyText"/>
        <w:spacing w:line="249" w:lineRule="auto" w:before="186"/>
        <w:ind w:right="212"/>
      </w:pPr>
      <w:r>
        <w:rPr/>
        <w:t>Further, we believe that future coverage and reimbursement may be subject to increased restrictions, such as</w:t>
      </w:r>
      <w:r>
        <w:rPr>
          <w:spacing w:val="1"/>
        </w:rPr>
        <w:t> </w:t>
      </w:r>
      <w:r>
        <w:rPr/>
        <w:t>additional</w:t>
      </w:r>
      <w:r>
        <w:rPr>
          <w:spacing w:val="-5"/>
        </w:rPr>
        <w:t> </w:t>
      </w:r>
      <w:r>
        <w:rPr/>
        <w:t>prior</w:t>
      </w:r>
      <w:r>
        <w:rPr>
          <w:spacing w:val="-3"/>
        </w:rPr>
        <w:t> </w:t>
      </w:r>
      <w:r>
        <w:rPr/>
        <w:t>authorization</w:t>
      </w:r>
      <w:r>
        <w:rPr>
          <w:spacing w:val="-3"/>
        </w:rPr>
        <w:t> </w:t>
      </w:r>
      <w:r>
        <w:rPr/>
        <w:t>requirements,</w:t>
      </w:r>
      <w:r>
        <w:rPr>
          <w:spacing w:val="-4"/>
        </w:rPr>
        <w:t> </w:t>
      </w:r>
      <w:r>
        <w:rPr/>
        <w:t>both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United</w:t>
      </w:r>
      <w:r>
        <w:rPr>
          <w:spacing w:val="-3"/>
        </w:rPr>
        <w:t> </w:t>
      </w:r>
      <w:r>
        <w:rPr/>
        <w:t>States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relevant</w:t>
      </w:r>
      <w:r>
        <w:rPr>
          <w:spacing w:val="-4"/>
        </w:rPr>
        <w:t> </w:t>
      </w:r>
      <w:r>
        <w:rPr/>
        <w:t>international</w:t>
      </w:r>
      <w:r>
        <w:rPr>
          <w:spacing w:val="-4"/>
        </w:rPr>
        <w:t> </w:t>
      </w:r>
      <w:r>
        <w:rPr/>
        <w:t>markets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which</w:t>
      </w:r>
      <w:r>
        <w:rPr>
          <w:spacing w:val="-47"/>
        </w:rPr>
        <w:t> </w:t>
      </w:r>
      <w:r>
        <w:rPr/>
        <w:t>we plan to operate. If Medicare no longer covers any of our products, there would be a material adverse effect on</w:t>
      </w:r>
      <w:r>
        <w:rPr>
          <w:spacing w:val="1"/>
        </w:rPr>
        <w:t> </w:t>
      </w:r>
      <w:r>
        <w:rPr/>
        <w:t>our business, financial condition and results of operations. In addition, Medicare Administrative Contractors could</w:t>
      </w:r>
      <w:r>
        <w:rPr>
          <w:spacing w:val="1"/>
        </w:rPr>
        <w:t> </w:t>
      </w:r>
      <w:r>
        <w:rPr/>
        <w:t>issue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local</w:t>
      </w:r>
      <w:r>
        <w:rPr>
          <w:spacing w:val="-3"/>
        </w:rPr>
        <w:t> </w:t>
      </w:r>
      <w:r>
        <w:rPr/>
        <w:t>coverage</w:t>
      </w:r>
      <w:r>
        <w:rPr>
          <w:spacing w:val="-3"/>
        </w:rPr>
        <w:t> </w:t>
      </w:r>
      <w:r>
        <w:rPr/>
        <w:t>determination</w:t>
      </w:r>
      <w:r>
        <w:rPr>
          <w:spacing w:val="-2"/>
        </w:rPr>
        <w:t> </w:t>
      </w:r>
      <w:r>
        <w:rPr/>
        <w:t>decision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could</w:t>
      </w:r>
      <w:r>
        <w:rPr>
          <w:spacing w:val="-2"/>
        </w:rPr>
        <w:t> </w:t>
      </w:r>
      <w:r>
        <w:rPr/>
        <w:t>restrict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patients</w:t>
      </w:r>
      <w:r>
        <w:rPr>
          <w:spacing w:val="-3"/>
        </w:rPr>
        <w:t> </w:t>
      </w:r>
      <w:r>
        <w:rPr/>
        <w:t>eligible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treatment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our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  <w:ind w:right="129" w:firstLine="0"/>
      </w:pPr>
      <w:r>
        <w:rPr/>
        <w:t>products or in another manner unfavorable to our business. Third-party coverage and reimbursement for procedures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our</w:t>
      </w:r>
      <w:r>
        <w:rPr>
          <w:spacing w:val="2"/>
        </w:rPr>
        <w:t> </w:t>
      </w:r>
      <w:r>
        <w:rPr/>
        <w:t>products</w:t>
      </w:r>
      <w:r>
        <w:rPr>
          <w:spacing w:val="1"/>
        </w:rPr>
        <w:t> </w:t>
      </w:r>
      <w:r>
        <w:rPr/>
        <w:t>or</w:t>
      </w:r>
      <w:r>
        <w:rPr>
          <w:spacing w:val="2"/>
        </w:rPr>
        <w:t> </w:t>
      </w:r>
      <w:r>
        <w:rPr/>
        <w:t>any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our</w:t>
      </w:r>
      <w:r>
        <w:rPr>
          <w:spacing w:val="2"/>
        </w:rPr>
        <w:t> </w:t>
      </w:r>
      <w:r>
        <w:rPr/>
        <w:t>products</w:t>
      </w:r>
      <w:r>
        <w:rPr>
          <w:spacing w:val="1"/>
        </w:rPr>
        <w:t> </w:t>
      </w:r>
      <w:r>
        <w:rPr/>
        <w:t>in</w:t>
      </w:r>
      <w:r>
        <w:rPr>
          <w:spacing w:val="2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for</w:t>
      </w:r>
      <w:r>
        <w:rPr>
          <w:spacing w:val="2"/>
        </w:rPr>
        <w:t> </w:t>
      </w:r>
      <w:r>
        <w:rPr/>
        <w:t>which</w:t>
      </w:r>
      <w:r>
        <w:rPr>
          <w:spacing w:val="2"/>
        </w:rPr>
        <w:t> </w:t>
      </w:r>
      <w:r>
        <w:rPr/>
        <w:t>we</w:t>
      </w:r>
      <w:r>
        <w:rPr>
          <w:spacing w:val="1"/>
        </w:rPr>
        <w:t> </w:t>
      </w:r>
      <w:r>
        <w:rPr/>
        <w:t>may</w:t>
      </w:r>
      <w:r>
        <w:rPr>
          <w:spacing w:val="2"/>
        </w:rPr>
        <w:t> </w:t>
      </w:r>
      <w:r>
        <w:rPr/>
        <w:t>receive</w:t>
      </w:r>
      <w:r>
        <w:rPr>
          <w:spacing w:val="1"/>
        </w:rPr>
        <w:t> </w:t>
      </w:r>
      <w:r>
        <w:rPr/>
        <w:t>regulatory</w:t>
      </w:r>
      <w:r>
        <w:rPr>
          <w:spacing w:val="2"/>
        </w:rPr>
        <w:t> </w:t>
      </w:r>
      <w:r>
        <w:rPr/>
        <w:t>clearance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approval may not be available or adequate in either the United States or international markets. Further, other BPH</w:t>
      </w:r>
      <w:r>
        <w:rPr>
          <w:spacing w:val="1"/>
        </w:rPr>
        <w:t> </w:t>
      </w:r>
      <w:r>
        <w:rPr/>
        <w:t>treatments</w:t>
      </w:r>
      <w:r>
        <w:rPr>
          <w:spacing w:val="-4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more</w:t>
      </w:r>
      <w:r>
        <w:rPr>
          <w:spacing w:val="-4"/>
        </w:rPr>
        <w:t> </w:t>
      </w:r>
      <w:r>
        <w:rPr/>
        <w:t>widely</w:t>
      </w:r>
      <w:r>
        <w:rPr>
          <w:spacing w:val="-3"/>
        </w:rPr>
        <w:t> </w:t>
      </w:r>
      <w:r>
        <w:rPr/>
        <w:t>covered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subject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different</w:t>
      </w:r>
      <w:r>
        <w:rPr>
          <w:spacing w:val="-4"/>
        </w:rPr>
        <w:t> </w:t>
      </w:r>
      <w:r>
        <w:rPr/>
        <w:t>co-pay</w:t>
      </w:r>
      <w:r>
        <w:rPr>
          <w:spacing w:val="-3"/>
        </w:rPr>
        <w:t> </w:t>
      </w:r>
      <w:r>
        <w:rPr/>
        <w:t>policies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requirements,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could</w:t>
      </w:r>
      <w:r>
        <w:rPr>
          <w:spacing w:val="-3"/>
        </w:rPr>
        <w:t> </w:t>
      </w:r>
      <w:r>
        <w:rPr/>
        <w:t>impact</w:t>
      </w:r>
      <w:r>
        <w:rPr>
          <w:spacing w:val="-47"/>
        </w:rPr>
        <w:t> </w:t>
      </w:r>
      <w:r>
        <w:rPr/>
        <w:t>demand for our products. If hospital, surgeon and/or patient demand for our products is adversely affected by</w:t>
      </w:r>
      <w:r>
        <w:rPr>
          <w:spacing w:val="1"/>
        </w:rPr>
        <w:t> </w:t>
      </w:r>
      <w:r>
        <w:rPr/>
        <w:t>changes in third-party reimbursement policies and decisions, it could have a material adverse effect on our business,</w:t>
      </w:r>
      <w:r>
        <w:rPr>
          <w:spacing w:val="1"/>
        </w:rPr>
        <w:t> </w:t>
      </w:r>
      <w:r>
        <w:rPr/>
        <w:t>financial</w:t>
      </w:r>
      <w:r>
        <w:rPr>
          <w:spacing w:val="-2"/>
        </w:rPr>
        <w:t> </w:t>
      </w:r>
      <w:r>
        <w:rPr/>
        <w:t>condition and results</w:t>
      </w:r>
      <w:r>
        <w:rPr>
          <w:spacing w:val="-1"/>
        </w:rPr>
        <w:t> </w:t>
      </w:r>
      <w:r>
        <w:rPr/>
        <w:t>of operations.</w:t>
      </w:r>
    </w:p>
    <w:p>
      <w:pPr>
        <w:pStyle w:val="Heading3"/>
        <w:spacing w:line="249" w:lineRule="auto" w:before="182"/>
      </w:pPr>
      <w:r>
        <w:rPr>
          <w:i/>
        </w:rPr>
        <w:t>We</w:t>
      </w:r>
      <w:r>
        <w:rPr>
          <w:i/>
          <w:spacing w:val="-4"/>
        </w:rPr>
        <w:t> </w:t>
      </w:r>
      <w:r>
        <w:rPr>
          <w:i/>
        </w:rPr>
        <w:t>face</w:t>
      </w:r>
      <w:r>
        <w:rPr>
          <w:i/>
          <w:spacing w:val="-4"/>
        </w:rPr>
        <w:t> </w:t>
      </w:r>
      <w:r>
        <w:rPr>
          <w:i/>
        </w:rPr>
        <w:t>competition</w:t>
      </w:r>
      <w:r>
        <w:rPr>
          <w:i/>
          <w:spacing w:val="-4"/>
        </w:rPr>
        <w:t> </w:t>
      </w:r>
      <w:r>
        <w:rPr>
          <w:i/>
        </w:rPr>
        <w:t>from</w:t>
      </w:r>
      <w:r>
        <w:rPr>
          <w:i/>
          <w:spacing w:val="-4"/>
        </w:rPr>
        <w:t> </w:t>
      </w:r>
      <w:r>
        <w:rPr>
          <w:i/>
        </w:rPr>
        <w:t>many</w:t>
      </w:r>
      <w:r>
        <w:rPr>
          <w:i/>
          <w:spacing w:val="-3"/>
        </w:rPr>
        <w:t> </w:t>
      </w:r>
      <w:r>
        <w:rPr>
          <w:i/>
        </w:rPr>
        <w:t>sources,</w:t>
      </w:r>
      <w:r>
        <w:rPr>
          <w:i/>
          <w:spacing w:val="-3"/>
        </w:rPr>
        <w:t> </w:t>
      </w:r>
      <w:r>
        <w:rPr>
          <w:i/>
        </w:rPr>
        <w:t>including</w:t>
      </w:r>
      <w:r>
        <w:rPr>
          <w:i/>
          <w:spacing w:val="-3"/>
        </w:rPr>
        <w:t> </w:t>
      </w:r>
      <w:r>
        <w:rPr>
          <w:i/>
        </w:rPr>
        <w:t>larger</w:t>
      </w:r>
      <w:r>
        <w:rPr>
          <w:i/>
          <w:spacing w:val="-4"/>
        </w:rPr>
        <w:t> </w:t>
      </w:r>
      <w:r>
        <w:rPr>
          <w:i/>
        </w:rPr>
        <w:t>companies,</w:t>
      </w:r>
      <w:r>
        <w:rPr>
          <w:i/>
          <w:spacing w:val="-3"/>
        </w:rPr>
        <w:t> </w:t>
      </w:r>
      <w:r>
        <w:rPr>
          <w:i/>
        </w:rPr>
        <w:t>and</w:t>
      </w:r>
      <w:r>
        <w:rPr>
          <w:i/>
          <w:spacing w:val="-3"/>
        </w:rPr>
        <w:t> </w:t>
      </w:r>
      <w:r>
        <w:rPr>
          <w:i/>
        </w:rPr>
        <w:t>we</w:t>
      </w:r>
      <w:r>
        <w:rPr>
          <w:i/>
          <w:spacing w:val="-3"/>
        </w:rPr>
        <w:t> </w:t>
      </w:r>
      <w:r>
        <w:rPr>
          <w:i/>
        </w:rPr>
        <w:t>may</w:t>
      </w:r>
      <w:r>
        <w:rPr>
          <w:i/>
          <w:spacing w:val="-4"/>
        </w:rPr>
        <w:t> </w:t>
      </w:r>
      <w:r>
        <w:rPr>
          <w:i/>
        </w:rPr>
        <w:t>be</w:t>
      </w:r>
      <w:r>
        <w:rPr>
          <w:i/>
          <w:spacing w:val="-4"/>
        </w:rPr>
        <w:t> </w:t>
      </w:r>
      <w:r>
        <w:rPr>
          <w:i/>
        </w:rPr>
        <w:t>unable</w:t>
      </w:r>
      <w:r>
        <w:rPr>
          <w:i/>
          <w:spacing w:val="-4"/>
        </w:rPr>
        <w:t> </w:t>
      </w:r>
      <w:r>
        <w:rPr>
          <w:i/>
        </w:rPr>
        <w:t>to</w:t>
      </w:r>
      <w:r>
        <w:rPr>
          <w:i/>
          <w:spacing w:val="-3"/>
        </w:rPr>
        <w:t> </w:t>
      </w:r>
      <w:r>
        <w:rPr>
          <w:i/>
        </w:rPr>
        <w:t>compete</w:t>
      </w:r>
      <w:r>
        <w:rPr>
          <w:i/>
          <w:spacing w:val="-47"/>
        </w:rPr>
        <w:t> </w:t>
      </w:r>
      <w:r>
        <w:rPr/>
        <w:t>successfully.</w:t>
      </w:r>
    </w:p>
    <w:p>
      <w:pPr>
        <w:pStyle w:val="BodyText"/>
        <w:spacing w:line="249" w:lineRule="auto" w:before="185"/>
        <w:ind w:right="169"/>
      </w:pPr>
      <w:r>
        <w:rPr/>
        <w:t>The medical device industry is highly competitive, subject to rapid change and significantly affected by the</w:t>
      </w:r>
      <w:r>
        <w:rPr>
          <w:spacing w:val="1"/>
        </w:rPr>
        <w:t> </w:t>
      </w:r>
      <w:r>
        <w:rPr/>
        <w:t>introduction of new products and technologies and other activities of industry participants. We compete with</w:t>
      </w:r>
      <w:r>
        <w:rPr>
          <w:spacing w:val="1"/>
        </w:rPr>
        <w:t> </w:t>
      </w:r>
      <w:r>
        <w:rPr/>
        <w:t>pharmaceutical products marketed to treat BPH, such as Flomax marketed by Boehringer Ingelheim, Rapaflow</w:t>
      </w:r>
      <w:r>
        <w:rPr>
          <w:spacing w:val="1"/>
        </w:rPr>
        <w:t> </w:t>
      </w:r>
      <w:r>
        <w:rPr/>
        <w:t>marketed by Allergan plc, Avodart marketed by GlaxoSmithKline plc, and Proscar marketed by Merck &amp; Co., Inc.,</w:t>
      </w:r>
      <w:r>
        <w:rPr>
          <w:spacing w:val="1"/>
        </w:rPr>
        <w:t> </w:t>
      </w:r>
      <w:r>
        <w:rPr/>
        <w:t>and with medical device companies that manufacture resective or non-resective surgical alternatives for treating</w:t>
      </w:r>
      <w:r>
        <w:rPr>
          <w:spacing w:val="1"/>
        </w:rPr>
        <w:t> </w:t>
      </w:r>
      <w:r>
        <w:rPr/>
        <w:t>BPH. Resective alternatives include devices for the TURP procedure, laser-based therapies and simple</w:t>
      </w:r>
      <w:r>
        <w:rPr>
          <w:spacing w:val="1"/>
        </w:rPr>
        <w:t> </w:t>
      </w:r>
      <w:r>
        <w:rPr/>
        <w:t>prostatectomy, each of which is intended to remove the prostate tissue, and non-resective alternatives such as</w:t>
      </w:r>
      <w:r>
        <w:rPr>
          <w:spacing w:val="1"/>
        </w:rPr>
        <w:t> </w:t>
      </w:r>
      <w:r>
        <w:rPr/>
        <w:t>UroLift marketed by Teleflex Incorporated and Rezum marketed by Boston Scientific Corporation, which are</w:t>
      </w:r>
      <w:r>
        <w:rPr>
          <w:spacing w:val="1"/>
        </w:rPr>
        <w:t> </w:t>
      </w:r>
      <w:r>
        <w:rPr/>
        <w:t>intended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reshape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prostate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widen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cavity.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primary</w:t>
      </w:r>
      <w:r>
        <w:rPr>
          <w:spacing w:val="-3"/>
        </w:rPr>
        <w:t> </w:t>
      </w:r>
      <w:r>
        <w:rPr/>
        <w:t>medical</w:t>
      </w:r>
      <w:r>
        <w:rPr>
          <w:spacing w:val="-4"/>
        </w:rPr>
        <w:t> </w:t>
      </w:r>
      <w:r>
        <w:rPr/>
        <w:t>device</w:t>
      </w:r>
      <w:r>
        <w:rPr>
          <w:spacing w:val="-4"/>
        </w:rPr>
        <w:t> </w:t>
      </w:r>
      <w:r>
        <w:rPr/>
        <w:t>competitors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Boston</w:t>
      </w:r>
      <w:r>
        <w:rPr>
          <w:spacing w:val="-3"/>
        </w:rPr>
        <w:t> </w:t>
      </w:r>
      <w:r>
        <w:rPr/>
        <w:t>Scientific</w:t>
      </w:r>
      <w:r>
        <w:rPr>
          <w:spacing w:val="-47"/>
        </w:rPr>
        <w:t> </w:t>
      </w:r>
      <w:r>
        <w:rPr/>
        <w:t>Corporation and smaller companies that have single products or a limited range of products. Moreover, other</w:t>
      </w:r>
      <w:r>
        <w:rPr>
          <w:spacing w:val="1"/>
        </w:rPr>
        <w:t> </w:t>
      </w:r>
      <w:r>
        <w:rPr/>
        <w:t>products that are in current clinical trials, new drugs or additional indications for existing drugs could demonstrate</w:t>
      </w:r>
      <w:r>
        <w:rPr>
          <w:spacing w:val="1"/>
        </w:rPr>
        <w:t> </w:t>
      </w:r>
      <w:r>
        <w:rPr/>
        <w:t>better safety, effectiveness, clinical results, lower costs or greater physician and market acceptance than our</w:t>
      </w:r>
      <w:r>
        <w:rPr>
          <w:spacing w:val="1"/>
        </w:rPr>
        <w:t> </w:t>
      </w:r>
      <w:r>
        <w:rPr/>
        <w:t>products.</w:t>
      </w:r>
    </w:p>
    <w:p>
      <w:pPr>
        <w:pStyle w:val="BodyText"/>
        <w:spacing w:line="249" w:lineRule="auto" w:before="191"/>
        <w:ind w:right="212"/>
      </w:pPr>
      <w:r>
        <w:rPr/>
        <w:t>We compete, or may compete in the future, against other companies which have longer, more established</w:t>
      </w:r>
      <w:r>
        <w:rPr>
          <w:spacing w:val="1"/>
        </w:rPr>
        <w:t> </w:t>
      </w:r>
      <w:r>
        <w:rPr/>
        <w:t>operating</w:t>
      </w:r>
      <w:r>
        <w:rPr>
          <w:spacing w:val="-5"/>
        </w:rPr>
        <w:t> </w:t>
      </w:r>
      <w:r>
        <w:rPr/>
        <w:t>histories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significantly</w:t>
      </w:r>
      <w:r>
        <w:rPr>
          <w:spacing w:val="-4"/>
        </w:rPr>
        <w:t> </w:t>
      </w:r>
      <w:r>
        <w:rPr/>
        <w:t>greater</w:t>
      </w:r>
      <w:r>
        <w:rPr>
          <w:spacing w:val="-5"/>
        </w:rPr>
        <w:t> </w:t>
      </w:r>
      <w:r>
        <w:rPr/>
        <w:t>financial,</w:t>
      </w:r>
      <w:r>
        <w:rPr>
          <w:spacing w:val="-5"/>
        </w:rPr>
        <w:t> </w:t>
      </w:r>
      <w:r>
        <w:rPr/>
        <w:t>technical,</w:t>
      </w:r>
      <w:r>
        <w:rPr>
          <w:spacing w:val="-4"/>
        </w:rPr>
        <w:t> </w:t>
      </w:r>
      <w:r>
        <w:rPr/>
        <w:t>marketing,</w:t>
      </w:r>
      <w:r>
        <w:rPr>
          <w:spacing w:val="-5"/>
        </w:rPr>
        <w:t> </w:t>
      </w:r>
      <w:r>
        <w:rPr/>
        <w:t>sales,</w:t>
      </w:r>
      <w:r>
        <w:rPr>
          <w:spacing w:val="-4"/>
        </w:rPr>
        <w:t> </w:t>
      </w:r>
      <w:r>
        <w:rPr/>
        <w:t>distribution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other</w:t>
      </w:r>
      <w:r>
        <w:rPr>
          <w:spacing w:val="-5"/>
        </w:rPr>
        <w:t> </w:t>
      </w:r>
      <w:r>
        <w:rPr/>
        <w:t>resources,</w:t>
      </w:r>
      <w:r>
        <w:rPr>
          <w:spacing w:val="-47"/>
        </w:rPr>
        <w:t> </w:t>
      </w:r>
      <w:r>
        <w:rPr/>
        <w:t>which may prevent us from achieving significant market penetration or improved operating results. These</w:t>
      </w:r>
      <w:r>
        <w:rPr>
          <w:spacing w:val="1"/>
        </w:rPr>
        <w:t> </w:t>
      </w:r>
      <w:r>
        <w:rPr/>
        <w:t>companies</w:t>
      </w:r>
      <w:r>
        <w:rPr>
          <w:spacing w:val="-2"/>
        </w:rPr>
        <w:t> </w:t>
      </w:r>
      <w:r>
        <w:rPr/>
        <w:t>may enjoy</w:t>
      </w:r>
      <w:r>
        <w:rPr>
          <w:spacing w:val="-1"/>
        </w:rPr>
        <w:t> </w:t>
      </w:r>
      <w:r>
        <w:rPr/>
        <w:t>several</w:t>
      </w:r>
      <w:r>
        <w:rPr>
          <w:spacing w:val="-1"/>
        </w:rPr>
        <w:t> </w:t>
      </w:r>
      <w:r>
        <w:rPr/>
        <w:t>competitive</w:t>
      </w:r>
      <w:r>
        <w:rPr>
          <w:spacing w:val="-1"/>
        </w:rPr>
        <w:t> </w:t>
      </w:r>
      <w:r>
        <w:rPr/>
        <w:t>advantages,</w:t>
      </w:r>
      <w:r>
        <w:rPr>
          <w:spacing w:val="-1"/>
        </w:rPr>
        <w:t> </w:t>
      </w:r>
      <w:r>
        <w:rPr/>
        <w:t>including: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9" w:lineRule="auto" w:before="183" w:after="0"/>
        <w:ind w:left="820" w:right="407" w:hanging="360"/>
        <w:jc w:val="left"/>
        <w:rPr>
          <w:sz w:val="20"/>
        </w:rPr>
      </w:pPr>
      <w:r>
        <w:rPr>
          <w:sz w:val="20"/>
        </w:rPr>
        <w:t>established</w:t>
      </w:r>
      <w:r>
        <w:rPr>
          <w:spacing w:val="-4"/>
          <w:sz w:val="20"/>
        </w:rPr>
        <w:t> </w:t>
      </w:r>
      <w:r>
        <w:rPr>
          <w:sz w:val="20"/>
        </w:rPr>
        <w:t>treatment</w:t>
      </w:r>
      <w:r>
        <w:rPr>
          <w:spacing w:val="-4"/>
          <w:sz w:val="20"/>
        </w:rPr>
        <w:t> </w:t>
      </w:r>
      <w:r>
        <w:rPr>
          <w:sz w:val="20"/>
        </w:rPr>
        <w:t>patterns</w:t>
      </w:r>
      <w:r>
        <w:rPr>
          <w:spacing w:val="-4"/>
          <w:sz w:val="20"/>
        </w:rPr>
        <w:t> </w:t>
      </w:r>
      <w:r>
        <w:rPr>
          <w:sz w:val="20"/>
        </w:rPr>
        <w:t>pursuant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drugs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generally</w:t>
      </w:r>
      <w:r>
        <w:rPr>
          <w:spacing w:val="-3"/>
          <w:sz w:val="20"/>
        </w:rPr>
        <w:t> </w:t>
      </w:r>
      <w:r>
        <w:rPr>
          <w:sz w:val="20"/>
        </w:rPr>
        <w:t>first-line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concurrent</w:t>
      </w:r>
      <w:r>
        <w:rPr>
          <w:spacing w:val="-5"/>
          <w:sz w:val="20"/>
        </w:rPr>
        <w:t> </w:t>
      </w:r>
      <w:r>
        <w:rPr>
          <w:sz w:val="20"/>
        </w:rPr>
        <w:t>therapies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7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treatment</w:t>
      </w:r>
      <w:r>
        <w:rPr>
          <w:spacing w:val="-1"/>
          <w:sz w:val="20"/>
        </w:rPr>
        <w:t> </w:t>
      </w:r>
      <w:r>
        <w:rPr>
          <w:sz w:val="20"/>
        </w:rPr>
        <w:t>of BPH;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9" w:lineRule="auto" w:before="182" w:after="0"/>
        <w:ind w:left="820" w:right="229" w:hanging="360"/>
        <w:jc w:val="left"/>
        <w:rPr>
          <w:sz w:val="20"/>
        </w:rPr>
      </w:pPr>
      <w:r>
        <w:rPr>
          <w:sz w:val="20"/>
        </w:rPr>
        <w:t>established</w:t>
      </w:r>
      <w:r>
        <w:rPr>
          <w:spacing w:val="-4"/>
          <w:sz w:val="20"/>
        </w:rPr>
        <w:t> </w:t>
      </w:r>
      <w:r>
        <w:rPr>
          <w:sz w:val="20"/>
        </w:rPr>
        <w:t>relationships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hospitals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physicians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familiar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other</w:t>
      </w:r>
      <w:r>
        <w:rPr>
          <w:spacing w:val="-4"/>
          <w:sz w:val="20"/>
        </w:rPr>
        <w:t> </w:t>
      </w:r>
      <w:r>
        <w:rPr>
          <w:sz w:val="20"/>
        </w:rPr>
        <w:t>surgical</w:t>
      </w:r>
      <w:r>
        <w:rPr>
          <w:spacing w:val="-5"/>
          <w:sz w:val="20"/>
        </w:rPr>
        <w:t> </w:t>
      </w:r>
      <w:r>
        <w:rPr>
          <w:sz w:val="20"/>
        </w:rPr>
        <w:t>alternatives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treatment</w:t>
      </w:r>
      <w:r>
        <w:rPr>
          <w:spacing w:val="-1"/>
          <w:sz w:val="20"/>
        </w:rPr>
        <w:t> </w:t>
      </w:r>
      <w:r>
        <w:rPr>
          <w:sz w:val="20"/>
        </w:rPr>
        <w:t>of BPH;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81" w:after="0"/>
        <w:ind w:left="820" w:right="0" w:hanging="360"/>
        <w:jc w:val="left"/>
        <w:rPr>
          <w:sz w:val="20"/>
        </w:rPr>
      </w:pPr>
      <w:r>
        <w:rPr>
          <w:sz w:val="20"/>
        </w:rPr>
        <w:t>greater</w:t>
      </w:r>
      <w:r>
        <w:rPr>
          <w:spacing w:val="-4"/>
          <w:sz w:val="20"/>
        </w:rPr>
        <w:t> </w:t>
      </w:r>
      <w:r>
        <w:rPr>
          <w:sz w:val="20"/>
        </w:rPr>
        <w:t>financial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human</w:t>
      </w:r>
      <w:r>
        <w:rPr>
          <w:spacing w:val="-3"/>
          <w:sz w:val="20"/>
        </w:rPr>
        <w:t> </w:t>
      </w:r>
      <w:r>
        <w:rPr>
          <w:sz w:val="20"/>
        </w:rPr>
        <w:t>capital</w:t>
      </w:r>
      <w:r>
        <w:rPr>
          <w:spacing w:val="-5"/>
          <w:sz w:val="20"/>
        </w:rPr>
        <w:t> </w:t>
      </w:r>
      <w:r>
        <w:rPr>
          <w:sz w:val="20"/>
        </w:rPr>
        <w:t>resources;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significantly</w:t>
      </w:r>
      <w:r>
        <w:rPr>
          <w:spacing w:val="-5"/>
          <w:sz w:val="20"/>
        </w:rPr>
        <w:t> </w:t>
      </w:r>
      <w:r>
        <w:rPr>
          <w:sz w:val="20"/>
        </w:rPr>
        <w:t>greater</w:t>
      </w:r>
      <w:r>
        <w:rPr>
          <w:spacing w:val="-4"/>
          <w:sz w:val="20"/>
        </w:rPr>
        <w:t> </w:t>
      </w:r>
      <w:r>
        <w:rPr>
          <w:sz w:val="20"/>
        </w:rPr>
        <w:t>name</w:t>
      </w:r>
      <w:r>
        <w:rPr>
          <w:spacing w:val="-6"/>
          <w:sz w:val="20"/>
        </w:rPr>
        <w:t> </w:t>
      </w:r>
      <w:r>
        <w:rPr>
          <w:sz w:val="20"/>
        </w:rPr>
        <w:t>recognition;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9" w:lineRule="auto" w:before="190" w:after="0"/>
        <w:ind w:left="820" w:right="257" w:hanging="360"/>
        <w:jc w:val="left"/>
        <w:rPr>
          <w:sz w:val="20"/>
        </w:rPr>
      </w:pPr>
      <w:r>
        <w:rPr>
          <w:sz w:val="20"/>
        </w:rPr>
        <w:t>additional</w:t>
      </w:r>
      <w:r>
        <w:rPr>
          <w:spacing w:val="-4"/>
          <w:sz w:val="20"/>
        </w:rPr>
        <w:t> </w:t>
      </w:r>
      <w:r>
        <w:rPr>
          <w:sz w:val="20"/>
        </w:rPr>
        <w:t>lines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products,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ability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offer</w:t>
      </w:r>
      <w:r>
        <w:rPr>
          <w:spacing w:val="-2"/>
          <w:sz w:val="20"/>
        </w:rPr>
        <w:t> </w:t>
      </w:r>
      <w:r>
        <w:rPr>
          <w:sz w:val="20"/>
        </w:rPr>
        <w:t>rebates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bundle</w:t>
      </w:r>
      <w:r>
        <w:rPr>
          <w:spacing w:val="-3"/>
          <w:sz w:val="20"/>
        </w:rPr>
        <w:t> </w:t>
      </w:r>
      <w:r>
        <w:rPr>
          <w:sz w:val="20"/>
        </w:rPr>
        <w:t>products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offer</w:t>
      </w:r>
      <w:r>
        <w:rPr>
          <w:spacing w:val="-2"/>
          <w:sz w:val="20"/>
        </w:rPr>
        <w:t> </w:t>
      </w:r>
      <w:r>
        <w:rPr>
          <w:sz w:val="20"/>
        </w:rPr>
        <w:t>greater</w:t>
      </w:r>
      <w:r>
        <w:rPr>
          <w:spacing w:val="-2"/>
          <w:sz w:val="20"/>
        </w:rPr>
        <w:t> </w:t>
      </w:r>
      <w:r>
        <w:rPr>
          <w:sz w:val="20"/>
        </w:rPr>
        <w:t>discounts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7"/>
          <w:sz w:val="20"/>
        </w:rPr>
        <w:t> </w:t>
      </w:r>
      <w:r>
        <w:rPr>
          <w:sz w:val="20"/>
        </w:rPr>
        <w:t>incentives</w:t>
      </w:r>
      <w:r>
        <w:rPr>
          <w:spacing w:val="-2"/>
          <w:sz w:val="20"/>
        </w:rPr>
        <w:t> </w:t>
      </w:r>
      <w:r>
        <w:rPr>
          <w:sz w:val="20"/>
        </w:rPr>
        <w:t>to gain a</w:t>
      </w:r>
      <w:r>
        <w:rPr>
          <w:spacing w:val="-1"/>
          <w:sz w:val="20"/>
        </w:rPr>
        <w:t> </w:t>
      </w:r>
      <w:r>
        <w:rPr>
          <w:sz w:val="20"/>
        </w:rPr>
        <w:t>competitive</w:t>
      </w:r>
      <w:r>
        <w:rPr>
          <w:spacing w:val="-2"/>
          <w:sz w:val="20"/>
        </w:rPr>
        <w:t> </w:t>
      </w:r>
      <w:r>
        <w:rPr>
          <w:sz w:val="20"/>
        </w:rPr>
        <w:t>advantage;</w:t>
      </w:r>
      <w:r>
        <w:rPr>
          <w:spacing w:val="-1"/>
          <w:sz w:val="20"/>
        </w:rPr>
        <w:t> </w:t>
      </w:r>
      <w:r>
        <w:rPr>
          <w:sz w:val="20"/>
        </w:rPr>
        <w:t>and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82" w:after="0"/>
        <w:ind w:left="820" w:right="0" w:hanging="360"/>
        <w:jc w:val="left"/>
        <w:rPr>
          <w:sz w:val="20"/>
        </w:rPr>
      </w:pPr>
      <w:r>
        <w:rPr>
          <w:sz w:val="20"/>
        </w:rPr>
        <w:t>established</w:t>
      </w:r>
      <w:r>
        <w:rPr>
          <w:spacing w:val="-5"/>
          <w:sz w:val="20"/>
        </w:rPr>
        <w:t> </w:t>
      </w:r>
      <w:r>
        <w:rPr>
          <w:sz w:val="20"/>
        </w:rPr>
        <w:t>sales,</w:t>
      </w:r>
      <w:r>
        <w:rPr>
          <w:spacing w:val="-5"/>
          <w:sz w:val="20"/>
        </w:rPr>
        <w:t> </w:t>
      </w:r>
      <w:r>
        <w:rPr>
          <w:sz w:val="20"/>
        </w:rPr>
        <w:t>marketing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worldwide</w:t>
      </w:r>
      <w:r>
        <w:rPr>
          <w:spacing w:val="-5"/>
          <w:sz w:val="20"/>
        </w:rPr>
        <w:t> </w:t>
      </w:r>
      <w:r>
        <w:rPr>
          <w:sz w:val="20"/>
        </w:rPr>
        <w:t>distribution</w:t>
      </w:r>
      <w:r>
        <w:rPr>
          <w:spacing w:val="-4"/>
          <w:sz w:val="20"/>
        </w:rPr>
        <w:t> </w:t>
      </w:r>
      <w:r>
        <w:rPr>
          <w:sz w:val="20"/>
        </w:rPr>
        <w:t>networks.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continued</w:t>
      </w:r>
      <w:r>
        <w:rPr>
          <w:spacing w:val="-2"/>
          <w:sz w:val="20"/>
        </w:rPr>
        <w:t> </w:t>
      </w:r>
      <w:r>
        <w:rPr>
          <w:sz w:val="20"/>
        </w:rPr>
        <w:t>success</w:t>
      </w:r>
      <w:r>
        <w:rPr>
          <w:spacing w:val="-3"/>
          <w:sz w:val="20"/>
        </w:rPr>
        <w:t> </w:t>
      </w:r>
      <w:r>
        <w:rPr>
          <w:sz w:val="20"/>
        </w:rPr>
        <w:t>depends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our</w:t>
      </w:r>
      <w:r>
        <w:rPr>
          <w:spacing w:val="-2"/>
          <w:sz w:val="20"/>
        </w:rPr>
        <w:t> </w:t>
      </w:r>
      <w:r>
        <w:rPr>
          <w:sz w:val="20"/>
        </w:rPr>
        <w:t>ability</w:t>
      </w:r>
      <w:r>
        <w:rPr>
          <w:spacing w:val="-3"/>
          <w:sz w:val="20"/>
        </w:rPr>
        <w:t> </w:t>
      </w:r>
      <w:r>
        <w:rPr>
          <w:sz w:val="20"/>
        </w:rPr>
        <w:t>to: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improve</w:t>
      </w:r>
      <w:r>
        <w:rPr>
          <w:spacing w:val="-4"/>
          <w:sz w:val="20"/>
        </w:rPr>
        <w:t> </w:t>
      </w:r>
      <w:r>
        <w:rPr>
          <w:sz w:val="20"/>
        </w:rPr>
        <w:t>outcomes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patients;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maintain</w:t>
      </w:r>
      <w:r>
        <w:rPr>
          <w:spacing w:val="-5"/>
          <w:sz w:val="20"/>
        </w:rPr>
        <w:t> </w:t>
      </w:r>
      <w:r>
        <w:rPr>
          <w:sz w:val="20"/>
        </w:rPr>
        <w:t>product</w:t>
      </w:r>
      <w:r>
        <w:rPr>
          <w:spacing w:val="-5"/>
          <w:sz w:val="20"/>
        </w:rPr>
        <w:t> </w:t>
      </w:r>
      <w:r>
        <w:rPr>
          <w:sz w:val="20"/>
        </w:rPr>
        <w:t>safety,</w:t>
      </w:r>
      <w:r>
        <w:rPr>
          <w:spacing w:val="-4"/>
          <w:sz w:val="20"/>
        </w:rPr>
        <w:t> </w:t>
      </w:r>
      <w:r>
        <w:rPr>
          <w:sz w:val="20"/>
        </w:rPr>
        <w:t>efficacy,</w:t>
      </w:r>
      <w:r>
        <w:rPr>
          <w:spacing w:val="-4"/>
          <w:sz w:val="20"/>
        </w:rPr>
        <w:t> </w:t>
      </w:r>
      <w:r>
        <w:rPr>
          <w:sz w:val="20"/>
        </w:rPr>
        <w:t>reliability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durability;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expand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quality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volume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our</w:t>
      </w:r>
      <w:r>
        <w:rPr>
          <w:spacing w:val="-2"/>
          <w:sz w:val="20"/>
        </w:rPr>
        <w:t> </w:t>
      </w:r>
      <w:r>
        <w:rPr>
          <w:sz w:val="20"/>
        </w:rPr>
        <w:t>clinical</w:t>
      </w:r>
      <w:r>
        <w:rPr>
          <w:spacing w:val="-3"/>
          <w:sz w:val="20"/>
        </w:rPr>
        <w:t> </w:t>
      </w:r>
      <w:r>
        <w:rPr>
          <w:sz w:val="20"/>
        </w:rPr>
        <w:t>data;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effectively</w:t>
      </w:r>
      <w:r>
        <w:rPr>
          <w:spacing w:val="-4"/>
          <w:sz w:val="20"/>
        </w:rPr>
        <w:t> </w:t>
      </w:r>
      <w:r>
        <w:rPr>
          <w:sz w:val="20"/>
        </w:rPr>
        <w:t>market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educate</w:t>
      </w:r>
      <w:r>
        <w:rPr>
          <w:spacing w:val="-5"/>
          <w:sz w:val="20"/>
        </w:rPr>
        <w:t> </w:t>
      </w:r>
      <w:r>
        <w:rPr>
          <w:sz w:val="20"/>
        </w:rPr>
        <w:t>patients,</w:t>
      </w:r>
      <w:r>
        <w:rPr>
          <w:spacing w:val="-3"/>
          <w:sz w:val="20"/>
        </w:rPr>
        <w:t> </w:t>
      </w:r>
      <w:r>
        <w:rPr>
          <w:sz w:val="20"/>
        </w:rPr>
        <w:t>physicians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hospitals;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maintain</w:t>
      </w:r>
      <w:r>
        <w:rPr>
          <w:spacing w:val="-3"/>
          <w:sz w:val="20"/>
        </w:rPr>
        <w:t> </w:t>
      </w:r>
      <w:r>
        <w:rPr>
          <w:sz w:val="20"/>
        </w:rPr>
        <w:t>company,</w:t>
      </w:r>
      <w:r>
        <w:rPr>
          <w:spacing w:val="-3"/>
          <w:sz w:val="20"/>
        </w:rPr>
        <w:t> </w:t>
      </w:r>
      <w:r>
        <w:rPr>
          <w:sz w:val="20"/>
        </w:rPr>
        <w:t>product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brand</w:t>
      </w:r>
      <w:r>
        <w:rPr>
          <w:spacing w:val="-3"/>
          <w:sz w:val="20"/>
        </w:rPr>
        <w:t> </w:t>
      </w:r>
      <w:r>
        <w:rPr>
          <w:sz w:val="20"/>
        </w:rPr>
        <w:t>recognition;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broaden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sales</w:t>
      </w:r>
      <w:r>
        <w:rPr>
          <w:spacing w:val="-3"/>
          <w:sz w:val="20"/>
        </w:rPr>
        <w:t> </w:t>
      </w:r>
      <w:r>
        <w:rPr>
          <w:sz w:val="20"/>
        </w:rPr>
        <w:t>force</w:t>
      </w:r>
      <w:r>
        <w:rPr>
          <w:spacing w:val="-4"/>
          <w:sz w:val="20"/>
        </w:rPr>
        <w:t> </w:t>
      </w:r>
      <w:r>
        <w:rPr>
          <w:sz w:val="20"/>
        </w:rPr>
        <w:t>experience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access;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741" w:top="1320" w:bottom="940" w:left="1340" w:right="1320"/>
        </w:sectPr>
      </w:pP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72" w:after="0"/>
        <w:ind w:left="820" w:right="0" w:hanging="360"/>
        <w:jc w:val="left"/>
        <w:rPr>
          <w:sz w:val="20"/>
        </w:rPr>
      </w:pPr>
      <w:r>
        <w:rPr>
          <w:sz w:val="20"/>
        </w:rPr>
        <w:t>maintain</w:t>
      </w:r>
      <w:r>
        <w:rPr>
          <w:spacing w:val="-3"/>
          <w:sz w:val="20"/>
        </w:rPr>
        <w:t> </w:t>
      </w:r>
      <w:r>
        <w:rPr>
          <w:sz w:val="20"/>
        </w:rPr>
        <w:t>product</w:t>
      </w:r>
      <w:r>
        <w:rPr>
          <w:spacing w:val="-4"/>
          <w:sz w:val="20"/>
        </w:rPr>
        <w:t> </w:t>
      </w:r>
      <w:r>
        <w:rPr>
          <w:sz w:val="20"/>
        </w:rPr>
        <w:t>support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service;</w:t>
      </w:r>
    </w:p>
    <w:p>
      <w:pPr>
        <w:pStyle w:val="ListParagraph"/>
        <w:numPr>
          <w:ilvl w:val="0"/>
          <w:numId w:val="5"/>
        </w:numPr>
        <w:tabs>
          <w:tab w:pos="820" w:val="left" w:leader="none"/>
        </w:tabs>
        <w:spacing w:line="249" w:lineRule="auto" w:before="190" w:after="0"/>
        <w:ind w:left="820" w:right="722" w:hanging="360"/>
        <w:jc w:val="both"/>
        <w:rPr>
          <w:sz w:val="20"/>
        </w:rPr>
      </w:pPr>
      <w:r>
        <w:rPr>
          <w:sz w:val="20"/>
        </w:rPr>
        <w:t>maintain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widen</w:t>
      </w:r>
      <w:r>
        <w:rPr>
          <w:spacing w:val="-2"/>
          <w:sz w:val="20"/>
        </w:rPr>
        <w:t> </w:t>
      </w: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technology</w:t>
      </w:r>
      <w:r>
        <w:rPr>
          <w:spacing w:val="-2"/>
          <w:sz w:val="20"/>
        </w:rPr>
        <w:t> </w:t>
      </w:r>
      <w:r>
        <w:rPr>
          <w:sz w:val="20"/>
        </w:rPr>
        <w:t>lead</w:t>
      </w:r>
      <w:r>
        <w:rPr>
          <w:spacing w:val="-3"/>
          <w:sz w:val="20"/>
        </w:rPr>
        <w:t> </w:t>
      </w:r>
      <w:r>
        <w:rPr>
          <w:sz w:val="20"/>
        </w:rPr>
        <w:t>over</w:t>
      </w:r>
      <w:r>
        <w:rPr>
          <w:spacing w:val="-3"/>
          <w:sz w:val="20"/>
        </w:rPr>
        <w:t> </w:t>
      </w:r>
      <w:r>
        <w:rPr>
          <w:sz w:val="20"/>
        </w:rPr>
        <w:t>competitors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continuing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innovate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deliver</w:t>
      </w:r>
      <w:r>
        <w:rPr>
          <w:spacing w:val="-3"/>
          <w:sz w:val="20"/>
        </w:rPr>
        <w:t> </w:t>
      </w:r>
      <w:r>
        <w:rPr>
          <w:sz w:val="20"/>
        </w:rPr>
        <w:t>new</w:t>
      </w:r>
      <w:r>
        <w:rPr>
          <w:spacing w:val="-47"/>
          <w:sz w:val="20"/>
        </w:rPr>
        <w:t> </w:t>
      </w:r>
      <w:r>
        <w:rPr>
          <w:sz w:val="20"/>
        </w:rPr>
        <w:t>product</w:t>
      </w:r>
      <w:r>
        <w:rPr>
          <w:spacing w:val="-2"/>
          <w:sz w:val="20"/>
        </w:rPr>
        <w:t> </w:t>
      </w:r>
      <w:r>
        <w:rPr>
          <w:sz w:val="20"/>
        </w:rPr>
        <w:t>enhancements</w:t>
      </w:r>
      <w:r>
        <w:rPr>
          <w:spacing w:val="-1"/>
          <w:sz w:val="20"/>
        </w:rPr>
        <w:t> </w:t>
      </w:r>
      <w:r>
        <w:rPr>
          <w:sz w:val="20"/>
        </w:rPr>
        <w:t>on a</w:t>
      </w:r>
      <w:r>
        <w:rPr>
          <w:spacing w:val="-1"/>
          <w:sz w:val="20"/>
        </w:rPr>
        <w:t> </w:t>
      </w:r>
      <w:r>
        <w:rPr>
          <w:sz w:val="20"/>
        </w:rPr>
        <w:t>continuous</w:t>
      </w:r>
      <w:r>
        <w:rPr>
          <w:spacing w:val="-1"/>
          <w:sz w:val="20"/>
        </w:rPr>
        <w:t> </w:t>
      </w:r>
      <w:r>
        <w:rPr>
          <w:sz w:val="20"/>
        </w:rPr>
        <w:t>basis;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81" w:after="0"/>
        <w:ind w:left="820" w:right="0" w:hanging="360"/>
        <w:jc w:val="left"/>
        <w:rPr>
          <w:sz w:val="20"/>
        </w:rPr>
      </w:pPr>
      <w:r>
        <w:rPr>
          <w:sz w:val="20"/>
        </w:rPr>
        <w:t>develop</w:t>
      </w:r>
      <w:r>
        <w:rPr>
          <w:spacing w:val="-4"/>
          <w:sz w:val="20"/>
        </w:rPr>
        <w:t> </w:t>
      </w:r>
      <w:r>
        <w:rPr>
          <w:sz w:val="20"/>
        </w:rPr>
        <w:t>successful</w:t>
      </w:r>
      <w:r>
        <w:rPr>
          <w:spacing w:val="-5"/>
          <w:sz w:val="20"/>
        </w:rPr>
        <w:t> </w:t>
      </w:r>
      <w:r>
        <w:rPr>
          <w:sz w:val="20"/>
        </w:rPr>
        <w:t>pricing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revenue</w:t>
      </w:r>
      <w:r>
        <w:rPr>
          <w:spacing w:val="-5"/>
          <w:sz w:val="20"/>
        </w:rPr>
        <w:t> </w:t>
      </w:r>
      <w:r>
        <w:rPr>
          <w:sz w:val="20"/>
        </w:rPr>
        <w:t>strategies;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continue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maintain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expand</w:t>
      </w:r>
      <w:r>
        <w:rPr>
          <w:spacing w:val="-2"/>
          <w:sz w:val="20"/>
        </w:rPr>
        <w:t> </w:t>
      </w:r>
      <w:r>
        <w:rPr>
          <w:sz w:val="20"/>
        </w:rPr>
        <w:t>reimbursement</w:t>
      </w:r>
      <w:r>
        <w:rPr>
          <w:spacing w:val="-4"/>
          <w:sz w:val="20"/>
        </w:rPr>
        <w:t> </w:t>
      </w:r>
      <w:r>
        <w:rPr>
          <w:sz w:val="20"/>
        </w:rPr>
        <w:t>coverage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procedures</w:t>
      </w:r>
      <w:r>
        <w:rPr>
          <w:spacing w:val="-3"/>
          <w:sz w:val="20"/>
        </w:rPr>
        <w:t> </w:t>
      </w:r>
      <w:r>
        <w:rPr>
          <w:sz w:val="20"/>
        </w:rPr>
        <w:t>using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2"/>
          <w:sz w:val="20"/>
        </w:rPr>
        <w:t> </w:t>
      </w:r>
      <w:r>
        <w:rPr>
          <w:sz w:val="20"/>
        </w:rPr>
        <w:t>products;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achieve</w:t>
      </w:r>
      <w:r>
        <w:rPr>
          <w:spacing w:val="-4"/>
          <w:sz w:val="20"/>
        </w:rPr>
        <w:t> </w:t>
      </w:r>
      <w:r>
        <w:rPr>
          <w:sz w:val="20"/>
        </w:rPr>
        <w:t>desired</w:t>
      </w:r>
      <w:r>
        <w:rPr>
          <w:spacing w:val="-3"/>
          <w:sz w:val="20"/>
        </w:rPr>
        <w:t> </w:t>
      </w:r>
      <w:r>
        <w:rPr>
          <w:sz w:val="20"/>
        </w:rPr>
        <w:t>regulatory</w:t>
      </w:r>
      <w:r>
        <w:rPr>
          <w:spacing w:val="-3"/>
          <w:sz w:val="20"/>
        </w:rPr>
        <w:t> </w:t>
      </w:r>
      <w:r>
        <w:rPr>
          <w:sz w:val="20"/>
        </w:rPr>
        <w:t>status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speed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market;</w:t>
      </w:r>
      <w:r>
        <w:rPr>
          <w:spacing w:val="-4"/>
          <w:sz w:val="20"/>
        </w:rPr>
        <w:t> </w:t>
      </w:r>
      <w:r>
        <w:rPr>
          <w:sz w:val="20"/>
        </w:rPr>
        <w:t>and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maintain</w:t>
      </w:r>
      <w:r>
        <w:rPr>
          <w:spacing w:val="-7"/>
          <w:sz w:val="20"/>
        </w:rPr>
        <w:t> </w:t>
      </w:r>
      <w:r>
        <w:rPr>
          <w:sz w:val="20"/>
        </w:rPr>
        <w:t>dedicated</w:t>
      </w:r>
      <w:r>
        <w:rPr>
          <w:spacing w:val="-6"/>
          <w:sz w:val="20"/>
        </w:rPr>
        <w:t> </w:t>
      </w:r>
      <w:r>
        <w:rPr>
          <w:sz w:val="20"/>
        </w:rPr>
        <w:t>clinical</w:t>
      </w:r>
      <w:r>
        <w:rPr>
          <w:spacing w:val="-8"/>
          <w:sz w:val="20"/>
        </w:rPr>
        <w:t> </w:t>
      </w:r>
      <w:r>
        <w:rPr>
          <w:sz w:val="20"/>
        </w:rPr>
        <w:t>representatives.</w:t>
      </w:r>
    </w:p>
    <w:p>
      <w:pPr>
        <w:pStyle w:val="BodyText"/>
        <w:spacing w:line="249" w:lineRule="auto"/>
        <w:ind w:right="148"/>
      </w:pPr>
      <w:r>
        <w:rPr/>
        <w:t>One of the major hurdles to adoption of our products will be overcoming established treatment patterns, which</w:t>
      </w:r>
      <w:r>
        <w:rPr>
          <w:spacing w:val="1"/>
        </w:rPr>
        <w:t> </w:t>
      </w:r>
      <w:r>
        <w:rPr/>
        <w:t>will require education of surgeons and supportive clinical data. However, because of the size of the market</w:t>
      </w:r>
      <w:r>
        <w:rPr>
          <w:spacing w:val="1"/>
        </w:rPr>
        <w:t> </w:t>
      </w:r>
      <w:r>
        <w:rPr/>
        <w:t>opportunity for the treatment of BPH, we believe current and potential future competitors will dedicate significant</w:t>
      </w:r>
      <w:r>
        <w:rPr>
          <w:spacing w:val="1"/>
        </w:rPr>
        <w:t> </w:t>
      </w:r>
      <w:r>
        <w:rPr/>
        <w:t>resources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aggressively</w:t>
      </w:r>
      <w:r>
        <w:rPr>
          <w:spacing w:val="-3"/>
        </w:rPr>
        <w:t> </w:t>
      </w:r>
      <w:r>
        <w:rPr/>
        <w:t>promote</w:t>
      </w:r>
      <w:r>
        <w:rPr>
          <w:spacing w:val="-4"/>
        </w:rPr>
        <w:t> </w:t>
      </w:r>
      <w:r>
        <w:rPr/>
        <w:t>their</w:t>
      </w:r>
      <w:r>
        <w:rPr>
          <w:spacing w:val="-3"/>
        </w:rPr>
        <w:t> </w:t>
      </w:r>
      <w:r>
        <w:rPr/>
        <w:t>products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develop</w:t>
      </w:r>
      <w:r>
        <w:rPr>
          <w:spacing w:val="-3"/>
        </w:rPr>
        <w:t> </w:t>
      </w:r>
      <w:r>
        <w:rPr/>
        <w:t>new</w:t>
      </w:r>
      <w:r>
        <w:rPr>
          <w:spacing w:val="-4"/>
        </w:rPr>
        <w:t> </w:t>
      </w:r>
      <w:r>
        <w:rPr/>
        <w:t>products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treatments.</w:t>
      </w:r>
      <w:r>
        <w:rPr>
          <w:spacing w:val="-2"/>
        </w:rPr>
        <w:t> </w:t>
      </w:r>
      <w:r>
        <w:rPr/>
        <w:t>New</w:t>
      </w:r>
      <w:r>
        <w:rPr>
          <w:spacing w:val="-4"/>
        </w:rPr>
        <w:t> </w:t>
      </w:r>
      <w:r>
        <w:rPr/>
        <w:t>treatment</w:t>
      </w:r>
      <w:r>
        <w:rPr>
          <w:spacing w:val="-4"/>
        </w:rPr>
        <w:t> </w:t>
      </w:r>
      <w:r>
        <w:rPr/>
        <w:t>options</w:t>
      </w:r>
      <w:r>
        <w:rPr>
          <w:spacing w:val="-4"/>
        </w:rPr>
        <w:t> </w:t>
      </w:r>
      <w:r>
        <w:rPr/>
        <w:t>may</w:t>
      </w:r>
      <w:r>
        <w:rPr>
          <w:spacing w:val="-47"/>
        </w:rPr>
        <w:t> </w:t>
      </w:r>
      <w:r>
        <w:rPr/>
        <w:t>be developed that could compete more effectively with our products due to the prevalence of BPH and the research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technological</w:t>
      </w:r>
      <w:r>
        <w:rPr>
          <w:spacing w:val="-1"/>
        </w:rPr>
        <w:t> </w:t>
      </w:r>
      <w:r>
        <w:rPr/>
        <w:t>progress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exist</w:t>
      </w:r>
      <w:r>
        <w:rPr>
          <w:spacing w:val="-2"/>
        </w:rPr>
        <w:t> </w:t>
      </w:r>
      <w:r>
        <w:rPr/>
        <w:t>within the</w:t>
      </w:r>
      <w:r>
        <w:rPr>
          <w:spacing w:val="-1"/>
        </w:rPr>
        <w:t> </w:t>
      </w:r>
      <w:r>
        <w:rPr/>
        <w:t>market.</w:t>
      </w:r>
    </w:p>
    <w:p>
      <w:pPr>
        <w:pStyle w:val="Heading3"/>
        <w:spacing w:line="249" w:lineRule="auto" w:before="182"/>
        <w:ind w:right="180"/>
      </w:pPr>
      <w:r>
        <w:rPr>
          <w:i/>
        </w:rPr>
        <w:t>If</w:t>
      </w:r>
      <w:r>
        <w:rPr>
          <w:i/>
          <w:spacing w:val="-3"/>
        </w:rPr>
        <w:t> </w:t>
      </w:r>
      <w:r>
        <w:rPr>
          <w:i/>
        </w:rPr>
        <w:t>we</w:t>
      </w:r>
      <w:r>
        <w:rPr>
          <w:i/>
          <w:spacing w:val="-4"/>
        </w:rPr>
        <w:t> </w:t>
      </w:r>
      <w:r>
        <w:rPr>
          <w:i/>
        </w:rPr>
        <w:t>are</w:t>
      </w:r>
      <w:r>
        <w:rPr>
          <w:i/>
          <w:spacing w:val="-3"/>
        </w:rPr>
        <w:t> </w:t>
      </w:r>
      <w:r>
        <w:rPr>
          <w:i/>
        </w:rPr>
        <w:t>unable</w:t>
      </w:r>
      <w:r>
        <w:rPr>
          <w:i/>
          <w:spacing w:val="-4"/>
        </w:rPr>
        <w:t> </w:t>
      </w:r>
      <w:r>
        <w:rPr>
          <w:i/>
        </w:rPr>
        <w:t>to</w:t>
      </w:r>
      <w:r>
        <w:rPr>
          <w:i/>
          <w:spacing w:val="-3"/>
        </w:rPr>
        <w:t> </w:t>
      </w:r>
      <w:r>
        <w:rPr>
          <w:i/>
        </w:rPr>
        <w:t>continue</w:t>
      </w:r>
      <w:r>
        <w:rPr>
          <w:i/>
          <w:spacing w:val="-3"/>
        </w:rPr>
        <w:t> </w:t>
      </w:r>
      <w:r>
        <w:rPr>
          <w:i/>
        </w:rPr>
        <w:t>to</w:t>
      </w:r>
      <w:r>
        <w:rPr>
          <w:i/>
          <w:spacing w:val="-3"/>
        </w:rPr>
        <w:t> </w:t>
      </w:r>
      <w:r>
        <w:rPr>
          <w:i/>
        </w:rPr>
        <w:t>innovate</w:t>
      </w:r>
      <w:r>
        <w:rPr>
          <w:i/>
          <w:spacing w:val="-4"/>
        </w:rPr>
        <w:t> </w:t>
      </w:r>
      <w:r>
        <w:rPr>
          <w:i/>
        </w:rPr>
        <w:t>and</w:t>
      </w:r>
      <w:r>
        <w:rPr>
          <w:i/>
          <w:spacing w:val="-2"/>
        </w:rPr>
        <w:t> </w:t>
      </w:r>
      <w:r>
        <w:rPr>
          <w:i/>
        </w:rPr>
        <w:t>improve</w:t>
      </w:r>
      <w:r>
        <w:rPr>
          <w:i/>
          <w:spacing w:val="-4"/>
        </w:rPr>
        <w:t> </w:t>
      </w:r>
      <w:r>
        <w:rPr>
          <w:i/>
        </w:rPr>
        <w:t>our</w:t>
      </w:r>
      <w:r>
        <w:rPr>
          <w:i/>
          <w:spacing w:val="-4"/>
        </w:rPr>
        <w:t> </w:t>
      </w:r>
      <w:r>
        <w:rPr>
          <w:i/>
        </w:rPr>
        <w:t>AquaBeam</w:t>
      </w:r>
      <w:r>
        <w:rPr>
          <w:i/>
          <w:spacing w:val="-3"/>
        </w:rPr>
        <w:t> </w:t>
      </w:r>
      <w:r>
        <w:rPr>
          <w:i/>
        </w:rPr>
        <w:t>Robotic</w:t>
      </w:r>
      <w:r>
        <w:rPr>
          <w:i/>
          <w:spacing w:val="-4"/>
        </w:rPr>
        <w:t> </w:t>
      </w:r>
      <w:r>
        <w:rPr>
          <w:i/>
        </w:rPr>
        <w:t>System,</w:t>
      </w:r>
      <w:r>
        <w:rPr>
          <w:i/>
          <w:spacing w:val="-3"/>
        </w:rPr>
        <w:t> </w:t>
      </w:r>
      <w:r>
        <w:rPr>
          <w:i/>
        </w:rPr>
        <w:t>we</w:t>
      </w:r>
      <w:r>
        <w:rPr>
          <w:i/>
          <w:spacing w:val="-3"/>
        </w:rPr>
        <w:t> </w:t>
      </w:r>
      <w:r>
        <w:rPr>
          <w:i/>
        </w:rPr>
        <w:t>could</w:t>
      </w:r>
      <w:r>
        <w:rPr>
          <w:i/>
          <w:spacing w:val="-3"/>
        </w:rPr>
        <w:t> </w:t>
      </w:r>
      <w:r>
        <w:rPr>
          <w:i/>
        </w:rPr>
        <w:t>lose</w:t>
      </w:r>
      <w:r>
        <w:rPr>
          <w:i/>
          <w:spacing w:val="-4"/>
        </w:rPr>
        <w:t> </w:t>
      </w:r>
      <w:r>
        <w:rPr>
          <w:i/>
        </w:rPr>
        <w:t>customers</w:t>
      </w:r>
      <w:r>
        <w:rPr>
          <w:i/>
          <w:spacing w:val="-3"/>
        </w:rPr>
        <w:t> </w:t>
      </w:r>
      <w:r>
        <w:rPr>
          <w:i/>
        </w:rPr>
        <w:t>or</w:t>
      </w:r>
      <w:r>
        <w:rPr>
          <w:i/>
          <w:spacing w:val="1"/>
        </w:rPr>
        <w:t> </w:t>
      </w:r>
      <w:r>
        <w:rPr/>
        <w:t>market</w:t>
      </w:r>
      <w:r>
        <w:rPr>
          <w:spacing w:val="-2"/>
        </w:rPr>
        <w:t> </w:t>
      </w:r>
      <w:r>
        <w:rPr/>
        <w:t>share.</w:t>
      </w:r>
    </w:p>
    <w:p>
      <w:pPr>
        <w:pStyle w:val="BodyText"/>
        <w:spacing w:line="249" w:lineRule="auto" w:before="185"/>
        <w:ind w:right="136"/>
      </w:pPr>
      <w:r>
        <w:rPr/>
        <w:t>Our success will depend on our ability to keep ahead of innovative developments in the treatment of BPH. It is</w:t>
      </w:r>
      <w:r>
        <w:rPr>
          <w:spacing w:val="1"/>
        </w:rPr>
        <w:t> </w:t>
      </w:r>
      <w:r>
        <w:rPr/>
        <w:t>critical to our competitiveness that we continue to innovate and make improvements to our AquaBeam Robotic</w:t>
      </w:r>
      <w:r>
        <w:rPr>
          <w:spacing w:val="1"/>
        </w:rPr>
        <w:t> </w:t>
      </w:r>
      <w:r>
        <w:rPr/>
        <w:t>System’s functionality and efficiency. If we fail to make improvements to our AquaBeam Robotic System’s</w:t>
      </w:r>
      <w:r>
        <w:rPr>
          <w:spacing w:val="1"/>
        </w:rPr>
        <w:t> </w:t>
      </w:r>
      <w:r>
        <w:rPr/>
        <w:t>functionality over time, our competitors may develop products that offer features and functionality similar or</w:t>
      </w:r>
      <w:r>
        <w:rPr>
          <w:spacing w:val="1"/>
        </w:rPr>
        <w:t> </w:t>
      </w:r>
      <w:r>
        <w:rPr/>
        <w:t>superior to those of our AquaBeam Robotic System. If we fail to make improvements to our AquaBeam Robotic</w:t>
      </w:r>
      <w:r>
        <w:rPr>
          <w:spacing w:val="1"/>
        </w:rPr>
        <w:t> </w:t>
      </w:r>
      <w:r>
        <w:rPr/>
        <w:t>System’s</w:t>
      </w:r>
      <w:r>
        <w:rPr>
          <w:spacing w:val="-5"/>
        </w:rPr>
        <w:t> </w:t>
      </w:r>
      <w:r>
        <w:rPr/>
        <w:t>efficiency,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competitors</w:t>
      </w:r>
      <w:r>
        <w:rPr>
          <w:spacing w:val="-4"/>
        </w:rPr>
        <w:t> </w:t>
      </w:r>
      <w:r>
        <w:rPr/>
        <w:t>may</w:t>
      </w:r>
      <w:r>
        <w:rPr>
          <w:spacing w:val="-3"/>
        </w:rPr>
        <w:t> </w:t>
      </w:r>
      <w:r>
        <w:rPr/>
        <w:t>develop</w:t>
      </w:r>
      <w:r>
        <w:rPr>
          <w:spacing w:val="-3"/>
        </w:rPr>
        <w:t> </w:t>
      </w:r>
      <w:r>
        <w:rPr/>
        <w:t>products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more</w:t>
      </w:r>
      <w:r>
        <w:rPr>
          <w:spacing w:val="-4"/>
        </w:rPr>
        <w:t> </w:t>
      </w:r>
      <w:r>
        <w:rPr/>
        <w:t>cost-effective</w:t>
      </w:r>
      <w:r>
        <w:rPr>
          <w:spacing w:val="-4"/>
        </w:rPr>
        <w:t> </w:t>
      </w:r>
      <w:r>
        <w:rPr/>
        <w:t>than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AquaBeam</w:t>
      </w:r>
      <w:r>
        <w:rPr>
          <w:spacing w:val="-5"/>
        </w:rPr>
        <w:t> </w:t>
      </w:r>
      <w:r>
        <w:rPr/>
        <w:t>Robotic</w:t>
      </w:r>
      <w:r>
        <w:rPr>
          <w:spacing w:val="-47"/>
        </w:rPr>
        <w:t> </w:t>
      </w:r>
      <w:r>
        <w:rPr/>
        <w:t>System. Our failure to make continuous improvements to our AquaBeam Robotic System to keep ahead of the</w:t>
      </w:r>
      <w:r>
        <w:rPr>
          <w:spacing w:val="1"/>
        </w:rPr>
        <w:t> </w:t>
      </w:r>
      <w:r>
        <w:rPr/>
        <w:t>products of our competitors could result in the loss of customers or market share that would adversely affect our</w:t>
      </w:r>
      <w:r>
        <w:rPr>
          <w:spacing w:val="1"/>
        </w:rPr>
        <w:t> </w:t>
      </w:r>
      <w:r>
        <w:rPr/>
        <w:t>business,</w:t>
      </w:r>
      <w:r>
        <w:rPr>
          <w:spacing w:val="-1"/>
        </w:rPr>
        <w:t> </w:t>
      </w:r>
      <w:r>
        <w:rPr/>
        <w:t>results</w:t>
      </w:r>
      <w:r>
        <w:rPr>
          <w:spacing w:val="-1"/>
        </w:rPr>
        <w:t> </w:t>
      </w:r>
      <w:r>
        <w:rPr/>
        <w:t>of operations, and</w:t>
      </w:r>
      <w:r>
        <w:rPr>
          <w:spacing w:val="-1"/>
        </w:rPr>
        <w:t> </w:t>
      </w:r>
      <w:r>
        <w:rPr/>
        <w:t>financial</w:t>
      </w:r>
      <w:r>
        <w:rPr>
          <w:spacing w:val="-1"/>
        </w:rPr>
        <w:t> </w:t>
      </w:r>
      <w:r>
        <w:rPr/>
        <w:t>condition.</w:t>
      </w:r>
    </w:p>
    <w:p>
      <w:pPr>
        <w:pStyle w:val="Heading3"/>
        <w:spacing w:line="249" w:lineRule="auto" w:before="184"/>
        <w:ind w:right="212"/>
      </w:pPr>
      <w:r>
        <w:rPr>
          <w:i/>
        </w:rPr>
        <w:t>We have limited experience manufacturing our products in large-scale commercial quantities, and we face a</w:t>
      </w:r>
      <w:r>
        <w:rPr>
          <w:i/>
          <w:spacing w:val="1"/>
        </w:rPr>
        <w:t> </w:t>
      </w:r>
      <w:r>
        <w:rPr/>
        <w:t>number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manufacturing</w:t>
      </w:r>
      <w:r>
        <w:rPr>
          <w:spacing w:val="-4"/>
        </w:rPr>
        <w:t> </w:t>
      </w:r>
      <w:r>
        <w:rPr/>
        <w:t>risks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may</w:t>
      </w:r>
      <w:r>
        <w:rPr>
          <w:spacing w:val="-4"/>
        </w:rPr>
        <w:t> </w:t>
      </w:r>
      <w:r>
        <w:rPr/>
        <w:t>adversely</w:t>
      </w:r>
      <w:r>
        <w:rPr>
          <w:spacing w:val="-5"/>
        </w:rPr>
        <w:t> </w:t>
      </w:r>
      <w:r>
        <w:rPr/>
        <w:t>affect</w:t>
      </w:r>
      <w:r>
        <w:rPr>
          <w:spacing w:val="-5"/>
        </w:rPr>
        <w:t> </w:t>
      </w:r>
      <w:r>
        <w:rPr/>
        <w:t>our</w:t>
      </w:r>
      <w:r>
        <w:rPr>
          <w:spacing w:val="-5"/>
        </w:rPr>
        <w:t> </w:t>
      </w:r>
      <w:r>
        <w:rPr/>
        <w:t>manufacturing</w:t>
      </w:r>
      <w:r>
        <w:rPr>
          <w:spacing w:val="-3"/>
        </w:rPr>
        <w:t> </w:t>
      </w:r>
      <w:r>
        <w:rPr/>
        <w:t>abilities</w:t>
      </w:r>
      <w:r>
        <w:rPr>
          <w:spacing w:val="-5"/>
        </w:rPr>
        <w:t> </w:t>
      </w:r>
      <w:r>
        <w:rPr/>
        <w:t>which</w:t>
      </w:r>
      <w:r>
        <w:rPr>
          <w:spacing w:val="-5"/>
        </w:rPr>
        <w:t> </w:t>
      </w:r>
      <w:r>
        <w:rPr/>
        <w:t>could</w:t>
      </w:r>
      <w:r>
        <w:rPr>
          <w:spacing w:val="-4"/>
        </w:rPr>
        <w:t> </w:t>
      </w:r>
      <w:r>
        <w:rPr/>
        <w:t>delay,</w:t>
      </w:r>
      <w:r>
        <w:rPr>
          <w:spacing w:val="-4"/>
        </w:rPr>
        <w:t> </w:t>
      </w:r>
      <w:r>
        <w:rPr/>
        <w:t>prevent</w:t>
      </w:r>
      <w:r>
        <w:rPr>
          <w:spacing w:val="1"/>
        </w:rPr>
        <w:t> </w:t>
      </w:r>
      <w:r>
        <w:rPr/>
        <w:t>or</w:t>
      </w:r>
      <w:r>
        <w:rPr>
          <w:spacing w:val="-2"/>
        </w:rPr>
        <w:t> </w:t>
      </w:r>
      <w:r>
        <w:rPr/>
        <w:t>impair</w:t>
      </w:r>
      <w:r>
        <w:rPr>
          <w:spacing w:val="-1"/>
        </w:rPr>
        <w:t> </w:t>
      </w:r>
      <w:r>
        <w:rPr/>
        <w:t>our</w:t>
      </w:r>
      <w:r>
        <w:rPr>
          <w:spacing w:val="-1"/>
        </w:rPr>
        <w:t> </w:t>
      </w:r>
      <w:r>
        <w:rPr/>
        <w:t>growth.</w:t>
      </w:r>
    </w:p>
    <w:p>
      <w:pPr>
        <w:pStyle w:val="BodyText"/>
        <w:spacing w:line="249" w:lineRule="auto" w:before="186"/>
        <w:ind w:right="135"/>
      </w:pPr>
      <w:r>
        <w:rPr/>
        <w:t>Our growth strategy depends on our ability to manufacture our current and future products in sufficient</w:t>
      </w:r>
      <w:r>
        <w:rPr>
          <w:spacing w:val="1"/>
        </w:rPr>
        <w:t> </w:t>
      </w:r>
      <w:r>
        <w:rPr/>
        <w:t>quantities and on a timely basis to meet customer demand, while adhering to product quality standards, complying</w:t>
      </w:r>
      <w:r>
        <w:rPr>
          <w:spacing w:val="1"/>
        </w:rPr>
        <w:t> </w:t>
      </w:r>
      <w:r>
        <w:rPr/>
        <w:t>with</w:t>
      </w:r>
      <w:r>
        <w:rPr>
          <w:spacing w:val="-4"/>
        </w:rPr>
        <w:t> </w:t>
      </w:r>
      <w:r>
        <w:rPr/>
        <w:t>regulatory</w:t>
      </w:r>
      <w:r>
        <w:rPr>
          <w:spacing w:val="-4"/>
        </w:rPr>
        <w:t> </w:t>
      </w:r>
      <w:r>
        <w:rPr/>
        <w:t>quality</w:t>
      </w:r>
      <w:r>
        <w:rPr>
          <w:spacing w:val="-3"/>
        </w:rPr>
        <w:t> </w:t>
      </w:r>
      <w:r>
        <w:rPr/>
        <w:t>system</w:t>
      </w:r>
      <w:r>
        <w:rPr>
          <w:spacing w:val="-5"/>
        </w:rPr>
        <w:t> </w:t>
      </w:r>
      <w:r>
        <w:rPr/>
        <w:t>requirements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managing</w:t>
      </w:r>
      <w:r>
        <w:rPr>
          <w:spacing w:val="-4"/>
        </w:rPr>
        <w:t> </w:t>
      </w:r>
      <w:r>
        <w:rPr/>
        <w:t>manufacturing</w:t>
      </w:r>
      <w:r>
        <w:rPr>
          <w:spacing w:val="-3"/>
        </w:rPr>
        <w:t> </w:t>
      </w:r>
      <w:r>
        <w:rPr/>
        <w:t>costs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our</w:t>
      </w:r>
      <w:r>
        <w:rPr>
          <w:spacing w:val="-4"/>
        </w:rPr>
        <w:t> </w:t>
      </w:r>
      <w:r>
        <w:rPr/>
        <w:t>current</w:t>
      </w:r>
      <w:r>
        <w:rPr>
          <w:spacing w:val="-5"/>
        </w:rPr>
        <w:t> </w:t>
      </w:r>
      <w:r>
        <w:rPr/>
        <w:t>manufacturing</w:t>
      </w:r>
      <w:r>
        <w:rPr>
          <w:spacing w:val="-3"/>
        </w:rPr>
        <w:t> </w:t>
      </w:r>
      <w:r>
        <w:rPr/>
        <w:t>facility</w:t>
      </w:r>
      <w:r>
        <w:rPr>
          <w:spacing w:val="-47"/>
        </w:rPr>
        <w:t> </w:t>
      </w:r>
      <w:r>
        <w:rPr/>
        <w:t>or any future manufacturing facilities. We have a sole manufacturing facility located in Redwood City, California,</w:t>
      </w:r>
      <w:r>
        <w:rPr>
          <w:spacing w:val="1"/>
        </w:rPr>
        <w:t> </w:t>
      </w:r>
      <w:r>
        <w:rPr/>
        <w:t>where we manufacture, assemble, inspect, test, package and ship our products. We currently assemble all of our</w:t>
      </w:r>
      <w:r>
        <w:rPr>
          <w:spacing w:val="1"/>
        </w:rPr>
        <w:t> </w:t>
      </w:r>
      <w:r>
        <w:rPr/>
        <w:t>AquaBeam Robotic System and single-use disposable handpieces at this one facility, and we do not have additional</w:t>
      </w:r>
      <w:r>
        <w:rPr>
          <w:spacing w:val="1"/>
        </w:rPr>
        <w:t> </w:t>
      </w:r>
      <w:r>
        <w:rPr/>
        <w:t>facilities. If this facility, or any of our future manufacturing facilities, suffers damage, or a force majeure event, such</w:t>
      </w:r>
      <w:r>
        <w:rPr>
          <w:spacing w:val="-47"/>
        </w:rPr>
        <w:t> </w:t>
      </w:r>
      <w:r>
        <w:rPr/>
        <w:t>damage or event could materially impact our ability to operate, which could materially and adversely affect our</w:t>
      </w:r>
      <w:r>
        <w:rPr>
          <w:spacing w:val="1"/>
        </w:rPr>
        <w:t> </w:t>
      </w:r>
      <w:r>
        <w:rPr/>
        <w:t>business</w:t>
      </w:r>
      <w:r>
        <w:rPr>
          <w:spacing w:val="-2"/>
        </w:rPr>
        <w:t> </w:t>
      </w:r>
      <w:r>
        <w:rPr/>
        <w:t>and financial</w:t>
      </w:r>
      <w:r>
        <w:rPr>
          <w:spacing w:val="-1"/>
        </w:rPr>
        <w:t> </w:t>
      </w:r>
      <w:r>
        <w:rPr/>
        <w:t>performance.</w:t>
      </w:r>
    </w:p>
    <w:p>
      <w:pPr>
        <w:pStyle w:val="BodyText"/>
        <w:spacing w:before="187"/>
        <w:ind w:left="460" w:firstLine="0"/>
      </w:pPr>
      <w:r>
        <w:rPr/>
        <w:t>We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also</w:t>
      </w:r>
      <w:r>
        <w:rPr>
          <w:spacing w:val="-3"/>
        </w:rPr>
        <w:t> </w:t>
      </w:r>
      <w:r>
        <w:rPr/>
        <w:t>subject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numerous</w:t>
      </w:r>
      <w:r>
        <w:rPr>
          <w:spacing w:val="-4"/>
        </w:rPr>
        <w:t> </w:t>
      </w:r>
      <w:r>
        <w:rPr/>
        <w:t>other</w:t>
      </w:r>
      <w:r>
        <w:rPr>
          <w:spacing w:val="-3"/>
        </w:rPr>
        <w:t> </w:t>
      </w:r>
      <w:r>
        <w:rPr/>
        <w:t>risks</w:t>
      </w:r>
      <w:r>
        <w:rPr>
          <w:spacing w:val="-4"/>
        </w:rPr>
        <w:t> </w:t>
      </w:r>
      <w:r>
        <w:rPr/>
        <w:t>relating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manufacturing</w:t>
      </w:r>
      <w:r>
        <w:rPr>
          <w:spacing w:val="-3"/>
        </w:rPr>
        <w:t> </w:t>
      </w:r>
      <w:r>
        <w:rPr/>
        <w:t>capabilities,</w:t>
      </w:r>
      <w:r>
        <w:rPr>
          <w:spacing w:val="-3"/>
        </w:rPr>
        <w:t> </w:t>
      </w:r>
      <w:r>
        <w:rPr/>
        <w:t>including:</w:t>
      </w:r>
    </w:p>
    <w:p>
      <w:pPr>
        <w:pStyle w:val="ListParagraph"/>
        <w:numPr>
          <w:ilvl w:val="0"/>
          <w:numId w:val="5"/>
        </w:numPr>
        <w:tabs>
          <w:tab w:pos="820" w:val="left" w:leader="none"/>
        </w:tabs>
        <w:spacing w:line="249" w:lineRule="auto" w:before="190" w:after="0"/>
        <w:ind w:left="820" w:right="828" w:hanging="360"/>
        <w:jc w:val="both"/>
        <w:rPr>
          <w:sz w:val="20"/>
        </w:rPr>
      </w:pPr>
      <w:r>
        <w:rPr>
          <w:sz w:val="20"/>
        </w:rPr>
        <w:t>quality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reliability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components,</w:t>
      </w:r>
      <w:r>
        <w:rPr>
          <w:spacing w:val="-4"/>
          <w:sz w:val="20"/>
        </w:rPr>
        <w:t> </w:t>
      </w:r>
      <w:r>
        <w:rPr>
          <w:sz w:val="20"/>
        </w:rPr>
        <w:t>sub-assemblies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materials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we</w:t>
      </w:r>
      <w:r>
        <w:rPr>
          <w:spacing w:val="-5"/>
          <w:sz w:val="20"/>
        </w:rPr>
        <w:t> </w:t>
      </w:r>
      <w:r>
        <w:rPr>
          <w:sz w:val="20"/>
        </w:rPr>
        <w:t>source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third-party</w:t>
      </w:r>
      <w:r>
        <w:rPr>
          <w:spacing w:val="-48"/>
          <w:sz w:val="20"/>
        </w:rPr>
        <w:t> </w:t>
      </w:r>
      <w:r>
        <w:rPr>
          <w:sz w:val="20"/>
        </w:rPr>
        <w:t>suppliers,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required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meet</w:t>
      </w:r>
      <w:r>
        <w:rPr>
          <w:spacing w:val="-4"/>
          <w:sz w:val="20"/>
        </w:rPr>
        <w:t> </w:t>
      </w: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quality</w:t>
      </w:r>
      <w:r>
        <w:rPr>
          <w:spacing w:val="-2"/>
          <w:sz w:val="20"/>
        </w:rPr>
        <w:t> </w:t>
      </w:r>
      <w:r>
        <w:rPr>
          <w:sz w:val="20"/>
        </w:rPr>
        <w:t>specifications,</w:t>
      </w:r>
      <w:r>
        <w:rPr>
          <w:spacing w:val="-3"/>
          <w:sz w:val="20"/>
        </w:rPr>
        <w:t> </w:t>
      </w:r>
      <w:r>
        <w:rPr>
          <w:sz w:val="20"/>
        </w:rPr>
        <w:t>almost</w:t>
      </w:r>
      <w:r>
        <w:rPr>
          <w:spacing w:val="-3"/>
          <w:sz w:val="20"/>
        </w:rPr>
        <w:t> </w:t>
      </w: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whom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single</w:t>
      </w:r>
      <w:r>
        <w:rPr>
          <w:spacing w:val="-3"/>
          <w:sz w:val="20"/>
        </w:rPr>
        <w:t> </w:t>
      </w:r>
      <w:r>
        <w:rPr>
          <w:sz w:val="20"/>
        </w:rPr>
        <w:t>source</w:t>
      </w:r>
      <w:r>
        <w:rPr>
          <w:spacing w:val="-48"/>
          <w:sz w:val="20"/>
        </w:rPr>
        <w:t> </w:t>
      </w:r>
      <w:r>
        <w:rPr>
          <w:sz w:val="20"/>
        </w:rPr>
        <w:t>suppliers</w:t>
      </w:r>
      <w:r>
        <w:rPr>
          <w:spacing w:val="-2"/>
          <w:sz w:val="20"/>
        </w:rPr>
        <w:t> </w:t>
      </w:r>
      <w:r>
        <w:rPr>
          <w:sz w:val="20"/>
        </w:rPr>
        <w:t>for the</w:t>
      </w:r>
      <w:r>
        <w:rPr>
          <w:spacing w:val="-1"/>
          <w:sz w:val="20"/>
        </w:rPr>
        <w:t> </w:t>
      </w:r>
      <w:r>
        <w:rPr>
          <w:sz w:val="20"/>
        </w:rPr>
        <w:t>items</w:t>
      </w:r>
      <w:r>
        <w:rPr>
          <w:spacing w:val="-2"/>
          <w:sz w:val="20"/>
        </w:rPr>
        <w:t> </w:t>
      </w:r>
      <w:r>
        <w:rPr>
          <w:sz w:val="20"/>
        </w:rPr>
        <w:t>and materials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they</w:t>
      </w:r>
      <w:r>
        <w:rPr>
          <w:spacing w:val="-1"/>
          <w:sz w:val="20"/>
        </w:rPr>
        <w:t> </w:t>
      </w:r>
      <w:r>
        <w:rPr>
          <w:sz w:val="20"/>
        </w:rPr>
        <w:t>supply;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9" w:lineRule="auto" w:before="183" w:after="0"/>
        <w:ind w:left="820" w:right="124" w:hanging="360"/>
        <w:jc w:val="left"/>
        <w:rPr>
          <w:sz w:val="20"/>
        </w:rPr>
      </w:pPr>
      <w:r>
        <w:rPr>
          <w:sz w:val="20"/>
        </w:rPr>
        <w:t>our</w:t>
      </w:r>
      <w:r>
        <w:rPr>
          <w:spacing w:val="-4"/>
          <w:sz w:val="20"/>
        </w:rPr>
        <w:t> </w:t>
      </w:r>
      <w:r>
        <w:rPr>
          <w:sz w:val="20"/>
        </w:rPr>
        <w:t>inability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secure</w:t>
      </w:r>
      <w:r>
        <w:rPr>
          <w:spacing w:val="-5"/>
          <w:sz w:val="20"/>
        </w:rPr>
        <w:t> </w:t>
      </w:r>
      <w:r>
        <w:rPr>
          <w:sz w:val="20"/>
        </w:rPr>
        <w:t>components,</w:t>
      </w:r>
      <w:r>
        <w:rPr>
          <w:spacing w:val="-3"/>
          <w:sz w:val="20"/>
        </w:rPr>
        <w:t> </w:t>
      </w:r>
      <w:r>
        <w:rPr>
          <w:sz w:val="20"/>
        </w:rPr>
        <w:t>sub-assemblies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materials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timely</w:t>
      </w:r>
      <w:r>
        <w:rPr>
          <w:spacing w:val="-3"/>
          <w:sz w:val="20"/>
        </w:rPr>
        <w:t> </w:t>
      </w:r>
      <w:r>
        <w:rPr>
          <w:sz w:val="20"/>
        </w:rPr>
        <w:t>manner,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sufficient</w:t>
      </w:r>
      <w:r>
        <w:rPr>
          <w:spacing w:val="-5"/>
          <w:sz w:val="20"/>
        </w:rPr>
        <w:t> </w:t>
      </w:r>
      <w:r>
        <w:rPr>
          <w:sz w:val="20"/>
        </w:rPr>
        <w:t>quantities</w:t>
      </w:r>
      <w:r>
        <w:rPr>
          <w:spacing w:val="-47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on commercially reasonable</w:t>
      </w:r>
      <w:r>
        <w:rPr>
          <w:spacing w:val="-1"/>
          <w:sz w:val="20"/>
        </w:rPr>
        <w:t> </w:t>
      </w:r>
      <w:r>
        <w:rPr>
          <w:sz w:val="20"/>
        </w:rPr>
        <w:t>terms;</w:t>
      </w:r>
    </w:p>
    <w:p>
      <w:pPr>
        <w:spacing w:after="0" w:line="249" w:lineRule="auto"/>
        <w:jc w:val="left"/>
        <w:rPr>
          <w:sz w:val="20"/>
        </w:rPr>
        <w:sectPr>
          <w:pgSz w:w="12240" w:h="15840"/>
          <w:pgMar w:header="0" w:footer="741" w:top="1320" w:bottom="940" w:left="1340" w:right="1320"/>
        </w:sectPr>
      </w:pP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9" w:lineRule="auto" w:before="72" w:after="0"/>
        <w:ind w:left="820" w:right="1056" w:hanging="360"/>
        <w:jc w:val="left"/>
        <w:rPr>
          <w:sz w:val="20"/>
        </w:rPr>
      </w:pPr>
      <w:r>
        <w:rPr>
          <w:sz w:val="20"/>
        </w:rPr>
        <w:t>our</w:t>
      </w:r>
      <w:r>
        <w:rPr>
          <w:spacing w:val="-4"/>
          <w:sz w:val="20"/>
        </w:rPr>
        <w:t> </w:t>
      </w:r>
      <w:r>
        <w:rPr>
          <w:sz w:val="20"/>
        </w:rPr>
        <w:t>inability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maintain</w:t>
      </w:r>
      <w:r>
        <w:rPr>
          <w:spacing w:val="-4"/>
          <w:sz w:val="20"/>
        </w:rPr>
        <w:t> </w:t>
      </w:r>
      <w:r>
        <w:rPr>
          <w:sz w:val="20"/>
        </w:rPr>
        <w:t>compliance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quality</w:t>
      </w:r>
      <w:r>
        <w:rPr>
          <w:spacing w:val="-4"/>
          <w:sz w:val="20"/>
        </w:rPr>
        <w:t> </w:t>
      </w:r>
      <w:r>
        <w:rPr>
          <w:sz w:val="20"/>
        </w:rPr>
        <w:t>system</w:t>
      </w:r>
      <w:r>
        <w:rPr>
          <w:spacing w:val="-4"/>
          <w:sz w:val="20"/>
        </w:rPr>
        <w:t> </w:t>
      </w:r>
      <w:r>
        <w:rPr>
          <w:sz w:val="20"/>
        </w:rPr>
        <w:t>requirements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pass</w:t>
      </w:r>
      <w:r>
        <w:rPr>
          <w:spacing w:val="-5"/>
          <w:sz w:val="20"/>
        </w:rPr>
        <w:t> </w:t>
      </w:r>
      <w:r>
        <w:rPr>
          <w:sz w:val="20"/>
        </w:rPr>
        <w:t>regulatory</w:t>
      </w:r>
      <w:r>
        <w:rPr>
          <w:spacing w:val="-3"/>
          <w:sz w:val="20"/>
        </w:rPr>
        <w:t> </w:t>
      </w:r>
      <w:r>
        <w:rPr>
          <w:sz w:val="20"/>
        </w:rPr>
        <w:t>quality</w:t>
      </w:r>
      <w:r>
        <w:rPr>
          <w:spacing w:val="-47"/>
          <w:sz w:val="20"/>
        </w:rPr>
        <w:t> </w:t>
      </w:r>
      <w:r>
        <w:rPr>
          <w:sz w:val="20"/>
        </w:rPr>
        <w:t>inspections;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81" w:after="0"/>
        <w:ind w:left="820" w:right="0" w:hanging="360"/>
        <w:jc w:val="left"/>
        <w:rPr>
          <w:sz w:val="20"/>
        </w:rPr>
      </w:pP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failure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increase</w:t>
      </w:r>
      <w:r>
        <w:rPr>
          <w:spacing w:val="-3"/>
          <w:sz w:val="20"/>
        </w:rPr>
        <w:t> </w:t>
      </w:r>
      <w:r>
        <w:rPr>
          <w:sz w:val="20"/>
        </w:rPr>
        <w:t>production</w:t>
      </w:r>
      <w:r>
        <w:rPr>
          <w:spacing w:val="-3"/>
          <w:sz w:val="20"/>
        </w:rPr>
        <w:t> </w:t>
      </w:r>
      <w:r>
        <w:rPr>
          <w:sz w:val="20"/>
        </w:rPr>
        <w:t>capacity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volumes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meet</w:t>
      </w:r>
      <w:r>
        <w:rPr>
          <w:spacing w:val="-3"/>
          <w:sz w:val="20"/>
        </w:rPr>
        <w:t> </w:t>
      </w:r>
      <w:r>
        <w:rPr>
          <w:sz w:val="20"/>
        </w:rPr>
        <w:t>demand;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9" w:lineRule="auto" w:before="190" w:after="0"/>
        <w:ind w:left="820" w:right="765" w:hanging="360"/>
        <w:jc w:val="left"/>
        <w:rPr>
          <w:sz w:val="20"/>
        </w:rPr>
      </w:pPr>
      <w:r>
        <w:rPr>
          <w:sz w:val="20"/>
        </w:rPr>
        <w:t>potential</w:t>
      </w:r>
      <w:r>
        <w:rPr>
          <w:spacing w:val="-4"/>
          <w:sz w:val="20"/>
        </w:rPr>
        <w:t> </w:t>
      </w:r>
      <w:r>
        <w:rPr>
          <w:sz w:val="20"/>
        </w:rPr>
        <w:t>risks</w:t>
      </w:r>
      <w:r>
        <w:rPr>
          <w:spacing w:val="-3"/>
          <w:sz w:val="20"/>
        </w:rPr>
        <w:t> </w:t>
      </w:r>
      <w:r>
        <w:rPr>
          <w:sz w:val="20"/>
        </w:rPr>
        <w:t>associated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disruptions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supply</w:t>
      </w:r>
      <w:r>
        <w:rPr>
          <w:spacing w:val="-2"/>
          <w:sz w:val="20"/>
        </w:rPr>
        <w:t> </w:t>
      </w:r>
      <w:r>
        <w:rPr>
          <w:sz w:val="20"/>
        </w:rPr>
        <w:t>chain,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account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COVID-19</w:t>
      </w:r>
      <w:r>
        <w:rPr>
          <w:spacing w:val="-47"/>
          <w:sz w:val="20"/>
        </w:rPr>
        <w:t> </w:t>
      </w:r>
      <w:r>
        <w:rPr>
          <w:sz w:val="20"/>
        </w:rPr>
        <w:t>pandemic</w:t>
      </w:r>
      <w:r>
        <w:rPr>
          <w:spacing w:val="-2"/>
          <w:sz w:val="20"/>
        </w:rPr>
        <w:t> </w:t>
      </w:r>
      <w:r>
        <w:rPr>
          <w:sz w:val="20"/>
        </w:rPr>
        <w:t>or other macroeconomic</w:t>
      </w:r>
      <w:r>
        <w:rPr>
          <w:spacing w:val="-1"/>
          <w:sz w:val="20"/>
        </w:rPr>
        <w:t> </w:t>
      </w:r>
      <w:r>
        <w:rPr>
          <w:sz w:val="20"/>
        </w:rPr>
        <w:t>events;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82" w:after="0"/>
        <w:ind w:left="820" w:right="0" w:hanging="360"/>
        <w:jc w:val="left"/>
        <w:rPr>
          <w:sz w:val="20"/>
        </w:rPr>
      </w:pPr>
      <w:r>
        <w:rPr>
          <w:sz w:val="20"/>
        </w:rPr>
        <w:t>lead</w:t>
      </w:r>
      <w:r>
        <w:rPr>
          <w:spacing w:val="-4"/>
          <w:sz w:val="20"/>
        </w:rPr>
        <w:t> </w:t>
      </w:r>
      <w:r>
        <w:rPr>
          <w:sz w:val="20"/>
        </w:rPr>
        <w:t>times</w:t>
      </w:r>
      <w:r>
        <w:rPr>
          <w:spacing w:val="-5"/>
          <w:sz w:val="20"/>
        </w:rPr>
        <w:t> </w:t>
      </w:r>
      <w:r>
        <w:rPr>
          <w:sz w:val="20"/>
        </w:rPr>
        <w:t>associated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securing</w:t>
      </w:r>
      <w:r>
        <w:rPr>
          <w:spacing w:val="-4"/>
          <w:sz w:val="20"/>
        </w:rPr>
        <w:t> </w:t>
      </w:r>
      <w:r>
        <w:rPr>
          <w:sz w:val="20"/>
        </w:rPr>
        <w:t>key</w:t>
      </w:r>
      <w:r>
        <w:rPr>
          <w:spacing w:val="-3"/>
          <w:sz w:val="20"/>
        </w:rPr>
        <w:t> </w:t>
      </w:r>
      <w:r>
        <w:rPr>
          <w:sz w:val="20"/>
        </w:rPr>
        <w:t>components;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9" w:lineRule="auto" w:before="190" w:after="0"/>
        <w:ind w:left="820" w:right="166" w:hanging="360"/>
        <w:jc w:val="left"/>
        <w:rPr>
          <w:sz w:val="20"/>
        </w:rPr>
      </w:pP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inability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design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modify</w:t>
      </w:r>
      <w:r>
        <w:rPr>
          <w:spacing w:val="-2"/>
          <w:sz w:val="20"/>
        </w:rPr>
        <w:t> </w:t>
      </w:r>
      <w:r>
        <w:rPr>
          <w:sz w:val="20"/>
        </w:rPr>
        <w:t>production</w:t>
      </w:r>
      <w:r>
        <w:rPr>
          <w:spacing w:val="-3"/>
          <w:sz w:val="20"/>
        </w:rPr>
        <w:t> </w:t>
      </w:r>
      <w:r>
        <w:rPr>
          <w:sz w:val="20"/>
        </w:rPr>
        <w:t>processes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enable</w:t>
      </w:r>
      <w:r>
        <w:rPr>
          <w:spacing w:val="-3"/>
          <w:sz w:val="20"/>
        </w:rPr>
        <w:t> </w:t>
      </w:r>
      <w:r>
        <w:rPr>
          <w:sz w:val="20"/>
        </w:rPr>
        <w:t>us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produce</w:t>
      </w:r>
      <w:r>
        <w:rPr>
          <w:spacing w:val="-3"/>
          <w:sz w:val="20"/>
        </w:rPr>
        <w:t> </w:t>
      </w:r>
      <w:r>
        <w:rPr>
          <w:sz w:val="20"/>
        </w:rPr>
        <w:t>future</w:t>
      </w:r>
      <w:r>
        <w:rPr>
          <w:spacing w:val="-4"/>
          <w:sz w:val="20"/>
        </w:rPr>
        <w:t> </w:t>
      </w:r>
      <w:r>
        <w:rPr>
          <w:sz w:val="20"/>
        </w:rPr>
        <w:t>products</w:t>
      </w:r>
      <w:r>
        <w:rPr>
          <w:spacing w:val="-3"/>
          <w:sz w:val="20"/>
        </w:rPr>
        <w:t> </w:t>
      </w:r>
      <w:r>
        <w:rPr>
          <w:sz w:val="20"/>
        </w:rPr>
        <w:t>efficiently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47"/>
          <w:sz w:val="20"/>
        </w:rPr>
        <w:t> </w:t>
      </w:r>
      <w:r>
        <w:rPr>
          <w:sz w:val="20"/>
        </w:rPr>
        <w:t>implement</w:t>
      </w:r>
      <w:r>
        <w:rPr>
          <w:spacing w:val="-2"/>
          <w:sz w:val="20"/>
        </w:rPr>
        <w:t> </w:t>
      </w:r>
      <w:r>
        <w:rPr>
          <w:sz w:val="20"/>
        </w:rPr>
        <w:t>changes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current</w:t>
      </w:r>
      <w:r>
        <w:rPr>
          <w:spacing w:val="-2"/>
          <w:sz w:val="20"/>
        </w:rPr>
        <w:t> </w:t>
      </w:r>
      <w:r>
        <w:rPr>
          <w:sz w:val="20"/>
        </w:rPr>
        <w:t>products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response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design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regulatory</w:t>
      </w:r>
      <w:r>
        <w:rPr>
          <w:spacing w:val="-1"/>
          <w:sz w:val="20"/>
        </w:rPr>
        <w:t> </w:t>
      </w:r>
      <w:r>
        <w:rPr>
          <w:sz w:val="20"/>
        </w:rPr>
        <w:t>requirements;</w:t>
      </w:r>
      <w:r>
        <w:rPr>
          <w:spacing w:val="-2"/>
          <w:sz w:val="20"/>
        </w:rPr>
        <w:t> </w:t>
      </w:r>
      <w:r>
        <w:rPr>
          <w:sz w:val="20"/>
        </w:rPr>
        <w:t>and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9" w:lineRule="auto" w:before="182" w:after="0"/>
        <w:ind w:left="820" w:right="322" w:hanging="360"/>
        <w:jc w:val="left"/>
        <w:rPr>
          <w:sz w:val="20"/>
        </w:rPr>
      </w:pPr>
      <w:r>
        <w:rPr>
          <w:sz w:val="20"/>
        </w:rPr>
        <w:t>difficulty</w:t>
      </w:r>
      <w:r>
        <w:rPr>
          <w:spacing w:val="-4"/>
          <w:sz w:val="20"/>
        </w:rPr>
        <w:t> </w:t>
      </w:r>
      <w:r>
        <w:rPr>
          <w:sz w:val="20"/>
        </w:rPr>
        <w:t>identifying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qualifying,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obtaining</w:t>
      </w:r>
      <w:r>
        <w:rPr>
          <w:spacing w:val="-3"/>
          <w:sz w:val="20"/>
        </w:rPr>
        <w:t> </w:t>
      </w:r>
      <w:r>
        <w:rPr>
          <w:sz w:val="20"/>
        </w:rPr>
        <w:t>new</w:t>
      </w:r>
      <w:r>
        <w:rPr>
          <w:spacing w:val="-4"/>
          <w:sz w:val="20"/>
        </w:rPr>
        <w:t> </w:t>
      </w:r>
      <w:r>
        <w:rPr>
          <w:sz w:val="20"/>
        </w:rPr>
        <w:t>regulatory</w:t>
      </w:r>
      <w:r>
        <w:rPr>
          <w:spacing w:val="-4"/>
          <w:sz w:val="20"/>
        </w:rPr>
        <w:t> </w:t>
      </w:r>
      <w:r>
        <w:rPr>
          <w:sz w:val="20"/>
        </w:rPr>
        <w:t>approvals,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alternative</w:t>
      </w:r>
      <w:r>
        <w:rPr>
          <w:spacing w:val="-4"/>
          <w:sz w:val="20"/>
        </w:rPr>
        <w:t> </w:t>
      </w:r>
      <w:r>
        <w:rPr>
          <w:sz w:val="20"/>
        </w:rPr>
        <w:t>suppliers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7"/>
          <w:sz w:val="20"/>
        </w:rPr>
        <w:t> </w:t>
      </w:r>
      <w:r>
        <w:rPr>
          <w:sz w:val="20"/>
        </w:rPr>
        <w:t>components</w:t>
      </w:r>
      <w:r>
        <w:rPr>
          <w:spacing w:val="-2"/>
          <w:sz w:val="20"/>
        </w:rPr>
        <w:t> </w:t>
      </w:r>
      <w:r>
        <w:rPr>
          <w:sz w:val="20"/>
        </w:rPr>
        <w:t>in a</w:t>
      </w:r>
      <w:r>
        <w:rPr>
          <w:spacing w:val="-1"/>
          <w:sz w:val="20"/>
        </w:rPr>
        <w:t> </w:t>
      </w:r>
      <w:r>
        <w:rPr>
          <w:sz w:val="20"/>
        </w:rPr>
        <w:t>timely manner.</w:t>
      </w:r>
    </w:p>
    <w:p>
      <w:pPr>
        <w:pStyle w:val="BodyText"/>
        <w:spacing w:line="249" w:lineRule="auto" w:before="181"/>
        <w:ind w:right="180"/>
      </w:pPr>
      <w:r>
        <w:rPr/>
        <w:t>These risks are likely to be exacerbated by our limited experience with our current products and manufacturing</w:t>
      </w:r>
      <w:r>
        <w:rPr>
          <w:spacing w:val="-47"/>
        </w:rPr>
        <w:t> </w:t>
      </w:r>
      <w:r>
        <w:rPr/>
        <w:t>processes. For instance, in both 2019 and 2021, we initiated voluntary recalls for a limited number of lots of our</w:t>
      </w:r>
      <w:r>
        <w:rPr>
          <w:spacing w:val="1"/>
        </w:rPr>
        <w:t> </w:t>
      </w:r>
      <w:r>
        <w:rPr/>
        <w:t>handpiece. These were both due to certain issues related to our supply chain and manufacturing processes. We</w:t>
      </w:r>
      <w:r>
        <w:rPr>
          <w:spacing w:val="1"/>
        </w:rPr>
        <w:t> </w:t>
      </w:r>
      <w:r>
        <w:rPr/>
        <w:t>remedied the issue leading to the 2019 recall and are remedying the issue leading to the 2021 recall as we continue</w:t>
      </w:r>
      <w:r>
        <w:rPr>
          <w:spacing w:val="1"/>
        </w:rPr>
        <w:t> </w:t>
      </w:r>
      <w:r>
        <w:rPr/>
        <w:t>to develop and improve our manufacturing processes to scale the production of our handpieces at a higher volume.</w:t>
      </w:r>
      <w:r>
        <w:rPr>
          <w:spacing w:val="1"/>
        </w:rPr>
        <w:t> </w:t>
      </w:r>
      <w:r>
        <w:rPr/>
        <w:t>As demand for our products increases, we will have to invest additional resources to purchase components, sub-</w:t>
      </w:r>
      <w:r>
        <w:rPr>
          <w:spacing w:val="1"/>
        </w:rPr>
        <w:t> </w:t>
      </w:r>
      <w:r>
        <w:rPr/>
        <w:t>assemblies and materials, hire and train employees and enhance our manufacturing processes. If we fail to increase</w:t>
      </w:r>
      <w:r>
        <w:rPr>
          <w:spacing w:val="1"/>
        </w:rPr>
        <w:t> </w:t>
      </w:r>
      <w:r>
        <w:rPr/>
        <w:t>our production capacity efficiently, we may not be able to fill customer orders on a timely basis, our sales may not</w:t>
      </w:r>
      <w:r>
        <w:rPr>
          <w:spacing w:val="1"/>
        </w:rPr>
        <w:t> </w:t>
      </w:r>
      <w:r>
        <w:rPr/>
        <w:t>increase in line with our expectations and our operating margins could fluctuate or decline. In addition, although</w:t>
      </w:r>
      <w:r>
        <w:rPr>
          <w:spacing w:val="1"/>
        </w:rPr>
        <w:t> </w:t>
      </w:r>
      <w:r>
        <w:rPr/>
        <w:t>some future products may share product features, components, sub-assemblies and materials with our existing</w:t>
      </w:r>
      <w:r>
        <w:rPr>
          <w:spacing w:val="1"/>
        </w:rPr>
        <w:t> </w:t>
      </w:r>
      <w:r>
        <w:rPr/>
        <w:t>products,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manufacture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these</w:t>
      </w:r>
      <w:r>
        <w:rPr>
          <w:spacing w:val="-3"/>
        </w:rPr>
        <w:t> </w:t>
      </w:r>
      <w:r>
        <w:rPr/>
        <w:t>products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require</w:t>
      </w:r>
      <w:r>
        <w:rPr>
          <w:spacing w:val="-4"/>
        </w:rPr>
        <w:t> </w:t>
      </w:r>
      <w:r>
        <w:rPr/>
        <w:t>modification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our</w:t>
      </w:r>
      <w:r>
        <w:rPr>
          <w:spacing w:val="-3"/>
        </w:rPr>
        <w:t> </w:t>
      </w:r>
      <w:r>
        <w:rPr/>
        <w:t>current</w:t>
      </w:r>
      <w:r>
        <w:rPr>
          <w:spacing w:val="-3"/>
        </w:rPr>
        <w:t> </w:t>
      </w:r>
      <w:r>
        <w:rPr/>
        <w:t>production</w:t>
      </w:r>
      <w:r>
        <w:rPr>
          <w:spacing w:val="-2"/>
        </w:rPr>
        <w:t> </w:t>
      </w:r>
      <w:r>
        <w:rPr/>
        <w:t>processes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unique</w:t>
      </w:r>
      <w:r>
        <w:rPr>
          <w:spacing w:val="-47"/>
        </w:rPr>
        <w:t> </w:t>
      </w:r>
      <w:r>
        <w:rPr/>
        <w:t>production processes, the hiring of specialized employees, the identification of new suppliers for specific</w:t>
      </w:r>
      <w:r>
        <w:rPr>
          <w:spacing w:val="1"/>
        </w:rPr>
        <w:t> </w:t>
      </w:r>
      <w:r>
        <w:rPr/>
        <w:t>components, sub-assemblies and materials or the development of new manufacturing technologies. It may not be</w:t>
      </w:r>
      <w:r>
        <w:rPr>
          <w:spacing w:val="1"/>
        </w:rPr>
        <w:t> </w:t>
      </w:r>
      <w:r>
        <w:rPr/>
        <w:t>possible for us to manufacture these products at a cost or in quantities sufficient to make these products</w:t>
      </w:r>
      <w:r>
        <w:rPr>
          <w:spacing w:val="1"/>
        </w:rPr>
        <w:t> </w:t>
      </w:r>
      <w:r>
        <w:rPr/>
        <w:t>commercially viable or to maintain current operating margins, all of which could have a material adverse effect on</w:t>
      </w:r>
      <w:r>
        <w:rPr>
          <w:spacing w:val="1"/>
        </w:rPr>
        <w:t> </w:t>
      </w:r>
      <w:r>
        <w:rPr/>
        <w:t>our</w:t>
      </w:r>
      <w:r>
        <w:rPr>
          <w:spacing w:val="-1"/>
        </w:rPr>
        <w:t> </w:t>
      </w:r>
      <w:r>
        <w:rPr/>
        <w:t>business, financial</w:t>
      </w:r>
      <w:r>
        <w:rPr>
          <w:spacing w:val="-1"/>
        </w:rPr>
        <w:t> </w:t>
      </w:r>
      <w:r>
        <w:rPr/>
        <w:t>condition and</w:t>
      </w:r>
      <w:r>
        <w:rPr>
          <w:spacing w:val="-1"/>
        </w:rPr>
        <w:t> </w:t>
      </w:r>
      <w:r>
        <w:rPr/>
        <w:t>results</w:t>
      </w:r>
      <w:r>
        <w:rPr>
          <w:spacing w:val="-1"/>
        </w:rPr>
        <w:t> </w:t>
      </w:r>
      <w:r>
        <w:rPr/>
        <w:t>of operations.</w:t>
      </w:r>
    </w:p>
    <w:p>
      <w:pPr>
        <w:pStyle w:val="Heading3"/>
        <w:spacing w:line="249" w:lineRule="auto" w:before="190"/>
        <w:ind w:right="212"/>
      </w:pPr>
      <w:r>
        <w:rPr>
          <w:i/>
        </w:rPr>
        <w:t>We</w:t>
      </w:r>
      <w:r>
        <w:rPr>
          <w:i/>
          <w:spacing w:val="-6"/>
        </w:rPr>
        <w:t> </w:t>
      </w:r>
      <w:r>
        <w:rPr>
          <w:i/>
        </w:rPr>
        <w:t>depend</w:t>
      </w:r>
      <w:r>
        <w:rPr>
          <w:i/>
          <w:spacing w:val="-4"/>
        </w:rPr>
        <w:t> </w:t>
      </w:r>
      <w:r>
        <w:rPr>
          <w:i/>
        </w:rPr>
        <w:t>upon</w:t>
      </w:r>
      <w:r>
        <w:rPr>
          <w:i/>
          <w:spacing w:val="-5"/>
        </w:rPr>
        <w:t> </w:t>
      </w:r>
      <w:r>
        <w:rPr>
          <w:i/>
        </w:rPr>
        <w:t>third-party</w:t>
      </w:r>
      <w:r>
        <w:rPr>
          <w:i/>
          <w:spacing w:val="-5"/>
        </w:rPr>
        <w:t> </w:t>
      </w:r>
      <w:r>
        <w:rPr>
          <w:i/>
        </w:rPr>
        <w:t>suppliers,</w:t>
      </w:r>
      <w:r>
        <w:rPr>
          <w:i/>
          <w:spacing w:val="-4"/>
        </w:rPr>
        <w:t> </w:t>
      </w:r>
      <w:r>
        <w:rPr>
          <w:i/>
        </w:rPr>
        <w:t>including</w:t>
      </w:r>
      <w:r>
        <w:rPr>
          <w:i/>
          <w:spacing w:val="-4"/>
        </w:rPr>
        <w:t> </w:t>
      </w:r>
      <w:r>
        <w:rPr>
          <w:i/>
        </w:rPr>
        <w:t>contract</w:t>
      </w:r>
      <w:r>
        <w:rPr>
          <w:i/>
          <w:spacing w:val="-5"/>
        </w:rPr>
        <w:t> </w:t>
      </w:r>
      <w:r>
        <w:rPr>
          <w:i/>
        </w:rPr>
        <w:t>manufacturers</w:t>
      </w:r>
      <w:r>
        <w:rPr>
          <w:i/>
          <w:spacing w:val="-6"/>
        </w:rPr>
        <w:t> </w:t>
      </w:r>
      <w:r>
        <w:rPr>
          <w:i/>
        </w:rPr>
        <w:t>and</w:t>
      </w:r>
      <w:r>
        <w:rPr>
          <w:i/>
          <w:spacing w:val="-4"/>
        </w:rPr>
        <w:t> </w:t>
      </w:r>
      <w:r>
        <w:rPr>
          <w:i/>
        </w:rPr>
        <w:t>single</w:t>
      </w:r>
      <w:r>
        <w:rPr>
          <w:i/>
          <w:spacing w:val="-5"/>
        </w:rPr>
        <w:t> </w:t>
      </w:r>
      <w:r>
        <w:rPr>
          <w:i/>
        </w:rPr>
        <w:t>source</w:t>
      </w:r>
      <w:r>
        <w:rPr>
          <w:i/>
          <w:spacing w:val="-5"/>
        </w:rPr>
        <w:t> </w:t>
      </w:r>
      <w:r>
        <w:rPr>
          <w:i/>
        </w:rPr>
        <w:t>suppliers,</w:t>
      </w:r>
      <w:r>
        <w:rPr>
          <w:i/>
          <w:spacing w:val="-4"/>
        </w:rPr>
        <w:t> </w:t>
      </w:r>
      <w:r>
        <w:rPr>
          <w:i/>
        </w:rPr>
        <w:t>making</w:t>
      </w:r>
      <w:r>
        <w:rPr>
          <w:i/>
          <w:spacing w:val="-4"/>
        </w:rPr>
        <w:t> </w:t>
      </w:r>
      <w:r>
        <w:rPr>
          <w:i/>
        </w:rPr>
        <w:t>us</w:t>
      </w:r>
      <w:r>
        <w:rPr>
          <w:i/>
          <w:spacing w:val="1"/>
        </w:rPr>
        <w:t> </w:t>
      </w:r>
      <w:r>
        <w:rPr/>
        <w:t>vulnerable to supply shortages and price fluctuations that could negatively affect our business, financial</w:t>
      </w:r>
      <w:r>
        <w:rPr>
          <w:spacing w:val="1"/>
        </w:rPr>
        <w:t> </w:t>
      </w:r>
      <w:r>
        <w:rPr/>
        <w:t>condition</w:t>
      </w:r>
      <w:r>
        <w:rPr>
          <w:spacing w:val="-2"/>
        </w:rPr>
        <w:t> </w:t>
      </w:r>
      <w:r>
        <w:rPr/>
        <w:t>and results</w:t>
      </w:r>
      <w:r>
        <w:rPr>
          <w:spacing w:val="-1"/>
        </w:rPr>
        <w:t> </w:t>
      </w:r>
      <w:r>
        <w:rPr/>
        <w:t>of operations.</w:t>
      </w:r>
    </w:p>
    <w:p>
      <w:pPr>
        <w:pStyle w:val="BodyText"/>
        <w:spacing w:line="249" w:lineRule="auto" w:before="186"/>
        <w:ind w:right="148"/>
      </w:pPr>
      <w:r>
        <w:rPr/>
        <w:t>We rely on third-party suppliers, almost all of whom are single source suppliers, to provide us with certain</w:t>
      </w:r>
      <w:r>
        <w:rPr>
          <w:spacing w:val="1"/>
        </w:rPr>
        <w:t> </w:t>
      </w:r>
      <w:r>
        <w:rPr/>
        <w:t>components, sub-assemblies and materials for our products.</w:t>
      </w:r>
      <w:r>
        <w:rPr>
          <w:spacing w:val="1"/>
        </w:rPr>
        <w:t> </w:t>
      </w:r>
      <w:r>
        <w:rPr/>
        <w:t>These components, sub-assemblies and materials are</w:t>
      </w:r>
      <w:r>
        <w:rPr>
          <w:spacing w:val="1"/>
        </w:rPr>
        <w:t> </w:t>
      </w:r>
      <w:r>
        <w:rPr/>
        <w:t>critical and, for certain items, there are relatively few alternative sources of supply. These single source suppliers</w:t>
      </w:r>
      <w:r>
        <w:rPr>
          <w:spacing w:val="1"/>
        </w:rPr>
        <w:t> </w:t>
      </w:r>
      <w:r>
        <w:rPr/>
        <w:t>may be unwilling or unable to supply the necessary materials and components or manufacture and assemble our</w:t>
      </w:r>
      <w:r>
        <w:rPr>
          <w:spacing w:val="1"/>
        </w:rPr>
        <w:t> </w:t>
      </w:r>
      <w:r>
        <w:rPr/>
        <w:t>products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reliable</w:t>
      </w:r>
      <w:r>
        <w:rPr>
          <w:spacing w:val="-3"/>
        </w:rPr>
        <w:t> </w:t>
      </w:r>
      <w:r>
        <w:rPr/>
        <w:t>manner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levels</w:t>
      </w:r>
      <w:r>
        <w:rPr>
          <w:spacing w:val="-4"/>
        </w:rPr>
        <w:t> </w:t>
      </w:r>
      <w:r>
        <w:rPr/>
        <w:t>we</w:t>
      </w:r>
      <w:r>
        <w:rPr>
          <w:spacing w:val="-3"/>
        </w:rPr>
        <w:t> </w:t>
      </w:r>
      <w:r>
        <w:rPr/>
        <w:t>anticipate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levels</w:t>
      </w:r>
      <w:r>
        <w:rPr>
          <w:spacing w:val="-4"/>
        </w:rPr>
        <w:t> </w:t>
      </w:r>
      <w:r>
        <w:rPr/>
        <w:t>adequate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satisfy</w:t>
      </w:r>
      <w:r>
        <w:rPr>
          <w:spacing w:val="-2"/>
        </w:rPr>
        <w:t> </w:t>
      </w:r>
      <w:r>
        <w:rPr/>
        <w:t>demand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products.</w:t>
      </w:r>
      <w:r>
        <w:rPr>
          <w:spacing w:val="-47"/>
        </w:rPr>
        <w:t> </w:t>
      </w:r>
      <w:r>
        <w:rPr/>
        <w:t>While our suppliers have generally met our demand for their products and services on a timely basis in the past, we</w:t>
      </w:r>
      <w:r>
        <w:rPr>
          <w:spacing w:val="1"/>
        </w:rPr>
        <w:t> </w:t>
      </w:r>
      <w:r>
        <w:rPr/>
        <w:t>cannot guarantee that they will in the future be able to meet our demand for such products, either because of acts of</w:t>
      </w:r>
      <w:r>
        <w:rPr>
          <w:spacing w:val="1"/>
        </w:rPr>
        <w:t> </w:t>
      </w:r>
      <w:r>
        <w:rPr/>
        <w:t>nature, the nature of our agreements with those suppliers or our relative importance to them as a customer, and our</w:t>
      </w:r>
      <w:r>
        <w:rPr>
          <w:spacing w:val="1"/>
        </w:rPr>
        <w:t> </w:t>
      </w:r>
      <w:r>
        <w:rPr/>
        <w:t>suppliers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</w:t>
      </w:r>
      <w:r>
        <w:rPr/>
        <w:t>decide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future</w:t>
      </w:r>
      <w:r>
        <w:rPr>
          <w:spacing w:val="-2"/>
        </w:rPr>
        <w:t> </w:t>
      </w:r>
      <w:r>
        <w:rPr/>
        <w:t>to discontinue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reduce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level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business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conduct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us.</w:t>
      </w:r>
    </w:p>
    <w:p>
      <w:pPr>
        <w:pStyle w:val="BodyText"/>
        <w:spacing w:line="249" w:lineRule="auto" w:before="187"/>
        <w:ind w:right="121"/>
      </w:pPr>
      <w:r>
        <w:rPr/>
        <w:t>We have not been qualified or obtained necessary regulatory approvals for additional suppliers for most of these</w:t>
      </w:r>
      <w:r>
        <w:rPr>
          <w:spacing w:val="-47"/>
        </w:rPr>
        <w:t> </w:t>
      </w:r>
      <w:r>
        <w:rPr/>
        <w:t>components, sub-assemblies and materials. While we currently believe that alternative sources of supply or</w:t>
      </w:r>
      <w:r>
        <w:rPr>
          <w:spacing w:val="1"/>
        </w:rPr>
        <w:t> </w:t>
      </w:r>
      <w:r>
        <w:rPr/>
        <w:t>sterilization may be available, we cannot be certain whether they will be available if and when we need them, or that</w:t>
      </w:r>
      <w:r>
        <w:rPr>
          <w:spacing w:val="-47"/>
        </w:rPr>
        <w:t> </w:t>
      </w:r>
      <w:r>
        <w:rPr/>
        <w:t>any</w:t>
      </w:r>
      <w:r>
        <w:rPr>
          <w:spacing w:val="-3"/>
        </w:rPr>
        <w:t> </w:t>
      </w:r>
      <w:r>
        <w:rPr/>
        <w:t>alternative</w:t>
      </w:r>
      <w:r>
        <w:rPr>
          <w:spacing w:val="-3"/>
        </w:rPr>
        <w:t> </w:t>
      </w:r>
      <w:r>
        <w:rPr/>
        <w:t>suppliers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providers</w:t>
      </w:r>
      <w:r>
        <w:rPr>
          <w:spacing w:val="-3"/>
        </w:rPr>
        <w:t> </w:t>
      </w:r>
      <w:r>
        <w:rPr/>
        <w:t>would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able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provide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quantity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quality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components,</w:t>
      </w:r>
      <w:r>
        <w:rPr>
          <w:spacing w:val="-3"/>
        </w:rPr>
        <w:t> </w:t>
      </w:r>
      <w:r>
        <w:rPr/>
        <w:t>materials</w:t>
      </w:r>
      <w:r>
        <w:rPr>
          <w:spacing w:val="-3"/>
        </w:rPr>
        <w:t> </w:t>
      </w:r>
      <w:r>
        <w:rPr/>
        <w:t>and</w:t>
      </w:r>
      <w:r>
        <w:rPr>
          <w:spacing w:val="-47"/>
        </w:rPr>
        <w:t> </w:t>
      </w:r>
      <w:r>
        <w:rPr/>
        <w:t>sterilization that we would need to manufacture and ship our products if our existing suppliers and providers were</w:t>
      </w:r>
      <w:r>
        <w:rPr>
          <w:spacing w:val="1"/>
        </w:rPr>
        <w:t> </w:t>
      </w:r>
      <w:r>
        <w:rPr/>
        <w:t>unable to satisfy our requirements. To utilize other sources, we would need to identify and qualify new providers to</w:t>
      </w:r>
      <w:r>
        <w:rPr>
          <w:spacing w:val="1"/>
        </w:rPr>
        <w:t> </w:t>
      </w:r>
      <w:r>
        <w:rPr/>
        <w:t>our</w:t>
      </w:r>
      <w:r>
        <w:rPr>
          <w:spacing w:val="2"/>
        </w:rPr>
        <w:t> </w:t>
      </w:r>
      <w:r>
        <w:rPr/>
        <w:t>quality</w:t>
      </w:r>
      <w:r>
        <w:rPr>
          <w:spacing w:val="3"/>
        </w:rPr>
        <w:t> </w:t>
      </w:r>
      <w:r>
        <w:rPr/>
        <w:t>standards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obtain</w:t>
      </w:r>
      <w:r>
        <w:rPr>
          <w:spacing w:val="3"/>
        </w:rPr>
        <w:t> </w:t>
      </w:r>
      <w:r>
        <w:rPr/>
        <w:t>any</w:t>
      </w:r>
      <w:r>
        <w:rPr>
          <w:spacing w:val="3"/>
        </w:rPr>
        <w:t> </w:t>
      </w:r>
      <w:r>
        <w:rPr/>
        <w:t>additional</w:t>
      </w:r>
      <w:r>
        <w:rPr>
          <w:spacing w:val="1"/>
        </w:rPr>
        <w:t> </w:t>
      </w:r>
      <w:r>
        <w:rPr/>
        <w:t>regulatory</w:t>
      </w:r>
      <w:r>
        <w:rPr>
          <w:spacing w:val="3"/>
        </w:rPr>
        <w:t> </w:t>
      </w:r>
      <w:r>
        <w:rPr/>
        <w:t>approvals</w:t>
      </w:r>
      <w:r>
        <w:rPr>
          <w:spacing w:val="2"/>
        </w:rPr>
        <w:t> </w:t>
      </w:r>
      <w:r>
        <w:rPr/>
        <w:t>required</w:t>
      </w:r>
      <w:r>
        <w:rPr>
          <w:spacing w:val="3"/>
        </w:rPr>
        <w:t> </w:t>
      </w:r>
      <w:r>
        <w:rPr/>
        <w:t>to</w:t>
      </w:r>
      <w:r>
        <w:rPr>
          <w:spacing w:val="2"/>
        </w:rPr>
        <w:t> </w:t>
      </w:r>
      <w:r>
        <w:rPr/>
        <w:t>change</w:t>
      </w:r>
      <w:r>
        <w:rPr>
          <w:spacing w:val="2"/>
        </w:rPr>
        <w:t> </w:t>
      </w:r>
      <w:r>
        <w:rPr/>
        <w:t>providers,</w:t>
      </w:r>
      <w:r>
        <w:rPr>
          <w:spacing w:val="3"/>
        </w:rPr>
        <w:t> </w:t>
      </w:r>
      <w:r>
        <w:rPr/>
        <w:t>which</w:t>
      </w:r>
      <w:r>
        <w:rPr>
          <w:spacing w:val="2"/>
        </w:rPr>
        <w:t> </w:t>
      </w:r>
      <w:r>
        <w:rPr/>
        <w:t>could</w:t>
      </w:r>
      <w:r>
        <w:rPr>
          <w:spacing w:val="1"/>
        </w:rPr>
        <w:t> </w:t>
      </w:r>
      <w:r>
        <w:rPr/>
        <w:t>result</w:t>
      </w:r>
      <w:r>
        <w:rPr>
          <w:spacing w:val="-2"/>
        </w:rPr>
        <w:t> </w:t>
      </w:r>
      <w:r>
        <w:rPr/>
        <w:t>in manufacturing delays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increase</w:t>
      </w:r>
      <w:r>
        <w:rPr>
          <w:spacing w:val="-1"/>
        </w:rPr>
        <w:t> </w:t>
      </w:r>
      <w:r>
        <w:rPr/>
        <w:t>our expenses.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  <w:ind w:right="240"/>
      </w:pPr>
      <w:r>
        <w:rPr/>
        <w:t>Our</w:t>
      </w:r>
      <w:r>
        <w:rPr>
          <w:spacing w:val="-3"/>
        </w:rPr>
        <w:t> </w:t>
      </w:r>
      <w:r>
        <w:rPr/>
        <w:t>dependence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third-parties</w:t>
      </w:r>
      <w:r>
        <w:rPr>
          <w:spacing w:val="-3"/>
        </w:rPr>
        <w:t> </w:t>
      </w:r>
      <w:r>
        <w:rPr/>
        <w:t>subjects</w:t>
      </w:r>
      <w:r>
        <w:rPr>
          <w:spacing w:val="-4"/>
        </w:rPr>
        <w:t> </w:t>
      </w:r>
      <w:r>
        <w:rPr/>
        <w:t>us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risks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could</w:t>
      </w:r>
      <w:r>
        <w:rPr>
          <w:spacing w:val="-3"/>
        </w:rPr>
        <w:t> </w:t>
      </w:r>
      <w:r>
        <w:rPr/>
        <w:t>impact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ability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manufacture</w:t>
      </w:r>
      <w:r>
        <w:rPr>
          <w:spacing w:val="-47"/>
        </w:rPr>
        <w:t> </w:t>
      </w:r>
      <w:r>
        <w:rPr/>
        <w:t>our</w:t>
      </w:r>
      <w:r>
        <w:rPr>
          <w:spacing w:val="-1"/>
        </w:rPr>
        <w:t> </w:t>
      </w:r>
      <w:r>
        <w:rPr/>
        <w:t>products</w:t>
      </w:r>
      <w:r>
        <w:rPr>
          <w:spacing w:val="-1"/>
        </w:rPr>
        <w:t> </w:t>
      </w:r>
      <w:r>
        <w:rPr/>
        <w:t>and harm</w:t>
      </w:r>
      <w:r>
        <w:rPr>
          <w:spacing w:val="-1"/>
        </w:rPr>
        <w:t> </w:t>
      </w:r>
      <w:r>
        <w:rPr/>
        <w:t>our business, including: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9" w:lineRule="auto" w:before="181" w:after="0"/>
        <w:ind w:left="820" w:right="277" w:hanging="360"/>
        <w:jc w:val="left"/>
        <w:rPr>
          <w:sz w:val="20"/>
        </w:rPr>
      </w:pPr>
      <w:r>
        <w:rPr>
          <w:sz w:val="20"/>
        </w:rPr>
        <w:t>interruption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supply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sterilization</w:t>
      </w:r>
      <w:r>
        <w:rPr>
          <w:spacing w:val="-3"/>
          <w:sz w:val="20"/>
        </w:rPr>
        <w:t> </w:t>
      </w:r>
      <w:r>
        <w:rPr>
          <w:sz w:val="20"/>
        </w:rPr>
        <w:t>resulting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modifications</w:t>
      </w:r>
      <w:r>
        <w:rPr>
          <w:spacing w:val="-4"/>
          <w:sz w:val="20"/>
        </w:rPr>
        <w:t> </w:t>
      </w:r>
      <w:r>
        <w:rPr>
          <w:sz w:val="20"/>
        </w:rPr>
        <w:t>to,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discontinuation</w:t>
      </w:r>
      <w:r>
        <w:rPr>
          <w:spacing w:val="-3"/>
          <w:sz w:val="20"/>
        </w:rPr>
        <w:t> </w:t>
      </w:r>
      <w:r>
        <w:rPr>
          <w:sz w:val="20"/>
        </w:rPr>
        <w:t>of,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third</w:t>
      </w:r>
      <w:r>
        <w:rPr>
          <w:spacing w:val="-3"/>
          <w:sz w:val="20"/>
        </w:rPr>
        <w:t> </w:t>
      </w:r>
      <w:r>
        <w:rPr>
          <w:sz w:val="20"/>
        </w:rPr>
        <w:t>party’s</w:t>
      </w:r>
      <w:r>
        <w:rPr>
          <w:spacing w:val="-47"/>
          <w:sz w:val="20"/>
        </w:rPr>
        <w:t> </w:t>
      </w:r>
      <w:r>
        <w:rPr>
          <w:sz w:val="20"/>
        </w:rPr>
        <w:t>operations;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9" w:lineRule="auto" w:before="182" w:after="0"/>
        <w:ind w:left="820" w:right="158" w:hanging="360"/>
        <w:jc w:val="left"/>
        <w:rPr>
          <w:sz w:val="20"/>
        </w:rPr>
      </w:pPr>
      <w:r>
        <w:rPr>
          <w:sz w:val="20"/>
        </w:rPr>
        <w:t>delays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product</w:t>
      </w:r>
      <w:r>
        <w:rPr>
          <w:spacing w:val="-4"/>
          <w:sz w:val="20"/>
        </w:rPr>
        <w:t> </w:t>
      </w:r>
      <w:r>
        <w:rPr>
          <w:sz w:val="20"/>
        </w:rPr>
        <w:t>shipments</w:t>
      </w:r>
      <w:r>
        <w:rPr>
          <w:spacing w:val="-4"/>
          <w:sz w:val="20"/>
        </w:rPr>
        <w:t> </w:t>
      </w:r>
      <w:r>
        <w:rPr>
          <w:sz w:val="20"/>
        </w:rPr>
        <w:t>resulting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uncorrected</w:t>
      </w:r>
      <w:r>
        <w:rPr>
          <w:spacing w:val="-3"/>
          <w:sz w:val="20"/>
        </w:rPr>
        <w:t> </w:t>
      </w:r>
      <w:r>
        <w:rPr>
          <w:sz w:val="20"/>
        </w:rPr>
        <w:t>defects,</w:t>
      </w:r>
      <w:r>
        <w:rPr>
          <w:spacing w:val="-3"/>
          <w:sz w:val="20"/>
        </w:rPr>
        <w:t> </w:t>
      </w:r>
      <w:r>
        <w:rPr>
          <w:sz w:val="20"/>
        </w:rPr>
        <w:t>reliability</w:t>
      </w:r>
      <w:r>
        <w:rPr>
          <w:spacing w:val="-3"/>
          <w:sz w:val="20"/>
        </w:rPr>
        <w:t> </w:t>
      </w:r>
      <w:r>
        <w:rPr>
          <w:sz w:val="20"/>
        </w:rPr>
        <w:t>issues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third</w:t>
      </w:r>
      <w:r>
        <w:rPr>
          <w:spacing w:val="-3"/>
          <w:sz w:val="20"/>
        </w:rPr>
        <w:t> </w:t>
      </w:r>
      <w:r>
        <w:rPr>
          <w:sz w:val="20"/>
        </w:rPr>
        <w:t>party’s</w:t>
      </w:r>
      <w:r>
        <w:rPr>
          <w:spacing w:val="-4"/>
          <w:sz w:val="20"/>
        </w:rPr>
        <w:t> </w:t>
      </w:r>
      <w:r>
        <w:rPr>
          <w:sz w:val="20"/>
        </w:rPr>
        <w:t>failure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7"/>
          <w:sz w:val="20"/>
        </w:rPr>
        <w:t> </w:t>
      </w:r>
      <w:r>
        <w:rPr>
          <w:sz w:val="20"/>
        </w:rPr>
        <w:t>produce</w:t>
      </w:r>
      <w:r>
        <w:rPr>
          <w:spacing w:val="-3"/>
          <w:sz w:val="20"/>
        </w:rPr>
        <w:t> </w:t>
      </w:r>
      <w:r>
        <w:rPr>
          <w:sz w:val="20"/>
        </w:rPr>
        <w:t>components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complete</w:t>
      </w:r>
      <w:r>
        <w:rPr>
          <w:spacing w:val="-3"/>
          <w:sz w:val="20"/>
        </w:rPr>
        <w:t> </w:t>
      </w:r>
      <w:r>
        <w:rPr>
          <w:sz w:val="20"/>
        </w:rPr>
        <w:t>sterilizations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consistently</w:t>
      </w:r>
      <w:r>
        <w:rPr>
          <w:spacing w:val="-1"/>
          <w:sz w:val="20"/>
        </w:rPr>
        <w:t> </w:t>
      </w:r>
      <w:r>
        <w:rPr>
          <w:sz w:val="20"/>
        </w:rPr>
        <w:t>meet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1"/>
          <w:sz w:val="20"/>
        </w:rPr>
        <w:t> </w:t>
      </w:r>
      <w:r>
        <w:rPr>
          <w:sz w:val="20"/>
        </w:rPr>
        <w:t>quality</w:t>
      </w:r>
      <w:r>
        <w:rPr>
          <w:spacing w:val="-2"/>
          <w:sz w:val="20"/>
        </w:rPr>
        <w:t> </w:t>
      </w:r>
      <w:r>
        <w:rPr>
          <w:sz w:val="20"/>
        </w:rPr>
        <w:t>specifications;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9" w:lineRule="auto" w:before="182" w:after="0"/>
        <w:ind w:left="820" w:right="167" w:hanging="360"/>
        <w:jc w:val="left"/>
        <w:rPr>
          <w:sz w:val="20"/>
        </w:rPr>
      </w:pPr>
      <w:r>
        <w:rPr>
          <w:sz w:val="20"/>
        </w:rPr>
        <w:t>price</w:t>
      </w:r>
      <w:r>
        <w:rPr>
          <w:spacing w:val="-4"/>
          <w:sz w:val="20"/>
        </w:rPr>
        <w:t> </w:t>
      </w:r>
      <w:r>
        <w:rPr>
          <w:sz w:val="20"/>
        </w:rPr>
        <w:t>fluctuations</w:t>
      </w:r>
      <w:r>
        <w:rPr>
          <w:spacing w:val="-3"/>
          <w:sz w:val="20"/>
        </w:rPr>
        <w:t> </w:t>
      </w:r>
      <w:r>
        <w:rPr>
          <w:sz w:val="20"/>
        </w:rPr>
        <w:t>due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lack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long-term</w:t>
      </w:r>
      <w:r>
        <w:rPr>
          <w:spacing w:val="-3"/>
          <w:sz w:val="20"/>
        </w:rPr>
        <w:t> </w:t>
      </w:r>
      <w:r>
        <w:rPr>
          <w:sz w:val="20"/>
        </w:rPr>
        <w:t>supply</w:t>
      </w:r>
      <w:r>
        <w:rPr>
          <w:spacing w:val="-2"/>
          <w:sz w:val="20"/>
        </w:rPr>
        <w:t> </w:t>
      </w:r>
      <w:r>
        <w:rPr>
          <w:sz w:val="20"/>
        </w:rPr>
        <w:t>arrangements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2"/>
          <w:sz w:val="20"/>
        </w:rPr>
        <w:t> </w:t>
      </w:r>
      <w:r>
        <w:rPr>
          <w:sz w:val="20"/>
        </w:rPr>
        <w:t>third</w:t>
      </w:r>
      <w:r>
        <w:rPr>
          <w:spacing w:val="-2"/>
          <w:sz w:val="20"/>
        </w:rPr>
        <w:t> </w:t>
      </w:r>
      <w:r>
        <w:rPr>
          <w:sz w:val="20"/>
        </w:rPr>
        <w:t>parties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key</w:t>
      </w:r>
      <w:r>
        <w:rPr>
          <w:spacing w:val="-2"/>
          <w:sz w:val="20"/>
        </w:rPr>
        <w:t> </w:t>
      </w:r>
      <w:r>
        <w:rPr>
          <w:sz w:val="20"/>
        </w:rPr>
        <w:t>components</w:t>
      </w:r>
      <w:r>
        <w:rPr>
          <w:spacing w:val="-47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sterilization requirements;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81" w:after="0"/>
        <w:ind w:left="820" w:right="0" w:hanging="360"/>
        <w:jc w:val="left"/>
        <w:rPr>
          <w:sz w:val="20"/>
        </w:rPr>
      </w:pPr>
      <w:r>
        <w:rPr>
          <w:sz w:val="20"/>
        </w:rPr>
        <w:t>inability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obtain</w:t>
      </w:r>
      <w:r>
        <w:rPr>
          <w:spacing w:val="-3"/>
          <w:sz w:val="20"/>
        </w:rPr>
        <w:t> </w:t>
      </w:r>
      <w:r>
        <w:rPr>
          <w:sz w:val="20"/>
        </w:rPr>
        <w:t>adequate</w:t>
      </w:r>
      <w:r>
        <w:rPr>
          <w:spacing w:val="-4"/>
          <w:sz w:val="20"/>
        </w:rPr>
        <w:t> </w:t>
      </w:r>
      <w:r>
        <w:rPr>
          <w:sz w:val="20"/>
        </w:rPr>
        <w:t>supply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services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timely</w:t>
      </w:r>
      <w:r>
        <w:rPr>
          <w:spacing w:val="-3"/>
          <w:sz w:val="20"/>
        </w:rPr>
        <w:t> </w:t>
      </w:r>
      <w:r>
        <w:rPr>
          <w:sz w:val="20"/>
        </w:rPr>
        <w:t>manner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commercially</w:t>
      </w:r>
      <w:r>
        <w:rPr>
          <w:spacing w:val="-3"/>
          <w:sz w:val="20"/>
        </w:rPr>
        <w:t> </w:t>
      </w:r>
      <w:r>
        <w:rPr>
          <w:sz w:val="20"/>
        </w:rPr>
        <w:t>reasonable</w:t>
      </w:r>
      <w:r>
        <w:rPr>
          <w:spacing w:val="-4"/>
          <w:sz w:val="20"/>
        </w:rPr>
        <w:t> </w:t>
      </w:r>
      <w:r>
        <w:rPr>
          <w:sz w:val="20"/>
        </w:rPr>
        <w:t>terms;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9" w:lineRule="auto" w:before="190" w:after="0"/>
        <w:ind w:left="820" w:right="1082" w:hanging="360"/>
        <w:jc w:val="left"/>
        <w:rPr>
          <w:sz w:val="20"/>
        </w:rPr>
      </w:pPr>
      <w:r>
        <w:rPr>
          <w:sz w:val="20"/>
        </w:rPr>
        <w:t>difficulty</w:t>
      </w:r>
      <w:r>
        <w:rPr>
          <w:spacing w:val="-3"/>
          <w:sz w:val="20"/>
        </w:rPr>
        <w:t> </w:t>
      </w:r>
      <w:r>
        <w:rPr>
          <w:sz w:val="20"/>
        </w:rPr>
        <w:t>identifying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qualifying</w:t>
      </w:r>
      <w:r>
        <w:rPr>
          <w:spacing w:val="-3"/>
          <w:sz w:val="20"/>
        </w:rPr>
        <w:t> </w:t>
      </w:r>
      <w:r>
        <w:rPr>
          <w:sz w:val="20"/>
        </w:rPr>
        <w:t>alternative</w:t>
      </w:r>
      <w:r>
        <w:rPr>
          <w:spacing w:val="-3"/>
          <w:sz w:val="20"/>
        </w:rPr>
        <w:t> </w:t>
      </w:r>
      <w:r>
        <w:rPr>
          <w:sz w:val="20"/>
        </w:rPr>
        <w:t>third</w:t>
      </w:r>
      <w:r>
        <w:rPr>
          <w:spacing w:val="-3"/>
          <w:sz w:val="20"/>
        </w:rPr>
        <w:t> </w:t>
      </w:r>
      <w:r>
        <w:rPr>
          <w:sz w:val="20"/>
        </w:rPr>
        <w:t>parties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supply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components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47"/>
          <w:sz w:val="20"/>
        </w:rPr>
        <w:t> </w:t>
      </w:r>
      <w:r>
        <w:rPr>
          <w:sz w:val="20"/>
        </w:rPr>
        <w:t>sterilization</w:t>
      </w:r>
      <w:r>
        <w:rPr>
          <w:spacing w:val="-1"/>
          <w:sz w:val="20"/>
        </w:rPr>
        <w:t> </w:t>
      </w:r>
      <w:r>
        <w:rPr>
          <w:sz w:val="20"/>
        </w:rPr>
        <w:t>of our products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timely manner;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9" w:lineRule="auto" w:before="182" w:after="0"/>
        <w:ind w:left="820" w:right="188" w:hanging="360"/>
        <w:jc w:val="left"/>
        <w:rPr>
          <w:sz w:val="20"/>
        </w:rPr>
      </w:pPr>
      <w:r>
        <w:rPr>
          <w:sz w:val="20"/>
        </w:rPr>
        <w:t>inability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third</w:t>
      </w:r>
      <w:r>
        <w:rPr>
          <w:spacing w:val="-3"/>
          <w:sz w:val="20"/>
        </w:rPr>
        <w:t> </w:t>
      </w:r>
      <w:r>
        <w:rPr>
          <w:sz w:val="20"/>
        </w:rPr>
        <w:t>parties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comply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applicable</w:t>
      </w:r>
      <w:r>
        <w:rPr>
          <w:spacing w:val="-4"/>
          <w:sz w:val="20"/>
        </w:rPr>
        <w:t> </w:t>
      </w:r>
      <w:r>
        <w:rPr>
          <w:sz w:val="20"/>
        </w:rPr>
        <w:t>provisions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FDA’s</w:t>
      </w:r>
      <w:r>
        <w:rPr>
          <w:spacing w:val="-3"/>
          <w:sz w:val="20"/>
        </w:rPr>
        <w:t> </w:t>
      </w:r>
      <w:r>
        <w:rPr>
          <w:sz w:val="20"/>
        </w:rPr>
        <w:t>Quality</w:t>
      </w:r>
      <w:r>
        <w:rPr>
          <w:spacing w:val="-4"/>
          <w:sz w:val="20"/>
        </w:rPr>
        <w:t> </w:t>
      </w:r>
      <w:r>
        <w:rPr>
          <w:sz w:val="20"/>
        </w:rPr>
        <w:t>System</w:t>
      </w:r>
      <w:r>
        <w:rPr>
          <w:spacing w:val="-3"/>
          <w:sz w:val="20"/>
        </w:rPr>
        <w:t> </w:t>
      </w:r>
      <w:r>
        <w:rPr>
          <w:sz w:val="20"/>
        </w:rPr>
        <w:t>Regulations,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7"/>
          <w:sz w:val="20"/>
        </w:rPr>
        <w:t> </w:t>
      </w:r>
      <w:r>
        <w:rPr>
          <w:sz w:val="20"/>
        </w:rPr>
        <w:t>QSR,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applicable</w:t>
      </w:r>
      <w:r>
        <w:rPr>
          <w:spacing w:val="-3"/>
          <w:sz w:val="20"/>
        </w:rPr>
        <w:t> </w:t>
      </w:r>
      <w:r>
        <w:rPr>
          <w:sz w:val="20"/>
        </w:rPr>
        <w:t>laws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regulations</w:t>
      </w:r>
      <w:r>
        <w:rPr>
          <w:spacing w:val="-4"/>
          <w:sz w:val="20"/>
        </w:rPr>
        <w:t> </w:t>
      </w:r>
      <w:r>
        <w:rPr>
          <w:sz w:val="20"/>
        </w:rPr>
        <w:t>enforced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FDA,</w:t>
      </w:r>
      <w:r>
        <w:rPr>
          <w:spacing w:val="-3"/>
          <w:sz w:val="20"/>
        </w:rPr>
        <w:t> </w:t>
      </w:r>
      <w:r>
        <w:rPr>
          <w:sz w:val="20"/>
        </w:rPr>
        <w:t>state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global</w:t>
      </w:r>
      <w:r>
        <w:rPr>
          <w:spacing w:val="-3"/>
          <w:sz w:val="20"/>
        </w:rPr>
        <w:t> </w:t>
      </w:r>
      <w:r>
        <w:rPr>
          <w:sz w:val="20"/>
        </w:rPr>
        <w:t>regulatory</w:t>
      </w:r>
      <w:r>
        <w:rPr>
          <w:spacing w:val="-2"/>
          <w:sz w:val="20"/>
        </w:rPr>
        <w:t> </w:t>
      </w:r>
      <w:r>
        <w:rPr>
          <w:sz w:val="20"/>
        </w:rPr>
        <w:t>authorities;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81" w:after="0"/>
        <w:ind w:left="820" w:right="0" w:hanging="360"/>
        <w:jc w:val="left"/>
        <w:rPr>
          <w:sz w:val="20"/>
        </w:rPr>
      </w:pPr>
      <w:r>
        <w:rPr>
          <w:sz w:val="20"/>
        </w:rPr>
        <w:t>inability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ensure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quality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products</w:t>
      </w:r>
      <w:r>
        <w:rPr>
          <w:spacing w:val="-4"/>
          <w:sz w:val="20"/>
        </w:rPr>
        <w:t> </w:t>
      </w:r>
      <w:r>
        <w:rPr>
          <w:sz w:val="20"/>
        </w:rPr>
        <w:t>manufactured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sterilization</w:t>
      </w:r>
      <w:r>
        <w:rPr>
          <w:spacing w:val="-3"/>
          <w:sz w:val="20"/>
        </w:rPr>
        <w:t> </w:t>
      </w:r>
      <w:r>
        <w:rPr>
          <w:sz w:val="20"/>
        </w:rPr>
        <w:t>conducted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third</w:t>
      </w:r>
      <w:r>
        <w:rPr>
          <w:spacing w:val="-3"/>
          <w:sz w:val="20"/>
        </w:rPr>
        <w:t> </w:t>
      </w:r>
      <w:r>
        <w:rPr>
          <w:sz w:val="20"/>
        </w:rPr>
        <w:t>parties;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9" w:lineRule="auto" w:before="190" w:after="0"/>
        <w:ind w:left="820" w:right="690" w:hanging="360"/>
        <w:jc w:val="left"/>
        <w:rPr>
          <w:sz w:val="20"/>
        </w:rPr>
      </w:pPr>
      <w:r>
        <w:rPr>
          <w:sz w:val="20"/>
        </w:rPr>
        <w:t>production</w:t>
      </w:r>
      <w:r>
        <w:rPr>
          <w:spacing w:val="-3"/>
          <w:sz w:val="20"/>
        </w:rPr>
        <w:t> </w:t>
      </w:r>
      <w:r>
        <w:rPr>
          <w:sz w:val="20"/>
        </w:rPr>
        <w:t>delays</w:t>
      </w:r>
      <w:r>
        <w:rPr>
          <w:spacing w:val="-4"/>
          <w:sz w:val="20"/>
        </w:rPr>
        <w:t> </w:t>
      </w:r>
      <w:r>
        <w:rPr>
          <w:sz w:val="20"/>
        </w:rPr>
        <w:t>related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evaluation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testing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products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services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alternative</w:t>
      </w:r>
      <w:r>
        <w:rPr>
          <w:spacing w:val="-4"/>
          <w:sz w:val="20"/>
        </w:rPr>
        <w:t> </w:t>
      </w:r>
      <w:r>
        <w:rPr>
          <w:sz w:val="20"/>
        </w:rPr>
        <w:t>third</w:t>
      </w:r>
      <w:r>
        <w:rPr>
          <w:spacing w:val="-47"/>
          <w:sz w:val="20"/>
        </w:rPr>
        <w:t> </w:t>
      </w:r>
      <w:r>
        <w:rPr>
          <w:sz w:val="20"/>
        </w:rPr>
        <w:t>parties</w:t>
      </w:r>
      <w:r>
        <w:rPr>
          <w:spacing w:val="-2"/>
          <w:sz w:val="20"/>
        </w:rPr>
        <w:t> </w:t>
      </w:r>
      <w:r>
        <w:rPr>
          <w:sz w:val="20"/>
        </w:rPr>
        <w:t>and corresponding regulatory</w:t>
      </w:r>
      <w:r>
        <w:rPr>
          <w:spacing w:val="-1"/>
          <w:sz w:val="20"/>
        </w:rPr>
        <w:t> </w:t>
      </w:r>
      <w:r>
        <w:rPr>
          <w:sz w:val="20"/>
        </w:rPr>
        <w:t>qualifications;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82" w:after="0"/>
        <w:ind w:left="820" w:right="0" w:hanging="360"/>
        <w:jc w:val="left"/>
        <w:rPr>
          <w:sz w:val="20"/>
        </w:rPr>
      </w:pPr>
      <w:r>
        <w:rPr>
          <w:sz w:val="20"/>
        </w:rPr>
        <w:t>trends</w:t>
      </w:r>
      <w:r>
        <w:rPr>
          <w:spacing w:val="-5"/>
          <w:sz w:val="20"/>
        </w:rPr>
        <w:t> </w:t>
      </w:r>
      <w:r>
        <w:rPr>
          <w:sz w:val="20"/>
        </w:rPr>
        <w:t>towards</w:t>
      </w:r>
      <w:r>
        <w:rPr>
          <w:spacing w:val="-4"/>
          <w:sz w:val="20"/>
        </w:rPr>
        <w:t> </w:t>
      </w:r>
      <w:r>
        <w:rPr>
          <w:sz w:val="20"/>
        </w:rPr>
        <w:t>consolidation</w:t>
      </w:r>
      <w:r>
        <w:rPr>
          <w:spacing w:val="-4"/>
          <w:sz w:val="20"/>
        </w:rPr>
        <w:t> </w:t>
      </w:r>
      <w:r>
        <w:rPr>
          <w:sz w:val="20"/>
        </w:rPr>
        <w:t>within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medical</w:t>
      </w:r>
      <w:r>
        <w:rPr>
          <w:spacing w:val="-4"/>
          <w:sz w:val="20"/>
        </w:rPr>
        <w:t> </w:t>
      </w:r>
      <w:r>
        <w:rPr>
          <w:sz w:val="20"/>
        </w:rPr>
        <w:t>device</w:t>
      </w:r>
      <w:r>
        <w:rPr>
          <w:spacing w:val="-4"/>
          <w:sz w:val="20"/>
        </w:rPr>
        <w:t> </w:t>
      </w:r>
      <w:r>
        <w:rPr>
          <w:sz w:val="20"/>
        </w:rPr>
        <w:t>manufacturing</w:t>
      </w:r>
      <w:r>
        <w:rPr>
          <w:spacing w:val="-4"/>
          <w:sz w:val="20"/>
        </w:rPr>
        <w:t> </w:t>
      </w:r>
      <w:r>
        <w:rPr>
          <w:sz w:val="20"/>
        </w:rPr>
        <w:t>supplier</w:t>
      </w:r>
      <w:r>
        <w:rPr>
          <w:spacing w:val="-3"/>
          <w:sz w:val="20"/>
        </w:rPr>
        <w:t> </w:t>
      </w:r>
      <w:r>
        <w:rPr>
          <w:sz w:val="20"/>
        </w:rPr>
        <w:t>industry;</w:t>
      </w:r>
      <w:r>
        <w:rPr>
          <w:spacing w:val="-5"/>
          <w:sz w:val="20"/>
        </w:rPr>
        <w:t> </w:t>
      </w:r>
      <w:r>
        <w:rPr>
          <w:sz w:val="20"/>
        </w:rPr>
        <w:t>and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delays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delivery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our</w:t>
      </w:r>
      <w:r>
        <w:rPr>
          <w:spacing w:val="-2"/>
          <w:sz w:val="20"/>
        </w:rPr>
        <w:t> </w:t>
      </w:r>
      <w:r>
        <w:rPr>
          <w:sz w:val="20"/>
        </w:rPr>
        <w:t>suppliers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service</w:t>
      </w:r>
      <w:r>
        <w:rPr>
          <w:spacing w:val="-3"/>
          <w:sz w:val="20"/>
        </w:rPr>
        <w:t> </w:t>
      </w:r>
      <w:r>
        <w:rPr>
          <w:sz w:val="20"/>
        </w:rPr>
        <w:t>providers.</w:t>
      </w:r>
    </w:p>
    <w:p>
      <w:pPr>
        <w:pStyle w:val="BodyText"/>
        <w:spacing w:line="249" w:lineRule="auto"/>
        <w:ind w:right="136"/>
      </w:pPr>
      <w:r>
        <w:rPr/>
        <w:t>Although we require our third-party suppliers and providers to supply us with components and services that</w:t>
      </w:r>
      <w:r>
        <w:rPr>
          <w:spacing w:val="1"/>
        </w:rPr>
        <w:t> </w:t>
      </w:r>
      <w:r>
        <w:rPr/>
        <w:t>meet our specifications and other applicable legal and regulatory requirements in our agreements and contracts, and</w:t>
      </w:r>
      <w:r>
        <w:rPr>
          <w:spacing w:val="1"/>
        </w:rPr>
        <w:t> </w:t>
      </w:r>
      <w:r>
        <w:rPr/>
        <w:t>we perform incoming inspection, testing or other acceptance activities to ensure the components meet our</w:t>
      </w:r>
      <w:r>
        <w:rPr>
          <w:spacing w:val="1"/>
        </w:rPr>
        <w:t> </w:t>
      </w:r>
      <w:r>
        <w:rPr/>
        <w:t>requirements,</w:t>
      </w:r>
      <w:r>
        <w:rPr>
          <w:spacing w:val="-3"/>
        </w:rPr>
        <w:t> </w:t>
      </w:r>
      <w:r>
        <w:rPr/>
        <w:t>there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risk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these</w:t>
      </w:r>
      <w:r>
        <w:rPr>
          <w:spacing w:val="-4"/>
        </w:rPr>
        <w:t> </w:t>
      </w:r>
      <w:r>
        <w:rPr/>
        <w:t>third</w:t>
      </w:r>
      <w:r>
        <w:rPr>
          <w:spacing w:val="-2"/>
        </w:rPr>
        <w:t> </w:t>
      </w:r>
      <w:r>
        <w:rPr/>
        <w:t>parties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always</w:t>
      </w:r>
      <w:r>
        <w:rPr>
          <w:spacing w:val="-3"/>
        </w:rPr>
        <w:t> </w:t>
      </w:r>
      <w:r>
        <w:rPr/>
        <w:t>act</w:t>
      </w:r>
      <w:r>
        <w:rPr>
          <w:spacing w:val="-4"/>
        </w:rPr>
        <w:t> </w:t>
      </w:r>
      <w:r>
        <w:rPr/>
        <w:t>consistent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best</w:t>
      </w:r>
      <w:r>
        <w:rPr>
          <w:spacing w:val="-4"/>
        </w:rPr>
        <w:t> </w:t>
      </w:r>
      <w:r>
        <w:rPr/>
        <w:t>interests,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not</w:t>
      </w:r>
      <w:r>
        <w:rPr>
          <w:spacing w:val="1"/>
        </w:rPr>
        <w:t> </w:t>
      </w:r>
      <w:r>
        <w:rPr/>
        <w:t>always</w:t>
      </w:r>
      <w:r>
        <w:rPr>
          <w:spacing w:val="-2"/>
        </w:rPr>
        <w:t> </w:t>
      </w:r>
      <w:r>
        <w:rPr/>
        <w:t>supply</w:t>
      </w:r>
      <w:r>
        <w:rPr>
          <w:spacing w:val="-1"/>
        </w:rPr>
        <w:t> </w:t>
      </w:r>
      <w:r>
        <w:rPr/>
        <w:t>components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provide</w:t>
      </w:r>
      <w:r>
        <w:rPr>
          <w:spacing w:val="-1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meet</w:t>
      </w:r>
      <w:r>
        <w:rPr>
          <w:spacing w:val="-2"/>
        </w:rPr>
        <w:t> </w:t>
      </w:r>
      <w:r>
        <w:rPr/>
        <w:t>our requirements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timely</w:t>
      </w:r>
      <w:r>
        <w:rPr>
          <w:spacing w:val="-1"/>
        </w:rPr>
        <w:t> </w:t>
      </w:r>
      <w:r>
        <w:rPr/>
        <w:t>manner.</w:t>
      </w:r>
    </w:p>
    <w:p>
      <w:pPr>
        <w:pStyle w:val="Heading3"/>
        <w:spacing w:line="249" w:lineRule="auto" w:before="181"/>
        <w:ind w:right="180"/>
      </w:pPr>
      <w:r>
        <w:rPr>
          <w:i/>
        </w:rPr>
        <w:t>If we receive a significant number of warranty claims or our AquaBeam Robotic Systems require significant</w:t>
      </w:r>
      <w:r>
        <w:rPr>
          <w:i/>
          <w:spacing w:val="1"/>
        </w:rPr>
        <w:t> </w:t>
      </w:r>
      <w:r>
        <w:rPr/>
        <w:t>amounts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service</w:t>
      </w:r>
      <w:r>
        <w:rPr>
          <w:spacing w:val="-5"/>
        </w:rPr>
        <w:t> </w:t>
      </w:r>
      <w:r>
        <w:rPr/>
        <w:t>after</w:t>
      </w:r>
      <w:r>
        <w:rPr>
          <w:spacing w:val="-4"/>
        </w:rPr>
        <w:t> </w:t>
      </w:r>
      <w:r>
        <w:rPr/>
        <w:t>sale,</w:t>
      </w:r>
      <w:r>
        <w:rPr>
          <w:spacing w:val="-4"/>
        </w:rPr>
        <w:t> </w:t>
      </w:r>
      <w:r>
        <w:rPr/>
        <w:t>our</w:t>
      </w:r>
      <w:r>
        <w:rPr>
          <w:spacing w:val="-4"/>
        </w:rPr>
        <w:t> </w:t>
      </w:r>
      <w:r>
        <w:rPr/>
        <w:t>operating</w:t>
      </w:r>
      <w:r>
        <w:rPr>
          <w:spacing w:val="-4"/>
        </w:rPr>
        <w:t> </w:t>
      </w:r>
      <w:r>
        <w:rPr/>
        <w:t>expenses</w:t>
      </w:r>
      <w:r>
        <w:rPr>
          <w:spacing w:val="-4"/>
        </w:rPr>
        <w:t> </w:t>
      </w:r>
      <w:r>
        <w:rPr/>
        <w:t>may</w:t>
      </w:r>
      <w:r>
        <w:rPr>
          <w:spacing w:val="-5"/>
        </w:rPr>
        <w:t> </w:t>
      </w:r>
      <w:r>
        <w:rPr/>
        <w:t>substantially</w:t>
      </w:r>
      <w:r>
        <w:rPr>
          <w:spacing w:val="-4"/>
        </w:rPr>
        <w:t> </w:t>
      </w:r>
      <w:r>
        <w:rPr/>
        <w:t>increase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our</w:t>
      </w:r>
      <w:r>
        <w:rPr>
          <w:spacing w:val="-4"/>
        </w:rPr>
        <w:t> </w:t>
      </w:r>
      <w:r>
        <w:rPr/>
        <w:t>business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financial</w:t>
      </w:r>
      <w:r>
        <w:rPr>
          <w:spacing w:val="1"/>
        </w:rPr>
        <w:t> </w:t>
      </w:r>
      <w:r>
        <w:rPr/>
        <w:t>results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adversely</w:t>
      </w:r>
      <w:r>
        <w:rPr>
          <w:spacing w:val="-1"/>
        </w:rPr>
        <w:t> </w:t>
      </w:r>
      <w:r>
        <w:rPr/>
        <w:t>affected.</w:t>
      </w:r>
    </w:p>
    <w:p>
      <w:pPr>
        <w:pStyle w:val="BodyText"/>
        <w:spacing w:line="249" w:lineRule="auto" w:before="186"/>
        <w:ind w:right="212"/>
      </w:pPr>
      <w:r>
        <w:rPr/>
        <w:t>We currently warrant each AquaBeam Robotic System against defects in materials and workmanship for a</w:t>
      </w:r>
      <w:r>
        <w:rPr>
          <w:spacing w:val="1"/>
        </w:rPr>
        <w:t> </w:t>
      </w:r>
      <w:r>
        <w:rPr/>
        <w:t>period of approximately 12 months from the installation of our product by a customer. We also expect to provide</w:t>
      </w:r>
      <w:r>
        <w:rPr>
          <w:spacing w:val="1"/>
        </w:rPr>
        <w:t> </w:t>
      </w:r>
      <w:r>
        <w:rPr/>
        <w:t>technical and other services to customers beyond the warranty period pursuant to a supplemental service plan that</w:t>
      </w:r>
      <w:r>
        <w:rPr>
          <w:spacing w:val="1"/>
        </w:rPr>
        <w:t> </w:t>
      </w:r>
      <w:r>
        <w:rPr/>
        <w:t>we sell for our AquaBeam Robotic System. We have a limited history of commercial placements from which to</w:t>
      </w:r>
      <w:r>
        <w:rPr>
          <w:spacing w:val="1"/>
        </w:rPr>
        <w:t> </w:t>
      </w:r>
      <w:r>
        <w:rPr/>
        <w:t>judge</w:t>
      </w:r>
      <w:r>
        <w:rPr>
          <w:spacing w:val="-4"/>
        </w:rPr>
        <w:t> </w:t>
      </w:r>
      <w:r>
        <w:rPr/>
        <w:t>our</w:t>
      </w:r>
      <w:r>
        <w:rPr>
          <w:spacing w:val="-2"/>
        </w:rPr>
        <w:t> </w:t>
      </w:r>
      <w:r>
        <w:rPr/>
        <w:t>rate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warranty</w:t>
      </w:r>
      <w:r>
        <w:rPr>
          <w:spacing w:val="-2"/>
        </w:rPr>
        <w:t> </w:t>
      </w:r>
      <w:r>
        <w:rPr/>
        <w:t>claims,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we</w:t>
      </w:r>
      <w:r>
        <w:rPr>
          <w:spacing w:val="-3"/>
        </w:rPr>
        <w:t> </w:t>
      </w:r>
      <w:r>
        <w:rPr/>
        <w:t>expect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warranty</w:t>
      </w:r>
      <w:r>
        <w:rPr>
          <w:spacing w:val="-2"/>
        </w:rPr>
        <w:t> </w:t>
      </w:r>
      <w:r>
        <w:rPr/>
        <w:t>claims</w:t>
      </w:r>
      <w:r>
        <w:rPr>
          <w:spacing w:val="-3"/>
        </w:rPr>
        <w:t> </w:t>
      </w:r>
      <w:r>
        <w:rPr/>
        <w:t>we</w:t>
      </w:r>
      <w:r>
        <w:rPr>
          <w:spacing w:val="-4"/>
        </w:rPr>
        <w:t> </w:t>
      </w:r>
      <w:r>
        <w:rPr/>
        <w:t>receive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increase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we</w:t>
      </w:r>
      <w:r>
        <w:rPr>
          <w:spacing w:val="-47"/>
        </w:rPr>
        <w:t> </w:t>
      </w:r>
      <w:r>
        <w:rPr/>
        <w:t>scale our operations and as our existing commercial placements age. If product returns or warranty claims are</w:t>
      </w:r>
      <w:r>
        <w:rPr>
          <w:spacing w:val="1"/>
        </w:rPr>
        <w:t> </w:t>
      </w:r>
      <w:r>
        <w:rPr/>
        <w:t>significant or exceed our expectations, we could incur unanticipated reductions in sales or additional operating</w:t>
      </w:r>
      <w:r>
        <w:rPr>
          <w:spacing w:val="1"/>
        </w:rPr>
        <w:t> </w:t>
      </w:r>
      <w:r>
        <w:rPr/>
        <w:t>expenditures for parts and service. In addition, our reputation could be damaged and our products may not achieve</w:t>
      </w:r>
      <w:r>
        <w:rPr>
          <w:spacing w:val="1"/>
        </w:rPr>
        <w:t> </w:t>
      </w:r>
      <w:r>
        <w:rPr/>
        <w:t>the level of market acceptance that we are targeting in order to achieve and maintain profitability. Unforeseen</w:t>
      </w:r>
      <w:r>
        <w:rPr>
          <w:spacing w:val="1"/>
        </w:rPr>
        <w:t> </w:t>
      </w:r>
      <w:r>
        <w:rPr/>
        <w:t>warranty</w:t>
      </w:r>
      <w:r>
        <w:rPr>
          <w:spacing w:val="-1"/>
        </w:rPr>
        <w:t> </w:t>
      </w:r>
      <w:r>
        <w:rPr/>
        <w:t>exposure</w:t>
      </w:r>
      <w:r>
        <w:rPr>
          <w:spacing w:val="-1"/>
        </w:rPr>
        <w:t> </w:t>
      </w:r>
      <w:r>
        <w:rPr/>
        <w:t>could</w:t>
      </w:r>
      <w:r>
        <w:rPr>
          <w:spacing w:val="-1"/>
        </w:rPr>
        <w:t> </w:t>
      </w:r>
      <w:r>
        <w:rPr/>
        <w:t>negatively impact</w:t>
      </w:r>
      <w:r>
        <w:rPr>
          <w:spacing w:val="-2"/>
        </w:rPr>
        <w:t> </w:t>
      </w:r>
      <w:r>
        <w:rPr/>
        <w:t>our business</w:t>
      </w:r>
      <w:r>
        <w:rPr>
          <w:spacing w:val="-2"/>
        </w:rPr>
        <w:t> </w:t>
      </w:r>
      <w:r>
        <w:rPr/>
        <w:t>and financial</w:t>
      </w:r>
      <w:r>
        <w:rPr>
          <w:spacing w:val="-2"/>
        </w:rPr>
        <w:t> </w:t>
      </w:r>
      <w:r>
        <w:rPr/>
        <w:t>results.</w:t>
      </w:r>
    </w:p>
    <w:p>
      <w:pPr>
        <w:pStyle w:val="Heading3"/>
        <w:spacing w:before="185"/>
        <w:rPr>
          <w:i/>
        </w:rPr>
      </w:pPr>
      <w:r>
        <w:rPr>
          <w:i/>
        </w:rPr>
        <w:t>We</w:t>
      </w:r>
      <w:r>
        <w:rPr>
          <w:i/>
          <w:spacing w:val="-5"/>
        </w:rPr>
        <w:t> </w:t>
      </w:r>
      <w:r>
        <w:rPr>
          <w:i/>
        </w:rPr>
        <w:t>need</w:t>
      </w:r>
      <w:r>
        <w:rPr>
          <w:i/>
          <w:spacing w:val="-3"/>
        </w:rPr>
        <w:t> </w:t>
      </w:r>
      <w:r>
        <w:rPr>
          <w:i/>
        </w:rPr>
        <w:t>to</w:t>
      </w:r>
      <w:r>
        <w:rPr>
          <w:i/>
          <w:spacing w:val="-3"/>
        </w:rPr>
        <w:t> </w:t>
      </w:r>
      <w:r>
        <w:rPr>
          <w:i/>
        </w:rPr>
        <w:t>ensure</w:t>
      </w:r>
      <w:r>
        <w:rPr>
          <w:i/>
          <w:spacing w:val="-4"/>
        </w:rPr>
        <w:t> </w:t>
      </w:r>
      <w:r>
        <w:rPr>
          <w:i/>
        </w:rPr>
        <w:t>strong</w:t>
      </w:r>
      <w:r>
        <w:rPr>
          <w:i/>
          <w:spacing w:val="-3"/>
        </w:rPr>
        <w:t> </w:t>
      </w:r>
      <w:r>
        <w:rPr>
          <w:i/>
        </w:rPr>
        <w:t>product</w:t>
      </w:r>
      <w:r>
        <w:rPr>
          <w:i/>
          <w:spacing w:val="-4"/>
        </w:rPr>
        <w:t> </w:t>
      </w:r>
      <w:r>
        <w:rPr>
          <w:i/>
        </w:rPr>
        <w:t>performance</w:t>
      </w:r>
      <w:r>
        <w:rPr>
          <w:i/>
          <w:spacing w:val="-4"/>
        </w:rPr>
        <w:t> </w:t>
      </w:r>
      <w:r>
        <w:rPr>
          <w:i/>
        </w:rPr>
        <w:t>and</w:t>
      </w:r>
      <w:r>
        <w:rPr>
          <w:i/>
          <w:spacing w:val="-4"/>
        </w:rPr>
        <w:t> </w:t>
      </w:r>
      <w:r>
        <w:rPr>
          <w:i/>
        </w:rPr>
        <w:t>reliability</w:t>
      </w:r>
      <w:r>
        <w:rPr>
          <w:i/>
          <w:spacing w:val="-4"/>
        </w:rPr>
        <w:t> </w:t>
      </w:r>
      <w:r>
        <w:rPr>
          <w:i/>
        </w:rPr>
        <w:t>to</w:t>
      </w:r>
      <w:r>
        <w:rPr>
          <w:i/>
          <w:spacing w:val="-3"/>
        </w:rPr>
        <w:t> </w:t>
      </w:r>
      <w:r>
        <w:rPr>
          <w:i/>
        </w:rPr>
        <w:t>maintain</w:t>
      </w:r>
      <w:r>
        <w:rPr>
          <w:i/>
          <w:spacing w:val="-4"/>
        </w:rPr>
        <w:t> </w:t>
      </w:r>
      <w:r>
        <w:rPr>
          <w:i/>
        </w:rPr>
        <w:t>and</w:t>
      </w:r>
      <w:r>
        <w:rPr>
          <w:i/>
          <w:spacing w:val="-3"/>
        </w:rPr>
        <w:t> </w:t>
      </w:r>
      <w:r>
        <w:rPr>
          <w:i/>
        </w:rPr>
        <w:t>grow</w:t>
      </w:r>
      <w:r>
        <w:rPr>
          <w:i/>
          <w:spacing w:val="-4"/>
        </w:rPr>
        <w:t> </w:t>
      </w:r>
      <w:r>
        <w:rPr>
          <w:i/>
        </w:rPr>
        <w:t>our</w:t>
      </w:r>
      <w:r>
        <w:rPr>
          <w:i/>
          <w:spacing w:val="-4"/>
        </w:rPr>
        <w:t> </w:t>
      </w:r>
      <w:r>
        <w:rPr>
          <w:i/>
        </w:rPr>
        <w:t>business.</w:t>
      </w:r>
    </w:p>
    <w:p>
      <w:pPr>
        <w:pStyle w:val="BodyText"/>
        <w:spacing w:line="249" w:lineRule="auto" w:before="193"/>
        <w:ind w:right="212"/>
      </w:pPr>
      <w:r>
        <w:rPr/>
        <w:t>We need to maintain and continuously improve the performance and reliability of our AquaBeam Robotic</w:t>
      </w:r>
      <w:r>
        <w:rPr>
          <w:spacing w:val="1"/>
        </w:rPr>
        <w:t> </w:t>
      </w:r>
      <w:r>
        <w:rPr/>
        <w:t>System to achieve our profitability objectives. Poor product performance and reliability could lead to customer</w:t>
      </w:r>
      <w:r>
        <w:rPr>
          <w:spacing w:val="1"/>
        </w:rPr>
        <w:t> </w:t>
      </w:r>
      <w:r>
        <w:rPr/>
        <w:t>dissatisfaction, adversely affect our reputation and revenues, and increase our service and distribution costs and</w:t>
      </w:r>
      <w:r>
        <w:rPr>
          <w:spacing w:val="1"/>
        </w:rPr>
        <w:t> </w:t>
      </w:r>
      <w:r>
        <w:rPr/>
        <w:t>working</w:t>
      </w:r>
      <w:r>
        <w:rPr>
          <w:spacing w:val="-4"/>
        </w:rPr>
        <w:t> </w:t>
      </w:r>
      <w:r>
        <w:rPr/>
        <w:t>capital</w:t>
      </w:r>
      <w:r>
        <w:rPr>
          <w:spacing w:val="-4"/>
        </w:rPr>
        <w:t> </w:t>
      </w:r>
      <w:r>
        <w:rPr/>
        <w:t>requirements.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addition,</w:t>
      </w:r>
      <w:r>
        <w:rPr>
          <w:spacing w:val="-4"/>
        </w:rPr>
        <w:t> </w:t>
      </w:r>
      <w:r>
        <w:rPr/>
        <w:t>software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hardware</w:t>
      </w:r>
      <w:r>
        <w:rPr>
          <w:spacing w:val="-4"/>
        </w:rPr>
        <w:t> </w:t>
      </w:r>
      <w:r>
        <w:rPr/>
        <w:t>incorporated</w:t>
      </w:r>
      <w:r>
        <w:rPr>
          <w:spacing w:val="-4"/>
        </w:rPr>
        <w:t> </w:t>
      </w:r>
      <w:r>
        <w:rPr/>
        <w:t>into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AquaBeam</w:t>
      </w:r>
      <w:r>
        <w:rPr>
          <w:spacing w:val="-4"/>
        </w:rPr>
        <w:t> </w:t>
      </w:r>
      <w:r>
        <w:rPr/>
        <w:t>Robotic</w:t>
      </w:r>
      <w:r>
        <w:rPr>
          <w:spacing w:val="-5"/>
        </w:rPr>
        <w:t> </w:t>
      </w:r>
      <w:r>
        <w:rPr/>
        <w:t>System</w:t>
      </w:r>
      <w:r>
        <w:rPr>
          <w:spacing w:val="-47"/>
        </w:rPr>
        <w:t> </w:t>
      </w:r>
      <w:r>
        <w:rPr/>
        <w:t>may</w:t>
      </w:r>
      <w:r>
        <w:rPr>
          <w:spacing w:val="-3"/>
        </w:rPr>
        <w:t> </w:t>
      </w:r>
      <w:r>
        <w:rPr/>
        <w:t>contain</w:t>
      </w:r>
      <w:r>
        <w:rPr>
          <w:spacing w:val="-2"/>
        </w:rPr>
        <w:t> </w:t>
      </w:r>
      <w:r>
        <w:rPr/>
        <w:t>errors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defects,</w:t>
      </w:r>
      <w:r>
        <w:rPr>
          <w:spacing w:val="-3"/>
        </w:rPr>
        <w:t> </w:t>
      </w:r>
      <w:r>
        <w:rPr/>
        <w:t>especially</w:t>
      </w:r>
      <w:r>
        <w:rPr>
          <w:spacing w:val="-2"/>
        </w:rPr>
        <w:t> </w:t>
      </w:r>
      <w:r>
        <w:rPr/>
        <w:t>when</w:t>
      </w:r>
      <w:r>
        <w:rPr>
          <w:spacing w:val="-2"/>
        </w:rPr>
        <w:t> </w:t>
      </w:r>
      <w:r>
        <w:rPr/>
        <w:t>first</w:t>
      </w:r>
      <w:r>
        <w:rPr>
          <w:spacing w:val="-4"/>
        </w:rPr>
        <w:t> </w:t>
      </w:r>
      <w:r>
        <w:rPr/>
        <w:t>introduced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while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have</w:t>
      </w:r>
      <w:r>
        <w:rPr>
          <w:spacing w:val="-4"/>
        </w:rPr>
        <w:t> </w:t>
      </w:r>
      <w:r>
        <w:rPr/>
        <w:t>made</w:t>
      </w:r>
      <w:r>
        <w:rPr>
          <w:spacing w:val="-3"/>
        </w:rPr>
        <w:t> </w:t>
      </w:r>
      <w:r>
        <w:rPr/>
        <w:t>efforts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test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software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  <w:ind w:right="180" w:firstLine="0"/>
      </w:pPr>
      <w:r>
        <w:rPr/>
        <w:t>and</w:t>
      </w:r>
      <w:r>
        <w:rPr>
          <w:spacing w:val="-3"/>
        </w:rPr>
        <w:t> </w:t>
      </w:r>
      <w:r>
        <w:rPr/>
        <w:t>hardware</w:t>
      </w:r>
      <w:r>
        <w:rPr>
          <w:spacing w:val="-3"/>
        </w:rPr>
        <w:t> </w:t>
      </w:r>
      <w:r>
        <w:rPr/>
        <w:t>extensively,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cannot</w:t>
      </w:r>
      <w:r>
        <w:rPr>
          <w:spacing w:val="-4"/>
        </w:rPr>
        <w:t> </w:t>
      </w:r>
      <w:r>
        <w:rPr/>
        <w:t>assure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software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hardware,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software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hardware</w:t>
      </w:r>
      <w:r>
        <w:rPr>
          <w:spacing w:val="-4"/>
        </w:rPr>
        <w:t> </w:t>
      </w:r>
      <w:r>
        <w:rPr/>
        <w:t>developed</w:t>
      </w:r>
      <w:r>
        <w:rPr>
          <w:spacing w:val="-2"/>
        </w:rPr>
        <w:t> </w:t>
      </w:r>
      <w:r>
        <w:rPr/>
        <w:t>in</w:t>
      </w:r>
      <w:r>
        <w:rPr>
          <w:spacing w:val="-47"/>
        </w:rPr>
        <w:t> </w:t>
      </w:r>
      <w:r>
        <w:rPr/>
        <w:t>the</w:t>
      </w:r>
      <w:r>
        <w:rPr>
          <w:spacing w:val="-2"/>
        </w:rPr>
        <w:t> </w:t>
      </w:r>
      <w:r>
        <w:rPr/>
        <w:t>future, will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experience</w:t>
      </w:r>
      <w:r>
        <w:rPr>
          <w:spacing w:val="-2"/>
        </w:rPr>
        <w:t> </w:t>
      </w:r>
      <w:r>
        <w:rPr/>
        <w:t>errors</w:t>
      </w:r>
      <w:r>
        <w:rPr>
          <w:spacing w:val="-1"/>
        </w:rPr>
        <w:t> </w:t>
      </w:r>
      <w:r>
        <w:rPr/>
        <w:t>or performance</w:t>
      </w:r>
      <w:r>
        <w:rPr>
          <w:spacing w:val="-1"/>
        </w:rPr>
        <w:t> </w:t>
      </w:r>
      <w:r>
        <w:rPr/>
        <w:t>problems.</w:t>
      </w:r>
    </w:p>
    <w:p>
      <w:pPr>
        <w:pStyle w:val="Heading3"/>
        <w:spacing w:line="249" w:lineRule="auto" w:before="178"/>
      </w:pPr>
      <w:r>
        <w:rPr>
          <w:i/>
        </w:rPr>
        <w:t>Our</w:t>
      </w:r>
      <w:r>
        <w:rPr>
          <w:i/>
          <w:spacing w:val="-5"/>
        </w:rPr>
        <w:t> </w:t>
      </w:r>
      <w:r>
        <w:rPr>
          <w:i/>
        </w:rPr>
        <w:t>business,</w:t>
      </w:r>
      <w:r>
        <w:rPr>
          <w:i/>
          <w:spacing w:val="-3"/>
        </w:rPr>
        <w:t> </w:t>
      </w:r>
      <w:r>
        <w:rPr>
          <w:i/>
        </w:rPr>
        <w:t>financial</w:t>
      </w:r>
      <w:r>
        <w:rPr>
          <w:i/>
          <w:spacing w:val="-4"/>
        </w:rPr>
        <w:t> </w:t>
      </w:r>
      <w:r>
        <w:rPr>
          <w:i/>
        </w:rPr>
        <w:t>condition,</w:t>
      </w:r>
      <w:r>
        <w:rPr>
          <w:i/>
          <w:spacing w:val="-4"/>
        </w:rPr>
        <w:t> </w:t>
      </w:r>
      <w:r>
        <w:rPr>
          <w:i/>
        </w:rPr>
        <w:t>results</w:t>
      </w:r>
      <w:r>
        <w:rPr>
          <w:i/>
          <w:spacing w:val="-4"/>
        </w:rPr>
        <w:t> </w:t>
      </w:r>
      <w:r>
        <w:rPr>
          <w:i/>
        </w:rPr>
        <w:t>of</w:t>
      </w:r>
      <w:r>
        <w:rPr>
          <w:i/>
          <w:spacing w:val="-3"/>
        </w:rPr>
        <w:t> </w:t>
      </w:r>
      <w:r>
        <w:rPr>
          <w:i/>
        </w:rPr>
        <w:t>operations</w:t>
      </w:r>
      <w:r>
        <w:rPr>
          <w:i/>
          <w:spacing w:val="-4"/>
        </w:rPr>
        <w:t> </w:t>
      </w:r>
      <w:r>
        <w:rPr>
          <w:i/>
        </w:rPr>
        <w:t>and</w:t>
      </w:r>
      <w:r>
        <w:rPr>
          <w:i/>
          <w:spacing w:val="-4"/>
        </w:rPr>
        <w:t> </w:t>
      </w:r>
      <w:r>
        <w:rPr>
          <w:i/>
        </w:rPr>
        <w:t>growth</w:t>
      </w:r>
      <w:r>
        <w:rPr>
          <w:i/>
          <w:spacing w:val="-4"/>
        </w:rPr>
        <w:t> </w:t>
      </w:r>
      <w:r>
        <w:rPr>
          <w:i/>
        </w:rPr>
        <w:t>have</w:t>
      </w:r>
      <w:r>
        <w:rPr>
          <w:i/>
          <w:spacing w:val="-4"/>
        </w:rPr>
        <w:t> </w:t>
      </w:r>
      <w:r>
        <w:rPr>
          <w:i/>
        </w:rPr>
        <w:t>been</w:t>
      </w:r>
      <w:r>
        <w:rPr>
          <w:i/>
          <w:spacing w:val="-4"/>
        </w:rPr>
        <w:t> </w:t>
      </w:r>
      <w:r>
        <w:rPr>
          <w:i/>
        </w:rPr>
        <w:t>adversely</w:t>
      </w:r>
      <w:r>
        <w:rPr>
          <w:i/>
          <w:spacing w:val="-5"/>
        </w:rPr>
        <w:t> </w:t>
      </w:r>
      <w:r>
        <w:rPr>
          <w:i/>
        </w:rPr>
        <w:t>impacted</w:t>
      </w:r>
      <w:r>
        <w:rPr>
          <w:i/>
          <w:spacing w:val="-3"/>
        </w:rPr>
        <w:t> </w:t>
      </w:r>
      <w:r>
        <w:rPr>
          <w:i/>
        </w:rPr>
        <w:t>by</w:t>
      </w:r>
      <w:r>
        <w:rPr>
          <w:i/>
          <w:spacing w:val="-4"/>
        </w:rPr>
        <w:t> </w:t>
      </w:r>
      <w:r>
        <w:rPr>
          <w:i/>
        </w:rPr>
        <w:t>the</w:t>
      </w:r>
      <w:r>
        <w:rPr>
          <w:i/>
          <w:spacing w:val="-4"/>
        </w:rPr>
        <w:t> </w:t>
      </w:r>
      <w:r>
        <w:rPr>
          <w:i/>
        </w:rPr>
        <w:t>effects</w:t>
      </w:r>
      <w:r>
        <w:rPr>
          <w:i/>
          <w:spacing w:val="-4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COVID-19 pandemic</w:t>
      </w:r>
      <w:r>
        <w:rPr>
          <w:spacing w:val="-2"/>
        </w:rPr>
        <w:t> </w:t>
      </w:r>
      <w:r>
        <w:rPr/>
        <w:t>and may</w:t>
      </w:r>
      <w:r>
        <w:rPr>
          <w:spacing w:val="-1"/>
        </w:rPr>
        <w:t> </w:t>
      </w:r>
      <w:r>
        <w:rPr/>
        <w:t>continue</w:t>
      </w:r>
      <w:r>
        <w:rPr>
          <w:spacing w:val="-2"/>
        </w:rPr>
        <w:t> </w:t>
      </w:r>
      <w:r>
        <w:rPr/>
        <w:t>to be</w:t>
      </w:r>
      <w:r>
        <w:rPr>
          <w:spacing w:val="-1"/>
        </w:rPr>
        <w:t> </w:t>
      </w:r>
      <w:r>
        <w:rPr/>
        <w:t>adversely</w:t>
      </w:r>
      <w:r>
        <w:rPr>
          <w:spacing w:val="-2"/>
        </w:rPr>
        <w:t> </w:t>
      </w:r>
      <w:r>
        <w:rPr/>
        <w:t>impacted.</w:t>
      </w:r>
    </w:p>
    <w:p>
      <w:pPr>
        <w:pStyle w:val="BodyText"/>
        <w:spacing w:line="249" w:lineRule="auto" w:before="185"/>
        <w:ind w:right="431"/>
      </w:pPr>
      <w:r>
        <w:rPr/>
        <w:t>We are subject to risks related to the public health crises such as the global pandemic associated with</w:t>
      </w:r>
      <w:r>
        <w:rPr>
          <w:spacing w:val="1"/>
        </w:rPr>
        <w:t> </w:t>
      </w:r>
      <w:r>
        <w:rPr/>
        <w:t>COVID-19. The COVID-19 outbreak and the consequential economic disruptions have negatively impacted and</w:t>
      </w:r>
      <w:r>
        <w:rPr>
          <w:spacing w:val="1"/>
        </w:rPr>
        <w:t> </w:t>
      </w:r>
      <w:r>
        <w:rPr/>
        <w:t>may continue to negatively impact, including the emergence and impact of the various COVID-19 variants, our</w:t>
      </w:r>
      <w:r>
        <w:rPr>
          <w:spacing w:val="1"/>
        </w:rPr>
        <w:t> </w:t>
      </w:r>
      <w:r>
        <w:rPr/>
        <w:t>operations and revenues and overall financial condition by decreasing the number of BPH procedures generally,</w:t>
      </w:r>
      <w:r>
        <w:rPr>
          <w:spacing w:val="1"/>
        </w:rPr>
        <w:t> </w:t>
      </w:r>
      <w:r>
        <w:rPr/>
        <w:t>which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slowed</w:t>
      </w:r>
      <w:r>
        <w:rPr>
          <w:spacing w:val="-2"/>
        </w:rPr>
        <w:t> </w:t>
      </w:r>
      <w:r>
        <w:rPr/>
        <w:t>adoption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our</w:t>
      </w:r>
      <w:r>
        <w:rPr>
          <w:spacing w:val="-3"/>
        </w:rPr>
        <w:t> </w:t>
      </w:r>
      <w:r>
        <w:rPr/>
        <w:t>AquaBeam</w:t>
      </w:r>
      <w:r>
        <w:rPr>
          <w:spacing w:val="-3"/>
        </w:rPr>
        <w:t> </w:t>
      </w:r>
      <w:r>
        <w:rPr/>
        <w:t>Robotic</w:t>
      </w:r>
      <w:r>
        <w:rPr>
          <w:spacing w:val="-3"/>
        </w:rPr>
        <w:t> </w:t>
      </w:r>
      <w:r>
        <w:rPr/>
        <w:t>System</w:t>
      </w:r>
      <w:r>
        <w:rPr>
          <w:spacing w:val="-3"/>
        </w:rPr>
        <w:t> </w:t>
      </w:r>
      <w:r>
        <w:rPr/>
        <w:t>during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course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pandemic.</w:t>
      </w:r>
      <w:r>
        <w:rPr>
          <w:spacing w:val="-2"/>
        </w:rPr>
        <w:t> </w:t>
      </w:r>
      <w:r>
        <w:rPr/>
        <w:t>We</w:t>
      </w:r>
      <w:r>
        <w:rPr>
          <w:spacing w:val="-3"/>
        </w:rPr>
        <w:t> </w:t>
      </w:r>
      <w:r>
        <w:rPr/>
        <w:t>believe</w:t>
      </w:r>
      <w:r>
        <w:rPr>
          <w:spacing w:val="-4"/>
        </w:rPr>
        <w:t> </w:t>
      </w:r>
      <w:r>
        <w:rPr/>
        <w:t>the</w:t>
      </w:r>
      <w:r>
        <w:rPr>
          <w:spacing w:val="-47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systems</w:t>
      </w:r>
      <w:r>
        <w:rPr>
          <w:spacing w:val="-3"/>
        </w:rPr>
        <w:t> </w:t>
      </w:r>
      <w:r>
        <w:rPr/>
        <w:t>sold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also</w:t>
      </w:r>
      <w:r>
        <w:rPr>
          <w:spacing w:val="-2"/>
        </w:rPr>
        <w:t> </w:t>
      </w:r>
      <w:r>
        <w:rPr/>
        <w:t>been</w:t>
      </w:r>
      <w:r>
        <w:rPr>
          <w:spacing w:val="-2"/>
        </w:rPr>
        <w:t> </w:t>
      </w:r>
      <w:r>
        <w:rPr/>
        <w:t>impacted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health</w:t>
      </w:r>
      <w:r>
        <w:rPr>
          <w:spacing w:val="-2"/>
        </w:rPr>
        <w:t> </w:t>
      </w:r>
      <w:r>
        <w:rPr/>
        <w:t>care</w:t>
      </w:r>
      <w:r>
        <w:rPr>
          <w:spacing w:val="-3"/>
        </w:rPr>
        <w:t> </w:t>
      </w:r>
      <w:r>
        <w:rPr/>
        <w:t>organizations</w:t>
      </w:r>
      <w:r>
        <w:rPr>
          <w:spacing w:val="-3"/>
        </w:rPr>
        <w:t> </w:t>
      </w:r>
      <w:r>
        <w:rPr/>
        <w:t>globally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prioritized</w:t>
      </w:r>
      <w:r>
        <w:rPr>
          <w:spacing w:val="-2"/>
        </w:rPr>
        <w:t> </w:t>
      </w:r>
      <w:r>
        <w:rPr/>
        <w:t>the</w:t>
      </w:r>
    </w:p>
    <w:p>
      <w:pPr>
        <w:pStyle w:val="BodyText"/>
        <w:spacing w:line="249" w:lineRule="auto" w:before="5"/>
        <w:ind w:right="119" w:firstLine="0"/>
      </w:pPr>
      <w:r>
        <w:rPr/>
        <w:t>treatment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patients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COVID-19,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health</w:t>
      </w:r>
      <w:r>
        <w:rPr>
          <w:spacing w:val="-3"/>
        </w:rPr>
        <w:t> </w:t>
      </w:r>
      <w:r>
        <w:rPr/>
        <w:t>care</w:t>
      </w:r>
      <w:r>
        <w:rPr>
          <w:spacing w:val="-4"/>
        </w:rPr>
        <w:t> </w:t>
      </w:r>
      <w:r>
        <w:rPr/>
        <w:t>organizations</w:t>
      </w:r>
      <w:r>
        <w:rPr>
          <w:spacing w:val="-5"/>
        </w:rPr>
        <w:t> </w:t>
      </w:r>
      <w:r>
        <w:rPr/>
        <w:t>have</w:t>
      </w:r>
      <w:r>
        <w:rPr>
          <w:spacing w:val="-4"/>
        </w:rPr>
        <w:t> </w:t>
      </w:r>
      <w:r>
        <w:rPr/>
        <w:t>dealt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other</w:t>
      </w:r>
      <w:r>
        <w:rPr>
          <w:spacing w:val="-4"/>
        </w:rPr>
        <w:t> </w:t>
      </w:r>
      <w:r>
        <w:rPr/>
        <w:t>consequential</w:t>
      </w:r>
      <w:r>
        <w:rPr>
          <w:spacing w:val="-4"/>
        </w:rPr>
        <w:t> </w:t>
      </w:r>
      <w:r>
        <w:rPr/>
        <w:t>economic</w:t>
      </w:r>
      <w:r>
        <w:rPr>
          <w:spacing w:val="1"/>
        </w:rPr>
        <w:t> </w:t>
      </w:r>
      <w:r>
        <w:rPr/>
        <w:t>disruptions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COVID-19</w:t>
      </w:r>
      <w:r>
        <w:rPr>
          <w:spacing w:val="-2"/>
        </w:rPr>
        <w:t> </w:t>
      </w:r>
      <w:r>
        <w:rPr/>
        <w:t>pandemic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budget</w:t>
      </w:r>
      <w:r>
        <w:rPr>
          <w:spacing w:val="-3"/>
        </w:rPr>
        <w:t> </w:t>
      </w:r>
      <w:r>
        <w:rPr/>
        <w:t>shortfalls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staffing</w:t>
      </w:r>
      <w:r>
        <w:rPr>
          <w:spacing w:val="-2"/>
        </w:rPr>
        <w:t> </w:t>
      </w:r>
      <w:r>
        <w:rPr/>
        <w:t>shortages.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example,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period</w:t>
      </w:r>
      <w:r>
        <w:rPr>
          <w:spacing w:val="-47"/>
        </w:rPr>
        <w:t> </w:t>
      </w:r>
      <w:r>
        <w:rPr/>
        <w:t>of time in the United States, governmental authorities recommended, and in certain cases required, that elective,</w:t>
      </w:r>
      <w:r>
        <w:rPr>
          <w:spacing w:val="1"/>
        </w:rPr>
        <w:t> </w:t>
      </w:r>
      <w:r>
        <w:rPr/>
        <w:t>specialty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/>
        <w:t>other</w:t>
      </w:r>
      <w:r>
        <w:rPr>
          <w:spacing w:val="3"/>
        </w:rPr>
        <w:t> </w:t>
      </w:r>
      <w:r>
        <w:rPr/>
        <w:t>procedures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/>
        <w:t>appointments</w:t>
      </w:r>
      <w:r>
        <w:rPr>
          <w:spacing w:val="3"/>
        </w:rPr>
        <w:t> </w:t>
      </w:r>
      <w:r>
        <w:rPr/>
        <w:t>be</w:t>
      </w:r>
      <w:r>
        <w:rPr>
          <w:spacing w:val="2"/>
        </w:rPr>
        <w:t> </w:t>
      </w:r>
      <w:r>
        <w:rPr/>
        <w:t>suspended</w:t>
      </w:r>
      <w:r>
        <w:rPr>
          <w:spacing w:val="3"/>
        </w:rPr>
        <w:t> </w:t>
      </w:r>
      <w:r>
        <w:rPr/>
        <w:t>or</w:t>
      </w:r>
      <w:r>
        <w:rPr>
          <w:spacing w:val="4"/>
        </w:rPr>
        <w:t> </w:t>
      </w:r>
      <w:r>
        <w:rPr/>
        <w:t>canceled</w:t>
      </w:r>
      <w:r>
        <w:rPr>
          <w:spacing w:val="3"/>
        </w:rPr>
        <w:t> </w:t>
      </w:r>
      <w:r>
        <w:rPr/>
        <w:t>to</w:t>
      </w:r>
      <w:r>
        <w:rPr>
          <w:spacing w:val="3"/>
        </w:rPr>
        <w:t> </w:t>
      </w:r>
      <w:r>
        <w:rPr/>
        <w:t>avoid</w:t>
      </w:r>
      <w:r>
        <w:rPr>
          <w:spacing w:val="4"/>
        </w:rPr>
        <w:t> </w:t>
      </w:r>
      <w:r>
        <w:rPr/>
        <w:t>non-essential</w:t>
      </w:r>
      <w:r>
        <w:rPr>
          <w:spacing w:val="2"/>
        </w:rPr>
        <w:t> </w:t>
      </w:r>
      <w:r>
        <w:rPr/>
        <w:t>patient</w:t>
      </w:r>
      <w:r>
        <w:rPr>
          <w:spacing w:val="2"/>
        </w:rPr>
        <w:t> </w:t>
      </w:r>
      <w:r>
        <w:rPr/>
        <w:t>exposure</w:t>
      </w:r>
      <w:r>
        <w:rPr>
          <w:spacing w:val="1"/>
        </w:rPr>
        <w:t> </w:t>
      </w:r>
      <w:r>
        <w:rPr/>
        <w:t>to medical environments and potential infection with COVID-19 and to focus limited resources and personnel</w:t>
      </w:r>
      <w:r>
        <w:rPr>
          <w:spacing w:val="1"/>
        </w:rPr>
        <w:t> </w:t>
      </w:r>
      <w:r>
        <w:rPr/>
        <w:t>capacity toward the treatment of COVID-19. These measures and challenges led to our decision to reforecast our</w:t>
      </w:r>
      <w:r>
        <w:rPr>
          <w:spacing w:val="1"/>
        </w:rPr>
        <w:t> </w:t>
      </w:r>
      <w:r>
        <w:rPr/>
        <w:t>revenue for 2020, and they may continue or resume for the duration of the pandemic, which is uncertain, and may</w:t>
      </w:r>
      <w:r>
        <w:rPr>
          <w:spacing w:val="1"/>
        </w:rPr>
        <w:t> </w:t>
      </w:r>
      <w:r>
        <w:rPr/>
        <w:t>negatively impact our revenue growth while the pandemic continues. Further, once the pandemic subsides, we</w:t>
      </w:r>
      <w:r>
        <w:rPr>
          <w:spacing w:val="1"/>
        </w:rPr>
        <w:t> </w:t>
      </w:r>
      <w:r>
        <w:rPr/>
        <w:t>anticipate that health care organizations may face budgetary and personnel disruptions during the recovery, and that</w:t>
      </w:r>
      <w:r>
        <w:rPr>
          <w:spacing w:val="1"/>
        </w:rPr>
        <w:t> </w:t>
      </w:r>
      <w:r>
        <w:rPr/>
        <w:t>there may be a backlog of patients seeking appointments with physicians and surgeries to be performed at hospitals</w:t>
      </w:r>
      <w:r>
        <w:rPr>
          <w:spacing w:val="1"/>
        </w:rPr>
        <w:t> </w:t>
      </w:r>
      <w:r>
        <w:rPr/>
        <w:t>relating to a variety of medical conditions. As a result, patients seeking to have our Aquablation therapy performed</w:t>
      </w:r>
      <w:r>
        <w:rPr>
          <w:spacing w:val="1"/>
        </w:rPr>
        <w:t> </w:t>
      </w:r>
      <w:r>
        <w:rPr/>
        <w:t>will have to navigate limited provider capacity. We also experienced a slowdown of enrollment in certain clinical</w:t>
      </w:r>
      <w:r>
        <w:rPr>
          <w:spacing w:val="1"/>
        </w:rPr>
        <w:t> </w:t>
      </w:r>
      <w:r>
        <w:rPr/>
        <w:t>trials.</w:t>
      </w:r>
    </w:p>
    <w:p>
      <w:pPr>
        <w:pStyle w:val="BodyText"/>
        <w:spacing w:line="249" w:lineRule="auto"/>
        <w:ind w:right="122"/>
      </w:pPr>
      <w:r>
        <w:rPr/>
        <w:t>Numerous state and local jurisdictions have imposed, and others in the future may impose, “shelter-in-place”</w:t>
      </w:r>
      <w:r>
        <w:rPr>
          <w:spacing w:val="1"/>
        </w:rPr>
        <w:t> </w:t>
      </w:r>
      <w:r>
        <w:rPr/>
        <w:t>orders, quarantines, executive orders, and similar government orders and restrictions for their residents to control the</w:t>
      </w:r>
      <w:r>
        <w:rPr>
          <w:spacing w:val="-47"/>
        </w:rPr>
        <w:t> </w:t>
      </w:r>
      <w:r>
        <w:rPr/>
        <w:t>spread of COVID-19. Starting in mid-March 2020, the governor of California, where our headquarters are located,</w:t>
      </w:r>
      <w:r>
        <w:rPr>
          <w:spacing w:val="1"/>
        </w:rPr>
        <w:t> </w:t>
      </w:r>
      <w:r>
        <w:rPr/>
        <w:t>issued “shelter-in-place” or “stay at home” orders restricting non-essential activities, travel, and business operations,</w:t>
      </w:r>
      <w:r>
        <w:rPr>
          <w:spacing w:val="-47"/>
        </w:rPr>
        <w:t> </w:t>
      </w:r>
      <w:r>
        <w:rPr/>
        <w:t>subject to certain exceptions for necessary activities. Such orders or restrictions have resulted in our headquarters</w:t>
      </w:r>
      <w:r>
        <w:rPr>
          <w:spacing w:val="1"/>
        </w:rPr>
        <w:t> </w:t>
      </w:r>
      <w:r>
        <w:rPr/>
        <w:t>closing,</w:t>
      </w:r>
      <w:r>
        <w:rPr>
          <w:spacing w:val="-4"/>
        </w:rPr>
        <w:t> </w:t>
      </w:r>
      <w:r>
        <w:rPr/>
        <w:t>slowdowns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delays,</w:t>
      </w:r>
      <w:r>
        <w:rPr>
          <w:spacing w:val="-3"/>
        </w:rPr>
        <w:t> </w:t>
      </w:r>
      <w:r>
        <w:rPr/>
        <w:t>travel</w:t>
      </w:r>
      <w:r>
        <w:rPr>
          <w:spacing w:val="-4"/>
        </w:rPr>
        <w:t> </w:t>
      </w:r>
      <w:r>
        <w:rPr/>
        <w:t>restrictions,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cancellation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training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other</w:t>
      </w:r>
      <w:r>
        <w:rPr>
          <w:spacing w:val="-3"/>
        </w:rPr>
        <w:t> </w:t>
      </w:r>
      <w:r>
        <w:rPr/>
        <w:t>events,</w:t>
      </w:r>
      <w:r>
        <w:rPr>
          <w:spacing w:val="-3"/>
        </w:rPr>
        <w:t> </w:t>
      </w:r>
      <w:r>
        <w:rPr/>
        <w:t>among</w:t>
      </w:r>
      <w:r>
        <w:rPr>
          <w:spacing w:val="-4"/>
        </w:rPr>
        <w:t> </w:t>
      </w:r>
      <w:r>
        <w:rPr/>
        <w:t>other</w:t>
      </w:r>
      <w:r>
        <w:rPr>
          <w:spacing w:val="-3"/>
        </w:rPr>
        <w:t> </w:t>
      </w:r>
      <w:r>
        <w:rPr/>
        <w:t>effects,</w:t>
      </w:r>
      <w:r>
        <w:rPr>
          <w:spacing w:val="-47"/>
        </w:rPr>
        <w:t> </w:t>
      </w:r>
      <w:r>
        <w:rPr/>
        <w:t>thereby</w:t>
      </w:r>
      <w:r>
        <w:rPr>
          <w:spacing w:val="3"/>
        </w:rPr>
        <w:t> </w:t>
      </w:r>
      <w:r>
        <w:rPr/>
        <w:t>negatively</w:t>
      </w:r>
      <w:r>
        <w:rPr>
          <w:spacing w:val="3"/>
        </w:rPr>
        <w:t> </w:t>
      </w:r>
      <w:r>
        <w:rPr/>
        <w:t>impacting</w:t>
      </w:r>
      <w:r>
        <w:rPr>
          <w:spacing w:val="4"/>
        </w:rPr>
        <w:t> </w:t>
      </w:r>
      <w:r>
        <w:rPr/>
        <w:t>our</w:t>
      </w:r>
      <w:r>
        <w:rPr>
          <w:spacing w:val="3"/>
        </w:rPr>
        <w:t> </w:t>
      </w:r>
      <w:r>
        <w:rPr/>
        <w:t>operations.</w:t>
      </w:r>
      <w:r>
        <w:rPr>
          <w:spacing w:val="4"/>
        </w:rPr>
        <w:t> </w:t>
      </w:r>
      <w:r>
        <w:rPr/>
        <w:t>Employees</w:t>
      </w:r>
      <w:r>
        <w:rPr>
          <w:spacing w:val="2"/>
        </w:rPr>
        <w:t> </w:t>
      </w:r>
      <w:r>
        <w:rPr/>
        <w:t>whose</w:t>
      </w:r>
      <w:r>
        <w:rPr>
          <w:spacing w:val="3"/>
        </w:rPr>
        <w:t> </w:t>
      </w:r>
      <w:r>
        <w:rPr/>
        <w:t>tasks</w:t>
      </w:r>
      <w:r>
        <w:rPr>
          <w:spacing w:val="2"/>
        </w:rPr>
        <w:t> </w:t>
      </w:r>
      <w:r>
        <w:rPr/>
        <w:t>can</w:t>
      </w:r>
      <w:r>
        <w:rPr>
          <w:spacing w:val="4"/>
        </w:rPr>
        <w:t> </w:t>
      </w:r>
      <w:r>
        <w:rPr/>
        <w:t>be</w:t>
      </w:r>
      <w:r>
        <w:rPr>
          <w:spacing w:val="2"/>
        </w:rPr>
        <w:t> </w:t>
      </w:r>
      <w:r>
        <w:rPr/>
        <w:t>performed</w:t>
      </w:r>
      <w:r>
        <w:rPr>
          <w:spacing w:val="4"/>
        </w:rPr>
        <w:t> </w:t>
      </w:r>
      <w:r>
        <w:rPr/>
        <w:t>offsite</w:t>
      </w:r>
      <w:r>
        <w:rPr>
          <w:spacing w:val="2"/>
        </w:rPr>
        <w:t> </w:t>
      </w:r>
      <w:r>
        <w:rPr/>
        <w:t>have</w:t>
      </w:r>
      <w:r>
        <w:rPr>
          <w:spacing w:val="3"/>
        </w:rPr>
        <w:t> </w:t>
      </w:r>
      <w:r>
        <w:rPr/>
        <w:t>been</w:t>
      </w:r>
      <w:r>
        <w:rPr>
          <w:spacing w:val="1"/>
        </w:rPr>
        <w:t> </w:t>
      </w:r>
      <w:r>
        <w:rPr/>
        <w:t>encouraged to work from home. Additionally, if the COVID-19 situation persists or worsens in certain geographies</w:t>
      </w:r>
      <w:r>
        <w:rPr>
          <w:spacing w:val="1"/>
        </w:rPr>
        <w:t> </w:t>
      </w:r>
      <w:r>
        <w:rPr/>
        <w:t>around the world, shutdowns and continued government restrictions may impact our sales activities, supply chain,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business.</w:t>
      </w:r>
    </w:p>
    <w:p>
      <w:pPr>
        <w:pStyle w:val="BodyText"/>
        <w:spacing w:line="249" w:lineRule="auto" w:before="189"/>
        <w:ind w:right="163"/>
      </w:pPr>
      <w:r>
        <w:rPr/>
        <w:t>Identifying and recruiting qualified sales and marketing personnel and training them has been, and continues to</w:t>
      </w:r>
      <w:r>
        <w:rPr>
          <w:spacing w:val="1"/>
        </w:rPr>
        <w:t> </w:t>
      </w:r>
      <w:r>
        <w:rPr/>
        <w:t>be, more difficult as a result of the COVID-19 pandemic as many of these activities must be conducted remotely,</w:t>
      </w:r>
      <w:r>
        <w:rPr>
          <w:spacing w:val="1"/>
        </w:rPr>
        <w:t> </w:t>
      </w:r>
      <w:r>
        <w:rPr/>
        <w:t>and we believe that some candidates are reluctant to change jobs during the pandemic. In addition, even when we</w:t>
      </w:r>
      <w:r>
        <w:rPr>
          <w:spacing w:val="1"/>
        </w:rPr>
        <w:t> </w:t>
      </w:r>
      <w:r>
        <w:rPr/>
        <w:t>are able to hire additional sales and marketing personnel, we must then train them on our product, applicable federal</w:t>
      </w:r>
      <w:r>
        <w:rPr>
          <w:spacing w:val="-47"/>
        </w:rPr>
        <w:t> </w:t>
      </w:r>
      <w:r>
        <w:rPr/>
        <w:t>and state laws, and regulations, and on our internal policies and procedures. This training process was initially</w:t>
      </w:r>
      <w:r>
        <w:rPr>
          <w:spacing w:val="1"/>
        </w:rPr>
        <w:t> </w:t>
      </w:r>
      <w:r>
        <w:rPr/>
        <w:t>conducted remotely, which made training more challenging. We recently resumed partial in-person training with</w:t>
      </w:r>
      <w:r>
        <w:rPr>
          <w:spacing w:val="1"/>
        </w:rPr>
        <w:t> </w:t>
      </w:r>
      <w:r>
        <w:rPr/>
        <w:t>respect to training sales and marketing personnel, among others. Upon completion of the training, the lead time that</w:t>
      </w:r>
      <w:r>
        <w:rPr>
          <w:spacing w:val="1"/>
        </w:rPr>
        <w:t> </w:t>
      </w:r>
      <w:r>
        <w:rPr/>
        <w:t>our territory managers typically require in the field to grow their network of accounts and achieve the productivity</w:t>
      </w:r>
      <w:r>
        <w:rPr>
          <w:spacing w:val="1"/>
        </w:rPr>
        <w:t> </w:t>
      </w:r>
      <w:r>
        <w:rPr/>
        <w:t>levels we expect them to reach in any individual territory, has been, and continues to be, prolonged during and as a</w:t>
      </w:r>
      <w:r>
        <w:rPr>
          <w:spacing w:val="1"/>
        </w:rPr>
        <w:t> </w:t>
      </w:r>
      <w:r>
        <w:rPr/>
        <w:t>result of the COVID-19 pandemic. We have also experienced disruptions, and may experience future disruptions,</w:t>
      </w:r>
      <w:r>
        <w:rPr>
          <w:spacing w:val="1"/>
        </w:rPr>
        <w:t> </w:t>
      </w:r>
      <w:r>
        <w:rPr/>
        <w:t>including: delays in territory managers becoming fully trained and productive; challenges in analyzing territory</w:t>
      </w:r>
      <w:r>
        <w:rPr>
          <w:spacing w:val="1"/>
        </w:rPr>
        <w:t> </w:t>
      </w:r>
      <w:r>
        <w:rPr/>
        <w:t>manager performance and in recruiting and hiring new employees; difficulties and delays in physician outreach and</w:t>
      </w:r>
      <w:r>
        <w:rPr>
          <w:spacing w:val="1"/>
        </w:rPr>
        <w:t> </w:t>
      </w:r>
      <w:r>
        <w:rPr/>
        <w:t>training physicians to use our AquaBeam Robotic System; restrictions on personnel to travel; delays in initiation,</w:t>
      </w:r>
      <w:r>
        <w:rPr>
          <w:spacing w:val="1"/>
        </w:rPr>
        <w:t> </w:t>
      </w:r>
      <w:r>
        <w:rPr/>
        <w:t>enrollment and follow-ups of our clinical studies; challenges with maintaining adequate supply from third-party</w:t>
      </w:r>
      <w:r>
        <w:rPr>
          <w:spacing w:val="1"/>
        </w:rPr>
        <w:t> </w:t>
      </w:r>
      <w:r>
        <w:rPr/>
        <w:t>manufacturers of components and finished goods and distribution providers; and access to physicians for training</w:t>
      </w:r>
      <w:r>
        <w:rPr>
          <w:spacing w:val="1"/>
        </w:rPr>
        <w:t> </w:t>
      </w:r>
      <w:r>
        <w:rPr/>
        <w:t>and</w:t>
      </w:r>
      <w:r>
        <w:rPr>
          <w:spacing w:val="-3"/>
        </w:rPr>
        <w:t> </w:t>
      </w:r>
      <w:r>
        <w:rPr/>
        <w:t>case</w:t>
      </w:r>
      <w:r>
        <w:rPr>
          <w:spacing w:val="-4"/>
        </w:rPr>
        <w:t> </w:t>
      </w:r>
      <w:r>
        <w:rPr/>
        <w:t>support.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addition,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customers</w:t>
      </w:r>
      <w:r>
        <w:rPr>
          <w:spacing w:val="-4"/>
        </w:rPr>
        <w:t> </w:t>
      </w:r>
      <w:r>
        <w:rPr/>
        <w:t>have</w:t>
      </w:r>
      <w:r>
        <w:rPr>
          <w:spacing w:val="-3"/>
        </w:rPr>
        <w:t> </w:t>
      </w:r>
      <w:r>
        <w:rPr/>
        <w:t>experienced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continue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experience</w:t>
      </w:r>
      <w:r>
        <w:rPr>
          <w:spacing w:val="-4"/>
        </w:rPr>
        <w:t> </w:t>
      </w:r>
      <w:r>
        <w:rPr/>
        <w:t>financial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staffing</w:t>
      </w:r>
      <w:r>
        <w:rPr>
          <w:spacing w:val="-47"/>
        </w:rPr>
        <w:t> </w:t>
      </w:r>
      <w:r>
        <w:rPr/>
        <w:t>hardship during the COVID-19 pandemic and the consequential economic disruptions, and some of them may not</w:t>
      </w:r>
      <w:r>
        <w:rPr>
          <w:spacing w:val="1"/>
        </w:rPr>
        <w:t> </w:t>
      </w:r>
      <w:r>
        <w:rPr/>
        <w:t>fully</w:t>
      </w:r>
      <w:r>
        <w:rPr>
          <w:spacing w:val="-2"/>
        </w:rPr>
        <w:t> </w:t>
      </w:r>
      <w:r>
        <w:rPr/>
        <w:t>recover.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could</w:t>
      </w:r>
      <w:r>
        <w:rPr>
          <w:spacing w:val="-2"/>
        </w:rPr>
        <w:t> </w:t>
      </w:r>
      <w:r>
        <w:rPr/>
        <w:t>lead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some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these</w:t>
      </w:r>
      <w:r>
        <w:rPr>
          <w:spacing w:val="-3"/>
        </w:rPr>
        <w:t> </w:t>
      </w:r>
      <w:r>
        <w:rPr/>
        <w:t>customers</w:t>
      </w:r>
      <w:r>
        <w:rPr>
          <w:spacing w:val="-3"/>
        </w:rPr>
        <w:t> </w:t>
      </w:r>
      <w:r>
        <w:rPr/>
        <w:t>temporarily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permanently</w:t>
      </w:r>
      <w:r>
        <w:rPr>
          <w:spacing w:val="-1"/>
        </w:rPr>
        <w:t> </w:t>
      </w:r>
      <w:r>
        <w:rPr/>
        <w:t>shutting</w:t>
      </w:r>
      <w:r>
        <w:rPr>
          <w:spacing w:val="-2"/>
        </w:rPr>
        <w:t> </w:t>
      </w:r>
      <w:r>
        <w:rPr/>
        <w:t>down,</w:t>
      </w:r>
      <w:r>
        <w:rPr>
          <w:spacing w:val="-2"/>
        </w:rPr>
        <w:t> </w:t>
      </w:r>
      <w:r>
        <w:rPr/>
        <w:t>filing</w:t>
      </w:r>
      <w:r>
        <w:rPr>
          <w:spacing w:val="-1"/>
        </w:rPr>
        <w:t> </w:t>
      </w:r>
      <w:r>
        <w:rPr/>
        <w:t>for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  <w:ind w:right="148" w:firstLine="0"/>
      </w:pPr>
      <w:r>
        <w:rPr/>
        <w:t>bankruptcy,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being</w:t>
      </w:r>
      <w:r>
        <w:rPr>
          <w:spacing w:val="-3"/>
        </w:rPr>
        <w:t> </w:t>
      </w:r>
      <w:r>
        <w:rPr/>
        <w:t>acquired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larger</w:t>
      </w:r>
      <w:r>
        <w:rPr>
          <w:spacing w:val="-3"/>
        </w:rPr>
        <w:t> </w:t>
      </w:r>
      <w:r>
        <w:rPr/>
        <w:t>health</w:t>
      </w:r>
      <w:r>
        <w:rPr>
          <w:spacing w:val="-3"/>
        </w:rPr>
        <w:t> </w:t>
      </w:r>
      <w:r>
        <w:rPr/>
        <w:t>systems,</w:t>
      </w:r>
      <w:r>
        <w:rPr>
          <w:spacing w:val="-3"/>
        </w:rPr>
        <w:t> </w:t>
      </w:r>
      <w:r>
        <w:rPr/>
        <w:t>leading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reduced</w:t>
      </w:r>
      <w:r>
        <w:rPr>
          <w:spacing w:val="-3"/>
        </w:rPr>
        <w:t> </w:t>
      </w:r>
      <w:r>
        <w:rPr/>
        <w:t>procedures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additional</w:t>
      </w:r>
      <w:r>
        <w:rPr>
          <w:spacing w:val="-3"/>
        </w:rPr>
        <w:t> </w:t>
      </w:r>
      <w:r>
        <w:rPr/>
        <w:t>pricing</w:t>
      </w:r>
      <w:r>
        <w:rPr>
          <w:spacing w:val="-3"/>
        </w:rPr>
        <w:t> </w:t>
      </w:r>
      <w:r>
        <w:rPr/>
        <w:t>pressure</w:t>
      </w:r>
      <w:r>
        <w:rPr>
          <w:spacing w:val="-47"/>
        </w:rPr>
        <w:t> </w:t>
      </w:r>
      <w:r>
        <w:rPr/>
        <w:t>on</w:t>
      </w:r>
      <w:r>
        <w:rPr>
          <w:spacing w:val="-1"/>
        </w:rPr>
        <w:t> </w:t>
      </w:r>
      <w:r>
        <w:rPr/>
        <w:t>our products.</w:t>
      </w:r>
    </w:p>
    <w:p>
      <w:pPr>
        <w:pStyle w:val="BodyText"/>
        <w:spacing w:line="249" w:lineRule="auto" w:before="181"/>
        <w:ind w:right="148"/>
      </w:pPr>
      <w:r>
        <w:rPr/>
        <w:t>In</w:t>
      </w:r>
      <w:r>
        <w:rPr>
          <w:spacing w:val="-2"/>
        </w:rPr>
        <w:t> </w:t>
      </w:r>
      <w:r>
        <w:rPr/>
        <w:t>addition,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extent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recovery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COVID-19</w:t>
      </w:r>
      <w:r>
        <w:rPr>
          <w:spacing w:val="-2"/>
        </w:rPr>
        <w:t> </w:t>
      </w:r>
      <w:r>
        <w:rPr/>
        <w:t>pandemic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prolonged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any</w:t>
      </w:r>
      <w:r>
        <w:rPr>
          <w:spacing w:val="-2"/>
        </w:rPr>
        <w:t> </w:t>
      </w:r>
      <w:r>
        <w:rPr/>
        <w:t>reason,</w:t>
      </w:r>
      <w:r>
        <w:rPr>
          <w:spacing w:val="-2"/>
        </w:rPr>
        <w:t> </w:t>
      </w:r>
      <w:r>
        <w:rPr/>
        <w:t>including</w:t>
      </w:r>
      <w:r>
        <w:rPr>
          <w:spacing w:val="-2"/>
        </w:rPr>
        <w:t> </w:t>
      </w:r>
      <w:r>
        <w:rPr/>
        <w:t>due</w:t>
      </w:r>
      <w:r>
        <w:rPr>
          <w:spacing w:val="-47"/>
        </w:rPr>
        <w:t> </w:t>
      </w:r>
      <w:r>
        <w:rPr/>
        <w:t>to the emergence and impact of the various COVID-19 variants or other consequential economic disruptions, and</w:t>
      </w:r>
      <w:r>
        <w:rPr>
          <w:spacing w:val="1"/>
        </w:rPr>
        <w:t> </w:t>
      </w:r>
      <w:r>
        <w:rPr/>
        <w:t>continues to adversely affect our business and results of operations, it may also have the effect of heightening many</w:t>
      </w:r>
      <w:r>
        <w:rPr>
          <w:spacing w:val="-47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other</w:t>
      </w:r>
      <w:r>
        <w:rPr>
          <w:spacing w:val="-1"/>
        </w:rPr>
        <w:t> </w:t>
      </w:r>
      <w:r>
        <w:rPr/>
        <w:t>risks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uncertainties</w:t>
      </w:r>
      <w:r>
        <w:rPr>
          <w:spacing w:val="-1"/>
        </w:rPr>
        <w:t> </w:t>
      </w:r>
      <w:r>
        <w:rPr/>
        <w:t>described</w:t>
      </w:r>
      <w:r>
        <w:rPr>
          <w:spacing w:val="-1"/>
        </w:rPr>
        <w:t> </w:t>
      </w:r>
      <w:r>
        <w:rPr/>
        <w:t>in this</w:t>
      </w:r>
      <w:r>
        <w:rPr>
          <w:spacing w:val="-2"/>
        </w:rPr>
        <w:t> </w:t>
      </w:r>
      <w:r>
        <w:rPr/>
        <w:t>“Risk Factors”</w:t>
      </w:r>
      <w:r>
        <w:rPr>
          <w:spacing w:val="-2"/>
        </w:rPr>
        <w:t> </w:t>
      </w:r>
      <w:r>
        <w:rPr/>
        <w:t>section.</w:t>
      </w:r>
    </w:p>
    <w:p>
      <w:pPr>
        <w:pStyle w:val="Heading3"/>
        <w:rPr>
          <w:i/>
        </w:rPr>
      </w:pPr>
      <w:r>
        <w:rPr>
          <w:i/>
        </w:rPr>
        <w:t>We</w:t>
      </w:r>
      <w:r>
        <w:rPr>
          <w:i/>
          <w:spacing w:val="-5"/>
        </w:rPr>
        <w:t> </w:t>
      </w:r>
      <w:r>
        <w:rPr>
          <w:i/>
        </w:rPr>
        <w:t>may</w:t>
      </w:r>
      <w:r>
        <w:rPr>
          <w:i/>
          <w:spacing w:val="-4"/>
        </w:rPr>
        <w:t> </w:t>
      </w:r>
      <w:r>
        <w:rPr>
          <w:i/>
        </w:rPr>
        <w:t>encounter</w:t>
      </w:r>
      <w:r>
        <w:rPr>
          <w:i/>
          <w:spacing w:val="-5"/>
        </w:rPr>
        <w:t> </w:t>
      </w:r>
      <w:r>
        <w:rPr>
          <w:i/>
        </w:rPr>
        <w:t>difficulties</w:t>
      </w:r>
      <w:r>
        <w:rPr>
          <w:i/>
          <w:spacing w:val="-4"/>
        </w:rPr>
        <w:t> </w:t>
      </w:r>
      <w:r>
        <w:rPr>
          <w:i/>
        </w:rPr>
        <w:t>in</w:t>
      </w:r>
      <w:r>
        <w:rPr>
          <w:i/>
          <w:spacing w:val="-4"/>
        </w:rPr>
        <w:t> </w:t>
      </w:r>
      <w:r>
        <w:rPr>
          <w:i/>
        </w:rPr>
        <w:t>managing</w:t>
      </w:r>
      <w:r>
        <w:rPr>
          <w:i/>
          <w:spacing w:val="-4"/>
        </w:rPr>
        <w:t> </w:t>
      </w:r>
      <w:r>
        <w:rPr>
          <w:i/>
        </w:rPr>
        <w:t>our</w:t>
      </w:r>
      <w:r>
        <w:rPr>
          <w:i/>
          <w:spacing w:val="-4"/>
        </w:rPr>
        <w:t> </w:t>
      </w:r>
      <w:r>
        <w:rPr>
          <w:i/>
        </w:rPr>
        <w:t>growth,</w:t>
      </w:r>
      <w:r>
        <w:rPr>
          <w:i/>
          <w:spacing w:val="-3"/>
        </w:rPr>
        <w:t> </w:t>
      </w:r>
      <w:r>
        <w:rPr>
          <w:i/>
        </w:rPr>
        <w:t>which</w:t>
      </w:r>
      <w:r>
        <w:rPr>
          <w:i/>
          <w:spacing w:val="-5"/>
        </w:rPr>
        <w:t> </w:t>
      </w:r>
      <w:r>
        <w:rPr>
          <w:i/>
        </w:rPr>
        <w:t>could</w:t>
      </w:r>
      <w:r>
        <w:rPr>
          <w:i/>
          <w:spacing w:val="-3"/>
        </w:rPr>
        <w:t> </w:t>
      </w:r>
      <w:r>
        <w:rPr>
          <w:i/>
        </w:rPr>
        <w:t>disrupt</w:t>
      </w:r>
      <w:r>
        <w:rPr>
          <w:i/>
          <w:spacing w:val="-5"/>
        </w:rPr>
        <w:t> </w:t>
      </w:r>
      <w:r>
        <w:rPr>
          <w:i/>
        </w:rPr>
        <w:t>our</w:t>
      </w:r>
      <w:r>
        <w:rPr>
          <w:i/>
          <w:spacing w:val="-4"/>
        </w:rPr>
        <w:t> </w:t>
      </w:r>
      <w:r>
        <w:rPr>
          <w:i/>
        </w:rPr>
        <w:t>operations.</w:t>
      </w:r>
    </w:p>
    <w:p>
      <w:pPr>
        <w:pStyle w:val="BodyText"/>
        <w:spacing w:line="249" w:lineRule="auto" w:before="194"/>
        <w:ind w:right="212"/>
      </w:pPr>
      <w:r>
        <w:rPr/>
        <w:t>We have experienced substantial growth in our operations, and we expect to experience continued substantial</w:t>
      </w:r>
      <w:r>
        <w:rPr>
          <w:spacing w:val="1"/>
        </w:rPr>
        <w:t> </w:t>
      </w:r>
      <w:r>
        <w:rPr/>
        <w:t>growth in our business. Over the next several years, we expect to increase significantly the scope of our operations,</w:t>
      </w:r>
      <w:r>
        <w:rPr>
          <w:spacing w:val="-47"/>
        </w:rPr>
        <w:t> </w:t>
      </w:r>
      <w:r>
        <w:rPr/>
        <w:t>particularly in the areas of manufacturing, sales and support, research and development, product development,</w:t>
      </w:r>
      <w:r>
        <w:rPr>
          <w:spacing w:val="1"/>
        </w:rPr>
        <w:t> </w:t>
      </w:r>
      <w:r>
        <w:rPr/>
        <w:t>regulatory affairs, marketing and other functional areas, including finance, accounting, quality control, and legal,</w:t>
      </w:r>
      <w:r>
        <w:rPr>
          <w:spacing w:val="1"/>
        </w:rPr>
        <w:t> </w:t>
      </w:r>
      <w:r>
        <w:rPr/>
        <w:t>especially as we transition to operating as a public company. To manage our anticipated future growth, we must</w:t>
      </w:r>
      <w:r>
        <w:rPr>
          <w:spacing w:val="1"/>
        </w:rPr>
        <w:t> </w:t>
      </w:r>
      <w:r>
        <w:rPr/>
        <w:t>continue to implement and improve our managerial, operational quality and financial systems, expand our facilities</w:t>
      </w:r>
      <w:r>
        <w:rPr>
          <w:spacing w:val="-47"/>
        </w:rPr>
        <w:t> </w:t>
      </w:r>
      <w:r>
        <w:rPr/>
        <w:t>and continue to recruit and train additional qualified personnel. Due to our limited financial resources, we may not</w:t>
      </w:r>
      <w:r>
        <w:rPr>
          <w:spacing w:val="1"/>
        </w:rPr>
        <w:t> </w:t>
      </w:r>
      <w:r>
        <w:rPr/>
        <w:t>be able to manage the expansion of our operations or recruit and train additional qualified personnel in an effective</w:t>
      </w:r>
      <w:r>
        <w:rPr>
          <w:spacing w:val="1"/>
        </w:rPr>
        <w:t> </w:t>
      </w:r>
      <w:r>
        <w:rPr/>
        <w:t>manner. In addition, the physical expansion of our operations may lead to significant costs and may divert our</w:t>
      </w:r>
      <w:r>
        <w:rPr>
          <w:spacing w:val="1"/>
        </w:rPr>
        <w:t> </w:t>
      </w:r>
      <w:r>
        <w:rPr/>
        <w:t>management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business</w:t>
      </w:r>
      <w:r>
        <w:rPr>
          <w:spacing w:val="-4"/>
        </w:rPr>
        <w:t> </w:t>
      </w:r>
      <w:r>
        <w:rPr/>
        <w:t>development</w:t>
      </w:r>
      <w:r>
        <w:rPr>
          <w:spacing w:val="-4"/>
        </w:rPr>
        <w:t> </w:t>
      </w:r>
      <w:r>
        <w:rPr/>
        <w:t>resources.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/>
        <w:t>inability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manage</w:t>
      </w:r>
      <w:r>
        <w:rPr>
          <w:spacing w:val="-4"/>
        </w:rPr>
        <w:t> </w:t>
      </w:r>
      <w:r>
        <w:rPr/>
        <w:t>growth</w:t>
      </w:r>
      <w:r>
        <w:rPr>
          <w:spacing w:val="-3"/>
        </w:rPr>
        <w:t> </w:t>
      </w:r>
      <w:r>
        <w:rPr/>
        <w:t>could</w:t>
      </w:r>
      <w:r>
        <w:rPr>
          <w:spacing w:val="-3"/>
        </w:rPr>
        <w:t> </w:t>
      </w:r>
      <w:r>
        <w:rPr/>
        <w:t>delay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execution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our</w:t>
      </w:r>
      <w:r>
        <w:rPr>
          <w:spacing w:val="-47"/>
        </w:rPr>
        <w:t> </w:t>
      </w:r>
      <w:r>
        <w:rPr/>
        <w:t>business</w:t>
      </w:r>
      <w:r>
        <w:rPr>
          <w:spacing w:val="-2"/>
        </w:rPr>
        <w:t> </w:t>
      </w:r>
      <w:r>
        <w:rPr/>
        <w:t>plans</w:t>
      </w:r>
      <w:r>
        <w:rPr>
          <w:spacing w:val="-1"/>
        </w:rPr>
        <w:t> </w:t>
      </w:r>
      <w:r>
        <w:rPr/>
        <w:t>or disrupt</w:t>
      </w:r>
      <w:r>
        <w:rPr>
          <w:spacing w:val="-1"/>
        </w:rPr>
        <w:t> </w:t>
      </w:r>
      <w:r>
        <w:rPr/>
        <w:t>our operations.</w:t>
      </w:r>
    </w:p>
    <w:p>
      <w:pPr>
        <w:pStyle w:val="Heading3"/>
        <w:spacing w:line="249" w:lineRule="auto" w:before="185"/>
        <w:ind w:right="180"/>
      </w:pPr>
      <w:r>
        <w:rPr>
          <w:i/>
        </w:rPr>
        <w:t>Our</w:t>
      </w:r>
      <w:r>
        <w:rPr>
          <w:i/>
          <w:spacing w:val="-4"/>
        </w:rPr>
        <w:t> </w:t>
      </w:r>
      <w:r>
        <w:rPr>
          <w:i/>
        </w:rPr>
        <w:t>results</w:t>
      </w:r>
      <w:r>
        <w:rPr>
          <w:i/>
          <w:spacing w:val="-4"/>
        </w:rPr>
        <w:t> </w:t>
      </w:r>
      <w:r>
        <w:rPr>
          <w:i/>
        </w:rPr>
        <w:t>of</w:t>
      </w:r>
      <w:r>
        <w:rPr>
          <w:i/>
          <w:spacing w:val="-4"/>
        </w:rPr>
        <w:t> </w:t>
      </w:r>
      <w:r>
        <w:rPr>
          <w:i/>
        </w:rPr>
        <w:t>operations</w:t>
      </w:r>
      <w:r>
        <w:rPr>
          <w:i/>
          <w:spacing w:val="-4"/>
        </w:rPr>
        <w:t> </w:t>
      </w:r>
      <w:r>
        <w:rPr>
          <w:i/>
        </w:rPr>
        <w:t>will</w:t>
      </w:r>
      <w:r>
        <w:rPr>
          <w:i/>
          <w:spacing w:val="-4"/>
        </w:rPr>
        <w:t> </w:t>
      </w:r>
      <w:r>
        <w:rPr>
          <w:i/>
        </w:rPr>
        <w:t>be</w:t>
      </w:r>
      <w:r>
        <w:rPr>
          <w:i/>
          <w:spacing w:val="-4"/>
        </w:rPr>
        <w:t> </w:t>
      </w:r>
      <w:r>
        <w:rPr>
          <w:i/>
        </w:rPr>
        <w:t>materially</w:t>
      </w:r>
      <w:r>
        <w:rPr>
          <w:i/>
          <w:spacing w:val="-4"/>
        </w:rPr>
        <w:t> </w:t>
      </w:r>
      <w:r>
        <w:rPr>
          <w:i/>
        </w:rPr>
        <w:t>harmed</w:t>
      </w:r>
      <w:r>
        <w:rPr>
          <w:i/>
          <w:spacing w:val="-3"/>
        </w:rPr>
        <w:t> </w:t>
      </w:r>
      <w:r>
        <w:rPr>
          <w:i/>
        </w:rPr>
        <w:t>if</w:t>
      </w:r>
      <w:r>
        <w:rPr>
          <w:i/>
          <w:spacing w:val="-3"/>
        </w:rPr>
        <w:t> </w:t>
      </w:r>
      <w:r>
        <w:rPr>
          <w:i/>
        </w:rPr>
        <w:t>we</w:t>
      </w:r>
      <w:r>
        <w:rPr>
          <w:i/>
          <w:spacing w:val="-4"/>
        </w:rPr>
        <w:t> </w:t>
      </w:r>
      <w:r>
        <w:rPr>
          <w:i/>
        </w:rPr>
        <w:t>are</w:t>
      </w:r>
      <w:r>
        <w:rPr>
          <w:i/>
          <w:spacing w:val="-4"/>
        </w:rPr>
        <w:t> </w:t>
      </w:r>
      <w:r>
        <w:rPr>
          <w:i/>
        </w:rPr>
        <w:t>unable</w:t>
      </w:r>
      <w:r>
        <w:rPr>
          <w:i/>
          <w:spacing w:val="-4"/>
        </w:rPr>
        <w:t> </w:t>
      </w:r>
      <w:r>
        <w:rPr>
          <w:i/>
        </w:rPr>
        <w:t>to</w:t>
      </w:r>
      <w:r>
        <w:rPr>
          <w:i/>
          <w:spacing w:val="-3"/>
        </w:rPr>
        <w:t> </w:t>
      </w:r>
      <w:r>
        <w:rPr>
          <w:i/>
        </w:rPr>
        <w:t>accurately</w:t>
      </w:r>
      <w:r>
        <w:rPr>
          <w:i/>
          <w:spacing w:val="-4"/>
        </w:rPr>
        <w:t> </w:t>
      </w:r>
      <w:r>
        <w:rPr>
          <w:i/>
        </w:rPr>
        <w:t>forecast</w:t>
      </w:r>
      <w:r>
        <w:rPr>
          <w:i/>
          <w:spacing w:val="-4"/>
        </w:rPr>
        <w:t> </w:t>
      </w:r>
      <w:r>
        <w:rPr>
          <w:i/>
        </w:rPr>
        <w:t>customer</w:t>
      </w:r>
      <w:r>
        <w:rPr>
          <w:i/>
          <w:spacing w:val="-4"/>
        </w:rPr>
        <w:t> </w:t>
      </w:r>
      <w:r>
        <w:rPr>
          <w:i/>
        </w:rPr>
        <w:t>demand</w:t>
      </w:r>
      <w:r>
        <w:rPr>
          <w:i/>
          <w:spacing w:val="-3"/>
        </w:rPr>
        <w:t> </w:t>
      </w:r>
      <w:r>
        <w:rPr>
          <w:i/>
        </w:rPr>
        <w:t>for,</w:t>
      </w:r>
      <w:r>
        <w:rPr>
          <w:i/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utilization</w:t>
      </w:r>
      <w:r>
        <w:rPr>
          <w:spacing w:val="-1"/>
        </w:rPr>
        <w:t> </w:t>
      </w:r>
      <w:r>
        <w:rPr/>
        <w:t>of,</w:t>
      </w:r>
      <w:r>
        <w:rPr>
          <w:spacing w:val="-1"/>
        </w:rPr>
        <w:t> </w:t>
      </w:r>
      <w:r>
        <w:rPr/>
        <w:t>our</w:t>
      </w:r>
      <w:r>
        <w:rPr>
          <w:spacing w:val="-1"/>
        </w:rPr>
        <w:t> </w:t>
      </w:r>
      <w:r>
        <w:rPr/>
        <w:t>AquaBeam</w:t>
      </w:r>
      <w:r>
        <w:rPr>
          <w:spacing w:val="-2"/>
        </w:rPr>
        <w:t> </w:t>
      </w:r>
      <w:r>
        <w:rPr/>
        <w:t>Robotic</w:t>
      </w:r>
      <w:r>
        <w:rPr>
          <w:spacing w:val="-1"/>
        </w:rPr>
        <w:t> </w:t>
      </w:r>
      <w:r>
        <w:rPr/>
        <w:t>System</w:t>
      </w:r>
      <w:r>
        <w:rPr>
          <w:spacing w:val="-2"/>
        </w:rPr>
        <w:t> </w:t>
      </w:r>
      <w:r>
        <w:rPr/>
        <w:t>and manage</w:t>
      </w:r>
      <w:r>
        <w:rPr>
          <w:spacing w:val="-2"/>
        </w:rPr>
        <w:t> </w:t>
      </w:r>
      <w:r>
        <w:rPr/>
        <w:t>our</w:t>
      </w:r>
      <w:r>
        <w:rPr>
          <w:spacing w:val="-1"/>
        </w:rPr>
        <w:t> </w:t>
      </w:r>
      <w:r>
        <w:rPr/>
        <w:t>inventory.</w:t>
      </w:r>
    </w:p>
    <w:p>
      <w:pPr>
        <w:pStyle w:val="BodyText"/>
        <w:spacing w:line="249" w:lineRule="auto" w:before="185"/>
        <w:ind w:right="211"/>
      </w:pPr>
      <w:r>
        <w:rPr/>
        <w:t>To ensure adequate inventory supply, we must forecast inventory needs and manufacture our AquaBeam</w:t>
      </w:r>
      <w:r>
        <w:rPr>
          <w:spacing w:val="1"/>
        </w:rPr>
        <w:t> </w:t>
      </w:r>
      <w:r>
        <w:rPr/>
        <w:t>Robotic System console and the single-use disposable handpieces based on our estimates of future demand for, and</w:t>
      </w:r>
      <w:r>
        <w:rPr>
          <w:spacing w:val="-47"/>
        </w:rPr>
        <w:t> </w:t>
      </w:r>
      <w:r>
        <w:rPr/>
        <w:t>utilization of, our AquaBeam Robotic System. Our ability to accurately forecast demand and utilization could be</w:t>
      </w:r>
      <w:r>
        <w:rPr>
          <w:spacing w:val="1"/>
        </w:rPr>
        <w:t> </w:t>
      </w:r>
      <w:r>
        <w:rPr/>
        <w:t>negatively affected by many factors, including our failure to accurately manage our expansion strategy, product</w:t>
      </w:r>
      <w:r>
        <w:rPr>
          <w:spacing w:val="1"/>
        </w:rPr>
        <w:t> </w:t>
      </w:r>
      <w:r>
        <w:rPr/>
        <w:t>introductions by competitors, an increase or decrease in customer demand for our products or for products of our</w:t>
      </w:r>
      <w:r>
        <w:rPr>
          <w:spacing w:val="1"/>
        </w:rPr>
        <w:t> </w:t>
      </w:r>
      <w:r>
        <w:rPr/>
        <w:t>competitors, our failure to accurately forecast customer acceptance of new products, unanticipated changes in</w:t>
      </w:r>
      <w:r>
        <w:rPr>
          <w:spacing w:val="1"/>
        </w:rPr>
        <w:t> </w:t>
      </w:r>
      <w:r>
        <w:rPr/>
        <w:t>general market conditions or regulatory matters and weakening of economic conditions or consumer confidence in</w:t>
      </w:r>
      <w:r>
        <w:rPr>
          <w:spacing w:val="1"/>
        </w:rPr>
        <w:t> </w:t>
      </w:r>
      <w:r>
        <w:rPr/>
        <w:t>future economic conditions. Inventory levels in excess of customer demand may result in inventory write-downs or</w:t>
      </w:r>
      <w:r>
        <w:rPr>
          <w:spacing w:val="-47"/>
        </w:rPr>
        <w:t> </w:t>
      </w:r>
      <w:r>
        <w:rPr/>
        <w:t>write-offs, which would cause our gross margin to be adversely affected and could impair the strength of our brand.</w:t>
      </w:r>
      <w:r>
        <w:rPr>
          <w:spacing w:val="-47"/>
        </w:rPr>
        <w:t> </w:t>
      </w:r>
      <w:r>
        <w:rPr/>
        <w:t>Conversely, if we underestimate customer demand and utilization, our supply chain, manufacturing partners and/or</w:t>
      </w:r>
      <w:r>
        <w:rPr>
          <w:spacing w:val="1"/>
        </w:rPr>
        <w:t> </w:t>
      </w:r>
      <w:r>
        <w:rPr/>
        <w:t>internal</w:t>
      </w:r>
      <w:r>
        <w:rPr>
          <w:spacing w:val="-4"/>
        </w:rPr>
        <w:t> </w:t>
      </w:r>
      <w:r>
        <w:rPr/>
        <w:t>manufacturing</w:t>
      </w:r>
      <w:r>
        <w:rPr>
          <w:spacing w:val="-2"/>
        </w:rPr>
        <w:t> </w:t>
      </w:r>
      <w:r>
        <w:rPr/>
        <w:t>team</w:t>
      </w:r>
      <w:r>
        <w:rPr>
          <w:spacing w:val="-4"/>
        </w:rPr>
        <w:t> </w:t>
      </w:r>
      <w:r>
        <w:rPr/>
        <w:t>may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able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deliver</w:t>
      </w:r>
      <w:r>
        <w:rPr>
          <w:spacing w:val="-2"/>
        </w:rPr>
        <w:t> </w:t>
      </w:r>
      <w:r>
        <w:rPr/>
        <w:t>components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products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meet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requirements,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this</w:t>
      </w:r>
      <w:r>
        <w:rPr>
          <w:spacing w:val="-47"/>
        </w:rPr>
        <w:t> </w:t>
      </w:r>
      <w:r>
        <w:rPr/>
        <w:t>could result in damage to our reputation and customer relationships. In addition, if we experience a significant</w:t>
      </w:r>
      <w:r>
        <w:rPr>
          <w:spacing w:val="1"/>
        </w:rPr>
        <w:t> </w:t>
      </w:r>
      <w:r>
        <w:rPr/>
        <w:t>increase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demand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utilization,</w:t>
      </w:r>
      <w:r>
        <w:rPr>
          <w:spacing w:val="-3"/>
        </w:rPr>
        <w:t> </w:t>
      </w:r>
      <w:r>
        <w:rPr/>
        <w:t>additional</w:t>
      </w:r>
      <w:r>
        <w:rPr>
          <w:spacing w:val="-4"/>
        </w:rPr>
        <w:t> </w:t>
      </w:r>
      <w:r>
        <w:rPr/>
        <w:t>supplies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raw</w:t>
      </w:r>
      <w:r>
        <w:rPr>
          <w:spacing w:val="-4"/>
        </w:rPr>
        <w:t> </w:t>
      </w:r>
      <w:r>
        <w:rPr/>
        <w:t>materials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additional</w:t>
      </w:r>
      <w:r>
        <w:rPr>
          <w:spacing w:val="-4"/>
        </w:rPr>
        <w:t> </w:t>
      </w:r>
      <w:r>
        <w:rPr/>
        <w:t>manufacturing</w:t>
      </w:r>
      <w:r>
        <w:rPr>
          <w:spacing w:val="-3"/>
        </w:rPr>
        <w:t> </w:t>
      </w:r>
      <w:r>
        <w:rPr/>
        <w:t>capacity</w:t>
      </w:r>
      <w:r>
        <w:rPr>
          <w:spacing w:val="-4"/>
        </w:rPr>
        <w:t> </w:t>
      </w:r>
      <w:r>
        <w:rPr/>
        <w:t>may</w:t>
      </w:r>
      <w:r>
        <w:rPr>
          <w:spacing w:val="-3"/>
        </w:rPr>
        <w:t> </w:t>
      </w:r>
      <w:r>
        <w:rPr/>
        <w:t>not</w:t>
      </w:r>
      <w:r>
        <w:rPr>
          <w:spacing w:val="1"/>
        </w:rPr>
        <w:t> </w:t>
      </w:r>
      <w:r>
        <w:rPr/>
        <w:t>be available when required on terms that are acceptable to us, or at all, or suppliers may not be able to allocate</w:t>
      </w:r>
      <w:r>
        <w:rPr>
          <w:spacing w:val="1"/>
        </w:rPr>
        <w:t> </w:t>
      </w:r>
      <w:r>
        <w:rPr/>
        <w:t>sufficient capacity in order to meet our increased requirements, which will adversely affect our business, financial</w:t>
      </w:r>
      <w:r>
        <w:rPr>
          <w:spacing w:val="1"/>
        </w:rPr>
        <w:t> </w:t>
      </w:r>
      <w:r>
        <w:rPr/>
        <w:t>condition</w:t>
      </w:r>
      <w:r>
        <w:rPr>
          <w:spacing w:val="-1"/>
        </w:rPr>
        <w:t> </w:t>
      </w:r>
      <w:r>
        <w:rPr/>
        <w:t>and results</w:t>
      </w:r>
      <w:r>
        <w:rPr>
          <w:spacing w:val="-1"/>
        </w:rPr>
        <w:t> </w:t>
      </w:r>
      <w:r>
        <w:rPr/>
        <w:t>of operations.</w:t>
      </w:r>
    </w:p>
    <w:p>
      <w:pPr>
        <w:pStyle w:val="Heading3"/>
        <w:spacing w:line="249" w:lineRule="auto" w:before="190"/>
        <w:ind w:right="180"/>
      </w:pPr>
      <w:r>
        <w:rPr>
          <w:i/>
        </w:rPr>
        <w:t>Our internal computer systems, or those used by our contractors or consultants, may fail or suffer security</w:t>
      </w:r>
      <w:r>
        <w:rPr>
          <w:i/>
          <w:spacing w:val="1"/>
        </w:rPr>
        <w:t> </w:t>
      </w:r>
      <w:r>
        <w:rPr/>
        <w:t>breaches,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such</w:t>
      </w:r>
      <w:r>
        <w:rPr>
          <w:spacing w:val="-5"/>
        </w:rPr>
        <w:t> </w:t>
      </w:r>
      <w:r>
        <w:rPr/>
        <w:t>failure</w:t>
      </w:r>
      <w:r>
        <w:rPr>
          <w:spacing w:val="-5"/>
        </w:rPr>
        <w:t> </w:t>
      </w:r>
      <w:r>
        <w:rPr/>
        <w:t>could</w:t>
      </w:r>
      <w:r>
        <w:rPr>
          <w:spacing w:val="-4"/>
        </w:rPr>
        <w:t> </w:t>
      </w:r>
      <w:r>
        <w:rPr/>
        <w:t>negatively</w:t>
      </w:r>
      <w:r>
        <w:rPr>
          <w:spacing w:val="-5"/>
        </w:rPr>
        <w:t> </w:t>
      </w:r>
      <w:r>
        <w:rPr/>
        <w:t>affect</w:t>
      </w:r>
      <w:r>
        <w:rPr>
          <w:spacing w:val="-5"/>
        </w:rPr>
        <w:t> </w:t>
      </w:r>
      <w:r>
        <w:rPr/>
        <w:t>our</w:t>
      </w:r>
      <w:r>
        <w:rPr>
          <w:spacing w:val="-5"/>
        </w:rPr>
        <w:t> </w:t>
      </w:r>
      <w:r>
        <w:rPr/>
        <w:t>business,</w:t>
      </w:r>
      <w:r>
        <w:rPr>
          <w:spacing w:val="-4"/>
        </w:rPr>
        <w:t> </w:t>
      </w:r>
      <w:r>
        <w:rPr/>
        <w:t>financial</w:t>
      </w:r>
      <w:r>
        <w:rPr>
          <w:spacing w:val="-5"/>
        </w:rPr>
        <w:t> </w:t>
      </w:r>
      <w:r>
        <w:rPr/>
        <w:t>condition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results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operations.</w:t>
      </w:r>
    </w:p>
    <w:p>
      <w:pPr>
        <w:pStyle w:val="BodyText"/>
        <w:spacing w:line="249" w:lineRule="auto" w:before="185"/>
        <w:ind w:right="127"/>
      </w:pPr>
      <w:r>
        <w:rPr/>
        <w:t>We depend on our information technology systems for the efficient functioning of our business, including the</w:t>
      </w:r>
      <w:r>
        <w:rPr>
          <w:spacing w:val="1"/>
        </w:rPr>
        <w:t> </w:t>
      </w:r>
      <w:r>
        <w:rPr/>
        <w:t>manufacture, distribution and maintenance of our products, as well as for accounting, data storage, compliance,</w:t>
      </w:r>
      <w:r>
        <w:rPr>
          <w:spacing w:val="1"/>
        </w:rPr>
        <w:t> </w:t>
      </w:r>
      <w:r>
        <w:rPr/>
        <w:t>purchasing,</w:t>
      </w:r>
      <w:r>
        <w:rPr>
          <w:spacing w:val="-3"/>
        </w:rPr>
        <w:t> </w:t>
      </w:r>
      <w:r>
        <w:rPr/>
        <w:t>inventory</w:t>
      </w:r>
      <w:r>
        <w:rPr>
          <w:spacing w:val="-3"/>
        </w:rPr>
        <w:t> </w:t>
      </w:r>
      <w:r>
        <w:rPr/>
        <w:t>management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related</w:t>
      </w:r>
      <w:r>
        <w:rPr>
          <w:spacing w:val="-2"/>
        </w:rPr>
        <w:t> </w:t>
      </w:r>
      <w:r>
        <w:rPr/>
        <w:t>functions.</w:t>
      </w:r>
      <w:r>
        <w:rPr>
          <w:spacing w:val="-3"/>
        </w:rPr>
        <w:t> </w:t>
      </w:r>
      <w:r>
        <w:rPr/>
        <w:t>We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not</w:t>
      </w:r>
      <w:r>
        <w:rPr>
          <w:spacing w:val="-4"/>
        </w:rPr>
        <w:t> </w:t>
      </w:r>
      <w:r>
        <w:rPr/>
        <w:t>have</w:t>
      </w:r>
      <w:r>
        <w:rPr>
          <w:spacing w:val="-3"/>
        </w:rPr>
        <w:t> </w:t>
      </w:r>
      <w:r>
        <w:rPr/>
        <w:t>redundant</w:t>
      </w:r>
      <w:r>
        <w:rPr>
          <w:spacing w:val="-4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technology</w:t>
      </w:r>
      <w:r>
        <w:rPr>
          <w:spacing w:val="-2"/>
        </w:rPr>
        <w:t> </w:t>
      </w:r>
      <w:r>
        <w:rPr/>
        <w:t>in</w:t>
      </w:r>
      <w:r>
        <w:rPr>
          <w:spacing w:val="-47"/>
        </w:rPr>
        <w:t> </w:t>
      </w:r>
      <w:r>
        <w:rPr/>
        <w:t>all aspects of our systems at this time. Despite the implementation of security and back-up measures, our internal</w:t>
      </w:r>
      <w:r>
        <w:rPr>
          <w:spacing w:val="1"/>
        </w:rPr>
        <w:t> </w:t>
      </w:r>
      <w:r>
        <w:rPr/>
        <w:t>computer, server, and other information technology systems as well as those of our third-party consultants,</w:t>
      </w:r>
      <w:r>
        <w:rPr>
          <w:spacing w:val="1"/>
        </w:rPr>
        <w:t> </w:t>
      </w:r>
      <w:r>
        <w:rPr/>
        <w:t>contractors, suppliers, and service providers, may be vulnerable to damage from physical or electronic break-ins,</w:t>
      </w:r>
      <w:r>
        <w:rPr>
          <w:spacing w:val="1"/>
        </w:rPr>
        <w:t> </w:t>
      </w:r>
      <w:r>
        <w:rPr/>
        <w:t>accidental or intentional exposure of our data by employees or others with authorized access to our networks,</w:t>
      </w:r>
      <w:r>
        <w:rPr>
          <w:spacing w:val="1"/>
        </w:rPr>
        <w:t> </w:t>
      </w:r>
      <w:r>
        <w:rPr/>
        <w:t>computer viruses, malware, ransomware, supply chain attacks, natural disasters, terrorism, war, telecommunication</w:t>
      </w:r>
      <w:r>
        <w:rPr>
          <w:spacing w:val="1"/>
        </w:rPr>
        <w:t> </w:t>
      </w:r>
      <w:r>
        <w:rPr/>
        <w:t>and electrical failure, denial of service, and other cyberattacks or disruptive incidents that could result in</w:t>
      </w:r>
      <w:r>
        <w:rPr>
          <w:spacing w:val="1"/>
        </w:rPr>
        <w:t> </w:t>
      </w:r>
      <w:r>
        <w:rPr/>
        <w:t>unauthorized</w:t>
      </w:r>
      <w:r>
        <w:rPr>
          <w:spacing w:val="-2"/>
        </w:rPr>
        <w:t> </w:t>
      </w:r>
      <w:r>
        <w:rPr/>
        <w:t>access</w:t>
      </w:r>
      <w:r>
        <w:rPr>
          <w:spacing w:val="-3"/>
        </w:rPr>
        <w:t> </w:t>
      </w:r>
      <w:r>
        <w:rPr/>
        <w:t>to,</w:t>
      </w:r>
      <w:r>
        <w:rPr>
          <w:spacing w:val="-2"/>
        </w:rPr>
        <w:t> </w:t>
      </w:r>
      <w:r>
        <w:rPr/>
        <w:t>use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disclosure</w:t>
      </w:r>
      <w:r>
        <w:rPr>
          <w:spacing w:val="-3"/>
        </w:rPr>
        <w:t> </w:t>
      </w:r>
      <w:r>
        <w:rPr/>
        <w:t>of,</w:t>
      </w:r>
      <w:r>
        <w:rPr>
          <w:spacing w:val="-2"/>
        </w:rPr>
        <w:t> </w:t>
      </w:r>
      <w:r>
        <w:rPr/>
        <w:t>corruption</w:t>
      </w:r>
      <w:r>
        <w:rPr>
          <w:spacing w:val="-2"/>
        </w:rPr>
        <w:t> </w:t>
      </w:r>
      <w:r>
        <w:rPr/>
        <w:t>of,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loss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sensitive,</w:t>
      </w:r>
      <w:r>
        <w:rPr>
          <w:spacing w:val="-1"/>
        </w:rPr>
        <w:t> </w:t>
      </w:r>
      <w:r>
        <w:rPr/>
        <w:t>and/or</w:t>
      </w:r>
      <w:r>
        <w:rPr>
          <w:spacing w:val="-2"/>
        </w:rPr>
        <w:t> </w:t>
      </w:r>
      <w:r>
        <w:rPr/>
        <w:t>proprietary</w:t>
      </w:r>
      <w:r>
        <w:rPr>
          <w:spacing w:val="-2"/>
        </w:rPr>
        <w:t> </w:t>
      </w:r>
      <w:r>
        <w:rPr/>
        <w:t>data,</w:t>
      </w:r>
      <w:r>
        <w:rPr>
          <w:spacing w:val="-2"/>
        </w:rPr>
        <w:t> </w:t>
      </w:r>
      <w:r>
        <w:rPr/>
        <w:t>including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  <w:ind w:right="148" w:firstLine="0"/>
      </w:pPr>
      <w:r>
        <w:rPr/>
        <w:t>personal information, including health-related information, and could subject us to significant liabilities and</w:t>
      </w:r>
      <w:r>
        <w:rPr>
          <w:spacing w:val="1"/>
        </w:rPr>
        <w:t> </w:t>
      </w:r>
      <w:r>
        <w:rPr/>
        <w:t>regulatory and enforcement actions, and reputational damage. Additionally, theft of our intellectual property or</w:t>
      </w:r>
      <w:r>
        <w:rPr>
          <w:spacing w:val="1"/>
        </w:rPr>
        <w:t> </w:t>
      </w:r>
      <w:r>
        <w:rPr/>
        <w:t>proprietary business information could require substantial expenditures to remedy. Such theft could also lead to loss</w:t>
      </w:r>
      <w:r>
        <w:rPr>
          <w:spacing w:val="-47"/>
        </w:rPr>
        <w:t> </w:t>
      </w:r>
      <w:r>
        <w:rPr/>
        <w:t>of intellectual property rights through disclosure of our proprietary business information, and such loss may not be</w:t>
      </w:r>
      <w:r>
        <w:rPr>
          <w:spacing w:val="1"/>
        </w:rPr>
        <w:t> </w:t>
      </w:r>
      <w:r>
        <w:rPr/>
        <w:t>capable of remedying. If we or our third-party consultants, contractors, suppliers, or service providers were to suffer</w:t>
      </w:r>
      <w:r>
        <w:rPr>
          <w:spacing w:val="-47"/>
        </w:rPr>
        <w:t> </w:t>
      </w:r>
      <w:r>
        <w:rPr/>
        <w:t>an</w:t>
      </w:r>
      <w:r>
        <w:rPr>
          <w:spacing w:val="-3"/>
        </w:rPr>
        <w:t> </w:t>
      </w:r>
      <w:r>
        <w:rPr/>
        <w:t>attack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breach,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example,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resulted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unauthorized</w:t>
      </w:r>
      <w:r>
        <w:rPr>
          <w:spacing w:val="-2"/>
        </w:rPr>
        <w:t> </w:t>
      </w:r>
      <w:r>
        <w:rPr/>
        <w:t>access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use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disclosure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personal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health</w:t>
      </w:r>
      <w:r>
        <w:rPr>
          <w:spacing w:val="1"/>
        </w:rPr>
        <w:t> </w:t>
      </w:r>
      <w:r>
        <w:rPr/>
        <w:t>information, we may have to notify consumers, partners, collaborators, government authorities, and the media, and</w:t>
      </w:r>
      <w:r>
        <w:rPr>
          <w:spacing w:val="1"/>
        </w:rPr>
        <w:t> </w:t>
      </w:r>
      <w:r>
        <w:rPr/>
        <w:t>may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subject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investigations,</w:t>
      </w:r>
      <w:r>
        <w:rPr>
          <w:spacing w:val="-3"/>
        </w:rPr>
        <w:t> </w:t>
      </w:r>
      <w:r>
        <w:rPr/>
        <w:t>civil</w:t>
      </w:r>
      <w:r>
        <w:rPr>
          <w:spacing w:val="-5"/>
        </w:rPr>
        <w:t> </w:t>
      </w:r>
      <w:r>
        <w:rPr/>
        <w:t>penalties,</w:t>
      </w:r>
      <w:r>
        <w:rPr>
          <w:spacing w:val="-4"/>
        </w:rPr>
        <w:t> </w:t>
      </w:r>
      <w:r>
        <w:rPr/>
        <w:t>administrative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enforcement</w:t>
      </w:r>
      <w:r>
        <w:rPr>
          <w:spacing w:val="-4"/>
        </w:rPr>
        <w:t> </w:t>
      </w:r>
      <w:r>
        <w:rPr/>
        <w:t>actions,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litigation,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which</w:t>
      </w:r>
      <w:r>
        <w:rPr>
          <w:spacing w:val="1"/>
        </w:rPr>
        <w:t> </w:t>
      </w:r>
      <w:r>
        <w:rPr/>
        <w:t>could harm our business and reputation. Likewise, we rely on third parties to conduct clinical trials, and similar</w:t>
      </w:r>
      <w:r>
        <w:rPr>
          <w:spacing w:val="1"/>
        </w:rPr>
        <w:t> </w:t>
      </w:r>
      <w:r>
        <w:rPr/>
        <w:t>events</w:t>
      </w:r>
      <w:r>
        <w:rPr>
          <w:spacing w:val="-3"/>
        </w:rPr>
        <w:t> </w:t>
      </w:r>
      <w:r>
        <w:rPr/>
        <w:t>relating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their</w:t>
      </w:r>
      <w:r>
        <w:rPr>
          <w:spacing w:val="-2"/>
        </w:rPr>
        <w:t> </w:t>
      </w:r>
      <w:r>
        <w:rPr/>
        <w:t>computer</w:t>
      </w:r>
      <w:r>
        <w:rPr>
          <w:spacing w:val="-2"/>
        </w:rPr>
        <w:t> </w:t>
      </w:r>
      <w:r>
        <w:rPr/>
        <w:t>systems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networks</w:t>
      </w:r>
      <w:r>
        <w:rPr>
          <w:spacing w:val="-3"/>
        </w:rPr>
        <w:t> </w:t>
      </w:r>
      <w:r>
        <w:rPr/>
        <w:t>could</w:t>
      </w:r>
      <w:r>
        <w:rPr>
          <w:spacing w:val="-2"/>
        </w:rPr>
        <w:t> </w:t>
      </w:r>
      <w:r>
        <w:rPr/>
        <w:t>also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material</w:t>
      </w:r>
      <w:r>
        <w:rPr>
          <w:spacing w:val="-3"/>
        </w:rPr>
        <w:t> </w:t>
      </w:r>
      <w:r>
        <w:rPr/>
        <w:t>adverse</w:t>
      </w:r>
      <w:r>
        <w:rPr>
          <w:spacing w:val="-3"/>
        </w:rPr>
        <w:t> </w:t>
      </w:r>
      <w:r>
        <w:rPr/>
        <w:t>effect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business.</w:t>
      </w:r>
    </w:p>
    <w:p>
      <w:pPr>
        <w:pStyle w:val="BodyText"/>
        <w:spacing w:line="249" w:lineRule="auto" w:before="8"/>
        <w:ind w:right="128" w:firstLine="0"/>
      </w:pPr>
      <w:r>
        <w:rPr/>
        <w:t>The COVID-19 pandemic has generally increased the risk of cybersecurity intrusions. Our reliance on internet</w:t>
      </w:r>
      <w:r>
        <w:rPr>
          <w:spacing w:val="1"/>
        </w:rPr>
        <w:t> </w:t>
      </w:r>
      <w:r>
        <w:rPr/>
        <w:t>technology and the number of our employees who are working remotely may create additional opportunities for</w:t>
      </w:r>
      <w:r>
        <w:rPr>
          <w:spacing w:val="1"/>
        </w:rPr>
        <w:t> </w:t>
      </w:r>
      <w:r>
        <w:rPr/>
        <w:t>cybercriminals to exploit vulnerabilities. For example, there has been an increase in phishing and spam emails as</w:t>
      </w:r>
      <w:r>
        <w:rPr>
          <w:spacing w:val="1"/>
        </w:rPr>
        <w:t> </w:t>
      </w:r>
      <w:r>
        <w:rPr/>
        <w:t>well as social engineering attempts from “hackers” hoping to use the recent COVID-19 pandemic to their advantage.</w:t>
      </w:r>
      <w:r>
        <w:rPr>
          <w:spacing w:val="-47"/>
        </w:rPr>
        <w:t> </w:t>
      </w:r>
      <w:r>
        <w:rPr/>
        <w:t>Furthermore, because the techniques used to obtain unauthorized access to, or to sabotage, systems change</w:t>
      </w:r>
      <w:r>
        <w:rPr>
          <w:spacing w:val="1"/>
        </w:rPr>
        <w:t> </w:t>
      </w:r>
      <w:r>
        <w:rPr/>
        <w:t>frequently and often are not recognized until launched against a target, we may be unable to anticipate these</w:t>
      </w:r>
      <w:r>
        <w:rPr>
          <w:spacing w:val="1"/>
        </w:rPr>
        <w:t> </w:t>
      </w:r>
      <w:r>
        <w:rPr/>
        <w:t>techniques or implement adequate preventative measures. We may also experience security breaches that may</w:t>
      </w:r>
      <w:r>
        <w:rPr>
          <w:spacing w:val="1"/>
        </w:rPr>
        <w:t> </w:t>
      </w:r>
      <w:r>
        <w:rPr/>
        <w:t>remain</w:t>
      </w:r>
      <w:r>
        <w:rPr>
          <w:spacing w:val="-3"/>
        </w:rPr>
        <w:t> </w:t>
      </w:r>
      <w:r>
        <w:rPr/>
        <w:t>undetected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extended</w:t>
      </w:r>
      <w:r>
        <w:rPr>
          <w:spacing w:val="-3"/>
        </w:rPr>
        <w:t> </w:t>
      </w:r>
      <w:r>
        <w:rPr/>
        <w:t>period.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extent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disruption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security</w:t>
      </w:r>
      <w:r>
        <w:rPr>
          <w:spacing w:val="-2"/>
        </w:rPr>
        <w:t> </w:t>
      </w:r>
      <w:r>
        <w:rPr/>
        <w:t>breach</w:t>
      </w:r>
      <w:r>
        <w:rPr>
          <w:spacing w:val="-3"/>
        </w:rPr>
        <w:t> </w:t>
      </w:r>
      <w:r>
        <w:rPr/>
        <w:t>were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result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loss</w:t>
      </w:r>
      <w:r>
        <w:rPr>
          <w:spacing w:val="-47"/>
        </w:rPr>
        <w:t> </w:t>
      </w:r>
      <w:r>
        <w:rPr/>
        <w:t>of,</w:t>
      </w:r>
      <w:r>
        <w:rPr>
          <w:spacing w:val="1"/>
        </w:rPr>
        <w:t> </w:t>
      </w:r>
      <w:r>
        <w:rPr/>
        <w:t>or</w:t>
      </w:r>
      <w:r>
        <w:rPr>
          <w:spacing w:val="2"/>
        </w:rPr>
        <w:t> </w:t>
      </w:r>
      <w:r>
        <w:rPr/>
        <w:t>damage</w:t>
      </w:r>
      <w:r>
        <w:rPr>
          <w:spacing w:val="1"/>
        </w:rPr>
        <w:t> </w:t>
      </w:r>
      <w:r>
        <w:rPr/>
        <w:t>to,</w:t>
      </w:r>
      <w:r>
        <w:rPr>
          <w:spacing w:val="2"/>
        </w:rPr>
        <w:t> </w:t>
      </w:r>
      <w:r>
        <w:rPr/>
        <w:t>our</w:t>
      </w:r>
      <w:r>
        <w:rPr>
          <w:spacing w:val="2"/>
        </w:rPr>
        <w:t> </w:t>
      </w:r>
      <w:r>
        <w:rPr/>
        <w:t>data</w:t>
      </w:r>
      <w:r>
        <w:rPr>
          <w:spacing w:val="1"/>
        </w:rPr>
        <w:t> </w:t>
      </w:r>
      <w:r>
        <w:rPr/>
        <w:t>or</w:t>
      </w:r>
      <w:r>
        <w:rPr>
          <w:spacing w:val="2"/>
        </w:rPr>
        <w:t> </w:t>
      </w:r>
      <w:r>
        <w:rPr/>
        <w:t>systems</w:t>
      </w:r>
      <w:r>
        <w:rPr>
          <w:spacing w:val="1"/>
        </w:rPr>
        <w:t> </w:t>
      </w:r>
      <w:r>
        <w:rPr/>
        <w:t>or</w:t>
      </w:r>
      <w:r>
        <w:rPr>
          <w:spacing w:val="2"/>
        </w:rPr>
        <w:t> </w:t>
      </w:r>
      <w:r>
        <w:rPr/>
        <w:t>data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systems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our</w:t>
      </w:r>
      <w:r>
        <w:rPr>
          <w:spacing w:val="2"/>
        </w:rPr>
        <w:t> </w:t>
      </w:r>
      <w:r>
        <w:rPr/>
        <w:t>commercial</w:t>
      </w:r>
      <w:r>
        <w:rPr>
          <w:spacing w:val="1"/>
        </w:rPr>
        <w:t> </w:t>
      </w:r>
      <w:r>
        <w:rPr/>
        <w:t>partners,</w:t>
      </w:r>
      <w:r>
        <w:rPr>
          <w:spacing w:val="2"/>
        </w:rPr>
        <w:t> </w:t>
      </w:r>
      <w:r>
        <w:rPr/>
        <w:t>or</w:t>
      </w:r>
      <w:r>
        <w:rPr>
          <w:spacing w:val="2"/>
        </w:rPr>
        <w:t> </w:t>
      </w:r>
      <w:r>
        <w:rPr/>
        <w:t>inappropriate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unauthorized access to or disclosure or use of confidential, proprietary, or other sensitive, personal, or health</w:t>
      </w:r>
      <w:r>
        <w:rPr>
          <w:spacing w:val="1"/>
        </w:rPr>
        <w:t> </w:t>
      </w:r>
      <w:r>
        <w:rPr/>
        <w:t>information, we could incur liability and suffer reputational harm. Failure to maintain or protect our information</w:t>
      </w:r>
      <w:r>
        <w:rPr>
          <w:spacing w:val="1"/>
        </w:rPr>
        <w:t> </w:t>
      </w:r>
      <w:r>
        <w:rPr/>
        <w:t>technology</w:t>
      </w:r>
      <w:r>
        <w:rPr>
          <w:spacing w:val="-3"/>
        </w:rPr>
        <w:t> </w:t>
      </w:r>
      <w:r>
        <w:rPr/>
        <w:t>systems</w:t>
      </w:r>
      <w:r>
        <w:rPr>
          <w:spacing w:val="-4"/>
        </w:rPr>
        <w:t> </w:t>
      </w:r>
      <w:r>
        <w:rPr/>
        <w:t>effectively</w:t>
      </w:r>
      <w:r>
        <w:rPr>
          <w:spacing w:val="-2"/>
        </w:rPr>
        <w:t> </w:t>
      </w:r>
      <w:r>
        <w:rPr/>
        <w:t>could</w:t>
      </w:r>
      <w:r>
        <w:rPr>
          <w:spacing w:val="-3"/>
        </w:rPr>
        <w:t> </w:t>
      </w:r>
      <w:r>
        <w:rPr/>
        <w:t>negatively</w:t>
      </w:r>
      <w:r>
        <w:rPr>
          <w:spacing w:val="-2"/>
        </w:rPr>
        <w:t> </w:t>
      </w:r>
      <w:r>
        <w:rPr/>
        <w:t>affect</w:t>
      </w:r>
      <w:r>
        <w:rPr>
          <w:spacing w:val="-4"/>
        </w:rPr>
        <w:t> </w:t>
      </w:r>
      <w:r>
        <w:rPr/>
        <w:t>our</w:t>
      </w:r>
      <w:r>
        <w:rPr>
          <w:spacing w:val="-3"/>
        </w:rPr>
        <w:t> </w:t>
      </w:r>
      <w:r>
        <w:rPr/>
        <w:t>business,</w:t>
      </w:r>
      <w:r>
        <w:rPr>
          <w:spacing w:val="-2"/>
        </w:rPr>
        <w:t> </w:t>
      </w:r>
      <w:r>
        <w:rPr/>
        <w:t>financial</w:t>
      </w:r>
      <w:r>
        <w:rPr>
          <w:spacing w:val="-4"/>
        </w:rPr>
        <w:t> </w:t>
      </w:r>
      <w:r>
        <w:rPr/>
        <w:t>condition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results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operations.</w:t>
      </w:r>
    </w:p>
    <w:p>
      <w:pPr>
        <w:pStyle w:val="Heading3"/>
        <w:spacing w:line="249" w:lineRule="auto" w:before="186"/>
        <w:ind w:right="212"/>
      </w:pPr>
      <w:r>
        <w:rPr>
          <w:i/>
        </w:rPr>
        <w:t>Failure to comply with data protection laws and regulations could lead to government enforcement actions</w:t>
      </w:r>
      <w:r>
        <w:rPr>
          <w:i/>
          <w:spacing w:val="1"/>
        </w:rPr>
        <w:t> </w:t>
      </w:r>
      <w:r>
        <w:rPr/>
        <w:t>(which</w:t>
      </w:r>
      <w:r>
        <w:rPr>
          <w:spacing w:val="-6"/>
        </w:rPr>
        <w:t> </w:t>
      </w:r>
      <w:r>
        <w:rPr/>
        <w:t>could</w:t>
      </w:r>
      <w:r>
        <w:rPr>
          <w:spacing w:val="-4"/>
        </w:rPr>
        <w:t> </w:t>
      </w:r>
      <w:r>
        <w:rPr/>
        <w:t>include</w:t>
      </w:r>
      <w:r>
        <w:rPr>
          <w:spacing w:val="-5"/>
        </w:rPr>
        <w:t> </w:t>
      </w:r>
      <w:r>
        <w:rPr/>
        <w:t>civil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penalties),</w:t>
      </w:r>
      <w:r>
        <w:rPr>
          <w:spacing w:val="-4"/>
        </w:rPr>
        <w:t> </w:t>
      </w:r>
      <w:r>
        <w:rPr/>
        <w:t>private</w:t>
      </w:r>
      <w:r>
        <w:rPr>
          <w:spacing w:val="-5"/>
        </w:rPr>
        <w:t> </w:t>
      </w:r>
      <w:r>
        <w:rPr/>
        <w:t>litigation,</w:t>
      </w:r>
      <w:r>
        <w:rPr>
          <w:spacing w:val="-4"/>
        </w:rPr>
        <w:t> </w:t>
      </w:r>
      <w:r>
        <w:rPr/>
        <w:t>and/or</w:t>
      </w:r>
      <w:r>
        <w:rPr>
          <w:spacing w:val="-6"/>
        </w:rPr>
        <w:t> </w:t>
      </w:r>
      <w:r>
        <w:rPr/>
        <w:t>adverse</w:t>
      </w:r>
      <w:r>
        <w:rPr>
          <w:spacing w:val="-5"/>
        </w:rPr>
        <w:t> </w:t>
      </w:r>
      <w:r>
        <w:rPr/>
        <w:t>publicity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could</w:t>
      </w:r>
      <w:r>
        <w:rPr>
          <w:spacing w:val="-4"/>
        </w:rPr>
        <w:t> </w:t>
      </w:r>
      <w:r>
        <w:rPr/>
        <w:t>negatively</w:t>
      </w:r>
      <w:r>
        <w:rPr>
          <w:spacing w:val="1"/>
        </w:rPr>
        <w:t> </w:t>
      </w:r>
      <w:r>
        <w:rPr/>
        <w:t>affect</w:t>
      </w:r>
      <w:r>
        <w:rPr>
          <w:spacing w:val="-2"/>
        </w:rPr>
        <w:t> </w:t>
      </w:r>
      <w:r>
        <w:rPr/>
        <w:t>our</w:t>
      </w:r>
      <w:r>
        <w:rPr>
          <w:spacing w:val="-1"/>
        </w:rPr>
        <w:t> </w:t>
      </w:r>
      <w:r>
        <w:rPr/>
        <w:t>operating results</w:t>
      </w:r>
      <w:r>
        <w:rPr>
          <w:spacing w:val="-1"/>
        </w:rPr>
        <w:t> </w:t>
      </w:r>
      <w:r>
        <w:rPr/>
        <w:t>and business.</w:t>
      </w:r>
    </w:p>
    <w:p>
      <w:pPr>
        <w:pStyle w:val="BodyText"/>
        <w:spacing w:line="249" w:lineRule="auto" w:before="186"/>
        <w:ind w:right="196"/>
      </w:pPr>
      <w:r>
        <w:rPr/>
        <w:t>We may be subject to federal, state, and foreign data protection laws and regulations (i.e., laws and regulations</w:t>
      </w:r>
      <w:r>
        <w:rPr>
          <w:spacing w:val="1"/>
        </w:rPr>
        <w:t> </w:t>
      </w:r>
      <w:r>
        <w:rPr/>
        <w:t>that address privacy and data security). In the United States, numerous federal and state laws and regulations,</w:t>
      </w:r>
      <w:r>
        <w:rPr>
          <w:spacing w:val="1"/>
        </w:rPr>
        <w:t> </w:t>
      </w:r>
      <w:r>
        <w:rPr/>
        <w:t>including state data breach notification laws, state health information privacy laws, and federal and state consumer</w:t>
      </w:r>
      <w:r>
        <w:rPr>
          <w:spacing w:val="1"/>
        </w:rPr>
        <w:t> </w:t>
      </w:r>
      <w:r>
        <w:rPr/>
        <w:t>protection laws and regulations that govern the collection, processing, use, disclosure, and protection of health-</w:t>
      </w:r>
      <w:r>
        <w:rPr>
          <w:spacing w:val="1"/>
        </w:rPr>
        <w:t> </w:t>
      </w:r>
      <w:r>
        <w:rPr/>
        <w:t>related and other personal information could apply to our operations or the operations of our partners. For example,</w:t>
      </w:r>
      <w:r>
        <w:rPr>
          <w:spacing w:val="-47"/>
        </w:rPr>
        <w:t> </w:t>
      </w:r>
      <w:r>
        <w:rPr/>
        <w:t>the federal Health Insurance Portability and Accountability Act of 1996, or HIPAA, as amended by the Health</w:t>
      </w:r>
      <w:r>
        <w:rPr>
          <w:spacing w:val="1"/>
        </w:rPr>
        <w:t> </w:t>
      </w:r>
      <w:r>
        <w:rPr/>
        <w:t>Information Technology for Economic and Clinical Health Act of 2009, or HITECH, and their respective</w:t>
      </w:r>
      <w:r>
        <w:rPr>
          <w:spacing w:val="1"/>
        </w:rPr>
        <w:t> </w:t>
      </w:r>
      <w:r>
        <w:rPr/>
        <w:t>implementing regulations, impose obligations on “covered entities,” including certain health care providers, health</w:t>
      </w:r>
      <w:r>
        <w:rPr>
          <w:spacing w:val="1"/>
        </w:rPr>
        <w:t> </w:t>
      </w:r>
      <w:r>
        <w:rPr/>
        <w:t>plans, and health care clearinghouses, and their respective “business associates” that create, receive, maintain or</w:t>
      </w:r>
      <w:r>
        <w:rPr>
          <w:spacing w:val="1"/>
        </w:rPr>
        <w:t> </w:t>
      </w:r>
      <w:r>
        <w:rPr/>
        <w:t>transmit individually identifiable health information for or on behalf of a covered entity, as well as their covered</w:t>
      </w:r>
      <w:r>
        <w:rPr>
          <w:spacing w:val="1"/>
        </w:rPr>
        <w:t> </w:t>
      </w:r>
      <w:r>
        <w:rPr/>
        <w:t>subcontractors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/>
        <w:t>respect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safeguarding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privacy,</w:t>
      </w:r>
      <w:r>
        <w:rPr>
          <w:spacing w:val="-4"/>
        </w:rPr>
        <w:t> </w:t>
      </w:r>
      <w:r>
        <w:rPr/>
        <w:t>security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transmission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individually</w:t>
      </w:r>
      <w:r>
        <w:rPr>
          <w:spacing w:val="-4"/>
        </w:rPr>
        <w:t> </w:t>
      </w:r>
      <w:r>
        <w:rPr/>
        <w:t>identifiable</w:t>
      </w:r>
      <w:r>
        <w:rPr>
          <w:spacing w:val="-4"/>
        </w:rPr>
        <w:t> </w:t>
      </w:r>
      <w:r>
        <w:rPr/>
        <w:t>health</w:t>
      </w:r>
      <w:r>
        <w:rPr>
          <w:spacing w:val="-47"/>
        </w:rPr>
        <w:t> </w:t>
      </w:r>
      <w:r>
        <w:rPr/>
        <w:t>information. We may obtain health information from third parties (including research institutions from which we</w:t>
      </w:r>
      <w:r>
        <w:rPr>
          <w:spacing w:val="1"/>
        </w:rPr>
        <w:t> </w:t>
      </w:r>
      <w:r>
        <w:rPr/>
        <w:t>obtain clinical trial data) that are subject to privacy and security requirements under HIPAA. Entities that are found</w:t>
      </w:r>
      <w:r>
        <w:rPr>
          <w:spacing w:val="-47"/>
        </w:rPr>
        <w:t> </w:t>
      </w:r>
      <w:r>
        <w:rPr/>
        <w:t>to be in violation of HIPAA, whether as the result of a breach of unsecured PHI, a complaint about privacy</w:t>
      </w:r>
      <w:r>
        <w:rPr>
          <w:spacing w:val="1"/>
        </w:rPr>
        <w:t> </w:t>
      </w:r>
      <w:r>
        <w:rPr/>
        <w:t>practices,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audit</w:t>
      </w:r>
      <w:r>
        <w:rPr>
          <w:spacing w:val="-4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Health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Human</w:t>
      </w:r>
      <w:r>
        <w:rPr>
          <w:spacing w:val="-3"/>
        </w:rPr>
        <w:t> </w:t>
      </w:r>
      <w:r>
        <w:rPr/>
        <w:t>Services,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HHS,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subject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significant</w:t>
      </w:r>
      <w:r>
        <w:rPr>
          <w:spacing w:val="-4"/>
        </w:rPr>
        <w:t> </w:t>
      </w:r>
      <w:r>
        <w:rPr/>
        <w:t>civil,</w:t>
      </w:r>
      <w:r>
        <w:rPr>
          <w:spacing w:val="1"/>
        </w:rPr>
        <w:t> </w:t>
      </w:r>
      <w:r>
        <w:rPr/>
        <w:t>criminal, and administrative fines and penalties and/or additional reporting and oversight obligations if required to</w:t>
      </w:r>
      <w:r>
        <w:rPr>
          <w:spacing w:val="1"/>
        </w:rPr>
        <w:t> </w:t>
      </w:r>
      <w:r>
        <w:rPr/>
        <w:t>enter into a resolution agreement and corrective action plan</w:t>
      </w:r>
      <w:r>
        <w:rPr>
          <w:spacing w:val="1"/>
        </w:rPr>
        <w:t> </w:t>
      </w:r>
      <w:r>
        <w:rPr/>
        <w:t>with HHS to settle allegations of HIPAA non-</w:t>
      </w:r>
      <w:r>
        <w:rPr>
          <w:spacing w:val="1"/>
        </w:rPr>
        <w:t> </w:t>
      </w:r>
      <w:r>
        <w:rPr/>
        <w:t>compliance.</w:t>
      </w:r>
      <w:r>
        <w:rPr>
          <w:spacing w:val="-2"/>
        </w:rPr>
        <w:t> </w:t>
      </w:r>
      <w:r>
        <w:rPr/>
        <w:t>Depending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facts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circumstances,</w:t>
      </w:r>
      <w:r>
        <w:rPr>
          <w:spacing w:val="-2"/>
        </w:rPr>
        <w:t> </w:t>
      </w:r>
      <w:r>
        <w:rPr/>
        <w:t>we</w:t>
      </w:r>
      <w:r>
        <w:rPr>
          <w:spacing w:val="-2"/>
        </w:rPr>
        <w:t> </w:t>
      </w:r>
      <w:r>
        <w:rPr/>
        <w:t>could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subject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penalties</w:t>
      </w:r>
      <w:r>
        <w:rPr>
          <w:spacing w:val="-3"/>
        </w:rPr>
        <w:t> </w:t>
      </w:r>
      <w:r>
        <w:rPr/>
        <w:t>if</w:t>
      </w:r>
      <w:r>
        <w:rPr>
          <w:spacing w:val="-2"/>
        </w:rPr>
        <w:t> </w:t>
      </w:r>
      <w:r>
        <w:rPr/>
        <w:t>we</w:t>
      </w:r>
      <w:r>
        <w:rPr>
          <w:spacing w:val="-2"/>
        </w:rPr>
        <w:t> </w:t>
      </w:r>
      <w:r>
        <w:rPr/>
        <w:t>violate</w:t>
      </w:r>
      <w:r>
        <w:rPr>
          <w:spacing w:val="-3"/>
        </w:rPr>
        <w:t> </w:t>
      </w:r>
      <w:r>
        <w:rPr/>
        <w:t>HIPAA.</w:t>
      </w:r>
    </w:p>
    <w:p>
      <w:pPr>
        <w:pStyle w:val="BodyText"/>
        <w:spacing w:line="249" w:lineRule="auto" w:before="195"/>
        <w:ind w:right="148"/>
      </w:pPr>
      <w:r>
        <w:rPr/>
        <w:t>Even when HIPAA does not apply, according to the Federal Trade Commission, or the FTC, failing to take</w:t>
      </w:r>
      <w:r>
        <w:rPr>
          <w:spacing w:val="1"/>
        </w:rPr>
        <w:t> </w:t>
      </w:r>
      <w:r>
        <w:rPr/>
        <w:t>appropriate steps to keep consumers’ personal information secure may constitute unfair acts or practices in or</w:t>
      </w:r>
      <w:r>
        <w:rPr>
          <w:spacing w:val="1"/>
        </w:rPr>
        <w:t> </w:t>
      </w:r>
      <w:r>
        <w:rPr/>
        <w:t>affecting commerce in violation of the Federal Trade Commission Act. The FTC expects a company’s data security</w:t>
      </w:r>
      <w:r>
        <w:rPr>
          <w:spacing w:val="1"/>
        </w:rPr>
        <w:t> </w:t>
      </w:r>
      <w:r>
        <w:rPr/>
        <w:t>measures to be reasonable and appropriate in light of the sensitivity and volume of consumer information it holds,</w:t>
      </w:r>
      <w:r>
        <w:rPr>
          <w:spacing w:val="1"/>
        </w:rPr>
        <w:t> </w:t>
      </w:r>
      <w:r>
        <w:rPr/>
        <w:t>the</w:t>
      </w:r>
      <w:r>
        <w:rPr>
          <w:spacing w:val="-4"/>
        </w:rPr>
        <w:t> </w:t>
      </w:r>
      <w:r>
        <w:rPr/>
        <w:t>size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complexity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its</w:t>
      </w:r>
      <w:r>
        <w:rPr>
          <w:spacing w:val="-4"/>
        </w:rPr>
        <w:t> </w:t>
      </w:r>
      <w:r>
        <w:rPr/>
        <w:t>business,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cost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available</w:t>
      </w:r>
      <w:r>
        <w:rPr>
          <w:spacing w:val="-4"/>
        </w:rPr>
        <w:t> </w:t>
      </w:r>
      <w:r>
        <w:rPr/>
        <w:t>tools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improve</w:t>
      </w:r>
      <w:r>
        <w:rPr>
          <w:spacing w:val="-4"/>
        </w:rPr>
        <w:t> </w:t>
      </w:r>
      <w:r>
        <w:rPr/>
        <w:t>security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reduce</w:t>
      </w:r>
      <w:r>
        <w:rPr>
          <w:spacing w:val="-4"/>
        </w:rPr>
        <w:t> </w:t>
      </w:r>
      <w:r>
        <w:rPr/>
        <w:t>vulnerabilities.</w:t>
      </w:r>
      <w:r>
        <w:rPr>
          <w:spacing w:val="1"/>
        </w:rPr>
        <w:t> </w:t>
      </w:r>
      <w:r>
        <w:rPr/>
        <w:t>Individually</w:t>
      </w:r>
      <w:r>
        <w:rPr>
          <w:spacing w:val="-2"/>
        </w:rPr>
        <w:t> </w:t>
      </w:r>
      <w:r>
        <w:rPr/>
        <w:t>identifiable</w:t>
      </w:r>
      <w:r>
        <w:rPr>
          <w:spacing w:val="-2"/>
        </w:rPr>
        <w:t> </w:t>
      </w:r>
      <w:r>
        <w:rPr/>
        <w:t>health</w:t>
      </w:r>
      <w:r>
        <w:rPr>
          <w:spacing w:val="-2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considered</w:t>
      </w:r>
      <w:r>
        <w:rPr>
          <w:spacing w:val="-1"/>
        </w:rPr>
        <w:t> </w:t>
      </w:r>
      <w:r>
        <w:rPr/>
        <w:t>sensitive</w:t>
      </w:r>
      <w:r>
        <w:rPr>
          <w:spacing w:val="-3"/>
        </w:rPr>
        <w:t> </w:t>
      </w:r>
      <w:r>
        <w:rPr/>
        <w:t>data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merits</w:t>
      </w:r>
      <w:r>
        <w:rPr>
          <w:spacing w:val="-2"/>
        </w:rPr>
        <w:t> </w:t>
      </w:r>
      <w:r>
        <w:rPr/>
        <w:t>stronger</w:t>
      </w:r>
      <w:r>
        <w:rPr>
          <w:spacing w:val="-2"/>
        </w:rPr>
        <w:t> </w:t>
      </w:r>
      <w:r>
        <w:rPr/>
        <w:t>safeguards.</w:t>
      </w:r>
    </w:p>
    <w:p>
      <w:pPr>
        <w:pStyle w:val="BodyText"/>
        <w:spacing w:line="249" w:lineRule="auto" w:before="185"/>
        <w:ind w:right="240"/>
      </w:pPr>
      <w:r>
        <w:rPr/>
        <w:t>In</w:t>
      </w:r>
      <w:r>
        <w:rPr>
          <w:spacing w:val="-3"/>
        </w:rPr>
        <w:t> </w:t>
      </w:r>
      <w:r>
        <w:rPr/>
        <w:t>addition,</w:t>
      </w:r>
      <w:r>
        <w:rPr>
          <w:spacing w:val="-3"/>
        </w:rPr>
        <w:t> </w:t>
      </w:r>
      <w:r>
        <w:rPr/>
        <w:t>certain</w:t>
      </w:r>
      <w:r>
        <w:rPr>
          <w:spacing w:val="-3"/>
        </w:rPr>
        <w:t> </w:t>
      </w:r>
      <w:r>
        <w:rPr/>
        <w:t>state</w:t>
      </w:r>
      <w:r>
        <w:rPr>
          <w:spacing w:val="-4"/>
        </w:rPr>
        <w:t> </w:t>
      </w:r>
      <w:r>
        <w:rPr/>
        <w:t>laws</w:t>
      </w:r>
      <w:r>
        <w:rPr>
          <w:spacing w:val="-4"/>
        </w:rPr>
        <w:t> </w:t>
      </w:r>
      <w:r>
        <w:rPr/>
        <w:t>govern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privacy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security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health-related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personal</w:t>
      </w:r>
      <w:r>
        <w:rPr>
          <w:spacing w:val="-4"/>
        </w:rPr>
        <w:t> </w:t>
      </w:r>
      <w:r>
        <w:rPr/>
        <w:t>information</w:t>
      </w:r>
      <w:r>
        <w:rPr>
          <w:spacing w:val="-47"/>
        </w:rPr>
        <w:t> </w:t>
      </w:r>
      <w:r>
        <w:rPr/>
        <w:t>in</w:t>
      </w:r>
      <w:r>
        <w:rPr>
          <w:spacing w:val="-3"/>
        </w:rPr>
        <w:t> </w:t>
      </w:r>
      <w:r>
        <w:rPr/>
        <w:t>certain</w:t>
      </w:r>
      <w:r>
        <w:rPr>
          <w:spacing w:val="-2"/>
        </w:rPr>
        <w:t> </w:t>
      </w:r>
      <w:r>
        <w:rPr/>
        <w:t>circumstances,</w:t>
      </w:r>
      <w:r>
        <w:rPr>
          <w:spacing w:val="-3"/>
        </w:rPr>
        <w:t> </w:t>
      </w:r>
      <w:r>
        <w:rPr/>
        <w:t>some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more</w:t>
      </w:r>
      <w:r>
        <w:rPr>
          <w:spacing w:val="-4"/>
        </w:rPr>
        <w:t> </w:t>
      </w:r>
      <w:r>
        <w:rPr/>
        <w:t>stringent,</w:t>
      </w:r>
      <w:r>
        <w:rPr>
          <w:spacing w:val="-2"/>
        </w:rPr>
        <w:t> </w:t>
      </w:r>
      <w:r>
        <w:rPr/>
        <w:t>broader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scope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offer</w:t>
      </w:r>
      <w:r>
        <w:rPr>
          <w:spacing w:val="-3"/>
        </w:rPr>
        <w:t> </w:t>
      </w:r>
      <w:r>
        <w:rPr/>
        <w:t>greater</w:t>
      </w:r>
      <w:r>
        <w:rPr>
          <w:spacing w:val="-2"/>
        </w:rPr>
        <w:t> </w:t>
      </w:r>
      <w:r>
        <w:rPr/>
        <w:t>individual</w:t>
      </w:r>
      <w:r>
        <w:rPr>
          <w:spacing w:val="-3"/>
        </w:rPr>
        <w:t> </w:t>
      </w:r>
      <w:r>
        <w:rPr/>
        <w:t>rights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  <w:ind w:right="141" w:firstLine="0"/>
      </w:pPr>
      <w:r>
        <w:rPr/>
        <w:t>with respect to protected health information than HIPAA, many of which may differ from each other, thus,</w:t>
      </w:r>
      <w:r>
        <w:rPr>
          <w:spacing w:val="1"/>
        </w:rPr>
        <w:t> </w:t>
      </w:r>
      <w:r>
        <w:rPr/>
        <w:t>complicating</w:t>
      </w:r>
      <w:r>
        <w:rPr>
          <w:spacing w:val="-4"/>
        </w:rPr>
        <w:t> </w:t>
      </w:r>
      <w:r>
        <w:rPr/>
        <w:t>compliance</w:t>
      </w:r>
      <w:r>
        <w:rPr>
          <w:spacing w:val="-4"/>
        </w:rPr>
        <w:t> </w:t>
      </w:r>
      <w:r>
        <w:rPr/>
        <w:t>efforts.</w:t>
      </w:r>
      <w:r>
        <w:rPr>
          <w:spacing w:val="-3"/>
        </w:rPr>
        <w:t> </w:t>
      </w:r>
      <w:r>
        <w:rPr/>
        <w:t>Failure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comply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these</w:t>
      </w:r>
      <w:r>
        <w:rPr>
          <w:spacing w:val="-4"/>
        </w:rPr>
        <w:t> </w:t>
      </w:r>
      <w:r>
        <w:rPr/>
        <w:t>laws,</w:t>
      </w:r>
      <w:r>
        <w:rPr>
          <w:spacing w:val="-4"/>
        </w:rPr>
        <w:t> </w:t>
      </w:r>
      <w:r>
        <w:rPr/>
        <w:t>where</w:t>
      </w:r>
      <w:r>
        <w:rPr>
          <w:spacing w:val="-4"/>
        </w:rPr>
        <w:t> </w:t>
      </w:r>
      <w:r>
        <w:rPr/>
        <w:t>applicable,</w:t>
      </w:r>
      <w:r>
        <w:rPr>
          <w:spacing w:val="-3"/>
        </w:rPr>
        <w:t> </w:t>
      </w:r>
      <w:r>
        <w:rPr/>
        <w:t>can</w:t>
      </w:r>
      <w:r>
        <w:rPr>
          <w:spacing w:val="-4"/>
        </w:rPr>
        <w:t> </w:t>
      </w:r>
      <w:r>
        <w:rPr/>
        <w:t>result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imposition</w:t>
      </w:r>
      <w:r>
        <w:rPr>
          <w:spacing w:val="-4"/>
        </w:rPr>
        <w:t> </w:t>
      </w:r>
      <w:r>
        <w:rPr/>
        <w:t>of</w:t>
      </w:r>
      <w:r>
        <w:rPr>
          <w:spacing w:val="1"/>
        </w:rPr>
        <w:t> </w:t>
      </w:r>
      <w:r>
        <w:rPr/>
        <w:t>significant civil and/or criminal penalties and private litigation. For example, California recently enacted the</w:t>
      </w:r>
      <w:r>
        <w:rPr>
          <w:spacing w:val="1"/>
        </w:rPr>
        <w:t> </w:t>
      </w:r>
      <w:r>
        <w:rPr/>
        <w:t>California Consumer Privacy Act, or CCPA, which creates new individual privacy rights for California consumers</w:t>
      </w:r>
      <w:r>
        <w:rPr>
          <w:spacing w:val="1"/>
        </w:rPr>
        <w:t> </w:t>
      </w:r>
      <w:r>
        <w:rPr/>
        <w:t>(as defined in the law), including the right to opt out of certain disclosures of their information, and places increased</w:t>
      </w:r>
      <w:r>
        <w:rPr>
          <w:spacing w:val="-47"/>
        </w:rPr>
        <w:t> </w:t>
      </w:r>
      <w:r>
        <w:rPr/>
        <w:t>privacy and security obligations on entities handling certain personal data of consumers or households and may</w:t>
      </w:r>
      <w:r>
        <w:rPr>
          <w:spacing w:val="1"/>
        </w:rPr>
        <w:t> </w:t>
      </w:r>
      <w:r>
        <w:rPr/>
        <w:t>apply to us in the future. The CCPA also creates a private right of action with statutory damages for certain data</w:t>
      </w:r>
      <w:r>
        <w:rPr>
          <w:spacing w:val="1"/>
        </w:rPr>
        <w:t> </w:t>
      </w:r>
      <w:r>
        <w:rPr/>
        <w:t>breaches, thereby potentially increasing risks associated with a data breach. Further, the California Privacy Rights</w:t>
      </w:r>
      <w:r>
        <w:rPr>
          <w:spacing w:val="1"/>
        </w:rPr>
        <w:t> </w:t>
      </w:r>
      <w:r>
        <w:rPr/>
        <w:t>Act, or CPRA, recently passed in California. The CPRA will impose additional data protection obligations on</w:t>
      </w:r>
      <w:r>
        <w:rPr>
          <w:spacing w:val="1"/>
        </w:rPr>
        <w:t> </w:t>
      </w:r>
      <w:r>
        <w:rPr/>
        <w:t>covered</w:t>
      </w:r>
      <w:r>
        <w:rPr>
          <w:spacing w:val="-4"/>
        </w:rPr>
        <w:t> </w:t>
      </w:r>
      <w:r>
        <w:rPr/>
        <w:t>businesses,</w:t>
      </w:r>
      <w:r>
        <w:rPr>
          <w:spacing w:val="-4"/>
        </w:rPr>
        <w:t> </w:t>
      </w:r>
      <w:r>
        <w:rPr/>
        <w:t>including</w:t>
      </w:r>
      <w:r>
        <w:rPr>
          <w:spacing w:val="-4"/>
        </w:rPr>
        <w:t> </w:t>
      </w:r>
      <w:r>
        <w:rPr/>
        <w:t>additional</w:t>
      </w:r>
      <w:r>
        <w:rPr>
          <w:spacing w:val="-5"/>
        </w:rPr>
        <w:t> </w:t>
      </w:r>
      <w:r>
        <w:rPr/>
        <w:t>consumer</w:t>
      </w:r>
      <w:r>
        <w:rPr>
          <w:spacing w:val="-3"/>
        </w:rPr>
        <w:t> </w:t>
      </w:r>
      <w:r>
        <w:rPr/>
        <w:t>rights</w:t>
      </w:r>
      <w:r>
        <w:rPr>
          <w:spacing w:val="-5"/>
        </w:rPr>
        <w:t> </w:t>
      </w:r>
      <w:r>
        <w:rPr/>
        <w:t>processes,</w:t>
      </w:r>
      <w:r>
        <w:rPr>
          <w:spacing w:val="-4"/>
        </w:rPr>
        <w:t> </w:t>
      </w:r>
      <w:r>
        <w:rPr/>
        <w:t>limitations</w:t>
      </w:r>
      <w:r>
        <w:rPr>
          <w:spacing w:val="-5"/>
        </w:rPr>
        <w:t> </w:t>
      </w:r>
      <w:r>
        <w:rPr/>
        <w:t>on</w:t>
      </w:r>
      <w:r>
        <w:rPr>
          <w:spacing w:val="-3"/>
        </w:rPr>
        <w:t> </w:t>
      </w:r>
      <w:r>
        <w:rPr/>
        <w:t>data</w:t>
      </w:r>
      <w:r>
        <w:rPr>
          <w:spacing w:val="-5"/>
        </w:rPr>
        <w:t> </w:t>
      </w:r>
      <w:r>
        <w:rPr/>
        <w:t>uses,</w:t>
      </w:r>
      <w:r>
        <w:rPr>
          <w:spacing w:val="-4"/>
        </w:rPr>
        <w:t> </w:t>
      </w:r>
      <w:r>
        <w:rPr/>
        <w:t>new</w:t>
      </w:r>
      <w:r>
        <w:rPr>
          <w:spacing w:val="-5"/>
        </w:rPr>
        <w:t> </w:t>
      </w:r>
      <w:r>
        <w:rPr/>
        <w:t>audit</w:t>
      </w:r>
      <w:r>
        <w:rPr>
          <w:spacing w:val="-4"/>
        </w:rPr>
        <w:t> </w:t>
      </w:r>
      <w:r>
        <w:rPr/>
        <w:t>requirements</w:t>
      </w:r>
      <w:r>
        <w:rPr>
          <w:spacing w:val="1"/>
        </w:rPr>
        <w:t> </w:t>
      </w:r>
      <w:r>
        <w:rPr/>
        <w:t>for higher risk data, and opt outs for certain uses of sensitive data. It will also create a new California data protection</w:t>
      </w:r>
      <w:r>
        <w:rPr>
          <w:spacing w:val="-47"/>
        </w:rPr>
        <w:t> </w:t>
      </w:r>
      <w:r>
        <w:rPr/>
        <w:t>agency authorized to issue substantive regulations and could result in increased privacy and information security</w:t>
      </w:r>
      <w:r>
        <w:rPr>
          <w:spacing w:val="1"/>
        </w:rPr>
        <w:t> </w:t>
      </w:r>
      <w:r>
        <w:rPr/>
        <w:t>enforcement. The majority of the provisions will go into effect on January 1, 2023, and additional compliance</w:t>
      </w:r>
      <w:r>
        <w:rPr>
          <w:spacing w:val="1"/>
        </w:rPr>
        <w:t> </w:t>
      </w:r>
      <w:r>
        <w:rPr/>
        <w:t>investment and</w:t>
      </w:r>
      <w:r>
        <w:rPr>
          <w:spacing w:val="1"/>
        </w:rPr>
        <w:t> </w:t>
      </w:r>
      <w:r>
        <w:rPr/>
        <w:t>potential business process changes may</w:t>
      </w:r>
      <w:r>
        <w:rPr>
          <w:spacing w:val="1"/>
        </w:rPr>
        <w:t> </w:t>
      </w:r>
      <w:r>
        <w:rPr/>
        <w:t>be required.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CCPA and</w:t>
      </w:r>
      <w:r>
        <w:rPr>
          <w:spacing w:val="1"/>
        </w:rPr>
        <w:t> </w:t>
      </w:r>
      <w:r>
        <w:rPr/>
        <w:t>CPRA could</w:t>
      </w:r>
      <w:r>
        <w:rPr>
          <w:spacing w:val="1"/>
        </w:rPr>
        <w:t> </w:t>
      </w:r>
      <w:r>
        <w:rPr/>
        <w:t>mark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beginning of a trend toward more stringent privacy legislation in the United States, as other states or the federal</w:t>
      </w:r>
      <w:r>
        <w:rPr>
          <w:spacing w:val="1"/>
        </w:rPr>
        <w:t> </w:t>
      </w:r>
      <w:r>
        <w:rPr/>
        <w:t>government may follow California's lead and increase protections for U.S. residents. For example, on March 2,</w:t>
      </w:r>
      <w:r>
        <w:rPr>
          <w:spacing w:val="1"/>
        </w:rPr>
        <w:t> </w:t>
      </w:r>
      <w:r>
        <w:rPr/>
        <w:t>2021,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Virginia</w:t>
      </w:r>
      <w:r>
        <w:rPr>
          <w:spacing w:val="-3"/>
        </w:rPr>
        <w:t> </w:t>
      </w:r>
      <w:r>
        <w:rPr/>
        <w:t>Consumer</w:t>
      </w:r>
      <w:r>
        <w:rPr>
          <w:spacing w:val="-2"/>
        </w:rPr>
        <w:t> </w:t>
      </w:r>
      <w:r>
        <w:rPr/>
        <w:t>Data</w:t>
      </w:r>
      <w:r>
        <w:rPr>
          <w:spacing w:val="-3"/>
        </w:rPr>
        <w:t> </w:t>
      </w:r>
      <w:r>
        <w:rPr/>
        <w:t>Protection</w:t>
      </w:r>
      <w:r>
        <w:rPr>
          <w:spacing w:val="-2"/>
        </w:rPr>
        <w:t> </w:t>
      </w:r>
      <w:r>
        <w:rPr/>
        <w:t>Act,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/>
        <w:t>take</w:t>
      </w:r>
      <w:r>
        <w:rPr>
          <w:spacing w:val="-3"/>
        </w:rPr>
        <w:t> </w:t>
      </w:r>
      <w:r>
        <w:rPr/>
        <w:t>effect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January</w:t>
      </w:r>
      <w:r>
        <w:rPr>
          <w:spacing w:val="-2"/>
        </w:rPr>
        <w:t> </w:t>
      </w:r>
      <w:r>
        <w:rPr/>
        <w:t>1,</w:t>
      </w:r>
      <w:r>
        <w:rPr>
          <w:spacing w:val="-2"/>
        </w:rPr>
        <w:t> </w:t>
      </w:r>
      <w:r>
        <w:rPr/>
        <w:t>2023,</w:t>
      </w:r>
      <w:r>
        <w:rPr>
          <w:spacing w:val="-2"/>
        </w:rPr>
        <w:t> </w:t>
      </w:r>
      <w:r>
        <w:rPr/>
        <w:t>was</w:t>
      </w:r>
      <w:r>
        <w:rPr>
          <w:spacing w:val="-3"/>
        </w:rPr>
        <w:t> </w:t>
      </w:r>
      <w:r>
        <w:rPr/>
        <w:t>signed</w:t>
      </w:r>
      <w:r>
        <w:rPr>
          <w:spacing w:val="-2"/>
        </w:rPr>
        <w:t> </w:t>
      </w:r>
      <w:r>
        <w:rPr/>
        <w:t>into</w:t>
      </w:r>
      <w:r>
        <w:rPr>
          <w:spacing w:val="-2"/>
        </w:rPr>
        <w:t> </w:t>
      </w:r>
      <w:r>
        <w:rPr/>
        <w:t>law.</w:t>
      </w:r>
    </w:p>
    <w:p>
      <w:pPr>
        <w:pStyle w:val="BodyText"/>
        <w:spacing w:line="249" w:lineRule="auto" w:before="14"/>
        <w:ind w:firstLine="0"/>
      </w:pPr>
      <w:r>
        <w:rPr/>
        <w:t>The</w:t>
      </w:r>
      <w:r>
        <w:rPr>
          <w:spacing w:val="-4"/>
        </w:rPr>
        <w:t> </w:t>
      </w:r>
      <w:r>
        <w:rPr/>
        <w:t>CCPA</w:t>
      </w:r>
      <w:r>
        <w:rPr>
          <w:spacing w:val="-3"/>
        </w:rPr>
        <w:t> </w:t>
      </w:r>
      <w:r>
        <w:rPr/>
        <w:t>has</w:t>
      </w:r>
      <w:r>
        <w:rPr>
          <w:spacing w:val="-4"/>
        </w:rPr>
        <w:t> </w:t>
      </w:r>
      <w:r>
        <w:rPr/>
        <w:t>already</w:t>
      </w:r>
      <w:r>
        <w:rPr>
          <w:spacing w:val="-2"/>
        </w:rPr>
        <w:t> </w:t>
      </w:r>
      <w:r>
        <w:rPr/>
        <w:t>prompted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proposals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new</w:t>
      </w:r>
      <w:r>
        <w:rPr>
          <w:spacing w:val="-4"/>
        </w:rPr>
        <w:t> </w:t>
      </w:r>
      <w:r>
        <w:rPr/>
        <w:t>federal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state</w:t>
      </w:r>
      <w:r>
        <w:rPr>
          <w:spacing w:val="-4"/>
        </w:rPr>
        <w:t> </w:t>
      </w:r>
      <w:r>
        <w:rPr/>
        <w:t>privacy</w:t>
      </w:r>
      <w:r>
        <w:rPr>
          <w:spacing w:val="-2"/>
        </w:rPr>
        <w:t> </w:t>
      </w:r>
      <w:r>
        <w:rPr/>
        <w:t>legislation</w:t>
      </w:r>
      <w:r>
        <w:rPr>
          <w:spacing w:val="-2"/>
        </w:rPr>
        <w:t> </w:t>
      </w:r>
      <w:r>
        <w:rPr/>
        <w:t>that,</w:t>
      </w:r>
      <w:r>
        <w:rPr>
          <w:spacing w:val="-3"/>
        </w:rPr>
        <w:t> </w:t>
      </w:r>
      <w:r>
        <w:rPr/>
        <w:t>if</w:t>
      </w:r>
      <w:r>
        <w:rPr>
          <w:spacing w:val="-2"/>
        </w:rPr>
        <w:t> </w:t>
      </w:r>
      <w:r>
        <w:rPr/>
        <w:t>passed,</w:t>
      </w:r>
      <w:r>
        <w:rPr>
          <w:spacing w:val="-47"/>
        </w:rPr>
        <w:t> </w:t>
      </w:r>
      <w:r>
        <w:rPr/>
        <w:t>could increase our potential liability, add layers of complexity to compliance in the U.S. market, increase its</w:t>
      </w:r>
      <w:r>
        <w:rPr>
          <w:spacing w:val="1"/>
        </w:rPr>
        <w:t> </w:t>
      </w:r>
      <w:r>
        <w:rPr/>
        <w:t>compliance</w:t>
      </w:r>
      <w:r>
        <w:rPr>
          <w:spacing w:val="-2"/>
        </w:rPr>
        <w:t> </w:t>
      </w:r>
      <w:r>
        <w:rPr/>
        <w:t>costs</w:t>
      </w:r>
      <w:r>
        <w:rPr>
          <w:spacing w:val="-1"/>
        </w:rPr>
        <w:t> </w:t>
      </w:r>
      <w:r>
        <w:rPr/>
        <w:t>and adversely affect</w:t>
      </w:r>
      <w:r>
        <w:rPr>
          <w:spacing w:val="-2"/>
        </w:rPr>
        <w:t> </w:t>
      </w:r>
      <w:r>
        <w:rPr/>
        <w:t>its</w:t>
      </w:r>
      <w:r>
        <w:rPr>
          <w:spacing w:val="-1"/>
        </w:rPr>
        <w:t> </w:t>
      </w:r>
      <w:r>
        <w:rPr/>
        <w:t>business.</w:t>
      </w:r>
    </w:p>
    <w:p>
      <w:pPr>
        <w:pStyle w:val="BodyText"/>
        <w:spacing w:line="249" w:lineRule="auto" w:before="182"/>
        <w:ind w:right="212"/>
      </w:pPr>
      <w:r>
        <w:rPr/>
        <w:t>Foreign data protection laws, including the General Data Protection Regulation, or GDPR, which went into</w:t>
      </w:r>
      <w:r>
        <w:rPr>
          <w:spacing w:val="1"/>
        </w:rPr>
        <w:t> </w:t>
      </w:r>
      <w:r>
        <w:rPr/>
        <w:t>effect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2018,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also</w:t>
      </w:r>
      <w:r>
        <w:rPr>
          <w:spacing w:val="-2"/>
        </w:rPr>
        <w:t> </w:t>
      </w:r>
      <w:r>
        <w:rPr/>
        <w:t>apply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processing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health-related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other</w:t>
      </w:r>
      <w:r>
        <w:rPr>
          <w:spacing w:val="-3"/>
        </w:rPr>
        <w:t> </w:t>
      </w:r>
      <w:r>
        <w:rPr/>
        <w:t>personal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regardless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where</w:t>
      </w:r>
      <w:r>
        <w:rPr>
          <w:spacing w:val="-47"/>
        </w:rPr>
        <w:t> </w:t>
      </w:r>
      <w:r>
        <w:rPr/>
        <w:t>the</w:t>
      </w:r>
      <w:r>
        <w:rPr>
          <w:spacing w:val="-2"/>
        </w:rPr>
        <w:t> </w:t>
      </w:r>
      <w:r>
        <w:rPr/>
        <w:t>processing in question is</w:t>
      </w:r>
      <w:r>
        <w:rPr>
          <w:spacing w:val="-1"/>
        </w:rPr>
        <w:t> </w:t>
      </w:r>
      <w:r>
        <w:rPr/>
        <w:t>carried out.</w:t>
      </w:r>
    </w:p>
    <w:p>
      <w:pPr>
        <w:pStyle w:val="BodyText"/>
        <w:spacing w:line="249" w:lineRule="auto" w:before="182"/>
        <w:ind w:right="133"/>
      </w:pPr>
      <w:r>
        <w:rPr/>
        <w:t>The GDPR imposes stringent requirements for controllers and processors of personal data of individuals within</w:t>
      </w:r>
      <w:r>
        <w:rPr>
          <w:spacing w:val="1"/>
        </w:rPr>
        <w:t> </w:t>
      </w:r>
      <w:r>
        <w:rPr/>
        <w:t>the European</w:t>
      </w:r>
      <w:r>
        <w:rPr>
          <w:spacing w:val="1"/>
        </w:rPr>
        <w:t> </w:t>
      </w:r>
      <w:r>
        <w:rPr/>
        <w:t>Economic Area,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EEA.</w:t>
      </w:r>
      <w:r>
        <w:rPr>
          <w:spacing w:val="1"/>
        </w:rPr>
        <w:t> </w:t>
      </w:r>
      <w:r>
        <w:rPr/>
        <w:t>The GDPR applies to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company</w:t>
      </w:r>
      <w:r>
        <w:rPr>
          <w:spacing w:val="1"/>
        </w:rPr>
        <w:t> </w:t>
      </w:r>
      <w:r>
        <w:rPr/>
        <w:t>established</w:t>
      </w:r>
      <w:r>
        <w:rPr>
          <w:spacing w:val="2"/>
        </w:rPr>
        <w:t> </w:t>
      </w:r>
      <w:r>
        <w:rPr/>
        <w:t>in</w:t>
      </w:r>
      <w:r>
        <w:rPr>
          <w:spacing w:val="1"/>
        </w:rPr>
        <w:t> </w:t>
      </w:r>
      <w:r>
        <w:rPr/>
        <w:t>the EEA as well as to</w:t>
      </w:r>
      <w:r>
        <w:rPr>
          <w:spacing w:val="1"/>
        </w:rPr>
        <w:t> </w:t>
      </w:r>
      <w:r>
        <w:rPr/>
        <w:t>those outside the EEA if they collect, process, and use personal data in connection with the offering of goods or</w:t>
      </w:r>
      <w:r>
        <w:rPr>
          <w:spacing w:val="1"/>
        </w:rPr>
        <w:t> </w:t>
      </w:r>
      <w:r>
        <w:rPr/>
        <w:t>services to individuals in the EEA or the monitoring of their behavior. The GDPR, together with national legislation,</w:t>
      </w:r>
      <w:r>
        <w:rPr>
          <w:spacing w:val="-47"/>
        </w:rPr>
        <w:t> </w:t>
      </w:r>
      <w:r>
        <w:rPr/>
        <w:t>regulations and guidelines of the EEA Member States and the United Kingdom, or UK, governing the processing of</w:t>
      </w:r>
      <w:r>
        <w:rPr>
          <w:spacing w:val="1"/>
        </w:rPr>
        <w:t> </w:t>
      </w:r>
      <w:r>
        <w:rPr/>
        <w:t>personal data, impose strict obligations and restrictions on the ability to collect, analyze and transfer personal data,</w:t>
      </w:r>
      <w:r>
        <w:rPr>
          <w:spacing w:val="1"/>
        </w:rPr>
        <w:t> </w:t>
      </w:r>
      <w:r>
        <w:rPr/>
        <w:t>including health data from clinical trials and adverse event reporting. In particular, these obligations and restrictions</w:t>
      </w:r>
      <w:r>
        <w:rPr>
          <w:spacing w:val="1"/>
        </w:rPr>
        <w:t> </w:t>
      </w:r>
      <w:r>
        <w:rPr/>
        <w:t>involve the consent of the individuals to whom the personal data relates, the information provided to the individuals,</w:t>
      </w:r>
      <w:r>
        <w:rPr>
          <w:spacing w:val="-47"/>
        </w:rPr>
        <w:t> </w:t>
      </w:r>
      <w:r>
        <w:rPr/>
        <w:t>the transfer of personal data out of the EEA or the UK to jurisdictions deemed to have inadequate, security breach</w:t>
      </w:r>
      <w:r>
        <w:rPr>
          <w:spacing w:val="1"/>
        </w:rPr>
        <w:t> </w:t>
      </w:r>
      <w:r>
        <w:rPr/>
        <w:t>notifications, security and confidentiality of the personal data and imposition of substantial potential fines for</w:t>
      </w:r>
      <w:r>
        <w:rPr>
          <w:spacing w:val="1"/>
        </w:rPr>
        <w:t> </w:t>
      </w:r>
      <w:r>
        <w:rPr/>
        <w:t>breaches of the data protection obligations. Companies that must comply with the GDPR face increased compliance</w:t>
      </w:r>
      <w:r>
        <w:rPr>
          <w:spacing w:val="1"/>
        </w:rPr>
        <w:t> </w:t>
      </w:r>
      <w:r>
        <w:rPr/>
        <w:t>obligations and risk, including more robust regulatory enforcement of data protection requirements and potential</w:t>
      </w:r>
      <w:r>
        <w:rPr>
          <w:spacing w:val="1"/>
        </w:rPr>
        <w:t> </w:t>
      </w:r>
      <w:r>
        <w:rPr/>
        <w:t>fines for noncompliance of up to €20 million or 4% of the annual global revenues of the noncompliant company,</w:t>
      </w:r>
      <w:r>
        <w:rPr>
          <w:spacing w:val="1"/>
        </w:rPr>
        <w:t> </w:t>
      </w:r>
      <w:r>
        <w:rPr/>
        <w:t>whichever is greater. Further, from January 1, 2021, companies have to comply with the GDPR and also the UK</w:t>
      </w:r>
      <w:r>
        <w:rPr>
          <w:spacing w:val="1"/>
        </w:rPr>
        <w:t> </w:t>
      </w:r>
      <w:r>
        <w:rPr/>
        <w:t>GDPR, which, together with the amended UK Data Protection Act 2018, retains the GDPR in UK national law. The</w:t>
      </w:r>
      <w:r>
        <w:rPr>
          <w:spacing w:val="1"/>
        </w:rPr>
        <w:t> </w:t>
      </w:r>
      <w:r>
        <w:rPr/>
        <w:t>UK GDPR mirrors the fines under the GDPR, e.g. fines up to the greater of €20 million (£17.5 million) or 4% of</w:t>
      </w:r>
      <w:r>
        <w:rPr>
          <w:spacing w:val="1"/>
        </w:rPr>
        <w:t> </w:t>
      </w:r>
      <w:r>
        <w:rPr/>
        <w:t>global turnover. The relationship between the UK and the European Union in relation to certain aspects of data</w:t>
      </w:r>
      <w:r>
        <w:rPr>
          <w:spacing w:val="1"/>
        </w:rPr>
        <w:t> </w:t>
      </w:r>
      <w:r>
        <w:rPr/>
        <w:t>protection law remains unclear, and it is unclear how UK data protection laws and regulations will develop in the</w:t>
      </w:r>
      <w:r>
        <w:rPr>
          <w:spacing w:val="1"/>
        </w:rPr>
        <w:t> </w:t>
      </w:r>
      <w:r>
        <w:rPr/>
        <w:t>medium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longer</w:t>
      </w:r>
      <w:r>
        <w:rPr>
          <w:spacing w:val="-2"/>
        </w:rPr>
        <w:t> </w:t>
      </w:r>
      <w:r>
        <w:rPr/>
        <w:t>term,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how</w:t>
      </w:r>
      <w:r>
        <w:rPr>
          <w:spacing w:val="-2"/>
        </w:rPr>
        <w:t> </w:t>
      </w:r>
      <w:r>
        <w:rPr/>
        <w:t>data</w:t>
      </w:r>
      <w:r>
        <w:rPr>
          <w:spacing w:val="-3"/>
        </w:rPr>
        <w:t> </w:t>
      </w:r>
      <w:r>
        <w:rPr/>
        <w:t>transfers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UK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regulated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long</w:t>
      </w:r>
      <w:r>
        <w:rPr>
          <w:spacing w:val="-2"/>
        </w:rPr>
        <w:t> </w:t>
      </w:r>
      <w:r>
        <w:rPr/>
        <w:t>term.</w:t>
      </w:r>
      <w:r>
        <w:rPr>
          <w:spacing w:val="-2"/>
        </w:rPr>
        <w:t> </w:t>
      </w:r>
      <w:r>
        <w:rPr/>
        <w:t>These</w:t>
      </w:r>
      <w:r>
        <w:rPr>
          <w:spacing w:val="-3"/>
        </w:rPr>
        <w:t> </w:t>
      </w:r>
      <w:r>
        <w:rPr/>
        <w:t>changes</w:t>
      </w:r>
      <w:r>
        <w:rPr>
          <w:spacing w:val="-47"/>
        </w:rPr>
        <w:t> </w:t>
      </w:r>
      <w:r>
        <w:rPr/>
        <w:t>will lead to additional costs and increase our overall risk exposure. Currently there is a four to six-month grace</w:t>
      </w:r>
      <w:r>
        <w:rPr>
          <w:spacing w:val="1"/>
        </w:rPr>
        <w:t> </w:t>
      </w:r>
      <w:r>
        <w:rPr/>
        <w:t>period</w:t>
      </w:r>
      <w:r>
        <w:rPr>
          <w:spacing w:val="-2"/>
        </w:rPr>
        <w:t> </w:t>
      </w:r>
      <w:r>
        <w:rPr/>
        <w:t>agreed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EU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UK</w:t>
      </w:r>
      <w:r>
        <w:rPr>
          <w:spacing w:val="-3"/>
        </w:rPr>
        <w:t> </w:t>
      </w:r>
      <w:r>
        <w:rPr/>
        <w:t>Trade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Cooperation</w:t>
      </w:r>
      <w:r>
        <w:rPr>
          <w:spacing w:val="-2"/>
        </w:rPr>
        <w:t> </w:t>
      </w:r>
      <w:r>
        <w:rPr/>
        <w:t>Agreement,</w:t>
      </w:r>
      <w:r>
        <w:rPr>
          <w:spacing w:val="-2"/>
        </w:rPr>
        <w:t> </w:t>
      </w:r>
      <w:r>
        <w:rPr/>
        <w:t>ending</w:t>
      </w:r>
      <w:r>
        <w:rPr>
          <w:spacing w:val="-2"/>
        </w:rPr>
        <w:t> </w:t>
      </w:r>
      <w:r>
        <w:rPr/>
        <w:t>June</w:t>
      </w:r>
      <w:r>
        <w:rPr>
          <w:spacing w:val="-3"/>
        </w:rPr>
        <w:t> </w:t>
      </w:r>
      <w:r>
        <w:rPr/>
        <w:t>30,</w:t>
      </w:r>
      <w:r>
        <w:rPr>
          <w:spacing w:val="-2"/>
        </w:rPr>
        <w:t> </w:t>
      </w:r>
      <w:r>
        <w:rPr/>
        <w:t>2021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latest,</w:t>
      </w:r>
      <w:r>
        <w:rPr>
          <w:spacing w:val="-2"/>
        </w:rPr>
        <w:t> </w:t>
      </w:r>
      <w:r>
        <w:rPr/>
        <w:t>during</w:t>
      </w:r>
      <w:r>
        <w:rPr>
          <w:spacing w:val="-2"/>
        </w:rPr>
        <w:t> </w:t>
      </w:r>
      <w:r>
        <w:rPr/>
        <w:t>which</w:t>
      </w:r>
      <w:r>
        <w:rPr>
          <w:spacing w:val="-47"/>
        </w:rPr>
        <w:t> </w:t>
      </w:r>
      <w:r>
        <w:rPr/>
        <w:t>time the parties discuss an adequacy decision. The European Commission published a draft adequacy decision on</w:t>
      </w:r>
      <w:r>
        <w:rPr>
          <w:spacing w:val="1"/>
        </w:rPr>
        <w:t> </w:t>
      </w:r>
      <w:r>
        <w:rPr/>
        <w:t>February 19, 2021. If adopted, the decision will enable data transfers from EU Member States to the UK for a four-</w:t>
      </w:r>
      <w:r>
        <w:rPr>
          <w:spacing w:val="1"/>
        </w:rPr>
        <w:t> </w:t>
      </w:r>
      <w:r>
        <w:rPr/>
        <w:t>year</w:t>
      </w:r>
      <w:r>
        <w:rPr>
          <w:spacing w:val="-1"/>
        </w:rPr>
        <w:t> </w:t>
      </w:r>
      <w:r>
        <w:rPr/>
        <w:t>period, subject</w:t>
      </w:r>
      <w:r>
        <w:rPr>
          <w:spacing w:val="-1"/>
        </w:rPr>
        <w:t> </w:t>
      </w:r>
      <w:r>
        <w:rPr/>
        <w:t>to subsequent</w:t>
      </w:r>
      <w:r>
        <w:rPr>
          <w:spacing w:val="-1"/>
        </w:rPr>
        <w:t> </w:t>
      </w:r>
      <w:r>
        <w:rPr/>
        <w:t>extensions.</w:t>
      </w:r>
    </w:p>
    <w:p>
      <w:pPr>
        <w:pStyle w:val="BodyText"/>
        <w:spacing w:before="4"/>
        <w:ind w:left="0" w:firstLine="0"/>
        <w:rPr>
          <w:sz w:val="17"/>
        </w:rPr>
      </w:pPr>
    </w:p>
    <w:p>
      <w:pPr>
        <w:pStyle w:val="BodyText"/>
        <w:spacing w:line="249" w:lineRule="auto" w:before="1"/>
        <w:ind w:right="129"/>
      </w:pPr>
      <w:r>
        <w:rPr/>
        <w:t>Implementing mechanisms that endeavor to ensure compliance with the GDPR and relevant local legislation in</w:t>
      </w:r>
      <w:r>
        <w:rPr>
          <w:spacing w:val="1"/>
        </w:rPr>
        <w:t> </w:t>
      </w:r>
      <w:r>
        <w:rPr/>
        <w:t>EEA Member States and the UK may be onerous and may interrupt or delay our development activities, and</w:t>
      </w:r>
      <w:r>
        <w:rPr>
          <w:spacing w:val="1"/>
        </w:rPr>
        <w:t> </w:t>
      </w:r>
      <w:r>
        <w:rPr/>
        <w:t>adversely</w:t>
      </w:r>
      <w:r>
        <w:rPr>
          <w:spacing w:val="-3"/>
        </w:rPr>
        <w:t> </w:t>
      </w:r>
      <w:r>
        <w:rPr/>
        <w:t>affect</w:t>
      </w:r>
      <w:r>
        <w:rPr>
          <w:spacing w:val="-4"/>
        </w:rPr>
        <w:t> </w:t>
      </w:r>
      <w:r>
        <w:rPr/>
        <w:t>our</w:t>
      </w:r>
      <w:r>
        <w:rPr>
          <w:spacing w:val="-2"/>
        </w:rPr>
        <w:t> </w:t>
      </w:r>
      <w:r>
        <w:rPr/>
        <w:t>business,</w:t>
      </w:r>
      <w:r>
        <w:rPr>
          <w:spacing w:val="-3"/>
        </w:rPr>
        <w:t> </w:t>
      </w:r>
      <w:r>
        <w:rPr/>
        <w:t>financial</w:t>
      </w:r>
      <w:r>
        <w:rPr>
          <w:spacing w:val="-4"/>
        </w:rPr>
        <w:t> </w:t>
      </w:r>
      <w:r>
        <w:rPr/>
        <w:t>condition,</w:t>
      </w:r>
      <w:r>
        <w:rPr>
          <w:spacing w:val="-2"/>
        </w:rPr>
        <w:t> </w:t>
      </w:r>
      <w:r>
        <w:rPr/>
        <w:t>results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operations,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prospects.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addition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foregoing,</w:t>
      </w:r>
      <w:r>
        <w:rPr>
          <w:spacing w:val="-3"/>
        </w:rPr>
        <w:t> </w:t>
      </w:r>
      <w:r>
        <w:rPr/>
        <w:t>a</w:t>
      </w:r>
      <w:r>
        <w:rPr>
          <w:spacing w:val="-47"/>
        </w:rPr>
        <w:t> </w:t>
      </w:r>
      <w:r>
        <w:rPr/>
        <w:t>breach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GDPR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</w:t>
      </w:r>
      <w:r>
        <w:rPr/>
        <w:t>applicable</w:t>
      </w:r>
      <w:r>
        <w:rPr>
          <w:spacing w:val="-3"/>
        </w:rPr>
        <w:t> </w:t>
      </w:r>
      <w:r>
        <w:rPr/>
        <w:t>privacy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data</w:t>
      </w:r>
      <w:r>
        <w:rPr>
          <w:spacing w:val="-3"/>
        </w:rPr>
        <w:t> </w:t>
      </w:r>
      <w:r>
        <w:rPr/>
        <w:t>protection</w:t>
      </w:r>
      <w:r>
        <w:rPr>
          <w:spacing w:val="-2"/>
        </w:rPr>
        <w:t> </w:t>
      </w:r>
      <w:r>
        <w:rPr/>
        <w:t>laws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regulations</w:t>
      </w:r>
      <w:r>
        <w:rPr>
          <w:spacing w:val="-3"/>
        </w:rPr>
        <w:t> </w:t>
      </w:r>
      <w:r>
        <w:rPr/>
        <w:t>could</w:t>
      </w:r>
      <w:r>
        <w:rPr>
          <w:spacing w:val="-2"/>
        </w:rPr>
        <w:t> </w:t>
      </w:r>
      <w:r>
        <w:rPr/>
        <w:t>result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regulatory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  <w:ind w:right="180" w:firstLine="0"/>
      </w:pPr>
      <w:r>
        <w:rPr/>
        <w:t>investigations,</w:t>
      </w:r>
      <w:r>
        <w:rPr>
          <w:spacing w:val="-4"/>
        </w:rPr>
        <w:t> </w:t>
      </w:r>
      <w:r>
        <w:rPr/>
        <w:t>reputational</w:t>
      </w:r>
      <w:r>
        <w:rPr>
          <w:spacing w:val="-4"/>
        </w:rPr>
        <w:t> </w:t>
      </w:r>
      <w:r>
        <w:rPr/>
        <w:t>damage,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orders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cease/change</w:t>
      </w:r>
      <w:r>
        <w:rPr>
          <w:spacing w:val="-4"/>
        </w:rPr>
        <w:t> </w:t>
      </w:r>
      <w:r>
        <w:rPr/>
        <w:t>our</w:t>
      </w:r>
      <w:r>
        <w:rPr>
          <w:spacing w:val="-4"/>
        </w:rPr>
        <w:t> </w:t>
      </w:r>
      <w:r>
        <w:rPr/>
        <w:t>use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data,</w:t>
      </w:r>
      <w:r>
        <w:rPr>
          <w:spacing w:val="-4"/>
        </w:rPr>
        <w:t> </w:t>
      </w:r>
      <w:r>
        <w:rPr/>
        <w:t>enforcement</w:t>
      </w:r>
      <w:r>
        <w:rPr>
          <w:spacing w:val="-4"/>
        </w:rPr>
        <w:t> </w:t>
      </w:r>
      <w:r>
        <w:rPr/>
        <w:t>notices,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potential</w:t>
      </w:r>
      <w:r>
        <w:rPr>
          <w:spacing w:val="-47"/>
        </w:rPr>
        <w:t> </w:t>
      </w:r>
      <w:r>
        <w:rPr/>
        <w:t>civil claims including class action-type litigation. While we have taken steps to comply with the GDPR where</w:t>
      </w:r>
      <w:r>
        <w:rPr>
          <w:spacing w:val="1"/>
        </w:rPr>
        <w:t> </w:t>
      </w:r>
      <w:r>
        <w:rPr/>
        <w:t>applicable, including by reviewing our security procedures, and entering into data processing agreements with</w:t>
      </w:r>
      <w:r>
        <w:rPr>
          <w:spacing w:val="1"/>
        </w:rPr>
        <w:t> </w:t>
      </w:r>
      <w:r>
        <w:rPr/>
        <w:t>relevant</w:t>
      </w:r>
      <w:r>
        <w:rPr>
          <w:spacing w:val="-2"/>
        </w:rPr>
        <w:t> </w:t>
      </w:r>
      <w:r>
        <w:rPr/>
        <w:t>contractors,</w:t>
      </w:r>
      <w:r>
        <w:rPr>
          <w:spacing w:val="-1"/>
        </w:rPr>
        <w:t> </w:t>
      </w:r>
      <w:r>
        <w:rPr/>
        <w:t>our</w:t>
      </w:r>
      <w:r>
        <w:rPr>
          <w:spacing w:val="-1"/>
        </w:rPr>
        <w:t> </w:t>
      </w:r>
      <w:r>
        <w:rPr/>
        <w:t>efforts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achieve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remain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compliance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fully</w:t>
      </w:r>
      <w:r>
        <w:rPr>
          <w:spacing w:val="-1"/>
        </w:rPr>
        <w:t> </w:t>
      </w:r>
      <w:r>
        <w:rPr/>
        <w:t>successful.</w:t>
      </w:r>
    </w:p>
    <w:p>
      <w:pPr>
        <w:pStyle w:val="BodyText"/>
        <w:spacing w:line="249" w:lineRule="auto" w:before="183"/>
        <w:ind w:right="135"/>
      </w:pPr>
      <w:r>
        <w:rPr/>
        <w:t>Compliance with US, foreign, and local privacy and security laws, rules and regulations could require us to take</w:t>
      </w:r>
      <w:r>
        <w:rPr>
          <w:spacing w:val="-47"/>
        </w:rPr>
        <w:t> </w:t>
      </w:r>
      <w:r>
        <w:rPr/>
        <w:t>on more onerous obligations in our contracts, require us to engage in costly compliance exercises, restrict our ability</w:t>
      </w:r>
      <w:r>
        <w:rPr>
          <w:spacing w:val="-47"/>
        </w:rPr>
        <w:t> </w:t>
      </w:r>
      <w:r>
        <w:rPr/>
        <w:t>to collect, use and disclose data, or in some cases, impact our or our partners’ or suppliers’ ability to operate in</w:t>
      </w:r>
      <w:r>
        <w:rPr>
          <w:spacing w:val="1"/>
        </w:rPr>
        <w:t> </w:t>
      </w:r>
      <w:r>
        <w:rPr/>
        <w:t>certain jurisdictions. Each of these constantly evolving laws can be subject to varying interpretations. Failure to</w:t>
      </w:r>
      <w:r>
        <w:rPr>
          <w:spacing w:val="1"/>
        </w:rPr>
        <w:t> </w:t>
      </w:r>
      <w:r>
        <w:rPr/>
        <w:t>comply with US and foreign data protection laws and regulations could result in government investigations and</w:t>
      </w:r>
      <w:r>
        <w:rPr>
          <w:spacing w:val="1"/>
        </w:rPr>
        <w:t> </w:t>
      </w:r>
      <w:r>
        <w:rPr/>
        <w:t>enforcement actions (which could include civil or criminal penalties), fines, private litigation, and/or adverse</w:t>
      </w:r>
      <w:r>
        <w:rPr>
          <w:spacing w:val="1"/>
        </w:rPr>
        <w:t> </w:t>
      </w:r>
      <w:r>
        <w:rPr/>
        <w:t>publicity and could negatively affect our operating results and business. Moreover, patients about whom we or our</w:t>
      </w:r>
      <w:r>
        <w:rPr>
          <w:spacing w:val="1"/>
        </w:rPr>
        <w:t> </w:t>
      </w:r>
      <w:r>
        <w:rPr/>
        <w:t>partners obtain information, as well as the providers who share this information with us, may contractually limit our</w:t>
      </w:r>
      <w:r>
        <w:rPr>
          <w:spacing w:val="1"/>
        </w:rPr>
        <w:t> </w:t>
      </w: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use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disclose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information.</w:t>
      </w:r>
      <w:r>
        <w:rPr>
          <w:spacing w:val="-3"/>
        </w:rPr>
        <w:t> </w:t>
      </w:r>
      <w:r>
        <w:rPr/>
        <w:t>Claims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we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violated</w:t>
      </w:r>
      <w:r>
        <w:rPr>
          <w:spacing w:val="-3"/>
        </w:rPr>
        <w:t> </w:t>
      </w:r>
      <w:r>
        <w:rPr/>
        <w:t>individuals’</w:t>
      </w:r>
      <w:r>
        <w:rPr>
          <w:spacing w:val="-3"/>
        </w:rPr>
        <w:t> </w:t>
      </w:r>
      <w:r>
        <w:rPr/>
        <w:t>privacy</w:t>
      </w:r>
      <w:r>
        <w:rPr>
          <w:spacing w:val="-2"/>
        </w:rPr>
        <w:t> </w:t>
      </w:r>
      <w:r>
        <w:rPr/>
        <w:t>rights,</w:t>
      </w:r>
      <w:r>
        <w:rPr>
          <w:spacing w:val="-3"/>
        </w:rPr>
        <w:t> </w:t>
      </w:r>
      <w:r>
        <w:rPr/>
        <w:t>failed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comply</w:t>
      </w:r>
      <w:r>
        <w:rPr>
          <w:spacing w:val="1"/>
        </w:rPr>
        <w:t> </w:t>
      </w:r>
      <w:r>
        <w:rPr/>
        <w:t>with data protection laws, or breached our contractual obligations, even if we are not found liable, could be</w:t>
      </w:r>
      <w:r>
        <w:rPr>
          <w:spacing w:val="1"/>
        </w:rPr>
        <w:t> </w:t>
      </w:r>
      <w:r>
        <w:rPr/>
        <w:t>expensive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time-consuming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defend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could</w:t>
      </w:r>
      <w:r>
        <w:rPr>
          <w:spacing w:val="-1"/>
        </w:rPr>
        <w:t> </w:t>
      </w:r>
      <w:r>
        <w:rPr/>
        <w:t>result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adverse</w:t>
      </w:r>
      <w:r>
        <w:rPr>
          <w:spacing w:val="-2"/>
        </w:rPr>
        <w:t> </w:t>
      </w:r>
      <w:r>
        <w:rPr/>
        <w:t>publicity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could</w:t>
      </w:r>
      <w:r>
        <w:rPr>
          <w:spacing w:val="-1"/>
        </w:rPr>
        <w:t> </w:t>
      </w:r>
      <w:r>
        <w:rPr/>
        <w:t>harm</w:t>
      </w:r>
      <w:r>
        <w:rPr>
          <w:spacing w:val="-3"/>
        </w:rPr>
        <w:t> </w:t>
      </w:r>
      <w:r>
        <w:rPr/>
        <w:t>our</w:t>
      </w:r>
      <w:r>
        <w:rPr>
          <w:spacing w:val="-1"/>
        </w:rPr>
        <w:t> </w:t>
      </w:r>
      <w:r>
        <w:rPr/>
        <w:t>business.</w:t>
      </w:r>
    </w:p>
    <w:p>
      <w:pPr>
        <w:pStyle w:val="Heading3"/>
        <w:spacing w:line="249" w:lineRule="auto" w:before="186"/>
      </w:pPr>
      <w:r>
        <w:rPr>
          <w:i/>
        </w:rPr>
        <w:t>Natural</w:t>
      </w:r>
      <w:r>
        <w:rPr>
          <w:i/>
          <w:spacing w:val="-5"/>
        </w:rPr>
        <w:t> </w:t>
      </w:r>
      <w:r>
        <w:rPr>
          <w:i/>
        </w:rPr>
        <w:t>or</w:t>
      </w:r>
      <w:r>
        <w:rPr>
          <w:i/>
          <w:spacing w:val="-5"/>
        </w:rPr>
        <w:t> </w:t>
      </w:r>
      <w:r>
        <w:rPr>
          <w:i/>
        </w:rPr>
        <w:t>man-made</w:t>
      </w:r>
      <w:r>
        <w:rPr>
          <w:i/>
          <w:spacing w:val="-5"/>
        </w:rPr>
        <w:t> </w:t>
      </w:r>
      <w:r>
        <w:rPr>
          <w:i/>
        </w:rPr>
        <w:t>disasters</w:t>
      </w:r>
      <w:r>
        <w:rPr>
          <w:i/>
          <w:spacing w:val="-4"/>
        </w:rPr>
        <w:t> </w:t>
      </w:r>
      <w:r>
        <w:rPr>
          <w:i/>
        </w:rPr>
        <w:t>and</w:t>
      </w:r>
      <w:r>
        <w:rPr>
          <w:i/>
          <w:spacing w:val="-4"/>
        </w:rPr>
        <w:t> </w:t>
      </w:r>
      <w:r>
        <w:rPr>
          <w:i/>
        </w:rPr>
        <w:t>other</w:t>
      </w:r>
      <w:r>
        <w:rPr>
          <w:i/>
          <w:spacing w:val="-5"/>
        </w:rPr>
        <w:t> </w:t>
      </w:r>
      <w:r>
        <w:rPr>
          <w:i/>
        </w:rPr>
        <w:t>similar</w:t>
      </w:r>
      <w:r>
        <w:rPr>
          <w:i/>
          <w:spacing w:val="-5"/>
        </w:rPr>
        <w:t> </w:t>
      </w:r>
      <w:r>
        <w:rPr>
          <w:i/>
        </w:rPr>
        <w:t>events</w:t>
      </w:r>
      <w:r>
        <w:rPr>
          <w:i/>
          <w:spacing w:val="-4"/>
        </w:rPr>
        <w:t> </w:t>
      </w:r>
      <w:r>
        <w:rPr>
          <w:i/>
        </w:rPr>
        <w:t>may</w:t>
      </w:r>
      <w:r>
        <w:rPr>
          <w:i/>
          <w:spacing w:val="-5"/>
        </w:rPr>
        <w:t> </w:t>
      </w:r>
      <w:r>
        <w:rPr>
          <w:i/>
        </w:rPr>
        <w:t>significantly</w:t>
      </w:r>
      <w:r>
        <w:rPr>
          <w:i/>
          <w:spacing w:val="-5"/>
        </w:rPr>
        <w:t> </w:t>
      </w:r>
      <w:r>
        <w:rPr>
          <w:i/>
        </w:rPr>
        <w:t>disrupt</w:t>
      </w:r>
      <w:r>
        <w:rPr>
          <w:i/>
          <w:spacing w:val="-4"/>
        </w:rPr>
        <w:t> </w:t>
      </w:r>
      <w:r>
        <w:rPr>
          <w:i/>
        </w:rPr>
        <w:t>our</w:t>
      </w:r>
      <w:r>
        <w:rPr>
          <w:i/>
          <w:spacing w:val="-5"/>
        </w:rPr>
        <w:t> </w:t>
      </w:r>
      <w:r>
        <w:rPr>
          <w:i/>
        </w:rPr>
        <w:t>business,</w:t>
      </w:r>
      <w:r>
        <w:rPr>
          <w:i/>
          <w:spacing w:val="-4"/>
        </w:rPr>
        <w:t> </w:t>
      </w:r>
      <w:r>
        <w:rPr>
          <w:i/>
        </w:rPr>
        <w:t>and</w:t>
      </w:r>
      <w:r>
        <w:rPr>
          <w:i/>
          <w:spacing w:val="-4"/>
        </w:rPr>
        <w:t> </w:t>
      </w:r>
      <w:r>
        <w:rPr>
          <w:i/>
        </w:rPr>
        <w:t>negatively</w:t>
      </w:r>
      <w:r>
        <w:rPr>
          <w:i/>
          <w:spacing w:val="1"/>
        </w:rPr>
        <w:t> </w:t>
      </w:r>
      <w:r>
        <w:rPr/>
        <w:t>impact</w:t>
      </w:r>
      <w:r>
        <w:rPr>
          <w:spacing w:val="-2"/>
        </w:rPr>
        <w:t> </w:t>
      </w:r>
      <w:r>
        <w:rPr/>
        <w:t>our</w:t>
      </w:r>
      <w:r>
        <w:rPr>
          <w:spacing w:val="-1"/>
        </w:rPr>
        <w:t> </w:t>
      </w:r>
      <w:r>
        <w:rPr/>
        <w:t>business,</w:t>
      </w:r>
      <w:r>
        <w:rPr>
          <w:spacing w:val="-1"/>
        </w:rPr>
        <w:t> </w:t>
      </w:r>
      <w:r>
        <w:rPr/>
        <w:t>financial</w:t>
      </w:r>
      <w:r>
        <w:rPr>
          <w:spacing w:val="-1"/>
        </w:rPr>
        <w:t> </w:t>
      </w:r>
      <w:r>
        <w:rPr/>
        <w:t>condition</w:t>
      </w:r>
      <w:r>
        <w:rPr>
          <w:spacing w:val="-2"/>
        </w:rPr>
        <w:t> </w:t>
      </w:r>
      <w:r>
        <w:rPr/>
        <w:t>and results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operations.</w:t>
      </w:r>
    </w:p>
    <w:p>
      <w:pPr>
        <w:pStyle w:val="BodyText"/>
        <w:spacing w:line="249" w:lineRule="auto" w:before="185"/>
        <w:ind w:right="196"/>
      </w:pPr>
      <w:r>
        <w:rPr/>
        <w:t>A</w:t>
      </w:r>
      <w:r>
        <w:rPr>
          <w:spacing w:val="-4"/>
        </w:rPr>
        <w:t> </w:t>
      </w:r>
      <w:r>
        <w:rPr/>
        <w:t>significant</w:t>
      </w:r>
      <w:r>
        <w:rPr>
          <w:spacing w:val="-4"/>
        </w:rPr>
        <w:t> </w:t>
      </w:r>
      <w:r>
        <w:rPr/>
        <w:t>portion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employee</w:t>
      </w:r>
      <w:r>
        <w:rPr>
          <w:spacing w:val="-3"/>
        </w:rPr>
        <w:t> </w:t>
      </w:r>
      <w:r>
        <w:rPr/>
        <w:t>base,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primary</w:t>
      </w:r>
      <w:r>
        <w:rPr>
          <w:spacing w:val="-3"/>
        </w:rPr>
        <w:t> </w:t>
      </w:r>
      <w:r>
        <w:rPr/>
        <w:t>operating</w:t>
      </w:r>
      <w:r>
        <w:rPr>
          <w:spacing w:val="-3"/>
        </w:rPr>
        <w:t> </w:t>
      </w:r>
      <w:r>
        <w:rPr/>
        <w:t>facility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infrastructure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centralized</w:t>
      </w:r>
      <w:r>
        <w:rPr>
          <w:spacing w:val="-47"/>
        </w:rPr>
        <w:t> </w:t>
      </w:r>
      <w:r>
        <w:rPr/>
        <w:t>in Northern California. Our facility may be harmed or rendered inoperable by natural or man-made disasters,</w:t>
      </w:r>
      <w:r>
        <w:rPr>
          <w:spacing w:val="1"/>
        </w:rPr>
        <w:t> </w:t>
      </w:r>
      <w:r>
        <w:rPr/>
        <w:t>including earthquakes, wildfires, floods, nuclear disasters, riots, acts of terrorism or other criminal activities, public</w:t>
      </w:r>
      <w:r>
        <w:rPr>
          <w:spacing w:val="1"/>
        </w:rPr>
        <w:t> </w:t>
      </w:r>
      <w:r>
        <w:rPr/>
        <w:t>health emergencies such as infectious disease outbreaks, including the COVID-19 pandemic, power outages and</w:t>
      </w:r>
      <w:r>
        <w:rPr>
          <w:spacing w:val="1"/>
        </w:rPr>
        <w:t> </w:t>
      </w:r>
      <w:r>
        <w:rPr/>
        <w:t>other infrastructure failures, which may render it difficult or impossible for us to operate our business for some</w:t>
      </w:r>
      <w:r>
        <w:rPr>
          <w:spacing w:val="1"/>
        </w:rPr>
        <w:t> </w:t>
      </w:r>
      <w:r>
        <w:rPr/>
        <w:t>period of time. Our facilities would likely be costly to repair or replace, and any such efforts would likely require</w:t>
      </w:r>
      <w:r>
        <w:rPr>
          <w:spacing w:val="1"/>
        </w:rPr>
        <w:t> </w:t>
      </w:r>
      <w:r>
        <w:rPr/>
        <w:t>substantial time. Any disruptions in our operations could adversely affect our business and results of operations and</w:t>
      </w:r>
      <w:r>
        <w:rPr>
          <w:spacing w:val="-47"/>
        </w:rPr>
        <w:t> </w:t>
      </w:r>
      <w:r>
        <w:rPr/>
        <w:t>harm our reputation. Moreover, although we have disaster recovery plans, they may prove inadequate. We may not</w:t>
      </w:r>
      <w:r>
        <w:rPr>
          <w:spacing w:val="1"/>
        </w:rPr>
        <w:t> </w:t>
      </w:r>
      <w:r>
        <w:rPr/>
        <w:t>carry</w:t>
      </w:r>
      <w:r>
        <w:rPr>
          <w:spacing w:val="-3"/>
        </w:rPr>
        <w:t> </w:t>
      </w:r>
      <w:r>
        <w:rPr/>
        <w:t>sufficient</w:t>
      </w:r>
      <w:r>
        <w:rPr>
          <w:spacing w:val="-4"/>
        </w:rPr>
        <w:t> </w:t>
      </w:r>
      <w:r>
        <w:rPr/>
        <w:t>business</w:t>
      </w:r>
      <w:r>
        <w:rPr>
          <w:spacing w:val="-3"/>
        </w:rPr>
        <w:t> </w:t>
      </w:r>
      <w:r>
        <w:rPr/>
        <w:t>insurance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compensate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losses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occur.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/>
        <w:t>such</w:t>
      </w:r>
      <w:r>
        <w:rPr>
          <w:spacing w:val="-3"/>
        </w:rPr>
        <w:t> </w:t>
      </w:r>
      <w:r>
        <w:rPr/>
        <w:t>losses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damages</w:t>
      </w:r>
      <w:r>
        <w:rPr>
          <w:spacing w:val="-3"/>
        </w:rPr>
        <w:t> </w:t>
      </w:r>
      <w:r>
        <w:rPr/>
        <w:t>could</w:t>
      </w:r>
      <w:r>
        <w:rPr>
          <w:spacing w:val="-3"/>
        </w:rPr>
        <w:t> </w:t>
      </w:r>
      <w:r>
        <w:rPr/>
        <w:t>have</w:t>
      </w:r>
      <w:r>
        <w:rPr>
          <w:spacing w:val="-47"/>
        </w:rPr>
        <w:t> </w:t>
      </w:r>
      <w:r>
        <w:rPr/>
        <w:t>a material adverse effect on our business and results of operations. In addition, the facilities of our suppliers and</w:t>
      </w:r>
      <w:r>
        <w:rPr>
          <w:spacing w:val="1"/>
        </w:rPr>
        <w:t> </w:t>
      </w:r>
      <w:r>
        <w:rPr/>
        <w:t>manufacturers may be harmed or rendered inoperable by such natural or man-made disasters, which may cause</w:t>
      </w:r>
      <w:r>
        <w:rPr>
          <w:spacing w:val="1"/>
        </w:rPr>
        <w:t> </w:t>
      </w:r>
      <w:r>
        <w:rPr/>
        <w:t>disruptions, difficulties or otherwise materially and adversely affect our business, financial condition and results of</w:t>
      </w:r>
      <w:r>
        <w:rPr>
          <w:spacing w:val="1"/>
        </w:rPr>
        <w:t> </w:t>
      </w:r>
      <w:r>
        <w:rPr/>
        <w:t>operations.</w:t>
      </w:r>
    </w:p>
    <w:p>
      <w:pPr>
        <w:pStyle w:val="Heading3"/>
        <w:spacing w:line="249" w:lineRule="auto" w:before="187"/>
      </w:pPr>
      <w:r>
        <w:rPr>
          <w:i/>
        </w:rPr>
        <w:t>The</w:t>
      </w:r>
      <w:r>
        <w:rPr>
          <w:i/>
          <w:spacing w:val="-4"/>
        </w:rPr>
        <w:t> </w:t>
      </w:r>
      <w:r>
        <w:rPr>
          <w:i/>
        </w:rPr>
        <w:t>sizes</w:t>
      </w:r>
      <w:r>
        <w:rPr>
          <w:i/>
          <w:spacing w:val="-5"/>
        </w:rPr>
        <w:t> </w:t>
      </w:r>
      <w:r>
        <w:rPr>
          <w:i/>
        </w:rPr>
        <w:t>of</w:t>
      </w:r>
      <w:r>
        <w:rPr>
          <w:i/>
          <w:spacing w:val="-3"/>
        </w:rPr>
        <w:t> </w:t>
      </w:r>
      <w:r>
        <w:rPr>
          <w:i/>
        </w:rPr>
        <w:t>the</w:t>
      </w:r>
      <w:r>
        <w:rPr>
          <w:i/>
          <w:spacing w:val="-4"/>
        </w:rPr>
        <w:t> </w:t>
      </w:r>
      <w:r>
        <w:rPr>
          <w:i/>
        </w:rPr>
        <w:t>addressable</w:t>
      </w:r>
      <w:r>
        <w:rPr>
          <w:i/>
          <w:spacing w:val="-4"/>
        </w:rPr>
        <w:t> </w:t>
      </w:r>
      <w:r>
        <w:rPr>
          <w:i/>
        </w:rPr>
        <w:t>markets</w:t>
      </w:r>
      <w:r>
        <w:rPr>
          <w:i/>
          <w:spacing w:val="-4"/>
        </w:rPr>
        <w:t> </w:t>
      </w:r>
      <w:r>
        <w:rPr>
          <w:i/>
        </w:rPr>
        <w:t>for</w:t>
      </w:r>
      <w:r>
        <w:rPr>
          <w:i/>
          <w:spacing w:val="-4"/>
        </w:rPr>
        <w:t> </w:t>
      </w:r>
      <w:r>
        <w:rPr>
          <w:i/>
        </w:rPr>
        <w:t>our</w:t>
      </w:r>
      <w:r>
        <w:rPr>
          <w:i/>
          <w:spacing w:val="-4"/>
        </w:rPr>
        <w:t> </w:t>
      </w:r>
      <w:r>
        <w:rPr>
          <w:i/>
        </w:rPr>
        <w:t>AquaBeam</w:t>
      </w:r>
      <w:r>
        <w:rPr>
          <w:i/>
          <w:spacing w:val="-4"/>
        </w:rPr>
        <w:t> </w:t>
      </w:r>
      <w:r>
        <w:rPr>
          <w:i/>
        </w:rPr>
        <w:t>Robotic</w:t>
      </w:r>
      <w:r>
        <w:rPr>
          <w:i/>
          <w:spacing w:val="-4"/>
        </w:rPr>
        <w:t> </w:t>
      </w:r>
      <w:r>
        <w:rPr>
          <w:i/>
        </w:rPr>
        <w:t>System</w:t>
      </w:r>
      <w:r>
        <w:rPr>
          <w:i/>
          <w:spacing w:val="-4"/>
        </w:rPr>
        <w:t> </w:t>
      </w:r>
      <w:r>
        <w:rPr>
          <w:i/>
        </w:rPr>
        <w:t>have</w:t>
      </w:r>
      <w:r>
        <w:rPr>
          <w:i/>
          <w:spacing w:val="-4"/>
        </w:rPr>
        <w:t> </w:t>
      </w:r>
      <w:r>
        <w:rPr>
          <w:i/>
        </w:rPr>
        <w:t>not</w:t>
      </w:r>
      <w:r>
        <w:rPr>
          <w:i/>
          <w:spacing w:val="-4"/>
        </w:rPr>
        <w:t> </w:t>
      </w:r>
      <w:r>
        <w:rPr>
          <w:i/>
        </w:rPr>
        <w:t>been</w:t>
      </w:r>
      <w:r>
        <w:rPr>
          <w:i/>
          <w:spacing w:val="-4"/>
        </w:rPr>
        <w:t> </w:t>
      </w:r>
      <w:r>
        <w:rPr>
          <w:i/>
        </w:rPr>
        <w:t>established</w:t>
      </w:r>
      <w:r>
        <w:rPr>
          <w:i/>
          <w:spacing w:val="-3"/>
        </w:rPr>
        <w:t> </w:t>
      </w:r>
      <w:r>
        <w:rPr>
          <w:i/>
        </w:rPr>
        <w:t>with</w:t>
      </w:r>
      <w:r>
        <w:rPr>
          <w:i/>
          <w:spacing w:val="-4"/>
        </w:rPr>
        <w:t> </w:t>
      </w:r>
      <w:r>
        <w:rPr>
          <w:i/>
        </w:rPr>
        <w:t>precision</w:t>
      </w:r>
      <w:r>
        <w:rPr>
          <w:i/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our</w:t>
      </w:r>
      <w:r>
        <w:rPr>
          <w:spacing w:val="-2"/>
        </w:rPr>
        <w:t> </w:t>
      </w:r>
      <w:r>
        <w:rPr/>
        <w:t>potential</w:t>
      </w:r>
      <w:r>
        <w:rPr>
          <w:spacing w:val="-2"/>
        </w:rPr>
        <w:t> </w:t>
      </w:r>
      <w:r>
        <w:rPr/>
        <w:t>market</w:t>
      </w:r>
      <w:r>
        <w:rPr>
          <w:spacing w:val="-1"/>
        </w:rPr>
        <w:t> </w:t>
      </w:r>
      <w:r>
        <w:rPr/>
        <w:t>opportunity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smaller</w:t>
      </w:r>
      <w:r>
        <w:rPr>
          <w:spacing w:val="-2"/>
        </w:rPr>
        <w:t> </w:t>
      </w:r>
      <w:r>
        <w:rPr/>
        <w:t>than</w:t>
      </w:r>
      <w:r>
        <w:rPr>
          <w:spacing w:val="-2"/>
        </w:rPr>
        <w:t> </w:t>
      </w:r>
      <w:r>
        <w:rPr/>
        <w:t>we</w:t>
      </w:r>
      <w:r>
        <w:rPr>
          <w:spacing w:val="-1"/>
        </w:rPr>
        <w:t> </w:t>
      </w:r>
      <w:r>
        <w:rPr/>
        <w:t>estimate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may</w:t>
      </w:r>
      <w:r>
        <w:rPr>
          <w:spacing w:val="-2"/>
        </w:rPr>
        <w:t> </w:t>
      </w:r>
      <w:r>
        <w:rPr/>
        <w:t>decline.</w:t>
      </w:r>
    </w:p>
    <w:p>
      <w:pPr>
        <w:pStyle w:val="BodyText"/>
        <w:spacing w:line="249" w:lineRule="auto" w:before="185"/>
        <w:ind w:right="148"/>
      </w:pPr>
      <w:r>
        <w:rPr/>
        <w:t>Our estimates of the annual total addressable market for our AquaBeam Robotic System are based on a number</w:t>
      </w:r>
      <w:r>
        <w:rPr>
          <w:spacing w:val="-47"/>
        </w:rPr>
        <w:t> </w:t>
      </w:r>
      <w:r>
        <w:rPr/>
        <w:t>of internal and third-party estimates, including, without limitation, the assumed prices at which we can sell our</w:t>
      </w:r>
      <w:r>
        <w:rPr>
          <w:spacing w:val="1"/>
        </w:rPr>
        <w:t> </w:t>
      </w:r>
      <w:r>
        <w:rPr/>
        <w:t>AquaBeam Robotic System and the single-use disposable handpieces. While we believe our assumptions and the</w:t>
      </w:r>
      <w:r>
        <w:rPr>
          <w:spacing w:val="1"/>
        </w:rPr>
        <w:t> </w:t>
      </w:r>
      <w:r>
        <w:rPr/>
        <w:t>data</w:t>
      </w:r>
      <w:r>
        <w:rPr>
          <w:spacing w:val="-4"/>
        </w:rPr>
        <w:t> </w:t>
      </w:r>
      <w:r>
        <w:rPr/>
        <w:t>underlying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estimates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reasonable,</w:t>
      </w:r>
      <w:r>
        <w:rPr>
          <w:spacing w:val="-3"/>
        </w:rPr>
        <w:t> </w:t>
      </w:r>
      <w:r>
        <w:rPr/>
        <w:t>these</w:t>
      </w:r>
      <w:r>
        <w:rPr>
          <w:spacing w:val="-4"/>
        </w:rPr>
        <w:t> </w:t>
      </w:r>
      <w:r>
        <w:rPr/>
        <w:t>assumptions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estimates</w:t>
      </w:r>
      <w:r>
        <w:rPr>
          <w:spacing w:val="-4"/>
        </w:rPr>
        <w:t> </w:t>
      </w:r>
      <w:r>
        <w:rPr/>
        <w:t>may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correct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conditions</w:t>
      </w:r>
      <w:r>
        <w:rPr>
          <w:spacing w:val="1"/>
        </w:rPr>
        <w:t> </w:t>
      </w:r>
      <w:r>
        <w:rPr/>
        <w:t>supporting our assumptions or estimates may change at any time, thereby reducing the predictive accuracy of these</w:t>
      </w:r>
      <w:r>
        <w:rPr>
          <w:spacing w:val="1"/>
        </w:rPr>
        <w:t> </w:t>
      </w:r>
      <w:r>
        <w:rPr/>
        <w:t>underlying factors. As a result, our estimates of the annual total addressable market for our AquaBeam Robotic</w:t>
      </w:r>
      <w:r>
        <w:rPr>
          <w:spacing w:val="1"/>
        </w:rPr>
        <w:t> </w:t>
      </w:r>
      <w:r>
        <w:rPr/>
        <w:t>System may prove to be incorrect. If the actual number of patients who would benefit from our AquaBeam Robotic</w:t>
      </w:r>
      <w:r>
        <w:rPr>
          <w:spacing w:val="1"/>
        </w:rPr>
        <w:t> </w:t>
      </w:r>
      <w:r>
        <w:rPr/>
        <w:t>System, the price at which we can sell our AquaBeam Robotic System, or the total addressable market for our</w:t>
      </w:r>
      <w:r>
        <w:rPr>
          <w:spacing w:val="1"/>
        </w:rPr>
        <w:t> </w:t>
      </w:r>
      <w:r>
        <w:rPr/>
        <w:t>AquaBeam Robotic System is smaller than we have estimated, it may impair our sales growth and materially and</w:t>
      </w:r>
      <w:r>
        <w:rPr>
          <w:spacing w:val="1"/>
        </w:rPr>
        <w:t> </w:t>
      </w:r>
      <w:r>
        <w:rPr/>
        <w:t>adversely</w:t>
      </w:r>
      <w:r>
        <w:rPr>
          <w:spacing w:val="-1"/>
        </w:rPr>
        <w:t> </w:t>
      </w:r>
      <w:r>
        <w:rPr/>
        <w:t>affect</w:t>
      </w:r>
      <w:r>
        <w:rPr>
          <w:spacing w:val="-1"/>
        </w:rPr>
        <w:t> </w:t>
      </w:r>
      <w:r>
        <w:rPr/>
        <w:t>our</w:t>
      </w:r>
      <w:r>
        <w:rPr>
          <w:spacing w:val="-1"/>
        </w:rPr>
        <w:t> </w:t>
      </w:r>
      <w:r>
        <w:rPr/>
        <w:t>business, financial</w:t>
      </w:r>
      <w:r>
        <w:rPr>
          <w:spacing w:val="-2"/>
        </w:rPr>
        <w:t> </w:t>
      </w:r>
      <w:r>
        <w:rPr/>
        <w:t>condition and results</w:t>
      </w:r>
      <w:r>
        <w:rPr>
          <w:spacing w:val="-2"/>
        </w:rPr>
        <w:t> </w:t>
      </w:r>
      <w:r>
        <w:rPr/>
        <w:t>of operations.</w:t>
      </w:r>
    </w:p>
    <w:p>
      <w:pPr>
        <w:pStyle w:val="Heading3"/>
        <w:spacing w:line="249" w:lineRule="auto" w:before="185"/>
        <w:ind w:right="212"/>
      </w:pPr>
      <w:r>
        <w:rPr>
          <w:i/>
        </w:rPr>
        <w:t>Until</w:t>
      </w:r>
      <w:r>
        <w:rPr>
          <w:i/>
          <w:spacing w:val="-4"/>
        </w:rPr>
        <w:t> </w:t>
      </w:r>
      <w:r>
        <w:rPr>
          <w:i/>
        </w:rPr>
        <w:t>we</w:t>
      </w:r>
      <w:r>
        <w:rPr>
          <w:i/>
          <w:spacing w:val="-4"/>
        </w:rPr>
        <w:t> </w:t>
      </w:r>
      <w:r>
        <w:rPr>
          <w:i/>
        </w:rPr>
        <w:t>are</w:t>
      </w:r>
      <w:r>
        <w:rPr>
          <w:i/>
          <w:spacing w:val="-4"/>
        </w:rPr>
        <w:t> </w:t>
      </w:r>
      <w:r>
        <w:rPr>
          <w:i/>
        </w:rPr>
        <w:t>able</w:t>
      </w:r>
      <w:r>
        <w:rPr>
          <w:i/>
          <w:spacing w:val="-3"/>
        </w:rPr>
        <w:t> </w:t>
      </w:r>
      <w:r>
        <w:rPr>
          <w:i/>
        </w:rPr>
        <w:t>to</w:t>
      </w:r>
      <w:r>
        <w:rPr>
          <w:i/>
          <w:spacing w:val="-3"/>
        </w:rPr>
        <w:t> </w:t>
      </w:r>
      <w:r>
        <w:rPr>
          <w:i/>
        </w:rPr>
        <w:t>achieve</w:t>
      </w:r>
      <w:r>
        <w:rPr>
          <w:i/>
          <w:spacing w:val="-4"/>
        </w:rPr>
        <w:t> </w:t>
      </w:r>
      <w:r>
        <w:rPr>
          <w:i/>
        </w:rPr>
        <w:t>broader</w:t>
      </w:r>
      <w:r>
        <w:rPr>
          <w:i/>
          <w:spacing w:val="-3"/>
        </w:rPr>
        <w:t> </w:t>
      </w:r>
      <w:r>
        <w:rPr>
          <w:i/>
        </w:rPr>
        <w:t>market</w:t>
      </w:r>
      <w:r>
        <w:rPr>
          <w:i/>
          <w:spacing w:val="-4"/>
        </w:rPr>
        <w:t> </w:t>
      </w:r>
      <w:r>
        <w:rPr>
          <w:i/>
        </w:rPr>
        <w:t>acceptance</w:t>
      </w:r>
      <w:r>
        <w:rPr>
          <w:i/>
          <w:spacing w:val="-4"/>
        </w:rPr>
        <w:t> </w:t>
      </w:r>
      <w:r>
        <w:rPr>
          <w:i/>
        </w:rPr>
        <w:t>of</w:t>
      </w:r>
      <w:r>
        <w:rPr>
          <w:i/>
          <w:spacing w:val="-2"/>
        </w:rPr>
        <w:t> </w:t>
      </w:r>
      <w:r>
        <w:rPr>
          <w:i/>
        </w:rPr>
        <w:t>our</w:t>
      </w:r>
      <w:r>
        <w:rPr>
          <w:i/>
          <w:spacing w:val="-4"/>
        </w:rPr>
        <w:t> </w:t>
      </w:r>
      <w:r>
        <w:rPr>
          <w:i/>
        </w:rPr>
        <w:t>AquaBeam</w:t>
      </w:r>
      <w:r>
        <w:rPr>
          <w:i/>
          <w:spacing w:val="-4"/>
        </w:rPr>
        <w:t> </w:t>
      </w:r>
      <w:r>
        <w:rPr>
          <w:i/>
        </w:rPr>
        <w:t>Robotic</w:t>
      </w:r>
      <w:r>
        <w:rPr>
          <w:i/>
          <w:spacing w:val="-3"/>
        </w:rPr>
        <w:t> </w:t>
      </w:r>
      <w:r>
        <w:rPr>
          <w:i/>
        </w:rPr>
        <w:t>System</w:t>
      </w:r>
      <w:r>
        <w:rPr>
          <w:i/>
          <w:spacing w:val="-4"/>
        </w:rPr>
        <w:t> </w:t>
      </w:r>
      <w:r>
        <w:rPr>
          <w:i/>
        </w:rPr>
        <w:t>and</w:t>
      </w:r>
      <w:r>
        <w:rPr>
          <w:i/>
          <w:spacing w:val="-3"/>
        </w:rPr>
        <w:t> </w:t>
      </w:r>
      <w:r>
        <w:rPr>
          <w:i/>
        </w:rPr>
        <w:t>Aquablation</w:t>
      </w:r>
      <w:r>
        <w:rPr>
          <w:i/>
          <w:spacing w:val="-47"/>
        </w:rPr>
        <w:t> </w:t>
      </w:r>
      <w:r>
        <w:rPr/>
        <w:t>therapy,</w:t>
      </w:r>
      <w:r>
        <w:rPr>
          <w:spacing w:val="-1"/>
        </w:rPr>
        <w:t> </w:t>
      </w:r>
      <w:r>
        <w:rPr/>
        <w:t>we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</w:t>
      </w:r>
      <w:r>
        <w:rPr/>
        <w:t>face</w:t>
      </w:r>
      <w:r>
        <w:rPr>
          <w:spacing w:val="-2"/>
        </w:rPr>
        <w:t> </w:t>
      </w:r>
      <w:r>
        <w:rPr/>
        <w:t>risks</w:t>
      </w:r>
      <w:r>
        <w:rPr>
          <w:spacing w:val="-2"/>
        </w:rPr>
        <w:t> </w:t>
      </w:r>
      <w:r>
        <w:rPr/>
        <w:t>associated with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more</w:t>
      </w:r>
      <w:r>
        <w:rPr>
          <w:spacing w:val="-1"/>
        </w:rPr>
        <w:t> </w:t>
      </w:r>
      <w:r>
        <w:rPr/>
        <w:t>concentrated</w:t>
      </w:r>
      <w:r>
        <w:rPr>
          <w:spacing w:val="-1"/>
        </w:rPr>
        <w:t> </w:t>
      </w:r>
      <w:r>
        <w:rPr/>
        <w:t>customer</w:t>
      </w:r>
      <w:r>
        <w:rPr>
          <w:spacing w:val="-2"/>
        </w:rPr>
        <w:t> </w:t>
      </w:r>
      <w:r>
        <w:rPr/>
        <w:t>base.</w:t>
      </w:r>
    </w:p>
    <w:p>
      <w:pPr>
        <w:pStyle w:val="BodyText"/>
        <w:spacing w:line="249" w:lineRule="auto" w:before="185"/>
        <w:ind w:right="212"/>
      </w:pPr>
      <w:r>
        <w:rPr/>
        <w:t>No</w:t>
      </w:r>
      <w:r>
        <w:rPr>
          <w:spacing w:val="-2"/>
        </w:rPr>
        <w:t> </w:t>
      </w:r>
      <w:r>
        <w:rPr/>
        <w:t>customers</w:t>
      </w:r>
      <w:r>
        <w:rPr>
          <w:spacing w:val="-3"/>
        </w:rPr>
        <w:t> </w:t>
      </w:r>
      <w:r>
        <w:rPr/>
        <w:t>accounted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more</w:t>
      </w:r>
      <w:r>
        <w:rPr>
          <w:spacing w:val="-3"/>
        </w:rPr>
        <w:t> </w:t>
      </w:r>
      <w:r>
        <w:rPr/>
        <w:t>than</w:t>
      </w:r>
      <w:r>
        <w:rPr>
          <w:spacing w:val="-2"/>
        </w:rPr>
        <w:t> </w:t>
      </w:r>
      <w:r>
        <w:rPr/>
        <w:t>10%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revenue</w:t>
      </w:r>
      <w:r>
        <w:rPr>
          <w:spacing w:val="-3"/>
        </w:rPr>
        <w:t> </w:t>
      </w:r>
      <w:r>
        <w:rPr/>
        <w:t>during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nine</w:t>
      </w:r>
      <w:r>
        <w:rPr>
          <w:spacing w:val="-3"/>
        </w:rPr>
        <w:t> </w:t>
      </w:r>
      <w:r>
        <w:rPr/>
        <w:t>months</w:t>
      </w:r>
      <w:r>
        <w:rPr>
          <w:spacing w:val="-3"/>
        </w:rPr>
        <w:t> </w:t>
      </w:r>
      <w:r>
        <w:rPr/>
        <w:t>ended</w:t>
      </w:r>
      <w:r>
        <w:rPr>
          <w:spacing w:val="-1"/>
        </w:rPr>
        <w:t> </w:t>
      </w:r>
      <w:r>
        <w:rPr/>
        <w:t>September</w:t>
      </w:r>
      <w:r>
        <w:rPr>
          <w:spacing w:val="-2"/>
        </w:rPr>
        <w:t> </w:t>
      </w:r>
      <w:r>
        <w:rPr/>
        <w:t>30,</w:t>
      </w:r>
      <w:r>
        <w:rPr>
          <w:spacing w:val="-2"/>
        </w:rPr>
        <w:t> </w:t>
      </w:r>
      <w:r>
        <w:rPr/>
        <w:t>2021</w:t>
      </w:r>
      <w:r>
        <w:rPr>
          <w:spacing w:val="-1"/>
        </w:rPr>
        <w:t> </w:t>
      </w:r>
      <w:r>
        <w:rPr/>
        <w:t>and</w:t>
      </w:r>
      <w:r>
        <w:rPr>
          <w:spacing w:val="-47"/>
        </w:rPr>
        <w:t> </w:t>
      </w:r>
      <w:r>
        <w:rPr/>
        <w:t>2020, and year ended December 31, 2020. No customer accounted for more than 10% of accounts receivable at</w:t>
      </w:r>
      <w:r>
        <w:rPr>
          <w:spacing w:val="1"/>
        </w:rPr>
        <w:t> </w:t>
      </w:r>
      <w:r>
        <w:rPr/>
        <w:t>September 30, 2021. Two of our customers accounted for 22% and 13% of accounts receivable at December 31,</w:t>
      </w:r>
      <w:r>
        <w:rPr>
          <w:spacing w:val="1"/>
        </w:rPr>
        <w:t> </w:t>
      </w:r>
      <w:r>
        <w:rPr/>
        <w:t>2020.</w:t>
      </w:r>
      <w:r>
        <w:rPr>
          <w:spacing w:val="-4"/>
        </w:rPr>
        <w:t> </w:t>
      </w:r>
      <w:r>
        <w:rPr/>
        <w:t>While</w:t>
      </w:r>
      <w:r>
        <w:rPr>
          <w:spacing w:val="-4"/>
        </w:rPr>
        <w:t> </w:t>
      </w:r>
      <w:r>
        <w:rPr/>
        <w:t>we</w:t>
      </w:r>
      <w:r>
        <w:rPr>
          <w:spacing w:val="-4"/>
        </w:rPr>
        <w:t> </w:t>
      </w:r>
      <w:r>
        <w:rPr/>
        <w:t>believe</w:t>
      </w:r>
      <w:r>
        <w:rPr>
          <w:spacing w:val="-4"/>
        </w:rPr>
        <w:t> </w:t>
      </w:r>
      <w:r>
        <w:rPr/>
        <w:t>this</w:t>
      </w:r>
      <w:r>
        <w:rPr>
          <w:spacing w:val="-5"/>
        </w:rPr>
        <w:t> </w:t>
      </w:r>
      <w:r>
        <w:rPr/>
        <w:t>concentration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primarily</w:t>
      </w:r>
      <w:r>
        <w:rPr>
          <w:spacing w:val="-3"/>
        </w:rPr>
        <w:t> </w:t>
      </w:r>
      <w:r>
        <w:rPr/>
        <w:t>attributable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our</w:t>
      </w:r>
      <w:r>
        <w:rPr>
          <w:spacing w:val="-3"/>
        </w:rPr>
        <w:t> </w:t>
      </w:r>
      <w:r>
        <w:rPr/>
        <w:t>limited</w:t>
      </w:r>
      <w:r>
        <w:rPr>
          <w:spacing w:val="-3"/>
        </w:rPr>
        <w:t> </w:t>
      </w:r>
      <w:r>
        <w:rPr/>
        <w:t>history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commercial</w:t>
      </w:r>
      <w:r>
        <w:rPr>
          <w:spacing w:val="-4"/>
        </w:rPr>
        <w:t> </w:t>
      </w:r>
      <w:r>
        <w:rPr/>
        <w:t>operations,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  <w:ind w:right="180" w:firstLine="0"/>
      </w:pPr>
      <w:r>
        <w:rPr/>
        <w:t>until</w:t>
      </w:r>
      <w:r>
        <w:rPr>
          <w:spacing w:val="-4"/>
        </w:rPr>
        <w:t> </w:t>
      </w:r>
      <w:r>
        <w:rPr/>
        <w:t>we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able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achieve</w:t>
      </w:r>
      <w:r>
        <w:rPr>
          <w:spacing w:val="-3"/>
        </w:rPr>
        <w:t> </w:t>
      </w:r>
      <w:r>
        <w:rPr/>
        <w:t>broader</w:t>
      </w:r>
      <w:r>
        <w:rPr>
          <w:spacing w:val="-3"/>
        </w:rPr>
        <w:t> </w:t>
      </w:r>
      <w:r>
        <w:rPr/>
        <w:t>market</w:t>
      </w:r>
      <w:r>
        <w:rPr>
          <w:spacing w:val="-4"/>
        </w:rPr>
        <w:t> </w:t>
      </w:r>
      <w:r>
        <w:rPr/>
        <w:t>acceptance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AquaBeam</w:t>
      </w:r>
      <w:r>
        <w:rPr>
          <w:spacing w:val="-3"/>
        </w:rPr>
        <w:t> </w:t>
      </w:r>
      <w:r>
        <w:rPr/>
        <w:t>Robotic</w:t>
      </w:r>
      <w:r>
        <w:rPr>
          <w:spacing w:val="-4"/>
        </w:rPr>
        <w:t> </w:t>
      </w:r>
      <w:r>
        <w:rPr/>
        <w:t>System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Aquablation</w:t>
      </w:r>
      <w:r>
        <w:rPr>
          <w:spacing w:val="-3"/>
        </w:rPr>
        <w:t> </w:t>
      </w:r>
      <w:r>
        <w:rPr/>
        <w:t>therapy,</w:t>
      </w:r>
      <w:r>
        <w:rPr>
          <w:spacing w:val="-47"/>
        </w:rPr>
        <w:t> </w:t>
      </w:r>
      <w:r>
        <w:rPr/>
        <w:t>we may face risks associated with a more concentrated customer base. There are risks whenever a significant</w:t>
      </w:r>
      <w:r>
        <w:rPr>
          <w:spacing w:val="1"/>
        </w:rPr>
        <w:t> </w:t>
      </w:r>
      <w:r>
        <w:rPr/>
        <w:t>percentage of revenue is concentrated with a limited number of customers. For example, revenue from these</w:t>
      </w:r>
      <w:r>
        <w:rPr>
          <w:spacing w:val="1"/>
        </w:rPr>
        <w:t> </w:t>
      </w:r>
      <w:r>
        <w:rPr/>
        <w:t>customers may fluctuate from time to time based on these customers’ business needs, the timing of which may be</w:t>
      </w:r>
      <w:r>
        <w:rPr>
          <w:spacing w:val="1"/>
        </w:rPr>
        <w:t> </w:t>
      </w:r>
      <w:r>
        <w:rPr/>
        <w:t>affected by market conditions or other facts outside of our control. These customers could also potentially pressure</w:t>
      </w:r>
      <w:r>
        <w:rPr>
          <w:spacing w:val="1"/>
        </w:rPr>
        <w:t> </w:t>
      </w:r>
      <w:r>
        <w:rPr/>
        <w:t>us to reduce the prices we charge for our single-use disposable handpieces, which could have an adverse effect on</w:t>
      </w:r>
      <w:r>
        <w:rPr>
          <w:spacing w:val="1"/>
        </w:rPr>
        <w:t> </w:t>
      </w:r>
      <w:r>
        <w:rPr/>
        <w:t>our margins and financial position and could negatively affect our revenue and results of operations. If any of our</w:t>
      </w:r>
      <w:r>
        <w:rPr>
          <w:spacing w:val="1"/>
        </w:rPr>
        <w:t> </w:t>
      </w:r>
      <w:r>
        <w:rPr/>
        <w:t>largest customers terminates its relationship with us, such termination could negatively affect our revenues and</w:t>
      </w:r>
      <w:r>
        <w:rPr>
          <w:spacing w:val="1"/>
        </w:rPr>
        <w:t> </w:t>
      </w:r>
      <w:r>
        <w:rPr/>
        <w:t>results</w:t>
      </w:r>
      <w:r>
        <w:rPr>
          <w:spacing w:val="-2"/>
        </w:rPr>
        <w:t> </w:t>
      </w:r>
      <w:r>
        <w:rPr/>
        <w:t>of operations.</w:t>
      </w:r>
    </w:p>
    <w:p>
      <w:pPr>
        <w:pStyle w:val="Heading3"/>
        <w:spacing w:line="249" w:lineRule="auto" w:before="184"/>
        <w:ind w:right="212"/>
      </w:pPr>
      <w:r>
        <w:rPr>
          <w:i/>
        </w:rPr>
        <w:t>If</w:t>
      </w:r>
      <w:r>
        <w:rPr>
          <w:i/>
          <w:spacing w:val="-4"/>
        </w:rPr>
        <w:t> </w:t>
      </w:r>
      <w:r>
        <w:rPr>
          <w:i/>
        </w:rPr>
        <w:t>product</w:t>
      </w:r>
      <w:r>
        <w:rPr>
          <w:i/>
          <w:spacing w:val="-4"/>
        </w:rPr>
        <w:t> </w:t>
      </w:r>
      <w:r>
        <w:rPr>
          <w:i/>
        </w:rPr>
        <w:t>liability</w:t>
      </w:r>
      <w:r>
        <w:rPr>
          <w:i/>
          <w:spacing w:val="-4"/>
        </w:rPr>
        <w:t> </w:t>
      </w:r>
      <w:r>
        <w:rPr>
          <w:i/>
        </w:rPr>
        <w:t>lawsuits</w:t>
      </w:r>
      <w:r>
        <w:rPr>
          <w:i/>
          <w:spacing w:val="-4"/>
        </w:rPr>
        <w:t> </w:t>
      </w:r>
      <w:r>
        <w:rPr>
          <w:i/>
        </w:rPr>
        <w:t>are</w:t>
      </w:r>
      <w:r>
        <w:rPr>
          <w:i/>
          <w:spacing w:val="-4"/>
        </w:rPr>
        <w:t> </w:t>
      </w:r>
      <w:r>
        <w:rPr>
          <w:i/>
        </w:rPr>
        <w:t>brought</w:t>
      </w:r>
      <w:r>
        <w:rPr>
          <w:i/>
          <w:spacing w:val="-4"/>
        </w:rPr>
        <w:t> </w:t>
      </w:r>
      <w:r>
        <w:rPr>
          <w:i/>
        </w:rPr>
        <w:t>against</w:t>
      </w:r>
      <w:r>
        <w:rPr>
          <w:i/>
          <w:spacing w:val="-4"/>
        </w:rPr>
        <w:t> </w:t>
      </w:r>
      <w:r>
        <w:rPr>
          <w:i/>
        </w:rPr>
        <w:t>us,</w:t>
      </w:r>
      <w:r>
        <w:rPr>
          <w:i/>
          <w:spacing w:val="-3"/>
        </w:rPr>
        <w:t> </w:t>
      </w:r>
      <w:r>
        <w:rPr>
          <w:i/>
        </w:rPr>
        <w:t>we</w:t>
      </w:r>
      <w:r>
        <w:rPr>
          <w:i/>
          <w:spacing w:val="-4"/>
        </w:rPr>
        <w:t> </w:t>
      </w:r>
      <w:r>
        <w:rPr>
          <w:i/>
        </w:rPr>
        <w:t>may</w:t>
      </w:r>
      <w:r>
        <w:rPr>
          <w:i/>
          <w:spacing w:val="-4"/>
        </w:rPr>
        <w:t> </w:t>
      </w:r>
      <w:r>
        <w:rPr>
          <w:i/>
        </w:rPr>
        <w:t>incur</w:t>
      </w:r>
      <w:r>
        <w:rPr>
          <w:i/>
          <w:spacing w:val="-4"/>
        </w:rPr>
        <w:t> </w:t>
      </w:r>
      <w:r>
        <w:rPr>
          <w:i/>
        </w:rPr>
        <w:t>substantial</w:t>
      </w:r>
      <w:r>
        <w:rPr>
          <w:i/>
          <w:spacing w:val="-4"/>
        </w:rPr>
        <w:t> </w:t>
      </w:r>
      <w:r>
        <w:rPr>
          <w:i/>
        </w:rPr>
        <w:t>liabilities</w:t>
      </w:r>
      <w:r>
        <w:rPr>
          <w:i/>
          <w:spacing w:val="-4"/>
        </w:rPr>
        <w:t> </w:t>
      </w:r>
      <w:r>
        <w:rPr>
          <w:i/>
        </w:rPr>
        <w:t>and</w:t>
      </w:r>
      <w:r>
        <w:rPr>
          <w:i/>
          <w:spacing w:val="-3"/>
        </w:rPr>
        <w:t> </w:t>
      </w:r>
      <w:r>
        <w:rPr>
          <w:i/>
        </w:rPr>
        <w:t>may</w:t>
      </w:r>
      <w:r>
        <w:rPr>
          <w:i/>
          <w:spacing w:val="-4"/>
        </w:rPr>
        <w:t> </w:t>
      </w:r>
      <w:r>
        <w:rPr>
          <w:i/>
        </w:rPr>
        <w:t>be</w:t>
      </w:r>
      <w:r>
        <w:rPr>
          <w:i/>
          <w:spacing w:val="-4"/>
        </w:rPr>
        <w:t> </w:t>
      </w:r>
      <w:r>
        <w:rPr>
          <w:i/>
        </w:rPr>
        <w:t>required</w:t>
      </w:r>
      <w:r>
        <w:rPr>
          <w:i/>
          <w:spacing w:val="-3"/>
        </w:rPr>
        <w:t> </w:t>
      </w:r>
      <w:r>
        <w:rPr>
          <w:i/>
        </w:rPr>
        <w:t>to</w:t>
      </w:r>
      <w:r>
        <w:rPr>
          <w:i/>
          <w:spacing w:val="1"/>
        </w:rPr>
        <w:t> </w:t>
      </w:r>
      <w:r>
        <w:rPr/>
        <w:t>limit or halt the marketing and sale of our products. The expense and potential unavailability of insurance</w:t>
      </w:r>
      <w:r>
        <w:rPr>
          <w:spacing w:val="1"/>
        </w:rPr>
        <w:t> </w:t>
      </w:r>
      <w:r>
        <w:rPr/>
        <w:t>coverage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liabilities</w:t>
      </w:r>
      <w:r>
        <w:rPr>
          <w:spacing w:val="-2"/>
        </w:rPr>
        <w:t> </w:t>
      </w:r>
      <w:r>
        <w:rPr/>
        <w:t>resulting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our</w:t>
      </w:r>
      <w:r>
        <w:rPr>
          <w:spacing w:val="-3"/>
        </w:rPr>
        <w:t> </w:t>
      </w:r>
      <w:r>
        <w:rPr/>
        <w:t>products</w:t>
      </w:r>
      <w:r>
        <w:rPr>
          <w:spacing w:val="-2"/>
        </w:rPr>
        <w:t> </w:t>
      </w:r>
      <w:r>
        <w:rPr/>
        <w:t>could</w:t>
      </w:r>
      <w:r>
        <w:rPr>
          <w:spacing w:val="-2"/>
        </w:rPr>
        <w:t> </w:t>
      </w:r>
      <w:r>
        <w:rPr/>
        <w:t>harm</w:t>
      </w:r>
      <w:r>
        <w:rPr>
          <w:spacing w:val="-2"/>
        </w:rPr>
        <w:t> </w:t>
      </w:r>
      <w:r>
        <w:rPr/>
        <w:t>us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our</w:t>
      </w:r>
      <w:r>
        <w:rPr>
          <w:spacing w:val="-3"/>
        </w:rPr>
        <w:t> </w:t>
      </w:r>
      <w:r>
        <w:rPr/>
        <w:t>ability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sell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products.</w:t>
      </w:r>
    </w:p>
    <w:p>
      <w:pPr>
        <w:pStyle w:val="BodyText"/>
        <w:spacing w:line="249" w:lineRule="auto" w:before="185"/>
        <w:ind w:right="117"/>
      </w:pPr>
      <w:r>
        <w:rPr/>
        <w:t>We face an inherent risk of product liability as a result of the marketing and sale of our products. For example,</w:t>
      </w:r>
      <w:r>
        <w:rPr>
          <w:spacing w:val="1"/>
        </w:rPr>
        <w:t> </w:t>
      </w:r>
      <w:r>
        <w:rPr/>
        <w:t>we may be sued if our AquaBeam Robotic System, the single-use disposable handpiece or any of their component</w:t>
      </w:r>
      <w:r>
        <w:rPr>
          <w:spacing w:val="1"/>
        </w:rPr>
        <w:t> </w:t>
      </w:r>
      <w:r>
        <w:rPr/>
        <w:t>parts causes, or is perceived to cause, injury or is found to be otherwise unsuitable during manufacturing, marketing</w:t>
      </w:r>
      <w:r>
        <w:rPr>
          <w:spacing w:val="1"/>
        </w:rPr>
        <w:t> </w:t>
      </w:r>
      <w:r>
        <w:rPr/>
        <w:t>or</w:t>
      </w:r>
      <w:r>
        <w:rPr>
          <w:spacing w:val="-3"/>
        </w:rPr>
        <w:t> </w:t>
      </w:r>
      <w:r>
        <w:rPr/>
        <w:t>sale.</w:t>
      </w:r>
      <w:r>
        <w:rPr>
          <w:spacing w:val="-2"/>
        </w:rPr>
        <w:t> </w:t>
      </w:r>
      <w:r>
        <w:rPr/>
        <w:t>We</w:t>
      </w:r>
      <w:r>
        <w:rPr>
          <w:spacing w:val="-4"/>
        </w:rPr>
        <w:t> </w:t>
      </w:r>
      <w:r>
        <w:rPr/>
        <w:t>may</w:t>
      </w:r>
      <w:r>
        <w:rPr>
          <w:spacing w:val="-2"/>
        </w:rPr>
        <w:t> </w:t>
      </w:r>
      <w:r>
        <w:rPr/>
        <w:t>also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subject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product</w:t>
      </w:r>
      <w:r>
        <w:rPr>
          <w:spacing w:val="-3"/>
        </w:rPr>
        <w:t> </w:t>
      </w:r>
      <w:r>
        <w:rPr/>
        <w:t>liability</w:t>
      </w:r>
      <w:r>
        <w:rPr>
          <w:spacing w:val="-3"/>
        </w:rPr>
        <w:t> </w:t>
      </w:r>
      <w:r>
        <w:rPr/>
        <w:t>claims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products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services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deemed</w:t>
      </w:r>
      <w:r>
        <w:rPr>
          <w:spacing w:val="-3"/>
        </w:rPr>
        <w:t> </w:t>
      </w:r>
      <w:r>
        <w:rPr/>
        <w:t>non-compliant</w:t>
      </w:r>
      <w:r>
        <w:rPr>
          <w:spacing w:val="-3"/>
        </w:rPr>
        <w:t> </w:t>
      </w:r>
      <w:r>
        <w:rPr/>
        <w:t>with</w:t>
      </w:r>
      <w:r>
        <w:rPr>
          <w:spacing w:val="1"/>
        </w:rPr>
        <w:t> </w:t>
      </w:r>
      <w:r>
        <w:rPr/>
        <w:t>applicable laws or regulations. Any such product liability claim may include allegations of defects in manufacturing,</w:t>
      </w:r>
      <w:r>
        <w:rPr>
          <w:spacing w:val="-47"/>
        </w:rPr>
        <w:t> </w:t>
      </w:r>
      <w:r>
        <w:rPr/>
        <w:t>defects in design, a failure to warn of dangers inherent in the product, negligence, strict liability or a breach of</w:t>
      </w:r>
      <w:r>
        <w:rPr>
          <w:spacing w:val="1"/>
        </w:rPr>
        <w:t> </w:t>
      </w:r>
      <w:r>
        <w:rPr/>
        <w:t>warranties. In addition, we may be subject to claims against us even if the apparent injury is due to the actions of</w:t>
      </w:r>
      <w:r>
        <w:rPr>
          <w:spacing w:val="1"/>
        </w:rPr>
        <w:t> </w:t>
      </w:r>
      <w:r>
        <w:rPr/>
        <w:t>others or the pre-existing health conditions of the patient. We may also be subject to claims that are caused by the</w:t>
      </w:r>
      <w:r>
        <w:rPr>
          <w:spacing w:val="1"/>
        </w:rPr>
        <w:t> </w:t>
      </w:r>
      <w:r>
        <w:rPr/>
        <w:t>activities of our suppliers, such as those who provide us with components and sub-assemblies, or manufacturers who</w:t>
      </w:r>
      <w:r>
        <w:rPr>
          <w:spacing w:val="-47"/>
        </w:rPr>
        <w:t> </w:t>
      </w:r>
      <w:r>
        <w:rPr/>
        <w:t>produce</w:t>
      </w:r>
      <w:r>
        <w:rPr>
          <w:spacing w:val="-2"/>
        </w:rPr>
        <w:t> </w:t>
      </w:r>
      <w:r>
        <w:rPr/>
        <w:t>our AquaBeam</w:t>
      </w:r>
      <w:r>
        <w:rPr>
          <w:spacing w:val="-2"/>
        </w:rPr>
        <w:t> </w:t>
      </w:r>
      <w:r>
        <w:rPr/>
        <w:t>Robotic</w:t>
      </w:r>
      <w:r>
        <w:rPr>
          <w:spacing w:val="-1"/>
        </w:rPr>
        <w:t> </w:t>
      </w:r>
      <w:r>
        <w:rPr/>
        <w:t>System</w:t>
      </w:r>
      <w:r>
        <w:rPr>
          <w:spacing w:val="-2"/>
        </w:rPr>
        <w:t> </w:t>
      </w:r>
      <w:r>
        <w:rPr/>
        <w:t>and the</w:t>
      </w:r>
      <w:r>
        <w:rPr>
          <w:spacing w:val="-2"/>
        </w:rPr>
        <w:t> </w:t>
      </w:r>
      <w:r>
        <w:rPr/>
        <w:t>single-use</w:t>
      </w:r>
      <w:r>
        <w:rPr>
          <w:spacing w:val="-1"/>
        </w:rPr>
        <w:t> </w:t>
      </w:r>
      <w:r>
        <w:rPr/>
        <w:t>disposable</w:t>
      </w:r>
      <w:r>
        <w:rPr>
          <w:spacing w:val="-2"/>
        </w:rPr>
        <w:t> </w:t>
      </w:r>
      <w:r>
        <w:rPr/>
        <w:t>handpieces.</w:t>
      </w:r>
    </w:p>
    <w:p>
      <w:pPr>
        <w:pStyle w:val="BodyText"/>
        <w:spacing w:line="249" w:lineRule="auto" w:before="189"/>
        <w:ind w:right="263"/>
      </w:pPr>
      <w:r>
        <w:rPr/>
        <w:t>If we cannot successfully defend ourselves against product liability claims, we may incur substantial liabilities</w:t>
      </w:r>
      <w:r>
        <w:rPr>
          <w:spacing w:val="-47"/>
        </w:rPr>
        <w:t> </w:t>
      </w:r>
      <w:r>
        <w:rPr/>
        <w:t>or be required to limit or halt the marketing and sale of our products. Even successful defense would require</w:t>
      </w:r>
      <w:r>
        <w:rPr>
          <w:spacing w:val="1"/>
        </w:rPr>
        <w:t> </w:t>
      </w:r>
      <w:r>
        <w:rPr/>
        <w:t>significant</w:t>
      </w:r>
      <w:r>
        <w:rPr>
          <w:spacing w:val="-5"/>
        </w:rPr>
        <w:t> </w:t>
      </w:r>
      <w:r>
        <w:rPr/>
        <w:t>financial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management</w:t>
      </w:r>
      <w:r>
        <w:rPr>
          <w:spacing w:val="-4"/>
        </w:rPr>
        <w:t> </w:t>
      </w:r>
      <w:r>
        <w:rPr/>
        <w:t>resources.</w:t>
      </w:r>
      <w:r>
        <w:rPr>
          <w:spacing w:val="-4"/>
        </w:rPr>
        <w:t> </w:t>
      </w:r>
      <w:r>
        <w:rPr/>
        <w:t>Regardless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merits</w:t>
      </w:r>
      <w:r>
        <w:rPr>
          <w:spacing w:val="-5"/>
        </w:rPr>
        <w:t> </w:t>
      </w:r>
      <w:r>
        <w:rPr/>
        <w:t>or</w:t>
      </w:r>
      <w:r>
        <w:rPr>
          <w:spacing w:val="-3"/>
        </w:rPr>
        <w:t> </w:t>
      </w:r>
      <w:r>
        <w:rPr/>
        <w:t>eventual</w:t>
      </w:r>
      <w:r>
        <w:rPr>
          <w:spacing w:val="-5"/>
        </w:rPr>
        <w:t> </w:t>
      </w:r>
      <w:r>
        <w:rPr/>
        <w:t>outcome,</w:t>
      </w:r>
      <w:r>
        <w:rPr>
          <w:spacing w:val="-4"/>
        </w:rPr>
        <w:t> </w:t>
      </w:r>
      <w:r>
        <w:rPr/>
        <w:t>liability</w:t>
      </w:r>
      <w:r>
        <w:rPr>
          <w:spacing w:val="-4"/>
        </w:rPr>
        <w:t> </w:t>
      </w:r>
      <w:r>
        <w:rPr/>
        <w:t>claims</w:t>
      </w:r>
      <w:r>
        <w:rPr>
          <w:spacing w:val="-4"/>
        </w:rPr>
        <w:t> </w:t>
      </w:r>
      <w:r>
        <w:rPr/>
        <w:t>may</w:t>
      </w:r>
      <w:r>
        <w:rPr>
          <w:spacing w:val="1"/>
        </w:rPr>
        <w:t> </w:t>
      </w:r>
      <w:r>
        <w:rPr/>
        <w:t>result</w:t>
      </w:r>
      <w:r>
        <w:rPr>
          <w:spacing w:val="-2"/>
        </w:rPr>
        <w:t> </w:t>
      </w:r>
      <w:r>
        <w:rPr/>
        <w:t>in: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83" w:after="0"/>
        <w:ind w:left="820" w:right="0" w:hanging="360"/>
        <w:jc w:val="left"/>
        <w:rPr>
          <w:sz w:val="20"/>
        </w:rPr>
      </w:pPr>
      <w:r>
        <w:rPr>
          <w:sz w:val="20"/>
        </w:rPr>
        <w:t>decreased</w:t>
      </w:r>
      <w:r>
        <w:rPr>
          <w:spacing w:val="-3"/>
          <w:sz w:val="20"/>
        </w:rPr>
        <w:t> </w:t>
      </w:r>
      <w:r>
        <w:rPr>
          <w:sz w:val="20"/>
        </w:rPr>
        <w:t>demand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our</w:t>
      </w:r>
      <w:r>
        <w:rPr>
          <w:spacing w:val="-2"/>
          <w:sz w:val="20"/>
        </w:rPr>
        <w:t> </w:t>
      </w:r>
      <w:r>
        <w:rPr>
          <w:sz w:val="20"/>
        </w:rPr>
        <w:t>products;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harm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our</w:t>
      </w:r>
      <w:r>
        <w:rPr>
          <w:spacing w:val="-1"/>
          <w:sz w:val="20"/>
        </w:rPr>
        <w:t> </w:t>
      </w:r>
      <w:r>
        <w:rPr>
          <w:sz w:val="20"/>
        </w:rPr>
        <w:t>reputation;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9" w:lineRule="auto" w:before="190" w:after="0"/>
        <w:ind w:left="820" w:right="123" w:hanging="360"/>
        <w:jc w:val="left"/>
        <w:rPr>
          <w:sz w:val="20"/>
        </w:rPr>
      </w:pPr>
      <w:r>
        <w:rPr>
          <w:sz w:val="20"/>
        </w:rPr>
        <w:t>initiation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investigations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regulators,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could</w:t>
      </w:r>
      <w:r>
        <w:rPr>
          <w:spacing w:val="-3"/>
          <w:sz w:val="20"/>
        </w:rPr>
        <w:t> </w:t>
      </w:r>
      <w:r>
        <w:rPr>
          <w:sz w:val="20"/>
        </w:rPr>
        <w:t>result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enforcement</w:t>
      </w:r>
      <w:r>
        <w:rPr>
          <w:spacing w:val="-3"/>
          <w:sz w:val="20"/>
        </w:rPr>
        <w:t> </w:t>
      </w:r>
      <w:r>
        <w:rPr>
          <w:sz w:val="20"/>
        </w:rPr>
        <w:t>action</w:t>
      </w:r>
      <w:r>
        <w:rPr>
          <w:spacing w:val="-3"/>
          <w:sz w:val="20"/>
        </w:rPr>
        <w:t> </w:t>
      </w:r>
      <w:r>
        <w:rPr>
          <w:sz w:val="20"/>
        </w:rPr>
        <w:t>against</w:t>
      </w:r>
      <w:r>
        <w:rPr>
          <w:spacing w:val="-4"/>
          <w:sz w:val="20"/>
        </w:rPr>
        <w:t> </w:t>
      </w:r>
      <w:r>
        <w:rPr>
          <w:sz w:val="20"/>
        </w:rPr>
        <w:t>us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contract</w:t>
      </w:r>
      <w:r>
        <w:rPr>
          <w:spacing w:val="-47"/>
          <w:sz w:val="20"/>
        </w:rPr>
        <w:t> </w:t>
      </w:r>
      <w:r>
        <w:rPr>
          <w:sz w:val="20"/>
        </w:rPr>
        <w:t>manufacturers;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82" w:after="0"/>
        <w:ind w:left="820" w:right="0" w:hanging="360"/>
        <w:jc w:val="left"/>
        <w:rPr>
          <w:sz w:val="20"/>
        </w:rPr>
      </w:pPr>
      <w:r>
        <w:rPr>
          <w:sz w:val="20"/>
        </w:rPr>
        <w:t>costs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defend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related</w:t>
      </w:r>
      <w:r>
        <w:rPr>
          <w:spacing w:val="-3"/>
          <w:sz w:val="20"/>
        </w:rPr>
        <w:t> </w:t>
      </w:r>
      <w:r>
        <w:rPr>
          <w:sz w:val="20"/>
        </w:rPr>
        <w:t>litigation;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diversion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management’s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2"/>
          <w:sz w:val="20"/>
        </w:rPr>
        <w:t> </w:t>
      </w:r>
      <w:r>
        <w:rPr>
          <w:sz w:val="20"/>
        </w:rPr>
        <w:t>resources;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substantial</w:t>
      </w:r>
      <w:r>
        <w:rPr>
          <w:spacing w:val="-5"/>
          <w:sz w:val="20"/>
        </w:rPr>
        <w:t> </w:t>
      </w:r>
      <w:r>
        <w:rPr>
          <w:sz w:val="20"/>
        </w:rPr>
        <w:t>monetary</w:t>
      </w:r>
      <w:r>
        <w:rPr>
          <w:spacing w:val="-4"/>
          <w:sz w:val="20"/>
        </w:rPr>
        <w:t> </w:t>
      </w:r>
      <w:r>
        <w:rPr>
          <w:sz w:val="20"/>
        </w:rPr>
        <w:t>awards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trial</w:t>
      </w:r>
      <w:r>
        <w:rPr>
          <w:spacing w:val="-5"/>
          <w:sz w:val="20"/>
        </w:rPr>
        <w:t> </w:t>
      </w:r>
      <w:r>
        <w:rPr>
          <w:sz w:val="20"/>
        </w:rPr>
        <w:t>participants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patients;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product</w:t>
      </w:r>
      <w:r>
        <w:rPr>
          <w:spacing w:val="-5"/>
          <w:sz w:val="20"/>
        </w:rPr>
        <w:t> </w:t>
      </w:r>
      <w:r>
        <w:rPr>
          <w:sz w:val="20"/>
        </w:rPr>
        <w:t>recalls,</w:t>
      </w:r>
      <w:r>
        <w:rPr>
          <w:spacing w:val="-4"/>
          <w:sz w:val="20"/>
        </w:rPr>
        <w:t> </w:t>
      </w:r>
      <w:r>
        <w:rPr>
          <w:sz w:val="20"/>
        </w:rPr>
        <w:t>withdrawals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labeling,</w:t>
      </w:r>
      <w:r>
        <w:rPr>
          <w:spacing w:val="-4"/>
          <w:sz w:val="20"/>
        </w:rPr>
        <w:t> </w:t>
      </w:r>
      <w:r>
        <w:rPr>
          <w:sz w:val="20"/>
        </w:rPr>
        <w:t>marketing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promotional</w:t>
      </w:r>
      <w:r>
        <w:rPr>
          <w:spacing w:val="-4"/>
          <w:sz w:val="20"/>
        </w:rPr>
        <w:t> </w:t>
      </w:r>
      <w:r>
        <w:rPr>
          <w:sz w:val="20"/>
        </w:rPr>
        <w:t>restrictions;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loss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revenue;</w:t>
      </w:r>
      <w:r>
        <w:rPr>
          <w:spacing w:val="-3"/>
          <w:sz w:val="20"/>
        </w:rPr>
        <w:t> </w:t>
      </w:r>
      <w:r>
        <w:rPr>
          <w:sz w:val="20"/>
        </w:rPr>
        <w:t>and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exhaustion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available</w:t>
      </w:r>
      <w:r>
        <w:rPr>
          <w:spacing w:val="-4"/>
          <w:sz w:val="20"/>
        </w:rPr>
        <w:t> </w:t>
      </w:r>
      <w:r>
        <w:rPr>
          <w:sz w:val="20"/>
        </w:rPr>
        <w:t>insurance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capital</w:t>
      </w:r>
      <w:r>
        <w:rPr>
          <w:spacing w:val="-4"/>
          <w:sz w:val="20"/>
        </w:rPr>
        <w:t> </w:t>
      </w:r>
      <w:r>
        <w:rPr>
          <w:sz w:val="20"/>
        </w:rPr>
        <w:t>resources.</w:t>
      </w:r>
    </w:p>
    <w:p>
      <w:pPr>
        <w:pStyle w:val="BodyText"/>
        <w:spacing w:line="249" w:lineRule="auto"/>
        <w:ind w:right="129"/>
      </w:pPr>
      <w:r>
        <w:rPr/>
        <w:t>The risk of a product liability lawsuit may increase if our products were deemed to be non-compliant with</w:t>
      </w:r>
      <w:r>
        <w:rPr>
          <w:spacing w:val="1"/>
        </w:rPr>
        <w:t> </w:t>
      </w:r>
      <w:r>
        <w:rPr/>
        <w:t>applicable laws and regulation. In the event we face a product liability lawsuit, we believe we have adequate product</w:t>
      </w:r>
      <w:r>
        <w:rPr>
          <w:spacing w:val="-47"/>
        </w:rPr>
        <w:t> </w:t>
      </w:r>
      <w:r>
        <w:rPr/>
        <w:t>liability insurance, but it may not prove to be adequate to cover all liabilities that we may incur. Insurance coverage</w:t>
      </w:r>
      <w:r>
        <w:rPr>
          <w:spacing w:val="1"/>
        </w:rPr>
        <w:t> </w:t>
      </w:r>
      <w:r>
        <w:rPr/>
        <w:t>is increasingly expensive. We may not be able to maintain or obtain insurance at a reasonable cost or in an amount</w:t>
      </w:r>
      <w:r>
        <w:rPr>
          <w:spacing w:val="1"/>
        </w:rPr>
        <w:t> </w:t>
      </w:r>
      <w:r>
        <w:rPr/>
        <w:t>adequate to satisfy any liability that may arise. Our insurance policy contains various exclusions, and we may be</w:t>
      </w:r>
      <w:r>
        <w:rPr>
          <w:spacing w:val="1"/>
        </w:rPr>
        <w:t> </w:t>
      </w:r>
      <w:r>
        <w:rPr/>
        <w:t>subject to</w:t>
      </w:r>
      <w:r>
        <w:rPr>
          <w:spacing w:val="1"/>
        </w:rPr>
        <w:t> </w:t>
      </w:r>
      <w:r>
        <w:rPr/>
        <w:t>a product liability</w:t>
      </w:r>
      <w:r>
        <w:rPr>
          <w:spacing w:val="1"/>
        </w:rPr>
        <w:t> </w:t>
      </w:r>
      <w:r>
        <w:rPr/>
        <w:t>claim for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we have no</w:t>
      </w:r>
      <w:r>
        <w:rPr>
          <w:spacing w:val="1"/>
        </w:rPr>
        <w:t> </w:t>
      </w:r>
      <w:r>
        <w:rPr/>
        <w:t>coverage.</w:t>
      </w:r>
      <w:r>
        <w:rPr>
          <w:spacing w:val="1"/>
        </w:rPr>
        <w:t> </w:t>
      </w:r>
      <w:r>
        <w:rPr/>
        <w:t>The potential inability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obtain</w:t>
      </w:r>
      <w:r>
        <w:rPr>
          <w:spacing w:val="1"/>
        </w:rPr>
        <w:t> </w:t>
      </w:r>
      <w:r>
        <w:rPr/>
        <w:t>sufficient</w:t>
      </w:r>
      <w:r>
        <w:rPr>
          <w:spacing w:val="1"/>
        </w:rPr>
        <w:t> </w:t>
      </w:r>
      <w:r>
        <w:rPr/>
        <w:t>product</w:t>
      </w:r>
      <w:r>
        <w:rPr>
          <w:spacing w:val="-4"/>
        </w:rPr>
        <w:t> </w:t>
      </w:r>
      <w:r>
        <w:rPr/>
        <w:t>liability</w:t>
      </w:r>
      <w:r>
        <w:rPr>
          <w:spacing w:val="-3"/>
        </w:rPr>
        <w:t> </w:t>
      </w:r>
      <w:r>
        <w:rPr/>
        <w:t>insurance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/>
        <w:t>acceptable</w:t>
      </w:r>
      <w:r>
        <w:rPr>
          <w:spacing w:val="-4"/>
        </w:rPr>
        <w:t> </w:t>
      </w:r>
      <w:r>
        <w:rPr/>
        <w:t>cost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protect</w:t>
      </w:r>
      <w:r>
        <w:rPr>
          <w:spacing w:val="-4"/>
        </w:rPr>
        <w:t> </w:t>
      </w:r>
      <w:r>
        <w:rPr/>
        <w:t>against</w:t>
      </w:r>
      <w:r>
        <w:rPr>
          <w:spacing w:val="-4"/>
        </w:rPr>
        <w:t> </w:t>
      </w:r>
      <w:r>
        <w:rPr/>
        <w:t>product</w:t>
      </w:r>
      <w:r>
        <w:rPr>
          <w:spacing w:val="-4"/>
        </w:rPr>
        <w:t> </w:t>
      </w:r>
      <w:r>
        <w:rPr/>
        <w:t>liability</w:t>
      </w:r>
      <w:r>
        <w:rPr>
          <w:spacing w:val="-3"/>
        </w:rPr>
        <w:t> </w:t>
      </w:r>
      <w:r>
        <w:rPr/>
        <w:t>claims</w:t>
      </w:r>
      <w:r>
        <w:rPr>
          <w:spacing w:val="-4"/>
        </w:rPr>
        <w:t> </w:t>
      </w:r>
      <w:r>
        <w:rPr/>
        <w:t>could</w:t>
      </w:r>
      <w:r>
        <w:rPr>
          <w:spacing w:val="-3"/>
        </w:rPr>
        <w:t> </w:t>
      </w:r>
      <w:r>
        <w:rPr/>
        <w:t>prevent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inhibit</w:t>
      </w:r>
      <w:r>
        <w:rPr>
          <w:spacing w:val="-4"/>
        </w:rPr>
        <w:t> </w:t>
      </w:r>
      <w:r>
        <w:rPr/>
        <w:t>the</w:t>
      </w:r>
      <w:r>
        <w:rPr>
          <w:spacing w:val="1"/>
        </w:rPr>
        <w:t> </w:t>
      </w:r>
      <w:r>
        <w:rPr/>
        <w:t>marketing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sale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our</w:t>
      </w:r>
      <w:r>
        <w:rPr>
          <w:spacing w:val="-1"/>
        </w:rPr>
        <w:t> </w:t>
      </w:r>
      <w:r>
        <w:rPr/>
        <w:t>products.</w:t>
      </w:r>
      <w:r>
        <w:rPr>
          <w:spacing w:val="-1"/>
        </w:rPr>
        <w:t> </w:t>
      </w:r>
      <w:r>
        <w:rPr/>
        <w:t>We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pay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amounts</w:t>
      </w:r>
      <w:r>
        <w:rPr>
          <w:spacing w:val="-2"/>
        </w:rPr>
        <w:t> </w:t>
      </w:r>
      <w:r>
        <w:rPr/>
        <w:t>awarded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court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negotiated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  <w:ind w:firstLine="0"/>
      </w:pPr>
      <w:r>
        <w:rPr/>
        <w:t>settlement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exceed</w:t>
      </w:r>
      <w:r>
        <w:rPr>
          <w:spacing w:val="-2"/>
        </w:rPr>
        <w:t> </w:t>
      </w:r>
      <w:r>
        <w:rPr/>
        <w:t>our</w:t>
      </w:r>
      <w:r>
        <w:rPr>
          <w:spacing w:val="-3"/>
        </w:rPr>
        <w:t> </w:t>
      </w:r>
      <w:r>
        <w:rPr/>
        <w:t>coverage</w:t>
      </w:r>
      <w:r>
        <w:rPr>
          <w:spacing w:val="-2"/>
        </w:rPr>
        <w:t> </w:t>
      </w:r>
      <w:r>
        <w:rPr/>
        <w:t>limitations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covered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insurance,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we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have,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be</w:t>
      </w:r>
      <w:r>
        <w:rPr>
          <w:spacing w:val="-47"/>
        </w:rPr>
        <w:t> </w:t>
      </w:r>
      <w:r>
        <w:rPr/>
        <w:t>able to obtain, sufficient capital to pay such amounts, which would have a material adverse effect on our business,</w:t>
      </w:r>
      <w:r>
        <w:rPr>
          <w:spacing w:val="1"/>
        </w:rPr>
        <w:t> </w:t>
      </w:r>
      <w:r>
        <w:rPr/>
        <w:t>financial condition and results of operations. In addition, any product liability claims brought against us, with or</w:t>
      </w:r>
      <w:r>
        <w:rPr>
          <w:spacing w:val="1"/>
        </w:rPr>
        <w:t> </w:t>
      </w:r>
      <w:r>
        <w:rPr/>
        <w:t>without merit, could increase our product liability insurance rates or prevent us from securing continuing coverage,</w:t>
      </w:r>
      <w:r>
        <w:rPr>
          <w:spacing w:val="1"/>
        </w:rPr>
        <w:t> </w:t>
      </w:r>
      <w:r>
        <w:rPr/>
        <w:t>harm</w:t>
      </w:r>
      <w:r>
        <w:rPr>
          <w:spacing w:val="-2"/>
        </w:rPr>
        <w:t> </w:t>
      </w:r>
      <w:r>
        <w:rPr/>
        <w:t>our</w:t>
      </w:r>
      <w:r>
        <w:rPr>
          <w:spacing w:val="-1"/>
        </w:rPr>
        <w:t> </w:t>
      </w:r>
      <w:r>
        <w:rPr/>
        <w:t>reputation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industry, significantly</w:t>
      </w:r>
      <w:r>
        <w:rPr>
          <w:spacing w:val="-1"/>
        </w:rPr>
        <w:t> </w:t>
      </w:r>
      <w:r>
        <w:rPr/>
        <w:t>increase</w:t>
      </w:r>
      <w:r>
        <w:rPr>
          <w:spacing w:val="-2"/>
        </w:rPr>
        <w:t> </w:t>
      </w:r>
      <w:r>
        <w:rPr/>
        <w:t>our</w:t>
      </w:r>
      <w:r>
        <w:rPr>
          <w:spacing w:val="-1"/>
        </w:rPr>
        <w:t> </w:t>
      </w:r>
      <w:r>
        <w:rPr/>
        <w:t>expenses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reduce</w:t>
      </w:r>
      <w:r>
        <w:rPr>
          <w:spacing w:val="-1"/>
        </w:rPr>
        <w:t> </w:t>
      </w:r>
      <w:r>
        <w:rPr/>
        <w:t>product</w:t>
      </w:r>
      <w:r>
        <w:rPr>
          <w:spacing w:val="-2"/>
        </w:rPr>
        <w:t> </w:t>
      </w:r>
      <w:r>
        <w:rPr/>
        <w:t>sales.</w:t>
      </w:r>
    </w:p>
    <w:p>
      <w:pPr>
        <w:pStyle w:val="Heading3"/>
        <w:spacing w:line="249" w:lineRule="auto"/>
      </w:pPr>
      <w:r>
        <w:rPr>
          <w:i/>
        </w:rPr>
        <w:t>Cost-containment</w:t>
      </w:r>
      <w:r>
        <w:rPr>
          <w:i/>
          <w:spacing w:val="-5"/>
        </w:rPr>
        <w:t> </w:t>
      </w:r>
      <w:r>
        <w:rPr>
          <w:i/>
        </w:rPr>
        <w:t>efforts</w:t>
      </w:r>
      <w:r>
        <w:rPr>
          <w:i/>
          <w:spacing w:val="-5"/>
        </w:rPr>
        <w:t> </w:t>
      </w:r>
      <w:r>
        <w:rPr>
          <w:i/>
        </w:rPr>
        <w:t>of</w:t>
      </w:r>
      <w:r>
        <w:rPr>
          <w:i/>
          <w:spacing w:val="-5"/>
        </w:rPr>
        <w:t> </w:t>
      </w:r>
      <w:r>
        <w:rPr>
          <w:i/>
        </w:rPr>
        <w:t>our</w:t>
      </w:r>
      <w:r>
        <w:rPr>
          <w:i/>
          <w:spacing w:val="-5"/>
        </w:rPr>
        <w:t> </w:t>
      </w:r>
      <w:r>
        <w:rPr>
          <w:i/>
        </w:rPr>
        <w:t>customers,</w:t>
      </w:r>
      <w:r>
        <w:rPr>
          <w:i/>
          <w:spacing w:val="-4"/>
        </w:rPr>
        <w:t> </w:t>
      </w:r>
      <w:r>
        <w:rPr>
          <w:i/>
        </w:rPr>
        <w:t>purchasing</w:t>
      </w:r>
      <w:r>
        <w:rPr>
          <w:i/>
          <w:spacing w:val="-4"/>
        </w:rPr>
        <w:t> </w:t>
      </w:r>
      <w:r>
        <w:rPr>
          <w:i/>
        </w:rPr>
        <w:t>groups</w:t>
      </w:r>
      <w:r>
        <w:rPr>
          <w:i/>
          <w:spacing w:val="-5"/>
        </w:rPr>
        <w:t> </w:t>
      </w:r>
      <w:r>
        <w:rPr>
          <w:i/>
        </w:rPr>
        <w:t>and</w:t>
      </w:r>
      <w:r>
        <w:rPr>
          <w:i/>
          <w:spacing w:val="-4"/>
        </w:rPr>
        <w:t> </w:t>
      </w:r>
      <w:r>
        <w:rPr>
          <w:i/>
        </w:rPr>
        <w:t>governmental</w:t>
      </w:r>
      <w:r>
        <w:rPr>
          <w:i/>
          <w:spacing w:val="-5"/>
        </w:rPr>
        <w:t> </w:t>
      </w:r>
      <w:r>
        <w:rPr>
          <w:i/>
        </w:rPr>
        <w:t>organizations</w:t>
      </w:r>
      <w:r>
        <w:rPr>
          <w:i/>
          <w:spacing w:val="-5"/>
        </w:rPr>
        <w:t> </w:t>
      </w:r>
      <w:r>
        <w:rPr>
          <w:i/>
        </w:rPr>
        <w:t>could</w:t>
      </w:r>
      <w:r>
        <w:rPr>
          <w:i/>
          <w:spacing w:val="-4"/>
        </w:rPr>
        <w:t> </w:t>
      </w:r>
      <w:r>
        <w:rPr>
          <w:i/>
        </w:rPr>
        <w:t>have</w:t>
      </w:r>
      <w:r>
        <w:rPr>
          <w:i/>
          <w:spacing w:val="-5"/>
        </w:rPr>
        <w:t> </w:t>
      </w:r>
      <w:r>
        <w:rPr>
          <w:i/>
        </w:rPr>
        <w:t>a</w:t>
      </w:r>
      <w:r>
        <w:rPr>
          <w:i/>
          <w:spacing w:val="1"/>
        </w:rPr>
        <w:t> </w:t>
      </w:r>
      <w:r>
        <w:rPr/>
        <w:t>material</w:t>
      </w:r>
      <w:r>
        <w:rPr>
          <w:spacing w:val="-2"/>
        </w:rPr>
        <w:t> </w:t>
      </w:r>
      <w:r>
        <w:rPr/>
        <w:t>adverse</w:t>
      </w:r>
      <w:r>
        <w:rPr>
          <w:spacing w:val="-1"/>
        </w:rPr>
        <w:t> </w:t>
      </w:r>
      <w:r>
        <w:rPr/>
        <w:t>effect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our</w:t>
      </w:r>
      <w:r>
        <w:rPr>
          <w:spacing w:val="-2"/>
        </w:rPr>
        <w:t> </w:t>
      </w:r>
      <w:r>
        <w:rPr/>
        <w:t>sales</w:t>
      </w:r>
      <w:r>
        <w:rPr>
          <w:spacing w:val="-1"/>
        </w:rPr>
        <w:t> </w:t>
      </w:r>
      <w:r>
        <w:rPr/>
        <w:t>and profitability.</w:t>
      </w:r>
    </w:p>
    <w:p>
      <w:pPr>
        <w:pStyle w:val="BodyText"/>
        <w:spacing w:before="185"/>
        <w:ind w:left="460" w:firstLine="0"/>
      </w:pPr>
      <w:r>
        <w:rPr/>
        <w:t>In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effort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reduce</w:t>
      </w:r>
      <w:r>
        <w:rPr>
          <w:spacing w:val="-3"/>
        </w:rPr>
        <w:t> </w:t>
      </w:r>
      <w:r>
        <w:rPr/>
        <w:t>costs,</w:t>
      </w:r>
      <w:r>
        <w:rPr>
          <w:spacing w:val="-3"/>
        </w:rPr>
        <w:t> </w:t>
      </w:r>
      <w:r>
        <w:rPr/>
        <w:t>many</w:t>
      </w:r>
      <w:r>
        <w:rPr>
          <w:spacing w:val="-2"/>
        </w:rPr>
        <w:t> </w:t>
      </w:r>
      <w:r>
        <w:rPr/>
        <w:t>hospitals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United</w:t>
      </w:r>
      <w:r>
        <w:rPr>
          <w:spacing w:val="-2"/>
        </w:rPr>
        <w:t> </w:t>
      </w:r>
      <w:r>
        <w:rPr/>
        <w:t>States</w:t>
      </w:r>
      <w:r>
        <w:rPr>
          <w:spacing w:val="-4"/>
        </w:rPr>
        <w:t> </w:t>
      </w:r>
      <w:r>
        <w:rPr/>
        <w:t>have</w:t>
      </w:r>
      <w:r>
        <w:rPr>
          <w:spacing w:val="-3"/>
        </w:rPr>
        <w:t> </w:t>
      </w:r>
      <w:r>
        <w:rPr/>
        <w:t>become</w:t>
      </w:r>
      <w:r>
        <w:rPr>
          <w:spacing w:val="-3"/>
        </w:rPr>
        <w:t> </w:t>
      </w:r>
      <w:r>
        <w:rPr/>
        <w:t>members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GPOs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IDNs.</w:t>
      </w:r>
    </w:p>
    <w:p>
      <w:pPr>
        <w:pStyle w:val="BodyText"/>
        <w:spacing w:line="249" w:lineRule="auto" w:before="10"/>
        <w:ind w:right="150" w:firstLine="0"/>
      </w:pPr>
      <w:r>
        <w:rPr/>
        <w:t>GPOs and IDNs negotiate pricing arrangements with medical device companies and distributors and then offer these</w:t>
      </w:r>
      <w:r>
        <w:rPr>
          <w:spacing w:val="-47"/>
        </w:rPr>
        <w:t> </w:t>
      </w:r>
      <w:r>
        <w:rPr/>
        <w:t>negotiated</w:t>
      </w:r>
      <w:r>
        <w:rPr>
          <w:spacing w:val="-4"/>
        </w:rPr>
        <w:t> </w:t>
      </w:r>
      <w:r>
        <w:rPr/>
        <w:t>prices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affiliated</w:t>
      </w:r>
      <w:r>
        <w:rPr>
          <w:spacing w:val="-3"/>
        </w:rPr>
        <w:t> </w:t>
      </w:r>
      <w:r>
        <w:rPr/>
        <w:t>hospitals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other</w:t>
      </w:r>
      <w:r>
        <w:rPr>
          <w:spacing w:val="-4"/>
        </w:rPr>
        <w:t> </w:t>
      </w:r>
      <w:r>
        <w:rPr/>
        <w:t>members.</w:t>
      </w:r>
      <w:r>
        <w:rPr>
          <w:spacing w:val="-3"/>
        </w:rPr>
        <w:t> </w:t>
      </w:r>
      <w:r>
        <w:rPr/>
        <w:t>GPOs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IDNs</w:t>
      </w:r>
      <w:r>
        <w:rPr>
          <w:spacing w:val="-4"/>
        </w:rPr>
        <w:t> </w:t>
      </w:r>
      <w:r>
        <w:rPr/>
        <w:t>typically</w:t>
      </w:r>
      <w:r>
        <w:rPr>
          <w:spacing w:val="-3"/>
        </w:rPr>
        <w:t> </w:t>
      </w:r>
      <w:r>
        <w:rPr/>
        <w:t>award</w:t>
      </w:r>
      <w:r>
        <w:rPr>
          <w:spacing w:val="-4"/>
        </w:rPr>
        <w:t> </w:t>
      </w:r>
      <w:r>
        <w:rPr/>
        <w:t>contracts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category-</w:t>
      </w:r>
      <w:r>
        <w:rPr>
          <w:spacing w:val="1"/>
        </w:rPr>
        <w:t> </w:t>
      </w:r>
      <w:r>
        <w:rPr/>
        <w:t>by-category basis through a competitive bidding process. Bids are generally solicited from multiple providers with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intention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driving</w:t>
      </w:r>
      <w:r>
        <w:rPr>
          <w:spacing w:val="-2"/>
        </w:rPr>
        <w:t> </w:t>
      </w:r>
      <w:r>
        <w:rPr/>
        <w:t>down</w:t>
      </w:r>
      <w:r>
        <w:rPr>
          <w:spacing w:val="-1"/>
        </w:rPr>
        <w:t> </w:t>
      </w:r>
      <w:r>
        <w:rPr/>
        <w:t>pricing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reducing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vendors.</w:t>
      </w:r>
      <w:r>
        <w:rPr>
          <w:spacing w:val="-2"/>
        </w:rPr>
        <w:t> </w:t>
      </w:r>
      <w:r>
        <w:rPr/>
        <w:t>Due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highly</w:t>
      </w:r>
      <w:r>
        <w:rPr>
          <w:spacing w:val="-2"/>
        </w:rPr>
        <w:t> </w:t>
      </w:r>
      <w:r>
        <w:rPr/>
        <w:t>competitive</w:t>
      </w:r>
      <w:r>
        <w:rPr>
          <w:spacing w:val="-3"/>
        </w:rPr>
        <w:t> </w:t>
      </w:r>
      <w:r>
        <w:rPr/>
        <w:t>nature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7"/>
        </w:rPr>
        <w:t> </w:t>
      </w:r>
      <w:r>
        <w:rPr/>
        <w:t>GPO and IDN contracting processes, we may not be able to obtain new, or maintain existing, contract positions with</w:t>
      </w:r>
      <w:r>
        <w:rPr>
          <w:spacing w:val="-47"/>
        </w:rPr>
        <w:t> </w:t>
      </w:r>
      <w:r>
        <w:rPr/>
        <w:t>major GPOs and IDNs. Furthermore, the increasing leverage of organized buying groups may reduce market prices</w:t>
      </w:r>
      <w:r>
        <w:rPr>
          <w:spacing w:val="1"/>
        </w:rPr>
        <w:t> </w:t>
      </w:r>
      <w:r>
        <w:rPr/>
        <w:t>for</w:t>
      </w:r>
      <w:r>
        <w:rPr>
          <w:spacing w:val="-1"/>
        </w:rPr>
        <w:t> </w:t>
      </w:r>
      <w:r>
        <w:rPr/>
        <w:t>our AquaBeam</w:t>
      </w:r>
      <w:r>
        <w:rPr>
          <w:spacing w:val="-2"/>
        </w:rPr>
        <w:t> </w:t>
      </w:r>
      <w:r>
        <w:rPr/>
        <w:t>Robotic</w:t>
      </w:r>
      <w:r>
        <w:rPr>
          <w:spacing w:val="-1"/>
        </w:rPr>
        <w:t> </w:t>
      </w:r>
      <w:r>
        <w:rPr/>
        <w:t>System, thereby</w:t>
      </w:r>
      <w:r>
        <w:rPr>
          <w:spacing w:val="-1"/>
        </w:rPr>
        <w:t> </w:t>
      </w:r>
      <w:r>
        <w:rPr/>
        <w:t>reducing our revenue</w:t>
      </w:r>
      <w:r>
        <w:rPr>
          <w:spacing w:val="-2"/>
        </w:rPr>
        <w:t> </w:t>
      </w:r>
      <w:r>
        <w:rPr/>
        <w:t>and margins.</w:t>
      </w:r>
    </w:p>
    <w:p>
      <w:pPr>
        <w:pStyle w:val="BodyText"/>
        <w:spacing w:line="249" w:lineRule="auto" w:before="186"/>
        <w:ind w:right="163"/>
      </w:pPr>
      <w:r>
        <w:rPr/>
        <w:t>While having a contract with a GPO or IDN for a given product category can facilitate sales to members of that</w:t>
      </w:r>
      <w:r>
        <w:rPr>
          <w:spacing w:val="-47"/>
        </w:rPr>
        <w:t> </w:t>
      </w:r>
      <w:r>
        <w:rPr/>
        <w:t>GPO or IDN, such contract positions can offer no assurance that any level of sales will be achieved, as sales are</w:t>
      </w:r>
      <w:r>
        <w:rPr>
          <w:spacing w:val="1"/>
        </w:rPr>
        <w:t> </w:t>
      </w:r>
      <w:r>
        <w:rPr/>
        <w:t>typically made pursuant to individual purchase orders. Even when a provider is the sole contracted supplier of a</w:t>
      </w:r>
      <w:r>
        <w:rPr>
          <w:spacing w:val="1"/>
        </w:rPr>
        <w:t> </w:t>
      </w:r>
      <w:r>
        <w:rPr/>
        <w:t>GPO or IDN for a certain product category, members of the GPO or IDN are generally free to purchase from other</w:t>
      </w:r>
      <w:r>
        <w:rPr>
          <w:spacing w:val="1"/>
        </w:rPr>
        <w:t> </w:t>
      </w:r>
      <w:r>
        <w:rPr/>
        <w:t>suppliers. Furthermore, GPO and IDN contracts typically are terminable without cause by the GPO or IDN upon 60</w:t>
      </w:r>
      <w:r>
        <w:rPr>
          <w:spacing w:val="1"/>
        </w:rPr>
        <w:t> </w:t>
      </w:r>
      <w:r>
        <w:rPr/>
        <w:t>to</w:t>
      </w:r>
      <w:r>
        <w:rPr>
          <w:spacing w:val="-3"/>
        </w:rPr>
        <w:t> </w:t>
      </w:r>
      <w:r>
        <w:rPr/>
        <w:t>90</w:t>
      </w:r>
      <w:r>
        <w:rPr>
          <w:spacing w:val="-2"/>
        </w:rPr>
        <w:t> </w:t>
      </w:r>
      <w:r>
        <w:rPr/>
        <w:t>days’</w:t>
      </w:r>
      <w:r>
        <w:rPr>
          <w:spacing w:val="-2"/>
        </w:rPr>
        <w:t> </w:t>
      </w:r>
      <w:r>
        <w:rPr/>
        <w:t>notice.</w:t>
      </w:r>
      <w:r>
        <w:rPr>
          <w:spacing w:val="-2"/>
        </w:rPr>
        <w:t> </w:t>
      </w:r>
      <w:r>
        <w:rPr/>
        <w:t>Accordingly,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members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such</w:t>
      </w:r>
      <w:r>
        <w:rPr>
          <w:spacing w:val="-2"/>
        </w:rPr>
        <w:t> </w:t>
      </w:r>
      <w:r>
        <w:rPr/>
        <w:t>groups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choose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purchase</w:t>
      </w:r>
      <w:r>
        <w:rPr>
          <w:spacing w:val="-3"/>
        </w:rPr>
        <w:t> </w:t>
      </w:r>
      <w:r>
        <w:rPr/>
        <w:t>alternative</w:t>
      </w:r>
      <w:r>
        <w:rPr>
          <w:spacing w:val="-3"/>
        </w:rPr>
        <w:t> </w:t>
      </w:r>
      <w:r>
        <w:rPr/>
        <w:t>products</w:t>
      </w:r>
      <w:r>
        <w:rPr>
          <w:spacing w:val="-3"/>
        </w:rPr>
        <w:t> </w:t>
      </w:r>
      <w:r>
        <w:rPr/>
        <w:t>due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47"/>
        </w:rPr>
        <w:t> </w:t>
      </w:r>
      <w:r>
        <w:rPr/>
        <w:t>price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quality offered</w:t>
      </w:r>
      <w:r>
        <w:rPr>
          <w:spacing w:val="-1"/>
        </w:rPr>
        <w:t> </w:t>
      </w:r>
      <w:r>
        <w:rPr/>
        <w:t>by other</w:t>
      </w:r>
      <w:r>
        <w:rPr>
          <w:spacing w:val="-1"/>
        </w:rPr>
        <w:t> </w:t>
      </w:r>
      <w:r>
        <w:rPr/>
        <w:t>companies,</w:t>
      </w:r>
      <w:r>
        <w:rPr>
          <w:spacing w:val="-1"/>
        </w:rPr>
        <w:t> </w:t>
      </w:r>
      <w:r>
        <w:rPr/>
        <w:t>which could</w:t>
      </w:r>
      <w:r>
        <w:rPr>
          <w:spacing w:val="-1"/>
        </w:rPr>
        <w:t> </w:t>
      </w:r>
      <w:r>
        <w:rPr/>
        <w:t>result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decline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our revenue.</w:t>
      </w:r>
    </w:p>
    <w:p>
      <w:pPr>
        <w:pStyle w:val="Heading3"/>
        <w:spacing w:line="249" w:lineRule="auto" w:before="183"/>
      </w:pPr>
      <w:r>
        <w:rPr>
          <w:i/>
        </w:rPr>
        <w:t>We may seek strategic alliances, joint ventures or collaborations, or enter into licensing or partnership</w:t>
      </w:r>
      <w:r>
        <w:rPr>
          <w:i/>
          <w:spacing w:val="1"/>
        </w:rPr>
        <w:t> </w:t>
      </w:r>
      <w:r>
        <w:rPr/>
        <w:t>arrangements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future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may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successful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doing</w:t>
      </w:r>
      <w:r>
        <w:rPr>
          <w:spacing w:val="-2"/>
        </w:rPr>
        <w:t> </w:t>
      </w:r>
      <w:r>
        <w:rPr/>
        <w:t>so,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even</w:t>
      </w:r>
      <w:r>
        <w:rPr>
          <w:spacing w:val="-3"/>
        </w:rPr>
        <w:t> </w:t>
      </w:r>
      <w:r>
        <w:rPr/>
        <w:t>if</w:t>
      </w:r>
      <w:r>
        <w:rPr>
          <w:spacing w:val="-2"/>
        </w:rPr>
        <w:t> </w:t>
      </w:r>
      <w:r>
        <w:rPr/>
        <w:t>we</w:t>
      </w:r>
      <w:r>
        <w:rPr>
          <w:spacing w:val="-3"/>
        </w:rPr>
        <w:t> </w:t>
      </w:r>
      <w:r>
        <w:rPr/>
        <w:t>are,</w:t>
      </w:r>
      <w:r>
        <w:rPr>
          <w:spacing w:val="-2"/>
        </w:rPr>
        <w:t> </w:t>
      </w:r>
      <w:r>
        <w:rPr/>
        <w:t>we</w:t>
      </w:r>
      <w:r>
        <w:rPr>
          <w:spacing w:val="-3"/>
        </w:rPr>
        <w:t> </w:t>
      </w:r>
      <w:r>
        <w:rPr/>
        <w:t>may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realize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/>
        <w:t>benefits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costs</w:t>
      </w:r>
      <w:r>
        <w:rPr>
          <w:spacing w:val="-1"/>
        </w:rPr>
        <w:t> </w:t>
      </w:r>
      <w:r>
        <w:rPr/>
        <w:t>of such</w:t>
      </w:r>
      <w:r>
        <w:rPr>
          <w:spacing w:val="-1"/>
        </w:rPr>
        <w:t> </w:t>
      </w:r>
      <w:r>
        <w:rPr/>
        <w:t>relationships.</w:t>
      </w:r>
    </w:p>
    <w:p>
      <w:pPr>
        <w:pStyle w:val="BodyText"/>
        <w:spacing w:line="249" w:lineRule="auto" w:before="185"/>
        <w:ind w:right="175"/>
      </w:pPr>
      <w:r>
        <w:rPr/>
        <w:t>We may form or seek strategic alliances, create joint ventures or collaborations or enter into licensing or</w:t>
      </w:r>
      <w:r>
        <w:rPr>
          <w:spacing w:val="1"/>
        </w:rPr>
        <w:t> </w:t>
      </w:r>
      <w:r>
        <w:rPr/>
        <w:t>partnership arrangements with third parties that we believe will compliment or augment our sales and marketing</w:t>
      </w:r>
      <w:r>
        <w:rPr>
          <w:spacing w:val="1"/>
        </w:rPr>
        <w:t> </w:t>
      </w:r>
      <w:r>
        <w:rPr/>
        <w:t>efforts with respect to our AquaBeam Robotic System. We may not be successful in our efforts to establish such</w:t>
      </w:r>
      <w:r>
        <w:rPr>
          <w:spacing w:val="1"/>
        </w:rPr>
        <w:t> </w:t>
      </w:r>
      <w:r>
        <w:rPr/>
        <w:t>collaborations.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these</w:t>
      </w:r>
      <w:r>
        <w:rPr>
          <w:spacing w:val="-4"/>
        </w:rPr>
        <w:t> </w:t>
      </w:r>
      <w:r>
        <w:rPr/>
        <w:t>relationships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require</w:t>
      </w:r>
      <w:r>
        <w:rPr>
          <w:spacing w:val="-3"/>
        </w:rPr>
        <w:t> </w:t>
      </w:r>
      <w:r>
        <w:rPr/>
        <w:t>us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incur</w:t>
      </w:r>
      <w:r>
        <w:rPr>
          <w:spacing w:val="-3"/>
        </w:rPr>
        <w:t> </w:t>
      </w:r>
      <w:r>
        <w:rPr/>
        <w:t>non-recurring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other</w:t>
      </w:r>
      <w:r>
        <w:rPr>
          <w:spacing w:val="-3"/>
        </w:rPr>
        <w:t> </w:t>
      </w:r>
      <w:r>
        <w:rPr/>
        <w:t>charges,</w:t>
      </w:r>
      <w:r>
        <w:rPr>
          <w:spacing w:val="-2"/>
        </w:rPr>
        <w:t> </w:t>
      </w:r>
      <w:r>
        <w:rPr/>
        <w:t>increase</w:t>
      </w:r>
      <w:r>
        <w:rPr>
          <w:spacing w:val="-4"/>
        </w:rPr>
        <w:t> </w:t>
      </w:r>
      <w:r>
        <w:rPr/>
        <w:t>our</w:t>
      </w:r>
      <w:r>
        <w:rPr>
          <w:spacing w:val="-2"/>
        </w:rPr>
        <w:t> </w:t>
      </w:r>
      <w:r>
        <w:rPr/>
        <w:t>near</w:t>
      </w:r>
      <w:r>
        <w:rPr>
          <w:spacing w:val="-47"/>
        </w:rPr>
        <w:t> </w:t>
      </w:r>
      <w:r>
        <w:rPr/>
        <w:t>and long-term expenditures, issue securities that dilute our existing stockholders or disrupt our management and</w:t>
      </w:r>
      <w:r>
        <w:rPr>
          <w:spacing w:val="1"/>
        </w:rPr>
        <w:t> </w:t>
      </w:r>
      <w:r>
        <w:rPr/>
        <w:t>business. In addition, we face significant competition in seeking appropriate strategic partners and the negotiation</w:t>
      </w:r>
      <w:r>
        <w:rPr>
          <w:spacing w:val="1"/>
        </w:rPr>
        <w:t> </w:t>
      </w:r>
      <w:r>
        <w:rPr/>
        <w:t>process is time-consuming and complex. Moreover, we may not be successful in our efforts to establish a strategic</w:t>
      </w:r>
      <w:r>
        <w:rPr>
          <w:spacing w:val="1"/>
        </w:rPr>
        <w:t> </w:t>
      </w:r>
      <w:r>
        <w:rPr/>
        <w:t>alliance or other alternative arrangements for our products. We cannot be certain that, following a strategic alliance</w:t>
      </w:r>
      <w:r>
        <w:rPr>
          <w:spacing w:val="1"/>
        </w:rPr>
        <w:t> </w:t>
      </w:r>
      <w:r>
        <w:rPr/>
        <w:t>or similar arrangement, we will achieve the revenue or specific net income that justifies such transaction. In</w:t>
      </w:r>
      <w:r>
        <w:rPr>
          <w:spacing w:val="1"/>
        </w:rPr>
        <w:t> </w:t>
      </w:r>
      <w:r>
        <w:rPr/>
        <w:t>addition, any potential future collaborations may be terminable by our collaborators, and we may not be able to</w:t>
      </w:r>
      <w:r>
        <w:rPr>
          <w:spacing w:val="1"/>
        </w:rPr>
        <w:t> </w:t>
      </w:r>
      <w:r>
        <w:rPr/>
        <w:t>adequately protect our rights under these agreements. Any termination of collaborations we enter into in the future,</w:t>
      </w:r>
      <w:r>
        <w:rPr>
          <w:spacing w:val="1"/>
        </w:rPr>
        <w:t> </w:t>
      </w:r>
      <w:r>
        <w:rPr/>
        <w:t>or delays in entering into new strategic partnership agreements could delay tour sales and marketing efforts, which</w:t>
      </w:r>
      <w:r>
        <w:rPr>
          <w:spacing w:val="1"/>
        </w:rPr>
        <w:t> </w:t>
      </w:r>
      <w:r>
        <w:rPr/>
        <w:t>would</w:t>
      </w:r>
      <w:r>
        <w:rPr>
          <w:spacing w:val="-1"/>
        </w:rPr>
        <w:t> </w:t>
      </w:r>
      <w:r>
        <w:rPr/>
        <w:t>harm</w:t>
      </w:r>
      <w:r>
        <w:rPr>
          <w:spacing w:val="-1"/>
        </w:rPr>
        <w:t> </w:t>
      </w:r>
      <w:r>
        <w:rPr/>
        <w:t>our</w:t>
      </w:r>
      <w:r>
        <w:rPr>
          <w:spacing w:val="-1"/>
        </w:rPr>
        <w:t> </w:t>
      </w:r>
      <w:r>
        <w:rPr/>
        <w:t>business</w:t>
      </w:r>
      <w:r>
        <w:rPr>
          <w:spacing w:val="-1"/>
        </w:rPr>
        <w:t> </w:t>
      </w:r>
      <w:r>
        <w:rPr/>
        <w:t>prospects,</w:t>
      </w:r>
      <w:r>
        <w:rPr>
          <w:spacing w:val="-1"/>
        </w:rPr>
        <w:t> </w:t>
      </w:r>
      <w:r>
        <w:rPr/>
        <w:t>financial</w:t>
      </w:r>
      <w:r>
        <w:rPr>
          <w:spacing w:val="-1"/>
        </w:rPr>
        <w:t> </w:t>
      </w:r>
      <w:r>
        <w:rPr/>
        <w:t>condition</w:t>
      </w:r>
      <w:r>
        <w:rPr>
          <w:spacing w:val="-1"/>
        </w:rPr>
        <w:t> </w:t>
      </w:r>
      <w:r>
        <w:rPr/>
        <w:t>and results</w:t>
      </w:r>
      <w:r>
        <w:rPr>
          <w:spacing w:val="-2"/>
        </w:rPr>
        <w:t> </w:t>
      </w:r>
      <w:r>
        <w:rPr/>
        <w:t>of operations.</w:t>
      </w:r>
    </w:p>
    <w:p>
      <w:pPr>
        <w:pStyle w:val="Heading3"/>
        <w:spacing w:line="249" w:lineRule="auto" w:before="188"/>
      </w:pPr>
      <w:r>
        <w:rPr>
          <w:i/>
        </w:rPr>
        <w:t>Our</w:t>
      </w:r>
      <w:r>
        <w:rPr>
          <w:i/>
          <w:spacing w:val="-4"/>
        </w:rPr>
        <w:t> </w:t>
      </w:r>
      <w:r>
        <w:rPr>
          <w:i/>
        </w:rPr>
        <w:t>future</w:t>
      </w:r>
      <w:r>
        <w:rPr>
          <w:i/>
          <w:spacing w:val="-3"/>
        </w:rPr>
        <w:t> </w:t>
      </w:r>
      <w:r>
        <w:rPr>
          <w:i/>
        </w:rPr>
        <w:t>growth</w:t>
      </w:r>
      <w:r>
        <w:rPr>
          <w:i/>
          <w:spacing w:val="-4"/>
        </w:rPr>
        <w:t> </w:t>
      </w:r>
      <w:r>
        <w:rPr>
          <w:i/>
        </w:rPr>
        <w:t>may</w:t>
      </w:r>
      <w:r>
        <w:rPr>
          <w:i/>
          <w:spacing w:val="-3"/>
        </w:rPr>
        <w:t> </w:t>
      </w:r>
      <w:r>
        <w:rPr>
          <w:i/>
        </w:rPr>
        <w:t>depend,</w:t>
      </w:r>
      <w:r>
        <w:rPr>
          <w:i/>
          <w:spacing w:val="-3"/>
        </w:rPr>
        <w:t> </w:t>
      </w:r>
      <w:r>
        <w:rPr>
          <w:i/>
        </w:rPr>
        <w:t>in</w:t>
      </w:r>
      <w:r>
        <w:rPr>
          <w:i/>
          <w:spacing w:val="-3"/>
        </w:rPr>
        <w:t> </w:t>
      </w:r>
      <w:r>
        <w:rPr>
          <w:i/>
        </w:rPr>
        <w:t>part,</w:t>
      </w:r>
      <w:r>
        <w:rPr>
          <w:i/>
          <w:spacing w:val="-3"/>
        </w:rPr>
        <w:t> </w:t>
      </w:r>
      <w:r>
        <w:rPr>
          <w:i/>
        </w:rPr>
        <w:t>on</w:t>
      </w:r>
      <w:r>
        <w:rPr>
          <w:i/>
          <w:spacing w:val="-3"/>
        </w:rPr>
        <w:t> </w:t>
      </w:r>
      <w:r>
        <w:rPr>
          <w:i/>
        </w:rPr>
        <w:t>our</w:t>
      </w:r>
      <w:r>
        <w:rPr>
          <w:i/>
          <w:spacing w:val="-4"/>
        </w:rPr>
        <w:t> </w:t>
      </w:r>
      <w:r>
        <w:rPr>
          <w:i/>
        </w:rPr>
        <w:t>ability</w:t>
      </w:r>
      <w:r>
        <w:rPr>
          <w:i/>
          <w:spacing w:val="-3"/>
        </w:rPr>
        <w:t> </w:t>
      </w:r>
      <w:r>
        <w:rPr>
          <w:i/>
        </w:rPr>
        <w:t>to</w:t>
      </w:r>
      <w:r>
        <w:rPr>
          <w:i/>
          <w:spacing w:val="-3"/>
        </w:rPr>
        <w:t> </w:t>
      </w:r>
      <w:r>
        <w:rPr>
          <w:i/>
        </w:rPr>
        <w:t>penetrate</w:t>
      </w:r>
      <w:r>
        <w:rPr>
          <w:i/>
          <w:spacing w:val="-3"/>
        </w:rPr>
        <w:t> </w:t>
      </w:r>
      <w:r>
        <w:rPr>
          <w:i/>
        </w:rPr>
        <w:t>foreign</w:t>
      </w:r>
      <w:r>
        <w:rPr>
          <w:i/>
          <w:spacing w:val="-4"/>
        </w:rPr>
        <w:t> </w:t>
      </w:r>
      <w:r>
        <w:rPr>
          <w:i/>
        </w:rPr>
        <w:t>markets,</w:t>
      </w:r>
      <w:r>
        <w:rPr>
          <w:i/>
          <w:spacing w:val="-2"/>
        </w:rPr>
        <w:t> </w:t>
      </w:r>
      <w:r>
        <w:rPr>
          <w:i/>
        </w:rPr>
        <w:t>where</w:t>
      </w:r>
      <w:r>
        <w:rPr>
          <w:i/>
          <w:spacing w:val="-4"/>
        </w:rPr>
        <w:t> </w:t>
      </w:r>
      <w:r>
        <w:rPr>
          <w:i/>
        </w:rPr>
        <w:t>we</w:t>
      </w:r>
      <w:r>
        <w:rPr>
          <w:i/>
          <w:spacing w:val="-3"/>
        </w:rPr>
        <w:t> </w:t>
      </w:r>
      <w:r>
        <w:rPr>
          <w:i/>
        </w:rPr>
        <w:t>would</w:t>
      </w:r>
      <w:r>
        <w:rPr>
          <w:i/>
          <w:spacing w:val="-3"/>
        </w:rPr>
        <w:t> </w:t>
      </w:r>
      <w:r>
        <w:rPr>
          <w:i/>
        </w:rPr>
        <w:t>be</w:t>
      </w:r>
      <w:r>
        <w:rPr>
          <w:i/>
          <w:spacing w:val="-3"/>
        </w:rPr>
        <w:t> </w:t>
      </w:r>
      <w:r>
        <w:rPr>
          <w:i/>
        </w:rPr>
        <w:t>subject</w:t>
      </w:r>
      <w:r>
        <w:rPr>
          <w:i/>
          <w:spacing w:val="-4"/>
        </w:rPr>
        <w:t> </w:t>
      </w:r>
      <w:r>
        <w:rPr>
          <w:i/>
        </w:rPr>
        <w:t>to</w:t>
      </w:r>
      <w:r>
        <w:rPr>
          <w:i/>
          <w:spacing w:val="1"/>
        </w:rPr>
        <w:t> </w:t>
      </w:r>
      <w:r>
        <w:rPr/>
        <w:t>additional</w:t>
      </w:r>
      <w:r>
        <w:rPr>
          <w:spacing w:val="-2"/>
        </w:rPr>
        <w:t> </w:t>
      </w:r>
      <w:r>
        <w:rPr/>
        <w:t>regulatory</w:t>
      </w:r>
      <w:r>
        <w:rPr>
          <w:spacing w:val="-1"/>
        </w:rPr>
        <w:t> </w:t>
      </w:r>
      <w:r>
        <w:rPr/>
        <w:t>burdens</w:t>
      </w:r>
      <w:r>
        <w:rPr>
          <w:spacing w:val="-2"/>
        </w:rPr>
        <w:t> </w:t>
      </w:r>
      <w:r>
        <w:rPr/>
        <w:t>and other</w:t>
      </w:r>
      <w:r>
        <w:rPr>
          <w:spacing w:val="-1"/>
        </w:rPr>
        <w:t> </w:t>
      </w:r>
      <w:r>
        <w:rPr/>
        <w:t>risks</w:t>
      </w:r>
      <w:r>
        <w:rPr>
          <w:spacing w:val="-2"/>
        </w:rPr>
        <w:t> </w:t>
      </w:r>
      <w:r>
        <w:rPr/>
        <w:t>and uncertainties.</w:t>
      </w:r>
    </w:p>
    <w:p>
      <w:pPr>
        <w:pStyle w:val="BodyText"/>
        <w:spacing w:line="249" w:lineRule="auto" w:before="185"/>
      </w:pPr>
      <w:r>
        <w:rPr/>
        <w:t>We currently market and sell our products in 11 countries outside of the United States, including Germany,</w:t>
      </w:r>
      <w:r>
        <w:rPr>
          <w:spacing w:val="1"/>
        </w:rPr>
        <w:t> </w:t>
      </w:r>
      <w:r>
        <w:rPr/>
        <w:t>France,</w:t>
      </w:r>
      <w:r>
        <w:rPr>
          <w:spacing w:val="-3"/>
        </w:rPr>
        <w:t> </w:t>
      </w:r>
      <w:r>
        <w:rPr/>
        <w:t>Italy,</w:t>
      </w:r>
      <w:r>
        <w:rPr>
          <w:spacing w:val="-2"/>
        </w:rPr>
        <w:t> </w:t>
      </w:r>
      <w:r>
        <w:rPr/>
        <w:t>Spain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United</w:t>
      </w:r>
      <w:r>
        <w:rPr>
          <w:spacing w:val="-2"/>
        </w:rPr>
        <w:t> </w:t>
      </w:r>
      <w:r>
        <w:rPr/>
        <w:t>Kingdom.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sale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shipment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our</w:t>
      </w:r>
      <w:r>
        <w:rPr>
          <w:spacing w:val="-3"/>
        </w:rPr>
        <w:t> </w:t>
      </w:r>
      <w:r>
        <w:rPr/>
        <w:t>products</w:t>
      </w:r>
      <w:r>
        <w:rPr>
          <w:spacing w:val="-3"/>
        </w:rPr>
        <w:t> </w:t>
      </w:r>
      <w:r>
        <w:rPr/>
        <w:t>across</w:t>
      </w:r>
      <w:r>
        <w:rPr>
          <w:spacing w:val="-3"/>
        </w:rPr>
        <w:t> </w:t>
      </w:r>
      <w:r>
        <w:rPr/>
        <w:t>international</w:t>
      </w:r>
      <w:r>
        <w:rPr>
          <w:spacing w:val="-4"/>
        </w:rPr>
        <w:t> </w:t>
      </w:r>
      <w:r>
        <w:rPr/>
        <w:t>borders,</w:t>
      </w:r>
      <w:r>
        <w:rPr>
          <w:spacing w:val="-2"/>
        </w:rPr>
        <w:t> </w:t>
      </w:r>
      <w:r>
        <w:rPr/>
        <w:t>as</w:t>
      </w:r>
      <w:r>
        <w:rPr>
          <w:spacing w:val="-47"/>
        </w:rPr>
        <w:t> </w:t>
      </w:r>
      <w:r>
        <w:rPr/>
        <w:t>well as the purchase of components and products from international sources, subjects us to extensive U.S. and other</w:t>
      </w:r>
      <w:r>
        <w:rPr>
          <w:spacing w:val="-47"/>
        </w:rPr>
        <w:t> </w:t>
      </w:r>
      <w:r>
        <w:rPr/>
        <w:t>foreign governmental trade, import and export and customs laws and regulations. Compliance with these laws and</w:t>
      </w:r>
      <w:r>
        <w:rPr>
          <w:spacing w:val="1"/>
        </w:rPr>
        <w:t> </w:t>
      </w:r>
      <w:r>
        <w:rPr/>
        <w:t>regulations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costly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exposes</w:t>
      </w:r>
      <w:r>
        <w:rPr>
          <w:spacing w:val="-4"/>
        </w:rPr>
        <w:t> </w:t>
      </w:r>
      <w:r>
        <w:rPr/>
        <w:t>us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penalties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non-compliance.</w:t>
      </w:r>
      <w:r>
        <w:rPr>
          <w:spacing w:val="-2"/>
        </w:rPr>
        <w:t> </w:t>
      </w:r>
      <w:r>
        <w:rPr/>
        <w:t>We</w:t>
      </w:r>
      <w:r>
        <w:rPr>
          <w:spacing w:val="-4"/>
        </w:rPr>
        <w:t> </w:t>
      </w:r>
      <w:r>
        <w:rPr/>
        <w:t>expect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international</w:t>
      </w:r>
      <w:r>
        <w:rPr>
          <w:spacing w:val="-3"/>
        </w:rPr>
        <w:t> </w:t>
      </w:r>
      <w:r>
        <w:rPr/>
        <w:t>activities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  <w:ind w:right="212" w:firstLine="0"/>
      </w:pPr>
      <w:r>
        <w:rPr/>
        <w:t>dynamic</w:t>
      </w:r>
      <w:r>
        <w:rPr>
          <w:spacing w:val="-4"/>
        </w:rPr>
        <w:t> </w:t>
      </w:r>
      <w:r>
        <w:rPr/>
        <w:t>over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foreseeable</w:t>
      </w:r>
      <w:r>
        <w:rPr>
          <w:spacing w:val="-4"/>
        </w:rPr>
        <w:t> </w:t>
      </w:r>
      <w:r>
        <w:rPr/>
        <w:t>future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we</w:t>
      </w:r>
      <w:r>
        <w:rPr>
          <w:spacing w:val="-3"/>
        </w:rPr>
        <w:t> </w:t>
      </w:r>
      <w:r>
        <w:rPr/>
        <w:t>continue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pursue</w:t>
      </w:r>
      <w:r>
        <w:rPr>
          <w:spacing w:val="-4"/>
        </w:rPr>
        <w:t> </w:t>
      </w:r>
      <w:r>
        <w:rPr/>
        <w:t>opportunities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international</w:t>
      </w:r>
      <w:r>
        <w:rPr>
          <w:spacing w:val="-4"/>
        </w:rPr>
        <w:t> </w:t>
      </w:r>
      <w:r>
        <w:rPr/>
        <w:t>markets.</w:t>
      </w:r>
      <w:r>
        <w:rPr>
          <w:spacing w:val="-2"/>
        </w:rPr>
        <w:t> </w:t>
      </w:r>
      <w:r>
        <w:rPr/>
        <w:t>Our</w:t>
      </w:r>
      <w:r>
        <w:rPr>
          <w:spacing w:val="-47"/>
        </w:rPr>
        <w:t> </w:t>
      </w:r>
      <w:r>
        <w:rPr/>
        <w:t>international</w:t>
      </w:r>
      <w:r>
        <w:rPr>
          <w:spacing w:val="-2"/>
        </w:rPr>
        <w:t> </w:t>
      </w:r>
      <w:r>
        <w:rPr/>
        <w:t>business</w:t>
      </w:r>
      <w:r>
        <w:rPr>
          <w:spacing w:val="-2"/>
        </w:rPr>
        <w:t> </w:t>
      </w:r>
      <w:r>
        <w:rPr/>
        <w:t>operations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subject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variety</w:t>
      </w:r>
      <w:r>
        <w:rPr>
          <w:spacing w:val="-1"/>
        </w:rPr>
        <w:t> </w:t>
      </w:r>
      <w:r>
        <w:rPr/>
        <w:t>of risks,</w:t>
      </w:r>
      <w:r>
        <w:rPr>
          <w:spacing w:val="-1"/>
        </w:rPr>
        <w:t> </w:t>
      </w:r>
      <w:r>
        <w:rPr/>
        <w:t>including: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9" w:lineRule="auto" w:before="181" w:after="0"/>
        <w:ind w:left="820" w:right="589" w:hanging="360"/>
        <w:jc w:val="left"/>
        <w:rPr>
          <w:sz w:val="20"/>
        </w:rPr>
      </w:pPr>
      <w:r>
        <w:rPr>
          <w:sz w:val="20"/>
        </w:rPr>
        <w:t>difficulties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staffing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managing</w:t>
      </w:r>
      <w:r>
        <w:rPr>
          <w:spacing w:val="-3"/>
          <w:sz w:val="20"/>
        </w:rPr>
        <w:t> </w:t>
      </w:r>
      <w:r>
        <w:rPr>
          <w:sz w:val="20"/>
        </w:rPr>
        <w:t>foreign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geographically</w:t>
      </w:r>
      <w:r>
        <w:rPr>
          <w:spacing w:val="-3"/>
          <w:sz w:val="20"/>
        </w:rPr>
        <w:t> </w:t>
      </w:r>
      <w:r>
        <w:rPr>
          <w:sz w:val="20"/>
        </w:rPr>
        <w:t>dispersed</w:t>
      </w:r>
      <w:r>
        <w:rPr>
          <w:spacing w:val="-4"/>
          <w:sz w:val="20"/>
        </w:rPr>
        <w:t> </w:t>
      </w:r>
      <w:r>
        <w:rPr>
          <w:sz w:val="20"/>
        </w:rPr>
        <w:t>operations,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extent</w:t>
      </w:r>
      <w:r>
        <w:rPr>
          <w:spacing w:val="-4"/>
          <w:sz w:val="20"/>
        </w:rPr>
        <w:t> </w:t>
      </w:r>
      <w:r>
        <w:rPr>
          <w:sz w:val="20"/>
        </w:rPr>
        <w:t>we</w:t>
      </w:r>
      <w:r>
        <w:rPr>
          <w:spacing w:val="-47"/>
          <w:sz w:val="20"/>
        </w:rPr>
        <w:t> </w:t>
      </w:r>
      <w:r>
        <w:rPr>
          <w:sz w:val="20"/>
        </w:rPr>
        <w:t>establish</w:t>
      </w:r>
      <w:r>
        <w:rPr>
          <w:spacing w:val="-1"/>
          <w:sz w:val="20"/>
        </w:rPr>
        <w:t> </w:t>
      </w:r>
      <w:r>
        <w:rPr>
          <w:sz w:val="20"/>
        </w:rPr>
        <w:t>non-U.S. operations;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82" w:after="0"/>
        <w:ind w:left="820" w:right="0" w:hanging="360"/>
        <w:jc w:val="left"/>
        <w:rPr>
          <w:sz w:val="20"/>
        </w:rPr>
      </w:pPr>
      <w:r>
        <w:rPr>
          <w:sz w:val="20"/>
        </w:rPr>
        <w:t>differing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multiple</w:t>
      </w:r>
      <w:r>
        <w:rPr>
          <w:spacing w:val="-4"/>
          <w:sz w:val="20"/>
        </w:rPr>
        <w:t> </w:t>
      </w:r>
      <w:r>
        <w:rPr>
          <w:sz w:val="20"/>
        </w:rPr>
        <w:t>payor</w:t>
      </w:r>
      <w:r>
        <w:rPr>
          <w:spacing w:val="-4"/>
          <w:sz w:val="20"/>
        </w:rPr>
        <w:t> </w:t>
      </w:r>
      <w:r>
        <w:rPr>
          <w:sz w:val="20"/>
        </w:rPr>
        <w:t>reimbursement</w:t>
      </w:r>
      <w:r>
        <w:rPr>
          <w:spacing w:val="-4"/>
          <w:sz w:val="20"/>
        </w:rPr>
        <w:t> </w:t>
      </w:r>
      <w:r>
        <w:rPr>
          <w:sz w:val="20"/>
        </w:rPr>
        <w:t>regimes,</w:t>
      </w:r>
      <w:r>
        <w:rPr>
          <w:spacing w:val="-3"/>
          <w:sz w:val="20"/>
        </w:rPr>
        <w:t> </w:t>
      </w:r>
      <w:r>
        <w:rPr>
          <w:sz w:val="20"/>
        </w:rPr>
        <w:t>government</w:t>
      </w:r>
      <w:r>
        <w:rPr>
          <w:spacing w:val="-4"/>
          <w:sz w:val="20"/>
        </w:rPr>
        <w:t> </w:t>
      </w:r>
      <w:r>
        <w:rPr>
          <w:sz w:val="20"/>
        </w:rPr>
        <w:t>payors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patient</w:t>
      </w:r>
      <w:r>
        <w:rPr>
          <w:spacing w:val="-4"/>
          <w:sz w:val="20"/>
        </w:rPr>
        <w:t> </w:t>
      </w:r>
      <w:r>
        <w:rPr>
          <w:sz w:val="20"/>
        </w:rPr>
        <w:t>self-pay</w:t>
      </w:r>
      <w:r>
        <w:rPr>
          <w:spacing w:val="-3"/>
          <w:sz w:val="20"/>
        </w:rPr>
        <w:t> </w:t>
      </w:r>
      <w:r>
        <w:rPr>
          <w:sz w:val="20"/>
        </w:rPr>
        <w:t>systems;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difficulties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determining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creating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proper</w:t>
      </w:r>
      <w:r>
        <w:rPr>
          <w:spacing w:val="-3"/>
          <w:sz w:val="20"/>
        </w:rPr>
        <w:t> </w:t>
      </w:r>
      <w:r>
        <w:rPr>
          <w:sz w:val="20"/>
        </w:rPr>
        <w:t>sales</w:t>
      </w:r>
      <w:r>
        <w:rPr>
          <w:spacing w:val="-4"/>
          <w:sz w:val="20"/>
        </w:rPr>
        <w:t> </w:t>
      </w:r>
      <w:r>
        <w:rPr>
          <w:sz w:val="20"/>
        </w:rPr>
        <w:t>pathway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new,</w:t>
      </w:r>
      <w:r>
        <w:rPr>
          <w:spacing w:val="-4"/>
          <w:sz w:val="20"/>
        </w:rPr>
        <w:t> </w:t>
      </w:r>
      <w:r>
        <w:rPr>
          <w:sz w:val="20"/>
        </w:rPr>
        <w:t>international</w:t>
      </w:r>
      <w:r>
        <w:rPr>
          <w:spacing w:val="-4"/>
          <w:sz w:val="20"/>
        </w:rPr>
        <w:t> </w:t>
      </w:r>
      <w:r>
        <w:rPr>
          <w:sz w:val="20"/>
        </w:rPr>
        <w:t>markets;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9" w:lineRule="auto" w:before="190" w:after="0"/>
        <w:ind w:left="820" w:right="416" w:hanging="360"/>
        <w:jc w:val="left"/>
        <w:rPr>
          <w:sz w:val="20"/>
        </w:rPr>
      </w:pPr>
      <w:r>
        <w:rPr>
          <w:sz w:val="20"/>
        </w:rPr>
        <w:t>compliance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various</w:t>
      </w:r>
      <w:r>
        <w:rPr>
          <w:spacing w:val="-4"/>
          <w:sz w:val="20"/>
        </w:rPr>
        <w:t> </w:t>
      </w:r>
      <w:r>
        <w:rPr>
          <w:sz w:val="20"/>
        </w:rPr>
        <w:t>U.S.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international</w:t>
      </w:r>
      <w:r>
        <w:rPr>
          <w:spacing w:val="-3"/>
          <w:sz w:val="20"/>
        </w:rPr>
        <w:t> </w:t>
      </w:r>
      <w:r>
        <w:rPr>
          <w:sz w:val="20"/>
        </w:rPr>
        <w:t>laws,</w:t>
      </w:r>
      <w:r>
        <w:rPr>
          <w:spacing w:val="-3"/>
          <w:sz w:val="20"/>
        </w:rPr>
        <w:t> </w:t>
      </w:r>
      <w:r>
        <w:rPr>
          <w:sz w:val="20"/>
        </w:rPr>
        <w:t>including</w:t>
      </w:r>
      <w:r>
        <w:rPr>
          <w:spacing w:val="-3"/>
          <w:sz w:val="20"/>
        </w:rPr>
        <w:t> </w:t>
      </w:r>
      <w:r>
        <w:rPr>
          <w:sz w:val="20"/>
        </w:rPr>
        <w:t>export</w:t>
      </w:r>
      <w:r>
        <w:rPr>
          <w:spacing w:val="-4"/>
          <w:sz w:val="20"/>
        </w:rPr>
        <w:t> </w:t>
      </w:r>
      <w:r>
        <w:rPr>
          <w:sz w:val="20"/>
        </w:rPr>
        <w:t>control</w:t>
      </w:r>
      <w:r>
        <w:rPr>
          <w:spacing w:val="-4"/>
          <w:sz w:val="20"/>
        </w:rPr>
        <w:t> </w:t>
      </w:r>
      <w:r>
        <w:rPr>
          <w:sz w:val="20"/>
        </w:rPr>
        <w:t>laws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U.S.</w:t>
      </w:r>
      <w:r>
        <w:rPr>
          <w:spacing w:val="-3"/>
          <w:sz w:val="20"/>
        </w:rPr>
        <w:t> </w:t>
      </w:r>
      <w:r>
        <w:rPr>
          <w:sz w:val="20"/>
        </w:rPr>
        <w:t>Foreign</w:t>
      </w:r>
      <w:r>
        <w:rPr>
          <w:spacing w:val="-47"/>
          <w:sz w:val="20"/>
        </w:rPr>
        <w:t> </w:t>
      </w:r>
      <w:r>
        <w:rPr>
          <w:sz w:val="20"/>
        </w:rPr>
        <w:t>Corrupt</w:t>
      </w:r>
      <w:r>
        <w:rPr>
          <w:spacing w:val="-2"/>
          <w:sz w:val="20"/>
        </w:rPr>
        <w:t> </w:t>
      </w:r>
      <w:r>
        <w:rPr>
          <w:sz w:val="20"/>
        </w:rPr>
        <w:t>Practices</w:t>
      </w:r>
      <w:r>
        <w:rPr>
          <w:spacing w:val="-2"/>
          <w:sz w:val="20"/>
        </w:rPr>
        <w:t> </w:t>
      </w:r>
      <w:r>
        <w:rPr>
          <w:sz w:val="20"/>
        </w:rPr>
        <w:t>Act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1977, or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FCPA,</w:t>
      </w:r>
      <w:r>
        <w:rPr>
          <w:spacing w:val="-1"/>
          <w:sz w:val="20"/>
        </w:rPr>
        <w:t> </w:t>
      </w:r>
      <w:r>
        <w:rPr>
          <w:sz w:val="20"/>
        </w:rPr>
        <w:t>and anti-money</w:t>
      </w:r>
      <w:r>
        <w:rPr>
          <w:spacing w:val="-1"/>
          <w:sz w:val="20"/>
        </w:rPr>
        <w:t> </w:t>
      </w:r>
      <w:r>
        <w:rPr>
          <w:sz w:val="20"/>
        </w:rPr>
        <w:t>laundering laws;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82" w:after="0"/>
        <w:ind w:left="820" w:right="0" w:hanging="360"/>
        <w:jc w:val="left"/>
        <w:rPr>
          <w:sz w:val="20"/>
        </w:rPr>
      </w:pPr>
      <w:r>
        <w:rPr>
          <w:sz w:val="20"/>
        </w:rPr>
        <w:t>differing</w:t>
      </w:r>
      <w:r>
        <w:rPr>
          <w:spacing w:val="-3"/>
          <w:sz w:val="20"/>
        </w:rPr>
        <w:t> </w:t>
      </w:r>
      <w:r>
        <w:rPr>
          <w:sz w:val="20"/>
        </w:rPr>
        <w:t>regulatory</w:t>
      </w:r>
      <w:r>
        <w:rPr>
          <w:spacing w:val="-3"/>
          <w:sz w:val="20"/>
        </w:rPr>
        <w:t> </w:t>
      </w:r>
      <w:r>
        <w:rPr>
          <w:sz w:val="20"/>
        </w:rPr>
        <w:t>requirements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obtaining</w:t>
      </w:r>
      <w:r>
        <w:rPr>
          <w:spacing w:val="-2"/>
          <w:sz w:val="20"/>
        </w:rPr>
        <w:t> </w:t>
      </w:r>
      <w:r>
        <w:rPr>
          <w:sz w:val="20"/>
        </w:rPr>
        <w:t>clearances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approvals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market</w:t>
      </w:r>
      <w:r>
        <w:rPr>
          <w:spacing w:val="-4"/>
          <w:sz w:val="20"/>
        </w:rPr>
        <w:t> </w:t>
      </w: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products;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9" w:lineRule="auto" w:before="190" w:after="0"/>
        <w:ind w:left="820" w:right="251" w:hanging="360"/>
        <w:jc w:val="left"/>
        <w:rPr>
          <w:sz w:val="20"/>
        </w:rPr>
      </w:pPr>
      <w:r>
        <w:rPr>
          <w:sz w:val="20"/>
        </w:rPr>
        <w:t>changes</w:t>
      </w:r>
      <w:r>
        <w:rPr>
          <w:spacing w:val="-4"/>
          <w:sz w:val="20"/>
        </w:rPr>
        <w:t> </w:t>
      </w:r>
      <w:r>
        <w:rPr>
          <w:sz w:val="20"/>
        </w:rPr>
        <w:t>in,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uncertainties</w:t>
      </w:r>
      <w:r>
        <w:rPr>
          <w:spacing w:val="-4"/>
          <w:sz w:val="20"/>
        </w:rPr>
        <w:t> </w:t>
      </w:r>
      <w:r>
        <w:rPr>
          <w:sz w:val="20"/>
        </w:rPr>
        <w:t>relating</w:t>
      </w:r>
      <w:r>
        <w:rPr>
          <w:spacing w:val="-2"/>
          <w:sz w:val="20"/>
        </w:rPr>
        <w:t> </w:t>
      </w:r>
      <w:r>
        <w:rPr>
          <w:sz w:val="20"/>
        </w:rPr>
        <w:t>to,</w:t>
      </w:r>
      <w:r>
        <w:rPr>
          <w:spacing w:val="-3"/>
          <w:sz w:val="20"/>
        </w:rPr>
        <w:t> </w:t>
      </w:r>
      <w:r>
        <w:rPr>
          <w:sz w:val="20"/>
        </w:rPr>
        <w:t>foreign</w:t>
      </w:r>
      <w:r>
        <w:rPr>
          <w:spacing w:val="-2"/>
          <w:sz w:val="20"/>
        </w:rPr>
        <w:t> </w:t>
      </w:r>
      <w:r>
        <w:rPr>
          <w:sz w:val="20"/>
        </w:rPr>
        <w:t>rules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regulations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impact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ability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sell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47"/>
          <w:sz w:val="20"/>
        </w:rPr>
        <w:t> </w:t>
      </w:r>
      <w:r>
        <w:rPr>
          <w:sz w:val="20"/>
        </w:rPr>
        <w:t>products,</w:t>
      </w:r>
      <w:r>
        <w:rPr>
          <w:spacing w:val="-1"/>
          <w:sz w:val="20"/>
        </w:rPr>
        <w:t> </w:t>
      </w:r>
      <w:r>
        <w:rPr>
          <w:sz w:val="20"/>
        </w:rPr>
        <w:t>perform</w:t>
      </w:r>
      <w:r>
        <w:rPr>
          <w:spacing w:val="-1"/>
          <w:sz w:val="20"/>
        </w:rPr>
        <w:t> </w:t>
      </w:r>
      <w:r>
        <w:rPr>
          <w:sz w:val="20"/>
        </w:rPr>
        <w:t>services</w:t>
      </w:r>
      <w:r>
        <w:rPr>
          <w:spacing w:val="-2"/>
          <w:sz w:val="20"/>
        </w:rPr>
        <w:t> </w:t>
      </w:r>
      <w:r>
        <w:rPr>
          <w:sz w:val="20"/>
        </w:rPr>
        <w:t>or repatriate</w:t>
      </w:r>
      <w:r>
        <w:rPr>
          <w:spacing w:val="-1"/>
          <w:sz w:val="20"/>
        </w:rPr>
        <w:t> </w:t>
      </w:r>
      <w:r>
        <w:rPr>
          <w:sz w:val="20"/>
        </w:rPr>
        <w:t>profits</w:t>
      </w:r>
      <w:r>
        <w:rPr>
          <w:spacing w:val="-2"/>
          <w:sz w:val="20"/>
        </w:rPr>
        <w:t> </w:t>
      </w:r>
      <w:r>
        <w:rPr>
          <w:sz w:val="20"/>
        </w:rPr>
        <w:t>to the</w:t>
      </w:r>
      <w:r>
        <w:rPr>
          <w:spacing w:val="-2"/>
          <w:sz w:val="20"/>
        </w:rPr>
        <w:t> </w:t>
      </w:r>
      <w:r>
        <w:rPr>
          <w:sz w:val="20"/>
        </w:rPr>
        <w:t>United States;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9" w:lineRule="auto" w:before="181" w:after="0"/>
        <w:ind w:left="820" w:right="340" w:hanging="360"/>
        <w:jc w:val="left"/>
        <w:rPr>
          <w:sz w:val="20"/>
        </w:rPr>
      </w:pPr>
      <w:r>
        <w:rPr>
          <w:sz w:val="20"/>
        </w:rPr>
        <w:t>tariffs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trade</w:t>
      </w:r>
      <w:r>
        <w:rPr>
          <w:spacing w:val="-4"/>
          <w:sz w:val="20"/>
        </w:rPr>
        <w:t> </w:t>
      </w:r>
      <w:r>
        <w:rPr>
          <w:sz w:val="20"/>
        </w:rPr>
        <w:t>barriers,</w:t>
      </w:r>
      <w:r>
        <w:rPr>
          <w:spacing w:val="-3"/>
          <w:sz w:val="20"/>
        </w:rPr>
        <w:t> </w:t>
      </w:r>
      <w:r>
        <w:rPr>
          <w:sz w:val="20"/>
        </w:rPr>
        <w:t>export</w:t>
      </w:r>
      <w:r>
        <w:rPr>
          <w:spacing w:val="-4"/>
          <w:sz w:val="20"/>
        </w:rPr>
        <w:t> </w:t>
      </w:r>
      <w:r>
        <w:rPr>
          <w:sz w:val="20"/>
        </w:rPr>
        <w:t>regulations,</w:t>
      </w:r>
      <w:r>
        <w:rPr>
          <w:spacing w:val="-3"/>
          <w:sz w:val="20"/>
        </w:rPr>
        <w:t> </w:t>
      </w:r>
      <w:r>
        <w:rPr>
          <w:sz w:val="20"/>
        </w:rPr>
        <w:t>sanctions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regulatory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contractual</w:t>
      </w:r>
      <w:r>
        <w:rPr>
          <w:spacing w:val="-4"/>
          <w:sz w:val="20"/>
        </w:rPr>
        <w:t> </w:t>
      </w:r>
      <w:r>
        <w:rPr>
          <w:sz w:val="20"/>
        </w:rPr>
        <w:t>limitations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47"/>
          <w:sz w:val="20"/>
        </w:rPr>
        <w:t> </w:t>
      </w:r>
      <w:r>
        <w:rPr>
          <w:sz w:val="20"/>
        </w:rPr>
        <w:t>our</w:t>
      </w:r>
      <w:r>
        <w:rPr>
          <w:spacing w:val="-1"/>
          <w:sz w:val="20"/>
        </w:rPr>
        <w:t> </w:t>
      </w:r>
      <w:r>
        <w:rPr>
          <w:sz w:val="20"/>
        </w:rPr>
        <w:t>ability to sell</w:t>
      </w:r>
      <w:r>
        <w:rPr>
          <w:spacing w:val="-2"/>
          <w:sz w:val="20"/>
        </w:rPr>
        <w:t> </w:t>
      </w:r>
      <w:r>
        <w:rPr>
          <w:sz w:val="20"/>
        </w:rPr>
        <w:t>our products</w:t>
      </w:r>
      <w:r>
        <w:rPr>
          <w:spacing w:val="-1"/>
          <w:sz w:val="20"/>
        </w:rPr>
        <w:t> </w:t>
      </w:r>
      <w:r>
        <w:rPr>
          <w:sz w:val="20"/>
        </w:rPr>
        <w:t>in certain</w:t>
      </w:r>
      <w:r>
        <w:rPr>
          <w:spacing w:val="-1"/>
          <w:sz w:val="20"/>
        </w:rPr>
        <w:t> </w:t>
      </w:r>
      <w:r>
        <w:rPr>
          <w:sz w:val="20"/>
        </w:rPr>
        <w:t>foreign markets;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9" w:lineRule="auto" w:before="182" w:after="0"/>
        <w:ind w:left="820" w:right="335" w:hanging="360"/>
        <w:jc w:val="left"/>
        <w:rPr>
          <w:sz w:val="20"/>
        </w:rPr>
      </w:pPr>
      <w:r>
        <w:rPr>
          <w:sz w:val="20"/>
        </w:rPr>
        <w:t>potential</w:t>
      </w:r>
      <w:r>
        <w:rPr>
          <w:spacing w:val="-5"/>
          <w:sz w:val="20"/>
        </w:rPr>
        <w:t> </w:t>
      </w:r>
      <w:r>
        <w:rPr>
          <w:sz w:val="20"/>
        </w:rPr>
        <w:t>adverse</w:t>
      </w:r>
      <w:r>
        <w:rPr>
          <w:spacing w:val="-4"/>
          <w:sz w:val="20"/>
        </w:rPr>
        <w:t> </w:t>
      </w:r>
      <w:r>
        <w:rPr>
          <w:sz w:val="20"/>
        </w:rPr>
        <w:t>tax</w:t>
      </w:r>
      <w:r>
        <w:rPr>
          <w:spacing w:val="-3"/>
          <w:sz w:val="20"/>
        </w:rPr>
        <w:t> </w:t>
      </w:r>
      <w:r>
        <w:rPr>
          <w:sz w:val="20"/>
        </w:rPr>
        <w:t>consequences,</w:t>
      </w:r>
      <w:r>
        <w:rPr>
          <w:spacing w:val="-4"/>
          <w:sz w:val="20"/>
        </w:rPr>
        <w:t> </w:t>
      </w:r>
      <w:r>
        <w:rPr>
          <w:sz w:val="20"/>
        </w:rPr>
        <w:t>including</w:t>
      </w:r>
      <w:r>
        <w:rPr>
          <w:spacing w:val="-3"/>
          <w:sz w:val="20"/>
        </w:rPr>
        <w:t> </w:t>
      </w:r>
      <w:r>
        <w:rPr>
          <w:sz w:val="20"/>
        </w:rPr>
        <w:t>imposition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limitations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increase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withholding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other</w:t>
      </w:r>
      <w:r>
        <w:rPr>
          <w:spacing w:val="-1"/>
          <w:sz w:val="20"/>
        </w:rPr>
        <w:t> </w:t>
      </w:r>
      <w:r>
        <w:rPr>
          <w:sz w:val="20"/>
        </w:rPr>
        <w:t>taxes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1"/>
          <w:sz w:val="20"/>
        </w:rPr>
        <w:t> </w:t>
      </w:r>
      <w:r>
        <w:rPr>
          <w:sz w:val="20"/>
        </w:rPr>
        <w:t>remittances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other</w:t>
      </w:r>
      <w:r>
        <w:rPr>
          <w:spacing w:val="-1"/>
          <w:sz w:val="20"/>
        </w:rPr>
        <w:t> </w:t>
      </w:r>
      <w:r>
        <w:rPr>
          <w:sz w:val="20"/>
        </w:rPr>
        <w:t>payments</w:t>
      </w:r>
      <w:r>
        <w:rPr>
          <w:spacing w:val="-1"/>
          <w:sz w:val="20"/>
        </w:rPr>
        <w:t> </w:t>
      </w:r>
      <w:r>
        <w:rPr>
          <w:sz w:val="20"/>
        </w:rPr>
        <w:t>by</w:t>
      </w:r>
      <w:r>
        <w:rPr>
          <w:spacing w:val="-1"/>
          <w:sz w:val="20"/>
        </w:rPr>
        <w:t> </w:t>
      </w:r>
      <w:r>
        <w:rPr>
          <w:sz w:val="20"/>
        </w:rPr>
        <w:t>foreign</w:t>
      </w:r>
      <w:r>
        <w:rPr>
          <w:spacing w:val="-1"/>
          <w:sz w:val="20"/>
        </w:rPr>
        <w:t> </w:t>
      </w:r>
      <w:r>
        <w:rPr>
          <w:sz w:val="20"/>
        </w:rPr>
        <w:t>subsidiaries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joint</w:t>
      </w:r>
      <w:r>
        <w:rPr>
          <w:spacing w:val="-2"/>
          <w:sz w:val="20"/>
        </w:rPr>
        <w:t> </w:t>
      </w:r>
      <w:r>
        <w:rPr>
          <w:sz w:val="20"/>
        </w:rPr>
        <w:t>ventures;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81" w:after="0"/>
        <w:ind w:left="820" w:right="0" w:hanging="360"/>
        <w:jc w:val="left"/>
        <w:rPr>
          <w:sz w:val="20"/>
        </w:rPr>
      </w:pPr>
      <w:r>
        <w:rPr>
          <w:sz w:val="20"/>
        </w:rPr>
        <w:t>imposition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differing</w:t>
      </w:r>
      <w:r>
        <w:rPr>
          <w:spacing w:val="-3"/>
          <w:sz w:val="20"/>
        </w:rPr>
        <w:t> </w:t>
      </w:r>
      <w:r>
        <w:rPr>
          <w:sz w:val="20"/>
        </w:rPr>
        <w:t>labor</w:t>
      </w:r>
      <w:r>
        <w:rPr>
          <w:spacing w:val="-2"/>
          <w:sz w:val="20"/>
        </w:rPr>
        <w:t> </w:t>
      </w:r>
      <w:r>
        <w:rPr>
          <w:sz w:val="20"/>
        </w:rPr>
        <w:t>laws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standards;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91" w:after="0"/>
        <w:ind w:left="820" w:right="0" w:hanging="360"/>
        <w:jc w:val="left"/>
        <w:rPr>
          <w:sz w:val="20"/>
        </w:rPr>
      </w:pPr>
      <w:r>
        <w:rPr>
          <w:sz w:val="20"/>
        </w:rPr>
        <w:t>armed</w:t>
      </w:r>
      <w:r>
        <w:rPr>
          <w:spacing w:val="-4"/>
          <w:sz w:val="20"/>
        </w:rPr>
        <w:t> </w:t>
      </w:r>
      <w:r>
        <w:rPr>
          <w:sz w:val="20"/>
        </w:rPr>
        <w:t>conflicts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economic,</w:t>
      </w:r>
      <w:r>
        <w:rPr>
          <w:spacing w:val="-3"/>
          <w:sz w:val="20"/>
        </w:rPr>
        <w:t> </w:t>
      </w:r>
      <w:r>
        <w:rPr>
          <w:sz w:val="20"/>
        </w:rPr>
        <w:t>political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social</w:t>
      </w:r>
      <w:r>
        <w:rPr>
          <w:spacing w:val="-4"/>
          <w:sz w:val="20"/>
        </w:rPr>
        <w:t> </w:t>
      </w:r>
      <w:r>
        <w:rPr>
          <w:sz w:val="20"/>
        </w:rPr>
        <w:t>instability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foreign</w:t>
      </w:r>
      <w:r>
        <w:rPr>
          <w:spacing w:val="-3"/>
          <w:sz w:val="20"/>
        </w:rPr>
        <w:t> </w:t>
      </w:r>
      <w:r>
        <w:rPr>
          <w:sz w:val="20"/>
        </w:rPr>
        <w:t>countries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regions;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fluctuations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foreign</w:t>
      </w:r>
      <w:r>
        <w:rPr>
          <w:spacing w:val="-4"/>
          <w:sz w:val="20"/>
        </w:rPr>
        <w:t> </w:t>
      </w:r>
      <w:r>
        <w:rPr>
          <w:sz w:val="20"/>
        </w:rPr>
        <w:t>currency</w:t>
      </w:r>
      <w:r>
        <w:rPr>
          <w:spacing w:val="-4"/>
          <w:sz w:val="20"/>
        </w:rPr>
        <w:t> </w:t>
      </w:r>
      <w:r>
        <w:rPr>
          <w:sz w:val="20"/>
        </w:rPr>
        <w:t>exchange</w:t>
      </w:r>
      <w:r>
        <w:rPr>
          <w:spacing w:val="-4"/>
          <w:sz w:val="20"/>
        </w:rPr>
        <w:t> </w:t>
      </w:r>
      <w:r>
        <w:rPr>
          <w:sz w:val="20"/>
        </w:rPr>
        <w:t>rates;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9" w:lineRule="auto" w:before="190" w:after="0"/>
        <w:ind w:left="820" w:right="595" w:hanging="360"/>
        <w:jc w:val="left"/>
        <w:rPr>
          <w:sz w:val="20"/>
        </w:rPr>
      </w:pP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inability,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reduced</w:t>
      </w:r>
      <w:r>
        <w:rPr>
          <w:spacing w:val="-3"/>
          <w:sz w:val="20"/>
        </w:rPr>
        <w:t> </w:t>
      </w:r>
      <w:r>
        <w:rPr>
          <w:sz w:val="20"/>
        </w:rPr>
        <w:t>ability,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protect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intellectual</w:t>
      </w:r>
      <w:r>
        <w:rPr>
          <w:spacing w:val="-4"/>
          <w:sz w:val="20"/>
        </w:rPr>
        <w:t> </w:t>
      </w:r>
      <w:r>
        <w:rPr>
          <w:sz w:val="20"/>
        </w:rPr>
        <w:t>property,</w:t>
      </w:r>
      <w:r>
        <w:rPr>
          <w:spacing w:val="-3"/>
          <w:sz w:val="20"/>
        </w:rPr>
        <w:t> </w:t>
      </w:r>
      <w:r>
        <w:rPr>
          <w:sz w:val="20"/>
        </w:rPr>
        <w:t>including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effect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compulsory</w:t>
      </w:r>
      <w:r>
        <w:rPr>
          <w:spacing w:val="-47"/>
          <w:sz w:val="20"/>
        </w:rPr>
        <w:t> </w:t>
      </w:r>
      <w:r>
        <w:rPr>
          <w:sz w:val="20"/>
        </w:rPr>
        <w:t>licensing</w:t>
      </w:r>
      <w:r>
        <w:rPr>
          <w:spacing w:val="-1"/>
          <w:sz w:val="20"/>
        </w:rPr>
        <w:t> </w:t>
      </w:r>
      <w:r>
        <w:rPr>
          <w:sz w:val="20"/>
        </w:rPr>
        <w:t>imposed by government</w:t>
      </w:r>
      <w:r>
        <w:rPr>
          <w:spacing w:val="-1"/>
          <w:sz w:val="20"/>
        </w:rPr>
        <w:t> </w:t>
      </w:r>
      <w:r>
        <w:rPr>
          <w:sz w:val="20"/>
        </w:rPr>
        <w:t>action;</w:t>
      </w:r>
      <w:r>
        <w:rPr>
          <w:spacing w:val="-1"/>
          <w:sz w:val="20"/>
        </w:rPr>
        <w:t> </w:t>
      </w:r>
      <w:r>
        <w:rPr>
          <w:sz w:val="20"/>
        </w:rPr>
        <w:t>and</w:t>
      </w:r>
    </w:p>
    <w:p>
      <w:pPr>
        <w:pStyle w:val="ListParagraph"/>
        <w:numPr>
          <w:ilvl w:val="0"/>
          <w:numId w:val="5"/>
        </w:numPr>
        <w:tabs>
          <w:tab w:pos="819" w:val="left" w:leader="none"/>
          <w:tab w:pos="820" w:val="left" w:leader="none"/>
        </w:tabs>
        <w:spacing w:line="249" w:lineRule="auto" w:before="181" w:after="0"/>
        <w:ind w:left="820" w:right="280" w:hanging="360"/>
        <w:jc w:val="left"/>
        <w:rPr>
          <w:sz w:val="20"/>
        </w:rPr>
      </w:pPr>
      <w:r>
        <w:rPr>
          <w:sz w:val="20"/>
        </w:rPr>
        <w:t>availability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government</w:t>
      </w:r>
      <w:r>
        <w:rPr>
          <w:spacing w:val="-4"/>
          <w:sz w:val="20"/>
        </w:rPr>
        <w:t> </w:t>
      </w:r>
      <w:r>
        <w:rPr>
          <w:sz w:val="20"/>
        </w:rPr>
        <w:t>subsidies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incentives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benefit</w:t>
      </w:r>
      <w:r>
        <w:rPr>
          <w:spacing w:val="-4"/>
          <w:sz w:val="20"/>
        </w:rPr>
        <w:t> </w:t>
      </w:r>
      <w:r>
        <w:rPr>
          <w:sz w:val="20"/>
        </w:rPr>
        <w:t>competitors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their</w:t>
      </w:r>
      <w:r>
        <w:rPr>
          <w:spacing w:val="-4"/>
          <w:sz w:val="20"/>
        </w:rPr>
        <w:t> </w:t>
      </w:r>
      <w:r>
        <w:rPr>
          <w:sz w:val="20"/>
        </w:rPr>
        <w:t>local</w:t>
      </w:r>
      <w:r>
        <w:rPr>
          <w:spacing w:val="-4"/>
          <w:sz w:val="20"/>
        </w:rPr>
        <w:t> </w:t>
      </w:r>
      <w:r>
        <w:rPr>
          <w:sz w:val="20"/>
        </w:rPr>
        <w:t>markets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7"/>
          <w:sz w:val="20"/>
        </w:rPr>
        <w:t> </w:t>
      </w:r>
      <w:r>
        <w:rPr>
          <w:sz w:val="20"/>
        </w:rPr>
        <w:t>are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1"/>
          <w:sz w:val="20"/>
        </w:rPr>
        <w:t> </w:t>
      </w:r>
      <w:r>
        <w:rPr>
          <w:sz w:val="20"/>
        </w:rPr>
        <w:t>available</w:t>
      </w:r>
      <w:r>
        <w:rPr>
          <w:spacing w:val="-1"/>
          <w:sz w:val="20"/>
        </w:rPr>
        <w:t> </w:t>
      </w:r>
      <w:r>
        <w:rPr>
          <w:sz w:val="20"/>
        </w:rPr>
        <w:t>to us.</w:t>
      </w:r>
    </w:p>
    <w:p>
      <w:pPr>
        <w:pStyle w:val="BodyText"/>
        <w:spacing w:line="249" w:lineRule="auto" w:before="182"/>
        <w:ind w:right="145"/>
        <w:jc w:val="both"/>
      </w:pPr>
      <w:r>
        <w:rPr/>
        <w:t>We are assessing the opportunity to expand into other international markets. However, our expansion plans may</w:t>
      </w:r>
      <w:r>
        <w:rPr>
          <w:spacing w:val="-47"/>
        </w:rPr>
        <w:t> </w:t>
      </w:r>
      <w:r>
        <w:rPr/>
        <w:t>not be realized, or if realized, may not be successful. We expect each market to have particular regulatory hurdles to</w:t>
      </w:r>
      <w:r>
        <w:rPr>
          <w:spacing w:val="-47"/>
        </w:rPr>
        <w:t> </w:t>
      </w:r>
      <w:r>
        <w:rPr/>
        <w:t>overcome,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future</w:t>
      </w:r>
      <w:r>
        <w:rPr>
          <w:spacing w:val="-4"/>
        </w:rPr>
        <w:t> </w:t>
      </w:r>
      <w:r>
        <w:rPr/>
        <w:t>developments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these</w:t>
      </w:r>
      <w:r>
        <w:rPr>
          <w:spacing w:val="-4"/>
        </w:rPr>
        <w:t> </w:t>
      </w:r>
      <w:r>
        <w:rPr/>
        <w:t>markets,</w:t>
      </w:r>
      <w:r>
        <w:rPr>
          <w:spacing w:val="-3"/>
        </w:rPr>
        <w:t> </w:t>
      </w:r>
      <w:r>
        <w:rPr/>
        <w:t>including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uncertainty</w:t>
      </w:r>
      <w:r>
        <w:rPr>
          <w:spacing w:val="-3"/>
        </w:rPr>
        <w:t> </w:t>
      </w:r>
      <w:r>
        <w:rPr/>
        <w:t>relating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governmental</w:t>
      </w:r>
      <w:r>
        <w:rPr>
          <w:spacing w:val="-4"/>
        </w:rPr>
        <w:t> </w:t>
      </w:r>
      <w:r>
        <w:rPr/>
        <w:t>policies</w:t>
      </w:r>
      <w:r>
        <w:rPr>
          <w:spacing w:val="-4"/>
        </w:rPr>
        <w:t> </w:t>
      </w:r>
      <w:r>
        <w:rPr/>
        <w:t>and</w:t>
      </w:r>
      <w:r>
        <w:rPr>
          <w:spacing w:val="-48"/>
        </w:rPr>
        <w:t> </w:t>
      </w:r>
      <w:r>
        <w:rPr/>
        <w:t>regulations,</w:t>
      </w:r>
      <w:r>
        <w:rPr>
          <w:spacing w:val="-1"/>
        </w:rPr>
        <w:t> </w:t>
      </w:r>
      <w:r>
        <w:rPr/>
        <w:t>could harm</w:t>
      </w:r>
      <w:r>
        <w:rPr>
          <w:spacing w:val="-1"/>
        </w:rPr>
        <w:t> </w:t>
      </w:r>
      <w:r>
        <w:rPr/>
        <w:t>our business.</w:t>
      </w:r>
    </w:p>
    <w:p>
      <w:pPr>
        <w:pStyle w:val="Heading3"/>
        <w:spacing w:line="249" w:lineRule="auto"/>
        <w:ind w:right="212"/>
      </w:pPr>
      <w:r>
        <w:rPr>
          <w:i/>
        </w:rPr>
        <w:t>We</w:t>
      </w:r>
      <w:r>
        <w:rPr>
          <w:i/>
          <w:spacing w:val="-4"/>
        </w:rPr>
        <w:t> </w:t>
      </w:r>
      <w:r>
        <w:rPr>
          <w:i/>
        </w:rPr>
        <w:t>are</w:t>
      </w:r>
      <w:r>
        <w:rPr>
          <w:i/>
          <w:spacing w:val="-4"/>
        </w:rPr>
        <w:t> </w:t>
      </w:r>
      <w:r>
        <w:rPr>
          <w:i/>
        </w:rPr>
        <w:t>highly</w:t>
      </w:r>
      <w:r>
        <w:rPr>
          <w:i/>
          <w:spacing w:val="-3"/>
        </w:rPr>
        <w:t> </w:t>
      </w:r>
      <w:r>
        <w:rPr>
          <w:i/>
        </w:rPr>
        <w:t>dependent</w:t>
      </w:r>
      <w:r>
        <w:rPr>
          <w:i/>
          <w:spacing w:val="-4"/>
        </w:rPr>
        <w:t> </w:t>
      </w:r>
      <w:r>
        <w:rPr>
          <w:i/>
        </w:rPr>
        <w:t>on</w:t>
      </w:r>
      <w:r>
        <w:rPr>
          <w:i/>
          <w:spacing w:val="-4"/>
        </w:rPr>
        <w:t> </w:t>
      </w:r>
      <w:r>
        <w:rPr>
          <w:i/>
        </w:rPr>
        <w:t>our</w:t>
      </w:r>
      <w:r>
        <w:rPr>
          <w:i/>
          <w:spacing w:val="-3"/>
        </w:rPr>
        <w:t> </w:t>
      </w:r>
      <w:r>
        <w:rPr>
          <w:i/>
        </w:rPr>
        <w:t>senior</w:t>
      </w:r>
      <w:r>
        <w:rPr>
          <w:i/>
          <w:spacing w:val="-4"/>
        </w:rPr>
        <w:t> </w:t>
      </w:r>
      <w:r>
        <w:rPr>
          <w:i/>
        </w:rPr>
        <w:t>management</w:t>
      </w:r>
      <w:r>
        <w:rPr>
          <w:i/>
          <w:spacing w:val="-4"/>
        </w:rPr>
        <w:t> </w:t>
      </w:r>
      <w:r>
        <w:rPr>
          <w:i/>
        </w:rPr>
        <w:t>team</w:t>
      </w:r>
      <w:r>
        <w:rPr>
          <w:i/>
          <w:spacing w:val="-3"/>
        </w:rPr>
        <w:t> </w:t>
      </w:r>
      <w:r>
        <w:rPr>
          <w:i/>
        </w:rPr>
        <w:t>and</w:t>
      </w:r>
      <w:r>
        <w:rPr>
          <w:i/>
          <w:spacing w:val="-3"/>
        </w:rPr>
        <w:t> </w:t>
      </w:r>
      <w:r>
        <w:rPr>
          <w:i/>
        </w:rPr>
        <w:t>key</w:t>
      </w:r>
      <w:r>
        <w:rPr>
          <w:i/>
          <w:spacing w:val="-3"/>
        </w:rPr>
        <w:t> </w:t>
      </w:r>
      <w:r>
        <w:rPr>
          <w:i/>
        </w:rPr>
        <w:t>personnel,</w:t>
      </w:r>
      <w:r>
        <w:rPr>
          <w:i/>
          <w:spacing w:val="-3"/>
        </w:rPr>
        <w:t> </w:t>
      </w:r>
      <w:r>
        <w:rPr>
          <w:i/>
        </w:rPr>
        <w:t>and</w:t>
      </w:r>
      <w:r>
        <w:rPr>
          <w:i/>
          <w:spacing w:val="-3"/>
        </w:rPr>
        <w:t> </w:t>
      </w:r>
      <w:r>
        <w:rPr>
          <w:i/>
        </w:rPr>
        <w:t>our</w:t>
      </w:r>
      <w:r>
        <w:rPr>
          <w:i/>
          <w:spacing w:val="-3"/>
        </w:rPr>
        <w:t> </w:t>
      </w:r>
      <w:r>
        <w:rPr>
          <w:i/>
        </w:rPr>
        <w:t>business</w:t>
      </w:r>
      <w:r>
        <w:rPr>
          <w:i/>
          <w:spacing w:val="-4"/>
        </w:rPr>
        <w:t> </w:t>
      </w:r>
      <w:r>
        <w:rPr>
          <w:i/>
        </w:rPr>
        <w:t>could</w:t>
      </w:r>
      <w:r>
        <w:rPr>
          <w:i/>
          <w:spacing w:val="-3"/>
        </w:rPr>
        <w:t> </w:t>
      </w:r>
      <w:r>
        <w:rPr>
          <w:i/>
        </w:rPr>
        <w:t>be</w:t>
      </w:r>
      <w:r>
        <w:rPr>
          <w:i/>
          <w:spacing w:val="-3"/>
        </w:rPr>
        <w:t> </w:t>
      </w:r>
      <w:r>
        <w:rPr>
          <w:i/>
        </w:rPr>
        <w:t>harmed</w:t>
      </w:r>
      <w:r>
        <w:rPr>
          <w:i/>
          <w:spacing w:val="1"/>
        </w:rPr>
        <w:t> </w:t>
      </w:r>
      <w:r>
        <w:rPr/>
        <w:t>if</w:t>
      </w:r>
      <w:r>
        <w:rPr>
          <w:spacing w:val="-1"/>
        </w:rPr>
        <w:t> </w:t>
      </w:r>
      <w:r>
        <w:rPr/>
        <w:t>we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unable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attract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retain</w:t>
      </w:r>
      <w:r>
        <w:rPr>
          <w:spacing w:val="-1"/>
        </w:rPr>
        <w:t> </w:t>
      </w:r>
      <w:r>
        <w:rPr/>
        <w:t>personnel</w:t>
      </w:r>
      <w:r>
        <w:rPr>
          <w:spacing w:val="-2"/>
        </w:rPr>
        <w:t> </w:t>
      </w:r>
      <w:r>
        <w:rPr/>
        <w:t>necessary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our</w:t>
      </w:r>
      <w:r>
        <w:rPr>
          <w:spacing w:val="-1"/>
        </w:rPr>
        <w:t> </w:t>
      </w:r>
      <w:r>
        <w:rPr/>
        <w:t>success.</w:t>
      </w:r>
    </w:p>
    <w:p>
      <w:pPr>
        <w:pStyle w:val="BodyText"/>
        <w:spacing w:line="249" w:lineRule="auto" w:before="185"/>
        <w:ind w:right="212"/>
      </w:pPr>
      <w:r>
        <w:rPr/>
        <w:t>We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highly</w:t>
      </w:r>
      <w:r>
        <w:rPr>
          <w:spacing w:val="-3"/>
        </w:rPr>
        <w:t> </w:t>
      </w:r>
      <w:r>
        <w:rPr/>
        <w:t>dependent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senior</w:t>
      </w:r>
      <w:r>
        <w:rPr>
          <w:spacing w:val="-3"/>
        </w:rPr>
        <w:t> </w:t>
      </w:r>
      <w:r>
        <w:rPr/>
        <w:t>management,</w:t>
      </w:r>
      <w:r>
        <w:rPr>
          <w:spacing w:val="-2"/>
        </w:rPr>
        <w:t> </w:t>
      </w:r>
      <w:r>
        <w:rPr/>
        <w:t>including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chief</w:t>
      </w:r>
      <w:r>
        <w:rPr>
          <w:spacing w:val="-3"/>
        </w:rPr>
        <w:t> </w:t>
      </w:r>
      <w:r>
        <w:rPr/>
        <w:t>executive</w:t>
      </w:r>
      <w:r>
        <w:rPr>
          <w:spacing w:val="-3"/>
        </w:rPr>
        <w:t> </w:t>
      </w:r>
      <w:r>
        <w:rPr/>
        <w:t>officer,</w:t>
      </w:r>
      <w:r>
        <w:rPr>
          <w:spacing w:val="-3"/>
        </w:rPr>
        <w:t> </w:t>
      </w:r>
      <w:r>
        <w:rPr/>
        <w:t>Reza</w:t>
      </w:r>
      <w:r>
        <w:rPr>
          <w:spacing w:val="-3"/>
        </w:rPr>
        <w:t> </w:t>
      </w:r>
      <w:r>
        <w:rPr/>
        <w:t>Zadno,</w:t>
      </w:r>
      <w:r>
        <w:rPr>
          <w:spacing w:val="-3"/>
        </w:rPr>
        <w:t> </w:t>
      </w:r>
      <w:r>
        <w:rPr/>
        <w:t>Ph.D.,</w:t>
      </w:r>
      <w:r>
        <w:rPr>
          <w:spacing w:val="-47"/>
        </w:rPr>
        <w:t> </w:t>
      </w:r>
      <w:r>
        <w:rPr/>
        <w:t>and other key personnel. Our success will depend on our ability to retain senior management and to attract, recruit,</w:t>
      </w:r>
      <w:r>
        <w:rPr>
          <w:spacing w:val="-47"/>
        </w:rPr>
        <w:t> </w:t>
      </w:r>
      <w:r>
        <w:rPr/>
        <w:t>retain, manage and motivate qualified personnel in the future, particularly with respect to an expected increase in</w:t>
      </w:r>
      <w:r>
        <w:rPr>
          <w:spacing w:val="1"/>
        </w:rPr>
        <w:t> </w:t>
      </w:r>
      <w:r>
        <w:rPr/>
        <w:t>hiring in connection with becoming a public company, including sales and marketing professionals, scientists,</w:t>
      </w:r>
      <w:r>
        <w:rPr>
          <w:spacing w:val="1"/>
        </w:rPr>
        <w:t> </w:t>
      </w:r>
      <w:r>
        <w:rPr/>
        <w:t>clinical</w:t>
      </w:r>
      <w:r>
        <w:rPr>
          <w:spacing w:val="-5"/>
        </w:rPr>
        <w:t> </w:t>
      </w:r>
      <w:r>
        <w:rPr/>
        <w:t>specialists,</w:t>
      </w:r>
      <w:r>
        <w:rPr>
          <w:spacing w:val="-3"/>
        </w:rPr>
        <w:t> </w:t>
      </w:r>
      <w:r>
        <w:rPr/>
        <w:t>engineers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other</w:t>
      </w:r>
      <w:r>
        <w:rPr>
          <w:spacing w:val="-4"/>
        </w:rPr>
        <w:t> </w:t>
      </w:r>
      <w:r>
        <w:rPr/>
        <w:t>highly</w:t>
      </w:r>
      <w:r>
        <w:rPr>
          <w:spacing w:val="-3"/>
        </w:rPr>
        <w:t> </w:t>
      </w:r>
      <w:r>
        <w:rPr/>
        <w:t>skilled</w:t>
      </w:r>
      <w:r>
        <w:rPr>
          <w:spacing w:val="-3"/>
        </w:rPr>
        <w:t> </w:t>
      </w:r>
      <w:r>
        <w:rPr/>
        <w:t>personnel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integrate</w:t>
      </w:r>
      <w:r>
        <w:rPr>
          <w:spacing w:val="-4"/>
        </w:rPr>
        <w:t> </w:t>
      </w:r>
      <w:r>
        <w:rPr/>
        <w:t>current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additional</w:t>
      </w:r>
      <w:r>
        <w:rPr>
          <w:spacing w:val="-4"/>
        </w:rPr>
        <w:t> </w:t>
      </w:r>
      <w:r>
        <w:rPr/>
        <w:t>personnel</w:t>
      </w:r>
      <w:r>
        <w:rPr>
          <w:spacing w:val="-4"/>
        </w:rPr>
        <w:t> </w:t>
      </w:r>
      <w:r>
        <w:rPr/>
        <w:t>in</w:t>
      </w:r>
      <w:r>
        <w:rPr>
          <w:spacing w:val="-47"/>
        </w:rPr>
        <w:t> </w:t>
      </w:r>
      <w:r>
        <w:rPr/>
        <w:t>all departments. The loss of members of our senior management, sales and marketing professionals, scientists,</w:t>
      </w:r>
      <w:r>
        <w:rPr>
          <w:spacing w:val="1"/>
        </w:rPr>
        <w:t> </w:t>
      </w:r>
      <w:r>
        <w:rPr/>
        <w:t>clinical and regulatory specialists and engineers could result in delays in product development and harm our</w:t>
      </w:r>
      <w:r>
        <w:rPr>
          <w:spacing w:val="1"/>
        </w:rPr>
        <w:t> </w:t>
      </w:r>
      <w:r>
        <w:rPr/>
        <w:t>business. If we are not successful in attracting and retaining highly qualified personnel, it would have a material</w:t>
      </w:r>
      <w:r>
        <w:rPr>
          <w:spacing w:val="1"/>
        </w:rPr>
        <w:t> </w:t>
      </w:r>
      <w:r>
        <w:rPr/>
        <w:t>adverse</w:t>
      </w:r>
      <w:r>
        <w:rPr>
          <w:spacing w:val="-2"/>
        </w:rPr>
        <w:t> </w:t>
      </w:r>
      <w:r>
        <w:rPr/>
        <w:t>effect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our business,</w:t>
      </w:r>
      <w:r>
        <w:rPr>
          <w:spacing w:val="-1"/>
        </w:rPr>
        <w:t> </w:t>
      </w:r>
      <w:r>
        <w:rPr/>
        <w:t>financial</w:t>
      </w:r>
      <w:r>
        <w:rPr>
          <w:spacing w:val="-1"/>
        </w:rPr>
        <w:t> </w:t>
      </w:r>
      <w:r>
        <w:rPr/>
        <w:t>condition and</w:t>
      </w:r>
      <w:r>
        <w:rPr>
          <w:spacing w:val="-1"/>
        </w:rPr>
        <w:t> </w:t>
      </w:r>
      <w:r>
        <w:rPr/>
        <w:t>results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operations.</w:t>
      </w:r>
    </w:p>
    <w:p>
      <w:pPr>
        <w:pStyle w:val="BodyText"/>
        <w:spacing w:line="249" w:lineRule="auto" w:before="187"/>
        <w:ind w:right="148"/>
      </w:pPr>
      <w:r>
        <w:rPr/>
        <w:t>Competition for skilled personnel in our market is intense and may limit our ability to hire and retain highly</w:t>
      </w:r>
      <w:r>
        <w:rPr>
          <w:spacing w:val="1"/>
        </w:rPr>
        <w:t> </w:t>
      </w:r>
      <w:r>
        <w:rPr/>
        <w:t>qualified</w:t>
      </w:r>
      <w:r>
        <w:rPr>
          <w:spacing w:val="-3"/>
        </w:rPr>
        <w:t> </w:t>
      </w:r>
      <w:r>
        <w:rPr/>
        <w:t>personnel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acceptable</w:t>
      </w:r>
      <w:r>
        <w:rPr>
          <w:spacing w:val="-3"/>
        </w:rPr>
        <w:t> </w:t>
      </w:r>
      <w:r>
        <w:rPr/>
        <w:t>terms,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all.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induce</w:t>
      </w:r>
      <w:r>
        <w:rPr>
          <w:spacing w:val="-4"/>
        </w:rPr>
        <w:t> </w:t>
      </w:r>
      <w:r>
        <w:rPr/>
        <w:t>valuable</w:t>
      </w:r>
      <w:r>
        <w:rPr>
          <w:spacing w:val="-3"/>
        </w:rPr>
        <w:t> </w:t>
      </w:r>
      <w:r>
        <w:rPr/>
        <w:t>employees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remain</w:t>
      </w:r>
      <w:r>
        <w:rPr>
          <w:spacing w:val="-2"/>
        </w:rPr>
        <w:t> </w:t>
      </w:r>
      <w:r>
        <w:rPr/>
        <w:t>at</w:t>
      </w:r>
      <w:r>
        <w:rPr>
          <w:spacing w:val="-4"/>
        </w:rPr>
        <w:t> </w:t>
      </w:r>
      <w:r>
        <w:rPr/>
        <w:t>our</w:t>
      </w:r>
      <w:r>
        <w:rPr>
          <w:spacing w:val="-2"/>
        </w:rPr>
        <w:t> </w:t>
      </w:r>
      <w:r>
        <w:rPr/>
        <w:t>company,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have</w:t>
      </w:r>
      <w:r>
        <w:rPr>
          <w:spacing w:val="-47"/>
        </w:rPr>
        <w:t> </w:t>
      </w:r>
      <w:r>
        <w:rPr/>
        <w:t>issued and may continue to issue equity awards that vest over time, in addition to salary and cash incentives. The</w:t>
      </w:r>
      <w:r>
        <w:rPr>
          <w:spacing w:val="1"/>
        </w:rPr>
        <w:t> </w:t>
      </w:r>
      <w:r>
        <w:rPr/>
        <w:t>value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employees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equity</w:t>
      </w:r>
      <w:r>
        <w:rPr>
          <w:spacing w:val="-2"/>
        </w:rPr>
        <w:t> </w:t>
      </w:r>
      <w:r>
        <w:rPr/>
        <w:t>awards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vest</w:t>
      </w:r>
      <w:r>
        <w:rPr>
          <w:spacing w:val="-3"/>
        </w:rPr>
        <w:t> </w:t>
      </w:r>
      <w:r>
        <w:rPr/>
        <w:t>over</w:t>
      </w:r>
      <w:r>
        <w:rPr>
          <w:spacing w:val="-2"/>
        </w:rPr>
        <w:t> </w:t>
      </w:r>
      <w:r>
        <w:rPr/>
        <w:t>time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significantly</w:t>
      </w:r>
      <w:r>
        <w:rPr>
          <w:spacing w:val="-2"/>
        </w:rPr>
        <w:t> </w:t>
      </w:r>
      <w:r>
        <w:rPr/>
        <w:t>affected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movements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stock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  <w:ind w:right="138" w:firstLine="0"/>
      </w:pPr>
      <w:r>
        <w:rPr/>
        <w:t>price that are beyond our control, and may at any time be insufficient to counteract more lucrative offers from other</w:t>
      </w:r>
      <w:r>
        <w:rPr>
          <w:spacing w:val="1"/>
        </w:rPr>
        <w:t> </w:t>
      </w:r>
      <w:r>
        <w:rPr/>
        <w:t>companies. Despite our efforts to retain valuable employees, members of our management, scientific and</w:t>
      </w:r>
      <w:r>
        <w:rPr>
          <w:spacing w:val="1"/>
        </w:rPr>
        <w:t> </w:t>
      </w:r>
      <w:r>
        <w:rPr/>
        <w:t>development teams may terminate their employment with us on short notice. Our employment arrangements with</w:t>
      </w:r>
      <w:r>
        <w:rPr>
          <w:spacing w:val="1"/>
        </w:rPr>
        <w:t> </w:t>
      </w:r>
      <w:r>
        <w:rPr/>
        <w:t>our</w:t>
      </w:r>
      <w:r>
        <w:rPr>
          <w:spacing w:val="-3"/>
        </w:rPr>
        <w:t> </w:t>
      </w:r>
      <w:r>
        <w:rPr/>
        <w:t>employees</w:t>
      </w:r>
      <w:r>
        <w:rPr>
          <w:spacing w:val="-3"/>
        </w:rPr>
        <w:t> </w:t>
      </w:r>
      <w:r>
        <w:rPr/>
        <w:t>provide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at-will</w:t>
      </w:r>
      <w:r>
        <w:rPr>
          <w:spacing w:val="-4"/>
        </w:rPr>
        <w:t> </w:t>
      </w:r>
      <w:r>
        <w:rPr/>
        <w:t>employment,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means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our</w:t>
      </w:r>
      <w:r>
        <w:rPr>
          <w:spacing w:val="-3"/>
        </w:rPr>
        <w:t> </w:t>
      </w:r>
      <w:r>
        <w:rPr/>
        <w:t>employees</w:t>
      </w:r>
      <w:r>
        <w:rPr>
          <w:spacing w:val="-3"/>
        </w:rPr>
        <w:t> </w:t>
      </w:r>
      <w:r>
        <w:rPr/>
        <w:t>could</w:t>
      </w:r>
      <w:r>
        <w:rPr>
          <w:spacing w:val="-3"/>
        </w:rPr>
        <w:t> </w:t>
      </w:r>
      <w:r>
        <w:rPr/>
        <w:t>leave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employment</w:t>
      </w:r>
      <w:r>
        <w:rPr>
          <w:spacing w:val="-47"/>
        </w:rPr>
        <w:t> </w:t>
      </w:r>
      <w:r>
        <w:rPr/>
        <w:t>at any time, with or without notice. We also do not maintain “key man” insurance policies on the lives of these</w:t>
      </w:r>
      <w:r>
        <w:rPr>
          <w:spacing w:val="1"/>
        </w:rPr>
        <w:t> </w:t>
      </w:r>
      <w:r>
        <w:rPr/>
        <w:t>individuals or the lives of any of our other employees. This lack of insurance means that we may not have adequate</w:t>
      </w:r>
      <w:r>
        <w:rPr>
          <w:spacing w:val="1"/>
        </w:rPr>
        <w:t> </w:t>
      </w:r>
      <w:r>
        <w:rPr/>
        <w:t>compensation</w:t>
      </w:r>
      <w:r>
        <w:rPr>
          <w:spacing w:val="-1"/>
        </w:rPr>
        <w:t> </w:t>
      </w:r>
      <w:r>
        <w:rPr/>
        <w:t>for the</w:t>
      </w:r>
      <w:r>
        <w:rPr>
          <w:spacing w:val="-1"/>
        </w:rPr>
        <w:t> </w:t>
      </w:r>
      <w:r>
        <w:rPr/>
        <w:t>loss</w:t>
      </w:r>
      <w:r>
        <w:rPr>
          <w:spacing w:val="-2"/>
        </w:rPr>
        <w:t> </w:t>
      </w:r>
      <w:r>
        <w:rPr/>
        <w:t>of the</w:t>
      </w:r>
      <w:r>
        <w:rPr>
          <w:spacing w:val="-1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these</w:t>
      </w:r>
      <w:r>
        <w:rPr>
          <w:spacing w:val="-1"/>
        </w:rPr>
        <w:t> </w:t>
      </w:r>
      <w:r>
        <w:rPr/>
        <w:t>individuals.</w:t>
      </w:r>
    </w:p>
    <w:p>
      <w:pPr>
        <w:pStyle w:val="Heading3"/>
        <w:spacing w:line="249" w:lineRule="auto" w:before="182"/>
      </w:pPr>
      <w:r>
        <w:rPr>
          <w:i/>
        </w:rPr>
        <w:t>We could be adversely affected by violations of the FCPA and similar worldwide anti-bribery laws, as well as</w:t>
      </w:r>
      <w:r>
        <w:rPr>
          <w:i/>
          <w:spacing w:val="1"/>
        </w:rPr>
        <w:t> </w:t>
      </w:r>
      <w:r>
        <w:rPr/>
        <w:t>violations of export or import controls or economic sanctions laws and regulations. Any investigation, and the</w:t>
      </w:r>
      <w:r>
        <w:rPr>
          <w:spacing w:val="1"/>
        </w:rPr>
        <w:t> </w:t>
      </w:r>
      <w:r>
        <w:rPr/>
        <w:t>outcome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investigation,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government</w:t>
      </w:r>
      <w:r>
        <w:rPr>
          <w:spacing w:val="-4"/>
        </w:rPr>
        <w:t> </w:t>
      </w:r>
      <w:r>
        <w:rPr/>
        <w:t>agencies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possible</w:t>
      </w:r>
      <w:r>
        <w:rPr>
          <w:spacing w:val="-4"/>
        </w:rPr>
        <w:t> </w:t>
      </w:r>
      <w:r>
        <w:rPr/>
        <w:t>violations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us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such</w:t>
      </w:r>
      <w:r>
        <w:rPr>
          <w:spacing w:val="-4"/>
        </w:rPr>
        <w:t> </w:t>
      </w:r>
      <w:r>
        <w:rPr/>
        <w:t>laws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regulations</w:t>
      </w:r>
      <w:r>
        <w:rPr>
          <w:spacing w:val="1"/>
        </w:rPr>
        <w:t> </w:t>
      </w:r>
      <w:r>
        <w:rPr/>
        <w:t>could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a material</w:t>
      </w:r>
      <w:r>
        <w:rPr>
          <w:spacing w:val="-1"/>
        </w:rPr>
        <w:t> </w:t>
      </w:r>
      <w:r>
        <w:rPr/>
        <w:t>adverse</w:t>
      </w:r>
      <w:r>
        <w:rPr>
          <w:spacing w:val="-2"/>
        </w:rPr>
        <w:t> </w:t>
      </w:r>
      <w:r>
        <w:rPr/>
        <w:t>effect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our</w:t>
      </w:r>
      <w:r>
        <w:rPr>
          <w:spacing w:val="-1"/>
        </w:rPr>
        <w:t> </w:t>
      </w:r>
      <w:r>
        <w:rPr/>
        <w:t>business.</w:t>
      </w:r>
    </w:p>
    <w:p>
      <w:pPr>
        <w:pStyle w:val="BodyText"/>
        <w:spacing w:line="249" w:lineRule="auto" w:before="187"/>
        <w:ind w:right="129"/>
      </w:pPr>
      <w:r>
        <w:rPr/>
        <w:t>We are subject to anti-corruption laws and regulations, including the U.S. Foreign Corrupt Practices Act of</w:t>
      </w:r>
      <w:r>
        <w:rPr>
          <w:spacing w:val="1"/>
        </w:rPr>
        <w:t> </w:t>
      </w:r>
      <w:r>
        <w:rPr/>
        <w:t>1977, as amended, the U.S. domestic bribery statute in 18 U.S.C. 201, the International Travel Act of 1961, as</w:t>
      </w:r>
      <w:r>
        <w:rPr>
          <w:spacing w:val="1"/>
        </w:rPr>
        <w:t> </w:t>
      </w:r>
      <w:r>
        <w:rPr/>
        <w:t>amended, or the U.S. Travel Act, the U.K. Bribery Act 2010, or the Bribery Act, and similar anti-bribery laws in</w:t>
      </w:r>
      <w:r>
        <w:rPr>
          <w:spacing w:val="1"/>
        </w:rPr>
        <w:t> </w:t>
      </w:r>
      <w:r>
        <w:rPr/>
        <w:t>jurisdictions in which we conduct activities.</w:t>
      </w:r>
      <w:r>
        <w:rPr>
          <w:spacing w:val="50"/>
        </w:rPr>
        <w:t> </w:t>
      </w:r>
      <w:r>
        <w:rPr/>
        <w:t>Anti-corruption laws are interpreted broadly and prohibit companies</w:t>
      </w:r>
      <w:r>
        <w:rPr>
          <w:spacing w:val="1"/>
        </w:rPr>
        <w:t> </w:t>
      </w:r>
      <w:r>
        <w:rPr/>
        <w:t>and their employees, agents, and intermediaries from corruptly authorizing, promising, providing, or offering,</w:t>
      </w:r>
      <w:r>
        <w:rPr>
          <w:spacing w:val="1"/>
        </w:rPr>
        <w:t> </w:t>
      </w:r>
      <w:r>
        <w:rPr/>
        <w:t>directly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indirectly,</w:t>
      </w:r>
      <w:r>
        <w:rPr>
          <w:spacing w:val="-3"/>
        </w:rPr>
        <w:t> </w:t>
      </w:r>
      <w:r>
        <w:rPr/>
        <w:t>improper</w:t>
      </w:r>
      <w:r>
        <w:rPr>
          <w:spacing w:val="-2"/>
        </w:rPr>
        <w:t> </w:t>
      </w:r>
      <w:r>
        <w:rPr/>
        <w:t>payments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anything</w:t>
      </w:r>
      <w:r>
        <w:rPr>
          <w:spacing w:val="-2"/>
        </w:rPr>
        <w:t> </w:t>
      </w:r>
      <w:r>
        <w:rPr/>
        <w:t>else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value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officials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persons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private</w:t>
      </w:r>
      <w:r>
        <w:rPr>
          <w:spacing w:val="-47"/>
        </w:rPr>
        <w:t> </w:t>
      </w:r>
      <w:r>
        <w:rPr/>
        <w:t>sector for the purpose of obtaining or retaining business.</w:t>
      </w:r>
      <w:r>
        <w:rPr>
          <w:spacing w:val="1"/>
        </w:rPr>
        <w:t> </w:t>
      </w:r>
      <w:r>
        <w:rPr/>
        <w:t>In addition, an organization that fails to prevent bribery by</w:t>
      </w:r>
      <w:r>
        <w:rPr>
          <w:spacing w:val="-47"/>
        </w:rPr>
        <w:t> </w:t>
      </w:r>
      <w:r>
        <w:rPr/>
        <w:t>anyone associated with the organization can be charged under the Bribery Act, unless the organization can establish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defense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having implemented adequate</w:t>
      </w:r>
      <w:r>
        <w:rPr>
          <w:spacing w:val="-2"/>
        </w:rPr>
        <w:t> </w:t>
      </w:r>
      <w:r>
        <w:rPr/>
        <w:t>procedures</w:t>
      </w:r>
      <w:r>
        <w:rPr>
          <w:spacing w:val="-1"/>
        </w:rPr>
        <w:t> </w:t>
      </w:r>
      <w:r>
        <w:rPr/>
        <w:t>to prevent</w:t>
      </w:r>
      <w:r>
        <w:rPr>
          <w:spacing w:val="-2"/>
        </w:rPr>
        <w:t> </w:t>
      </w:r>
      <w:r>
        <w:rPr/>
        <w:t>bribery.</w:t>
      </w:r>
    </w:p>
    <w:p>
      <w:pPr>
        <w:pStyle w:val="BodyText"/>
        <w:spacing w:line="249" w:lineRule="auto" w:before="187"/>
      </w:pPr>
      <w:r>
        <w:rPr/>
        <w:t>We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also</w:t>
      </w:r>
      <w:r>
        <w:rPr>
          <w:spacing w:val="-2"/>
        </w:rPr>
        <w:t> </w:t>
      </w:r>
      <w:r>
        <w:rPr/>
        <w:t>subject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export</w:t>
      </w:r>
      <w:r>
        <w:rPr>
          <w:spacing w:val="-4"/>
        </w:rPr>
        <w:t> </w:t>
      </w:r>
      <w:r>
        <w:rPr/>
        <w:t>control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import</w:t>
      </w:r>
      <w:r>
        <w:rPr>
          <w:spacing w:val="-3"/>
        </w:rPr>
        <w:t> </w:t>
      </w:r>
      <w:r>
        <w:rPr/>
        <w:t>laws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regulations,</w:t>
      </w:r>
      <w:r>
        <w:rPr>
          <w:spacing w:val="-3"/>
        </w:rPr>
        <w:t> </w:t>
      </w:r>
      <w:r>
        <w:rPr/>
        <w:t>including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U.S.</w:t>
      </w:r>
      <w:r>
        <w:rPr>
          <w:spacing w:val="-3"/>
        </w:rPr>
        <w:t> </w:t>
      </w:r>
      <w:r>
        <w:rPr/>
        <w:t>Export</w:t>
      </w:r>
      <w:r>
        <w:rPr>
          <w:spacing w:val="-3"/>
        </w:rPr>
        <w:t> </w:t>
      </w:r>
      <w:r>
        <w:rPr/>
        <w:t>Administration</w:t>
      </w:r>
      <w:r>
        <w:rPr>
          <w:spacing w:val="-47"/>
        </w:rPr>
        <w:t> </w:t>
      </w:r>
      <w:r>
        <w:rPr/>
        <w:t>Regulations,</w:t>
      </w:r>
      <w:r>
        <w:rPr>
          <w:spacing w:val="-3"/>
        </w:rPr>
        <w:t> </w:t>
      </w:r>
      <w:r>
        <w:rPr/>
        <w:t>U.S.</w:t>
      </w:r>
      <w:r>
        <w:rPr>
          <w:spacing w:val="-3"/>
        </w:rPr>
        <w:t> </w:t>
      </w:r>
      <w:r>
        <w:rPr/>
        <w:t>Customs</w:t>
      </w:r>
      <w:r>
        <w:rPr>
          <w:spacing w:val="-3"/>
        </w:rPr>
        <w:t> </w:t>
      </w:r>
      <w:r>
        <w:rPr/>
        <w:t>regulations,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various</w:t>
      </w:r>
      <w:r>
        <w:rPr>
          <w:spacing w:val="-4"/>
        </w:rPr>
        <w:t> </w:t>
      </w:r>
      <w:r>
        <w:rPr/>
        <w:t>economic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trade</w:t>
      </w:r>
      <w:r>
        <w:rPr>
          <w:spacing w:val="-4"/>
        </w:rPr>
        <w:t> </w:t>
      </w:r>
      <w:r>
        <w:rPr/>
        <w:t>sanctions</w:t>
      </w:r>
      <w:r>
        <w:rPr>
          <w:spacing w:val="-3"/>
        </w:rPr>
        <w:t> </w:t>
      </w:r>
      <w:r>
        <w:rPr/>
        <w:t>regulations</w:t>
      </w:r>
      <w:r>
        <w:rPr>
          <w:spacing w:val="-4"/>
        </w:rPr>
        <w:t> </w:t>
      </w:r>
      <w:r>
        <w:rPr/>
        <w:t>administered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</w:p>
    <w:p>
      <w:pPr>
        <w:pStyle w:val="BodyText"/>
        <w:spacing w:line="249" w:lineRule="auto" w:before="2"/>
        <w:ind w:right="265" w:firstLine="0"/>
      </w:pPr>
      <w:r>
        <w:rPr/>
        <w:t>U.S. Treasury Department’s Office of Foreign Assets Controls.</w:t>
      </w:r>
      <w:r>
        <w:rPr>
          <w:spacing w:val="1"/>
        </w:rPr>
        <w:t> </w:t>
      </w:r>
      <w:r>
        <w:rPr/>
        <w:t>Compliance with applicable regulatory</w:t>
      </w:r>
      <w:r>
        <w:rPr>
          <w:spacing w:val="1"/>
        </w:rPr>
        <w:t> </w:t>
      </w:r>
      <w:r>
        <w:rPr/>
        <w:t>requirements regarding the export of our products may require us to obtain licenses and authorizations prior to</w:t>
      </w:r>
      <w:r>
        <w:rPr>
          <w:spacing w:val="1"/>
        </w:rPr>
        <w:t> </w:t>
      </w:r>
      <w:r>
        <w:rPr/>
        <w:t>export, create delays in the introduction of our products in certain international markets or, in some cases, prevent</w:t>
      </w:r>
      <w:r>
        <w:rPr>
          <w:spacing w:val="1"/>
        </w:rPr>
        <w:t> </w:t>
      </w:r>
      <w:r>
        <w:rPr/>
        <w:t>the export of our products to some countries altogether. Furthermore, U.S. export control laws and economic</w:t>
      </w:r>
      <w:r>
        <w:rPr>
          <w:spacing w:val="1"/>
        </w:rPr>
        <w:t> </w:t>
      </w:r>
      <w:r>
        <w:rPr/>
        <w:t>sanctions</w:t>
      </w:r>
      <w:r>
        <w:rPr>
          <w:spacing w:val="-4"/>
        </w:rPr>
        <w:t> </w:t>
      </w:r>
      <w:r>
        <w:rPr/>
        <w:t>prohibit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shipment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certain</w:t>
      </w:r>
      <w:r>
        <w:rPr>
          <w:spacing w:val="-3"/>
        </w:rPr>
        <w:t> </w:t>
      </w:r>
      <w:r>
        <w:rPr/>
        <w:t>products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services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countries,</w:t>
      </w:r>
      <w:r>
        <w:rPr>
          <w:spacing w:val="-3"/>
        </w:rPr>
        <w:t> </w:t>
      </w:r>
      <w:r>
        <w:rPr/>
        <w:t>governments,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persons</w:t>
      </w:r>
      <w:r>
        <w:rPr>
          <w:spacing w:val="-4"/>
        </w:rPr>
        <w:t> </w:t>
      </w:r>
      <w:r>
        <w:rPr/>
        <w:t>targeted</w:t>
      </w:r>
      <w:r>
        <w:rPr>
          <w:spacing w:val="-3"/>
        </w:rPr>
        <w:t> </w:t>
      </w:r>
      <w:r>
        <w:rPr/>
        <w:t>by</w:t>
      </w:r>
    </w:p>
    <w:p>
      <w:pPr>
        <w:pStyle w:val="BodyText"/>
        <w:spacing w:before="4"/>
        <w:ind w:firstLine="0"/>
      </w:pPr>
      <w:r>
        <w:rPr/>
        <w:t>U.S.</w:t>
      </w:r>
      <w:r>
        <w:rPr>
          <w:spacing w:val="-4"/>
        </w:rPr>
        <w:t> </w:t>
      </w:r>
      <w:r>
        <w:rPr/>
        <w:t>sanctions.</w:t>
      </w:r>
    </w:p>
    <w:p>
      <w:pPr>
        <w:pStyle w:val="BodyText"/>
        <w:spacing w:line="249" w:lineRule="auto"/>
        <w:ind w:right="135"/>
      </w:pPr>
      <w:r>
        <w:rPr/>
        <w:t>We are in the process of further enhancing policies designed to ensure compliance by us and our directors,</w:t>
      </w:r>
      <w:r>
        <w:rPr>
          <w:spacing w:val="1"/>
        </w:rPr>
        <w:t> </w:t>
      </w:r>
      <w:r>
        <w:rPr/>
        <w:t>officers, employees, representatives, consultants and agents with the FCPA, the Bribery Act, OFAC laws and</w:t>
      </w:r>
      <w:r>
        <w:rPr>
          <w:spacing w:val="1"/>
        </w:rPr>
        <w:t> </w:t>
      </w:r>
      <w:r>
        <w:rPr/>
        <w:t>regulations,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other</w:t>
      </w:r>
      <w:r>
        <w:rPr>
          <w:spacing w:val="2"/>
        </w:rPr>
        <w:t> </w:t>
      </w:r>
      <w:r>
        <w:rPr/>
        <w:t>export</w:t>
      </w:r>
      <w:r>
        <w:rPr>
          <w:spacing w:val="1"/>
        </w:rPr>
        <w:t> </w:t>
      </w:r>
      <w:r>
        <w:rPr/>
        <w:t>control,</w:t>
      </w:r>
      <w:r>
        <w:rPr>
          <w:spacing w:val="2"/>
        </w:rPr>
        <w:t> </w:t>
      </w:r>
      <w:r>
        <w:rPr/>
        <w:t>anti-corruption,</w:t>
      </w:r>
      <w:r>
        <w:rPr>
          <w:spacing w:val="2"/>
        </w:rPr>
        <w:t> </w:t>
      </w:r>
      <w:r>
        <w:rPr/>
        <w:t>anti-money-laundering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anti-terrorism</w:t>
      </w:r>
      <w:r>
        <w:rPr>
          <w:spacing w:val="1"/>
        </w:rPr>
        <w:t> </w:t>
      </w:r>
      <w:r>
        <w:rPr/>
        <w:t>laws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regulations. In the future, we may operate in parts of the world that pose a heightened corruption risk. Moreover,</w:t>
      </w:r>
      <w:r>
        <w:rPr>
          <w:spacing w:val="1"/>
        </w:rPr>
        <w:t> </w:t>
      </w:r>
      <w:r>
        <w:rPr/>
        <w:t>because of the significant role government entities play in the regulation of many foreign healthcare markets, we</w:t>
      </w:r>
      <w:r>
        <w:rPr>
          <w:spacing w:val="1"/>
        </w:rPr>
        <w:t> </w:t>
      </w:r>
      <w:r>
        <w:rPr/>
        <w:t>may be exposed to heightened FCPA and similar risks arising from our efforts to seek regulatory approval of and</w:t>
      </w:r>
      <w:r>
        <w:rPr>
          <w:spacing w:val="1"/>
        </w:rPr>
        <w:t> </w:t>
      </w:r>
      <w:r>
        <w:rPr/>
        <w:t>reimbursement for our products in such countries. We cannot assure you that our internal control policies and</w:t>
      </w:r>
      <w:r>
        <w:rPr>
          <w:spacing w:val="1"/>
        </w:rPr>
        <w:t> </w:t>
      </w:r>
      <w:r>
        <w:rPr/>
        <w:t>procedures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protect</w:t>
      </w:r>
      <w:r>
        <w:rPr>
          <w:spacing w:val="-3"/>
        </w:rPr>
        <w:t> </w:t>
      </w:r>
      <w:r>
        <w:rPr/>
        <w:t>us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improper</w:t>
      </w:r>
      <w:r>
        <w:rPr>
          <w:spacing w:val="-2"/>
        </w:rPr>
        <w:t> </w:t>
      </w:r>
      <w:r>
        <w:rPr/>
        <w:t>acts</w:t>
      </w:r>
      <w:r>
        <w:rPr>
          <w:spacing w:val="-3"/>
        </w:rPr>
        <w:t> </w:t>
      </w:r>
      <w:r>
        <w:rPr/>
        <w:t>committed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employees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agents,</w:t>
      </w:r>
      <w:r>
        <w:rPr>
          <w:spacing w:val="-2"/>
        </w:rPr>
        <w:t> </w:t>
      </w:r>
      <w:r>
        <w:rPr/>
        <w:t>nor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we</w:t>
      </w:r>
      <w:r>
        <w:rPr>
          <w:spacing w:val="-3"/>
        </w:rPr>
        <w:t> </w:t>
      </w:r>
      <w:r>
        <w:rPr/>
        <w:t>assure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our</w:t>
      </w:r>
      <w:r>
        <w:rPr>
          <w:spacing w:val="-47"/>
        </w:rPr>
        <w:t> </w:t>
      </w:r>
      <w:r>
        <w:rPr/>
        <w:t>business partners have not engaged and will not engage in improper conduct that could materially affect their ability</w:t>
      </w:r>
      <w:r>
        <w:rPr>
          <w:spacing w:val="-47"/>
        </w:rPr>
        <w:t> </w:t>
      </w:r>
      <w:r>
        <w:rPr/>
        <w:t>to perform their contractual obligations to us or even result in our being held liable for such conduct. The U.S.</w:t>
      </w:r>
      <w:r>
        <w:rPr>
          <w:spacing w:val="1"/>
        </w:rPr>
        <w:t> </w:t>
      </w:r>
      <w:r>
        <w:rPr/>
        <w:t>Departments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Justice,</w:t>
      </w:r>
      <w:r>
        <w:rPr>
          <w:spacing w:val="-3"/>
        </w:rPr>
        <w:t> </w:t>
      </w:r>
      <w:r>
        <w:rPr/>
        <w:t>Commerce,</w:t>
      </w:r>
      <w:r>
        <w:rPr>
          <w:spacing w:val="-3"/>
        </w:rPr>
        <w:t> </w:t>
      </w:r>
      <w:r>
        <w:rPr/>
        <w:t>State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Treasury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other</w:t>
      </w:r>
      <w:r>
        <w:rPr>
          <w:spacing w:val="-2"/>
        </w:rPr>
        <w:t> </w:t>
      </w:r>
      <w:r>
        <w:rPr/>
        <w:t>federal</w:t>
      </w:r>
      <w:r>
        <w:rPr>
          <w:spacing w:val="-4"/>
        </w:rPr>
        <w:t> </w:t>
      </w:r>
      <w:r>
        <w:rPr/>
        <w:t>agencies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authorities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broad</w:t>
      </w:r>
      <w:r>
        <w:rPr>
          <w:spacing w:val="-2"/>
        </w:rPr>
        <w:t> </w:t>
      </w:r>
      <w:r>
        <w:rPr/>
        <w:t>range</w:t>
      </w:r>
      <w:r>
        <w:rPr>
          <w:spacing w:val="-47"/>
        </w:rPr>
        <w:t> </w:t>
      </w:r>
      <w:r>
        <w:rPr/>
        <w:t>of civil and criminal penalties they may seek to impose against corporations and individuals for violations of anti-</w:t>
      </w:r>
      <w:r>
        <w:rPr>
          <w:spacing w:val="1"/>
        </w:rPr>
        <w:t> </w:t>
      </w:r>
      <w:r>
        <w:rPr/>
        <w:t>corruption laws, economic sanctions laws, and export control and import laws.</w:t>
      </w:r>
      <w:r>
        <w:rPr>
          <w:spacing w:val="1"/>
        </w:rPr>
        <w:t> </w:t>
      </w:r>
      <w:r>
        <w:rPr/>
        <w:t>In addition, violations of these laws,</w:t>
      </w:r>
      <w:r>
        <w:rPr>
          <w:spacing w:val="-47"/>
        </w:rPr>
        <w:t> </w:t>
      </w:r>
      <w:r>
        <w:rPr/>
        <w:t>or allegations of such violations, would significantly disrupt our business and have a material adverse effect on our</w:t>
      </w:r>
      <w:r>
        <w:rPr>
          <w:spacing w:val="1"/>
        </w:rPr>
        <w:t> </w:t>
      </w:r>
      <w:r>
        <w:rPr/>
        <w:t>business,</w:t>
      </w:r>
      <w:r>
        <w:rPr>
          <w:spacing w:val="-1"/>
        </w:rPr>
        <w:t> </w:t>
      </w:r>
      <w:r>
        <w:rPr/>
        <w:t>financial</w:t>
      </w:r>
      <w:r>
        <w:rPr>
          <w:spacing w:val="-1"/>
        </w:rPr>
        <w:t> </w:t>
      </w:r>
      <w:r>
        <w:rPr/>
        <w:t>condition and results</w:t>
      </w:r>
      <w:r>
        <w:rPr>
          <w:spacing w:val="-2"/>
        </w:rPr>
        <w:t> </w:t>
      </w:r>
      <w:r>
        <w:rPr/>
        <w:t>of operations.</w:t>
      </w:r>
    </w:p>
    <w:p>
      <w:pPr>
        <w:pStyle w:val="Heading3"/>
        <w:spacing w:before="189"/>
        <w:rPr>
          <w:i/>
        </w:rPr>
      </w:pPr>
      <w:r>
        <w:rPr>
          <w:i/>
        </w:rPr>
        <w:t>Our</w:t>
      </w:r>
      <w:r>
        <w:rPr>
          <w:i/>
          <w:spacing w:val="-5"/>
        </w:rPr>
        <w:t> </w:t>
      </w:r>
      <w:r>
        <w:rPr>
          <w:i/>
        </w:rPr>
        <w:t>ability</w:t>
      </w:r>
      <w:r>
        <w:rPr>
          <w:i/>
          <w:spacing w:val="-4"/>
        </w:rPr>
        <w:t> </w:t>
      </w:r>
      <w:r>
        <w:rPr>
          <w:i/>
        </w:rPr>
        <w:t>to</w:t>
      </w:r>
      <w:r>
        <w:rPr>
          <w:i/>
          <w:spacing w:val="-3"/>
        </w:rPr>
        <w:t> </w:t>
      </w:r>
      <w:r>
        <w:rPr>
          <w:i/>
        </w:rPr>
        <w:t>utilize</w:t>
      </w:r>
      <w:r>
        <w:rPr>
          <w:i/>
          <w:spacing w:val="-4"/>
        </w:rPr>
        <w:t> </w:t>
      </w:r>
      <w:r>
        <w:rPr>
          <w:i/>
        </w:rPr>
        <w:t>our</w:t>
      </w:r>
      <w:r>
        <w:rPr>
          <w:i/>
          <w:spacing w:val="-5"/>
        </w:rPr>
        <w:t> </w:t>
      </w:r>
      <w:r>
        <w:rPr>
          <w:i/>
        </w:rPr>
        <w:t>net</w:t>
      </w:r>
      <w:r>
        <w:rPr>
          <w:i/>
          <w:spacing w:val="-4"/>
        </w:rPr>
        <w:t> </w:t>
      </w:r>
      <w:r>
        <w:rPr>
          <w:i/>
        </w:rPr>
        <w:t>operating</w:t>
      </w:r>
      <w:r>
        <w:rPr>
          <w:i/>
          <w:spacing w:val="-3"/>
        </w:rPr>
        <w:t> </w:t>
      </w:r>
      <w:r>
        <w:rPr>
          <w:i/>
        </w:rPr>
        <w:t>loss</w:t>
      </w:r>
      <w:r>
        <w:rPr>
          <w:i/>
          <w:spacing w:val="-4"/>
        </w:rPr>
        <w:t> </w:t>
      </w:r>
      <w:r>
        <w:rPr>
          <w:i/>
        </w:rPr>
        <w:t>carryforwards</w:t>
      </w:r>
      <w:r>
        <w:rPr>
          <w:i/>
          <w:spacing w:val="-5"/>
        </w:rPr>
        <w:t> </w:t>
      </w:r>
      <w:r>
        <w:rPr>
          <w:i/>
        </w:rPr>
        <w:t>and</w:t>
      </w:r>
      <w:r>
        <w:rPr>
          <w:i/>
          <w:spacing w:val="-3"/>
        </w:rPr>
        <w:t> </w:t>
      </w:r>
      <w:r>
        <w:rPr>
          <w:i/>
        </w:rPr>
        <w:t>research</w:t>
      </w:r>
      <w:r>
        <w:rPr>
          <w:i/>
          <w:spacing w:val="-4"/>
        </w:rPr>
        <w:t> </w:t>
      </w:r>
      <w:r>
        <w:rPr>
          <w:i/>
        </w:rPr>
        <w:t>and</w:t>
      </w:r>
      <w:r>
        <w:rPr>
          <w:i/>
          <w:spacing w:val="-3"/>
        </w:rPr>
        <w:t> </w:t>
      </w:r>
      <w:r>
        <w:rPr>
          <w:i/>
        </w:rPr>
        <w:t>development</w:t>
      </w:r>
      <w:r>
        <w:rPr>
          <w:i/>
          <w:spacing w:val="-4"/>
        </w:rPr>
        <w:t> </w:t>
      </w:r>
      <w:r>
        <w:rPr>
          <w:i/>
        </w:rPr>
        <w:t>credit</w:t>
      </w:r>
      <w:r>
        <w:rPr>
          <w:i/>
          <w:spacing w:val="-5"/>
        </w:rPr>
        <w:t> </w:t>
      </w:r>
      <w:r>
        <w:rPr>
          <w:i/>
        </w:rPr>
        <w:t>may</w:t>
      </w:r>
      <w:r>
        <w:rPr>
          <w:i/>
          <w:spacing w:val="-4"/>
        </w:rPr>
        <w:t> </w:t>
      </w:r>
      <w:r>
        <w:rPr>
          <w:i/>
        </w:rPr>
        <w:t>be</w:t>
      </w:r>
      <w:r>
        <w:rPr>
          <w:i/>
          <w:spacing w:val="-4"/>
        </w:rPr>
        <w:t> </w:t>
      </w:r>
      <w:r>
        <w:rPr>
          <w:i/>
        </w:rPr>
        <w:t>limited.</w:t>
      </w:r>
    </w:p>
    <w:p>
      <w:pPr>
        <w:pStyle w:val="BodyText"/>
        <w:spacing w:line="249" w:lineRule="auto" w:before="193"/>
      </w:pPr>
      <w:r>
        <w:rPr/>
        <w:t>As of December 31, 2020, we had U.S. federal and state net operating loss, or NOL, carryforwards of</w:t>
      </w:r>
      <w:r>
        <w:rPr>
          <w:spacing w:val="1"/>
        </w:rPr>
        <w:t> </w:t>
      </w:r>
      <w:r>
        <w:rPr/>
        <w:t>approximately $170.8 million and $100.7 million, respectively, and U.S. federal and state research and development</w:t>
      </w:r>
      <w:r>
        <w:rPr>
          <w:spacing w:val="-47"/>
        </w:rPr>
        <w:t> </w:t>
      </w:r>
      <w:r>
        <w:rPr/>
        <w:t>credit carryforwards of $3.1 million and $2.5 million, respectively. NOLs incurred in taxable years beginning after</w:t>
      </w:r>
      <w:r>
        <w:rPr>
          <w:spacing w:val="1"/>
        </w:rPr>
        <w:t> </w:t>
      </w:r>
      <w:r>
        <w:rPr/>
        <w:t>December 31, 2017, may be carried forward indefinitely, but the deductibility of such federal NOLs in taxable years</w:t>
      </w:r>
      <w:r>
        <w:rPr>
          <w:spacing w:val="-47"/>
        </w:rPr>
        <w:t> </w:t>
      </w:r>
      <w:r>
        <w:rPr/>
        <w:t>beginning</w:t>
      </w:r>
      <w:r>
        <w:rPr>
          <w:spacing w:val="-3"/>
        </w:rPr>
        <w:t> </w:t>
      </w:r>
      <w:r>
        <w:rPr/>
        <w:t>after</w:t>
      </w:r>
      <w:r>
        <w:rPr>
          <w:spacing w:val="-2"/>
        </w:rPr>
        <w:t> </w:t>
      </w:r>
      <w:r>
        <w:rPr/>
        <w:t>December</w:t>
      </w:r>
      <w:r>
        <w:rPr>
          <w:spacing w:val="-2"/>
        </w:rPr>
        <w:t> </w:t>
      </w:r>
      <w:r>
        <w:rPr/>
        <w:t>31,</w:t>
      </w:r>
      <w:r>
        <w:rPr>
          <w:spacing w:val="-2"/>
        </w:rPr>
        <w:t> </w:t>
      </w:r>
      <w:r>
        <w:rPr/>
        <w:t>2020,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limited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80%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current</w:t>
      </w:r>
      <w:r>
        <w:rPr>
          <w:spacing w:val="-3"/>
        </w:rPr>
        <w:t> </w:t>
      </w:r>
      <w:r>
        <w:rPr/>
        <w:t>year</w:t>
      </w:r>
      <w:r>
        <w:rPr>
          <w:spacing w:val="-2"/>
        </w:rPr>
        <w:t> </w:t>
      </w:r>
      <w:r>
        <w:rPr/>
        <w:t>taxable</w:t>
      </w:r>
      <w:r>
        <w:rPr>
          <w:spacing w:val="-3"/>
        </w:rPr>
        <w:t> </w:t>
      </w:r>
      <w:r>
        <w:rPr/>
        <w:t>income.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general,</w:t>
      </w:r>
      <w:r>
        <w:rPr>
          <w:spacing w:val="-2"/>
        </w:rPr>
        <w:t> </w:t>
      </w:r>
      <w:r>
        <w:rPr/>
        <w:t>under</w:t>
      </w:r>
      <w:r>
        <w:rPr>
          <w:spacing w:val="-2"/>
        </w:rPr>
        <w:t> </w:t>
      </w:r>
      <w:r>
        <w:rPr/>
        <w:t>Sections</w:t>
      </w:r>
      <w:r>
        <w:rPr>
          <w:spacing w:val="-4"/>
        </w:rPr>
        <w:t> </w:t>
      </w:r>
      <w:r>
        <w:rPr/>
        <w:t>382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  <w:ind w:right="123" w:firstLine="0"/>
      </w:pPr>
      <w:r>
        <w:rPr/>
        <w:t>and</w:t>
      </w:r>
      <w:r>
        <w:rPr>
          <w:spacing w:val="2"/>
        </w:rPr>
        <w:t> </w:t>
      </w:r>
      <w:r>
        <w:rPr/>
        <w:t>383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Internal</w:t>
      </w:r>
      <w:r>
        <w:rPr>
          <w:spacing w:val="1"/>
        </w:rPr>
        <w:t> </w:t>
      </w:r>
      <w:r>
        <w:rPr/>
        <w:t>Revenue</w:t>
      </w:r>
      <w:r>
        <w:rPr>
          <w:spacing w:val="1"/>
        </w:rPr>
        <w:t> </w:t>
      </w:r>
      <w:r>
        <w:rPr/>
        <w:t>Code</w:t>
      </w:r>
      <w:r>
        <w:rPr>
          <w:spacing w:val="1"/>
        </w:rPr>
        <w:t> </w:t>
      </w:r>
      <w:r>
        <w:rPr/>
        <w:t>of</w:t>
      </w:r>
      <w:r>
        <w:rPr>
          <w:spacing w:val="3"/>
        </w:rPr>
        <w:t> </w:t>
      </w:r>
      <w:r>
        <w:rPr/>
        <w:t>1986,</w:t>
      </w:r>
      <w:r>
        <w:rPr>
          <w:spacing w:val="2"/>
        </w:rPr>
        <w:t> </w:t>
      </w:r>
      <w:r>
        <w:rPr/>
        <w:t>as</w:t>
      </w:r>
      <w:r>
        <w:rPr>
          <w:spacing w:val="1"/>
        </w:rPr>
        <w:t> </w:t>
      </w:r>
      <w:r>
        <w:rPr/>
        <w:t>amended,</w:t>
      </w:r>
      <w:r>
        <w:rPr>
          <w:spacing w:val="3"/>
        </w:rPr>
        <w:t> </w:t>
      </w:r>
      <w:r>
        <w:rPr/>
        <w:t>or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Code,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corporation</w:t>
      </w:r>
      <w:r>
        <w:rPr>
          <w:spacing w:val="2"/>
        </w:rPr>
        <w:t> </w:t>
      </w:r>
      <w:r>
        <w:rPr/>
        <w:t>that</w:t>
      </w:r>
      <w:r>
        <w:rPr>
          <w:spacing w:val="1"/>
        </w:rPr>
        <w:t> </w:t>
      </w:r>
      <w:r>
        <w:rPr/>
        <w:t>undergoes</w:t>
      </w:r>
      <w:r>
        <w:rPr>
          <w:spacing w:val="2"/>
        </w:rPr>
        <w:t> </w:t>
      </w:r>
      <w:r>
        <w:rPr/>
        <w:t>an</w:t>
      </w:r>
      <w:r>
        <w:rPr>
          <w:spacing w:val="1"/>
        </w:rPr>
        <w:t> </w:t>
      </w:r>
      <w:r>
        <w:rPr/>
        <w:t>“ownership change,” generally defined as a greater than 50 percentage point change by value in its equity ownership</w:t>
      </w:r>
      <w:r>
        <w:rPr>
          <w:spacing w:val="-47"/>
        </w:rPr>
        <w:t> </w:t>
      </w:r>
      <w:r>
        <w:rPr/>
        <w:t>over a rolling three-year period, is subject to limitations on its ability to utilize its pre-change NOLs and its research</w:t>
      </w:r>
      <w:r>
        <w:rPr>
          <w:spacing w:val="1"/>
        </w:rPr>
        <w:t> </w:t>
      </w:r>
      <w:r>
        <w:rPr/>
        <w:t>and development credit carryforwards to offset post-change taxable income. Similar rules may apply under state tax</w:t>
      </w:r>
      <w:r>
        <w:rPr>
          <w:spacing w:val="1"/>
        </w:rPr>
        <w:t> </w:t>
      </w:r>
      <w:r>
        <w:rPr/>
        <w:t>laws. Our existing NOLs and research and development credit carryforwards have been, and may in the future be,</w:t>
      </w:r>
      <w:r>
        <w:rPr>
          <w:spacing w:val="1"/>
        </w:rPr>
        <w:t> </w:t>
      </w:r>
      <w:r>
        <w:rPr/>
        <w:t>subject to limitations arising from previous ownership changes, and if we undergo an ownership change, our ability</w:t>
      </w:r>
      <w:r>
        <w:rPr>
          <w:spacing w:val="1"/>
        </w:rPr>
        <w:t> </w:t>
      </w:r>
      <w:r>
        <w:rPr/>
        <w:t>to</w:t>
      </w:r>
      <w:r>
        <w:rPr>
          <w:spacing w:val="-3"/>
        </w:rPr>
        <w:t> </w:t>
      </w:r>
      <w:r>
        <w:rPr/>
        <w:t>utilize</w:t>
      </w:r>
      <w:r>
        <w:rPr>
          <w:spacing w:val="-3"/>
        </w:rPr>
        <w:t> </w:t>
      </w:r>
      <w:r>
        <w:rPr/>
        <w:t>NOLs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development</w:t>
      </w:r>
      <w:r>
        <w:rPr>
          <w:spacing w:val="-4"/>
        </w:rPr>
        <w:t> </w:t>
      </w:r>
      <w:r>
        <w:rPr/>
        <w:t>credit</w:t>
      </w:r>
      <w:r>
        <w:rPr>
          <w:spacing w:val="-3"/>
        </w:rPr>
        <w:t> </w:t>
      </w:r>
      <w:r>
        <w:rPr/>
        <w:t>carryforwards</w:t>
      </w:r>
      <w:r>
        <w:rPr>
          <w:spacing w:val="-3"/>
        </w:rPr>
        <w:t> </w:t>
      </w:r>
      <w:r>
        <w:rPr/>
        <w:t>could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further</w:t>
      </w:r>
      <w:r>
        <w:rPr>
          <w:spacing w:val="-3"/>
        </w:rPr>
        <w:t> </w:t>
      </w:r>
      <w:r>
        <w:rPr/>
        <w:t>limited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Sections</w:t>
      </w:r>
      <w:r>
        <w:rPr>
          <w:spacing w:val="-3"/>
        </w:rPr>
        <w:t> </w:t>
      </w:r>
      <w:r>
        <w:rPr/>
        <w:t>382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383</w:t>
      </w:r>
      <w:r>
        <w:rPr>
          <w:spacing w:val="-47"/>
        </w:rPr>
        <w:t> </w:t>
      </w:r>
      <w:r>
        <w:rPr/>
        <w:t>of the Code. Future changes in our stock ownership, some of which might be beyond our control, could result in an</w:t>
      </w:r>
      <w:r>
        <w:rPr>
          <w:spacing w:val="1"/>
        </w:rPr>
        <w:t> </w:t>
      </w:r>
      <w:r>
        <w:rPr/>
        <w:t>ownership change under Section 382 of the Code. For these reasons, in the event we experience a future change of</w:t>
      </w:r>
      <w:r>
        <w:rPr>
          <w:spacing w:val="1"/>
        </w:rPr>
        <w:t> </w:t>
      </w:r>
      <w:r>
        <w:rPr/>
        <w:t>control,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able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utilize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material</w:t>
      </w:r>
      <w:r>
        <w:rPr>
          <w:spacing w:val="-3"/>
        </w:rPr>
        <w:t> </w:t>
      </w:r>
      <w:r>
        <w:rPr/>
        <w:t>portion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NOLs,</w:t>
      </w:r>
      <w:r>
        <w:rPr>
          <w:spacing w:val="-3"/>
        </w:rPr>
        <w:t> </w:t>
      </w:r>
      <w:r>
        <w:rPr/>
        <w:t>research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development</w:t>
      </w:r>
      <w:r>
        <w:rPr>
          <w:spacing w:val="-4"/>
        </w:rPr>
        <w:t> </w:t>
      </w:r>
      <w:r>
        <w:rPr/>
        <w:t>credit</w:t>
      </w:r>
      <w:r>
        <w:rPr>
          <w:spacing w:val="-3"/>
        </w:rPr>
        <w:t> </w:t>
      </w:r>
      <w:r>
        <w:rPr/>
        <w:t>carryforwards</w:t>
      </w:r>
      <w:r>
        <w:rPr>
          <w:spacing w:val="-47"/>
        </w:rPr>
        <w:t> </w:t>
      </w:r>
      <w:r>
        <w:rPr/>
        <w:t>or disallowed interest expense carryovers, even if we attain profitability. In addition, for state income tax purposes,</w:t>
      </w:r>
      <w:r>
        <w:rPr>
          <w:spacing w:val="1"/>
        </w:rPr>
        <w:t> </w:t>
      </w:r>
      <w:r>
        <w:rPr/>
        <w:t>the extent to</w:t>
      </w:r>
      <w:r>
        <w:rPr>
          <w:spacing w:val="2"/>
        </w:rPr>
        <w:t> </w:t>
      </w:r>
      <w:r>
        <w:rPr/>
        <w:t>which</w:t>
      </w:r>
      <w:r>
        <w:rPr>
          <w:spacing w:val="1"/>
        </w:rPr>
        <w:t> </w:t>
      </w:r>
      <w:r>
        <w:rPr/>
        <w:t>states will</w:t>
      </w:r>
      <w:r>
        <w:rPr>
          <w:spacing w:val="1"/>
        </w:rPr>
        <w:t> </w:t>
      </w:r>
      <w:r>
        <w:rPr/>
        <w:t>conform 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federal laws</w:t>
      </w:r>
      <w:r>
        <w:rPr>
          <w:spacing w:val="1"/>
        </w:rPr>
        <w:t> </w:t>
      </w:r>
      <w:r>
        <w:rPr/>
        <w:t>is uncertain</w:t>
      </w:r>
      <w:r>
        <w:rPr>
          <w:spacing w:val="1"/>
        </w:rPr>
        <w:t> </w:t>
      </w:r>
      <w:r>
        <w:rPr/>
        <w:t>and</w:t>
      </w:r>
      <w:r>
        <w:rPr>
          <w:spacing w:val="2"/>
        </w:rPr>
        <w:t> </w:t>
      </w:r>
      <w:r>
        <w:rPr/>
        <w:t>there may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periods during</w:t>
      </w:r>
      <w:r>
        <w:rPr>
          <w:spacing w:val="2"/>
        </w:rPr>
        <w:t> </w:t>
      </w:r>
      <w:r>
        <w:rPr/>
        <w:t>which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use of NOL carryforwards is suspended or otherwise limited, which could accelerate or permanently increase state</w:t>
      </w:r>
      <w:r>
        <w:rPr>
          <w:spacing w:val="1"/>
        </w:rPr>
        <w:t> </w:t>
      </w:r>
      <w:r>
        <w:rPr/>
        <w:t>taxes owed. For example, California imposed limits on the usability of California state NOLs and tax credits in tax</w:t>
      </w:r>
      <w:r>
        <w:rPr>
          <w:spacing w:val="1"/>
        </w:rPr>
        <w:t> </w:t>
      </w:r>
      <w:r>
        <w:rPr/>
        <w:t>years</w:t>
      </w:r>
      <w:r>
        <w:rPr>
          <w:spacing w:val="-2"/>
        </w:rPr>
        <w:t> </w:t>
      </w:r>
      <w:r>
        <w:rPr/>
        <w:t>beginning after 2019 and before</w:t>
      </w:r>
      <w:r>
        <w:rPr>
          <w:spacing w:val="-1"/>
        </w:rPr>
        <w:t> </w:t>
      </w:r>
      <w:r>
        <w:rPr/>
        <w:t>2023.</w:t>
      </w:r>
    </w:p>
    <w:p>
      <w:pPr>
        <w:pStyle w:val="BodyText"/>
        <w:spacing w:line="249" w:lineRule="auto" w:before="192"/>
        <w:ind w:right="148"/>
      </w:pPr>
      <w:r>
        <w:rPr/>
        <w:t>In</w:t>
      </w:r>
      <w:r>
        <w:rPr>
          <w:spacing w:val="-3"/>
        </w:rPr>
        <w:t> </w:t>
      </w:r>
      <w:r>
        <w:rPr/>
        <w:t>addition,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tax</w:t>
      </w:r>
      <w:r>
        <w:rPr>
          <w:spacing w:val="-3"/>
        </w:rPr>
        <w:t> </w:t>
      </w:r>
      <w:r>
        <w:rPr/>
        <w:t>benefit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NOLs,</w:t>
      </w:r>
      <w:r>
        <w:rPr>
          <w:spacing w:val="-3"/>
        </w:rPr>
        <w:t> </w:t>
      </w:r>
      <w:r>
        <w:rPr/>
        <w:t>temporary</w:t>
      </w:r>
      <w:r>
        <w:rPr>
          <w:spacing w:val="-2"/>
        </w:rPr>
        <w:t> </w:t>
      </w:r>
      <w:r>
        <w:rPr/>
        <w:t>differences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credit</w:t>
      </w:r>
      <w:r>
        <w:rPr>
          <w:spacing w:val="-3"/>
        </w:rPr>
        <w:t> </w:t>
      </w:r>
      <w:r>
        <w:rPr/>
        <w:t>carryforwards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required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recorded</w:t>
      </w:r>
      <w:r>
        <w:rPr>
          <w:spacing w:val="-47"/>
        </w:rPr>
        <w:t> </w:t>
      </w:r>
      <w:r>
        <w:rPr/>
        <w:t>as an asset to the extent that we assess that realization is more likely than not. We believe that recognition of the</w:t>
      </w:r>
      <w:r>
        <w:rPr>
          <w:spacing w:val="1"/>
        </w:rPr>
        <w:t> </w:t>
      </w:r>
      <w:r>
        <w:rPr/>
        <w:t>deferred tax asset arising from these future tax benefits is not likely to be realized and, accordingly, have provided a</w:t>
      </w:r>
      <w:r>
        <w:rPr>
          <w:spacing w:val="-47"/>
        </w:rPr>
        <w:t> </w:t>
      </w:r>
      <w:r>
        <w:rPr/>
        <w:t>full</w:t>
      </w:r>
      <w:r>
        <w:rPr>
          <w:spacing w:val="-2"/>
        </w:rPr>
        <w:t> </w:t>
      </w:r>
      <w:r>
        <w:rPr/>
        <w:t>valuation allowance</w:t>
      </w:r>
      <w:r>
        <w:rPr>
          <w:spacing w:val="-1"/>
        </w:rPr>
        <w:t> </w:t>
      </w:r>
      <w:r>
        <w:rPr/>
        <w:t>against</w:t>
      </w:r>
      <w:r>
        <w:rPr>
          <w:spacing w:val="-2"/>
        </w:rPr>
        <w:t> </w:t>
      </w:r>
      <w:r>
        <w:rPr/>
        <w:t>our net</w:t>
      </w:r>
      <w:r>
        <w:rPr>
          <w:spacing w:val="-1"/>
        </w:rPr>
        <w:t> </w:t>
      </w:r>
      <w:r>
        <w:rPr/>
        <w:t>deferred tax</w:t>
      </w:r>
      <w:r>
        <w:rPr>
          <w:spacing w:val="-1"/>
        </w:rPr>
        <w:t> </w:t>
      </w:r>
      <w:r>
        <w:rPr/>
        <w:t>asset.</w:t>
      </w:r>
    </w:p>
    <w:p>
      <w:pPr>
        <w:pStyle w:val="Heading3"/>
        <w:spacing w:line="249" w:lineRule="auto"/>
        <w:ind w:right="212"/>
      </w:pPr>
      <w:r>
        <w:rPr>
          <w:i/>
        </w:rPr>
        <w:t>We</w:t>
      </w:r>
      <w:r>
        <w:rPr>
          <w:i/>
          <w:spacing w:val="-6"/>
        </w:rPr>
        <w:t> </w:t>
      </w:r>
      <w:r>
        <w:rPr>
          <w:i/>
        </w:rPr>
        <w:t>may</w:t>
      </w:r>
      <w:r>
        <w:rPr>
          <w:i/>
          <w:spacing w:val="-5"/>
        </w:rPr>
        <w:t> </w:t>
      </w:r>
      <w:r>
        <w:rPr>
          <w:i/>
        </w:rPr>
        <w:t>acquire</w:t>
      </w:r>
      <w:r>
        <w:rPr>
          <w:i/>
          <w:spacing w:val="-5"/>
        </w:rPr>
        <w:t> </w:t>
      </w:r>
      <w:r>
        <w:rPr>
          <w:i/>
        </w:rPr>
        <w:t>other</w:t>
      </w:r>
      <w:r>
        <w:rPr>
          <w:i/>
          <w:spacing w:val="-5"/>
        </w:rPr>
        <w:t> </w:t>
      </w:r>
      <w:r>
        <w:rPr>
          <w:i/>
        </w:rPr>
        <w:t>businesses</w:t>
      </w:r>
      <w:r>
        <w:rPr>
          <w:i/>
          <w:spacing w:val="-6"/>
        </w:rPr>
        <w:t> </w:t>
      </w:r>
      <w:r>
        <w:rPr>
          <w:i/>
        </w:rPr>
        <w:t>which</w:t>
      </w:r>
      <w:r>
        <w:rPr>
          <w:i/>
          <w:spacing w:val="-5"/>
        </w:rPr>
        <w:t> </w:t>
      </w:r>
      <w:r>
        <w:rPr>
          <w:i/>
        </w:rPr>
        <w:t>could</w:t>
      </w:r>
      <w:r>
        <w:rPr>
          <w:i/>
          <w:spacing w:val="-4"/>
        </w:rPr>
        <w:t> </w:t>
      </w:r>
      <w:r>
        <w:rPr>
          <w:i/>
        </w:rPr>
        <w:t>require</w:t>
      </w:r>
      <w:r>
        <w:rPr>
          <w:i/>
          <w:spacing w:val="-5"/>
        </w:rPr>
        <w:t> </w:t>
      </w:r>
      <w:r>
        <w:rPr>
          <w:i/>
        </w:rPr>
        <w:t>significant</w:t>
      </w:r>
      <w:r>
        <w:rPr>
          <w:i/>
          <w:spacing w:val="-6"/>
        </w:rPr>
        <w:t> </w:t>
      </w:r>
      <w:r>
        <w:rPr>
          <w:i/>
        </w:rPr>
        <w:t>management</w:t>
      </w:r>
      <w:r>
        <w:rPr>
          <w:i/>
          <w:spacing w:val="-5"/>
        </w:rPr>
        <w:t> </w:t>
      </w:r>
      <w:r>
        <w:rPr>
          <w:i/>
        </w:rPr>
        <w:t>attention,</w:t>
      </w:r>
      <w:r>
        <w:rPr>
          <w:i/>
          <w:spacing w:val="-4"/>
        </w:rPr>
        <w:t> </w:t>
      </w:r>
      <w:r>
        <w:rPr>
          <w:i/>
        </w:rPr>
        <w:t>disrupt</w:t>
      </w:r>
      <w:r>
        <w:rPr>
          <w:i/>
          <w:spacing w:val="-5"/>
        </w:rPr>
        <w:t> </w:t>
      </w:r>
      <w:r>
        <w:rPr>
          <w:i/>
        </w:rPr>
        <w:t>our</w:t>
      </w:r>
      <w:r>
        <w:rPr>
          <w:i/>
          <w:spacing w:val="-6"/>
        </w:rPr>
        <w:t> </w:t>
      </w:r>
      <w:r>
        <w:rPr>
          <w:i/>
        </w:rPr>
        <w:t>business,</w:t>
      </w:r>
      <w:r>
        <w:rPr>
          <w:i/>
          <w:spacing w:val="1"/>
        </w:rPr>
        <w:t> </w:t>
      </w:r>
      <w:r>
        <w:rPr/>
        <w:t>dilute</w:t>
      </w:r>
      <w:r>
        <w:rPr>
          <w:spacing w:val="-2"/>
        </w:rPr>
        <w:t> </w:t>
      </w:r>
      <w:r>
        <w:rPr/>
        <w:t>stockholder</w:t>
      </w:r>
      <w:r>
        <w:rPr>
          <w:spacing w:val="-1"/>
        </w:rPr>
        <w:t> </w:t>
      </w:r>
      <w:r>
        <w:rPr/>
        <w:t>value</w:t>
      </w:r>
      <w:r>
        <w:rPr>
          <w:spacing w:val="-2"/>
        </w:rPr>
        <w:t> </w:t>
      </w:r>
      <w:r>
        <w:rPr/>
        <w:t>and adversely</w:t>
      </w:r>
      <w:r>
        <w:rPr>
          <w:spacing w:val="-2"/>
        </w:rPr>
        <w:t> </w:t>
      </w:r>
      <w:r>
        <w:rPr/>
        <w:t>affect</w:t>
      </w:r>
      <w:r>
        <w:rPr>
          <w:spacing w:val="-1"/>
        </w:rPr>
        <w:t> </w:t>
      </w:r>
      <w:r>
        <w:rPr/>
        <w:t>our</w:t>
      </w:r>
      <w:r>
        <w:rPr>
          <w:spacing w:val="-2"/>
        </w:rPr>
        <w:t> </w:t>
      </w:r>
      <w:r>
        <w:rPr/>
        <w:t>results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operations.</w:t>
      </w:r>
    </w:p>
    <w:p>
      <w:pPr>
        <w:pStyle w:val="BodyText"/>
        <w:spacing w:line="249" w:lineRule="auto" w:before="185"/>
        <w:ind w:right="245"/>
      </w:pPr>
      <w:r>
        <w:rPr/>
        <w:t>As part of our business strategy, we may in the future make acquisitions or investments in complementary</w:t>
      </w:r>
      <w:r>
        <w:rPr>
          <w:spacing w:val="1"/>
        </w:rPr>
        <w:t> </w:t>
      </w:r>
      <w:r>
        <w:rPr/>
        <w:t>companies, products or technologies that we believe fit within our business model and can address the needs of our</w:t>
      </w:r>
      <w:r>
        <w:rPr>
          <w:spacing w:val="-47"/>
        </w:rPr>
        <w:t> </w:t>
      </w:r>
      <w:r>
        <w:rPr/>
        <w:t>existing and potential customers. However, we may not be able to acquire and integrate other companies, products</w:t>
      </w:r>
      <w:r>
        <w:rPr>
          <w:spacing w:val="1"/>
        </w:rPr>
        <w:t> </w:t>
      </w:r>
      <w:r>
        <w:rPr/>
        <w:t>or</w:t>
      </w:r>
      <w:r>
        <w:rPr>
          <w:spacing w:val="-3"/>
        </w:rPr>
        <w:t> </w:t>
      </w:r>
      <w:r>
        <w:rPr/>
        <w:t>technologies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successful</w:t>
      </w:r>
      <w:r>
        <w:rPr>
          <w:spacing w:val="-3"/>
        </w:rPr>
        <w:t> </w:t>
      </w:r>
      <w:r>
        <w:rPr/>
        <w:t>manner.</w:t>
      </w:r>
      <w:r>
        <w:rPr>
          <w:spacing w:val="-2"/>
        </w:rPr>
        <w:t> </w:t>
      </w:r>
      <w:r>
        <w:rPr/>
        <w:t>We</w:t>
      </w:r>
      <w:r>
        <w:rPr>
          <w:spacing w:val="-4"/>
        </w:rPr>
        <w:t> </w:t>
      </w:r>
      <w:r>
        <w:rPr/>
        <w:t>may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able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find</w:t>
      </w:r>
      <w:r>
        <w:rPr>
          <w:spacing w:val="-2"/>
        </w:rPr>
        <w:t> </w:t>
      </w:r>
      <w:r>
        <w:rPr/>
        <w:t>suitable</w:t>
      </w:r>
      <w:r>
        <w:rPr>
          <w:spacing w:val="-4"/>
        </w:rPr>
        <w:t> </w:t>
      </w:r>
      <w:r>
        <w:rPr/>
        <w:t>acquisition</w:t>
      </w:r>
      <w:r>
        <w:rPr>
          <w:spacing w:val="-2"/>
        </w:rPr>
        <w:t> </w:t>
      </w:r>
      <w:r>
        <w:rPr/>
        <w:t>candidates,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not</w:t>
      </w:r>
      <w:r>
        <w:rPr>
          <w:spacing w:val="-47"/>
        </w:rPr>
        <w:t> </w:t>
      </w:r>
      <w:r>
        <w:rPr/>
        <w:t>be able to complete such acquisitions on favorable terms, if at all. In addition, the pursuit of potential acquisitions</w:t>
      </w:r>
      <w:r>
        <w:rPr>
          <w:spacing w:val="1"/>
        </w:rPr>
        <w:t> </w:t>
      </w:r>
      <w:r>
        <w:rPr/>
        <w:t>may divert the attention of management and cause us to incur additional expenses in identifying, investigating and</w:t>
      </w:r>
      <w:r>
        <w:rPr>
          <w:spacing w:val="1"/>
        </w:rPr>
        <w:t> </w:t>
      </w:r>
      <w:r>
        <w:rPr/>
        <w:t>pursuing suitable acquisitions, whether or not they are consummated. If we do complete acquisitions, we may not</w:t>
      </w:r>
      <w:r>
        <w:rPr>
          <w:spacing w:val="1"/>
        </w:rPr>
        <w:t> </w:t>
      </w:r>
      <w:r>
        <w:rPr/>
        <w:t>ultimately strengthen our competitive position or achieve our goals, including increases in revenue, and any</w:t>
      </w:r>
      <w:r>
        <w:rPr>
          <w:spacing w:val="1"/>
        </w:rPr>
        <w:t> </w:t>
      </w:r>
      <w:r>
        <w:rPr/>
        <w:t>acquisitions</w:t>
      </w:r>
      <w:r>
        <w:rPr>
          <w:spacing w:val="-3"/>
        </w:rPr>
        <w:t> </w:t>
      </w:r>
      <w:r>
        <w:rPr/>
        <w:t>we</w:t>
      </w:r>
      <w:r>
        <w:rPr>
          <w:spacing w:val="-2"/>
        </w:rPr>
        <w:t> </w:t>
      </w:r>
      <w:r>
        <w:rPr/>
        <w:t>complete</w:t>
      </w:r>
      <w:r>
        <w:rPr>
          <w:spacing w:val="-3"/>
        </w:rPr>
        <w:t> </w:t>
      </w:r>
      <w:r>
        <w:rPr/>
        <w:t>could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viewed</w:t>
      </w:r>
      <w:r>
        <w:rPr>
          <w:spacing w:val="-2"/>
        </w:rPr>
        <w:t> </w:t>
      </w:r>
      <w:r>
        <w:rPr/>
        <w:t>negatively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our</w:t>
      </w:r>
      <w:r>
        <w:rPr>
          <w:spacing w:val="-2"/>
        </w:rPr>
        <w:t> </w:t>
      </w:r>
      <w:r>
        <w:rPr/>
        <w:t>customers,</w:t>
      </w:r>
      <w:r>
        <w:rPr>
          <w:spacing w:val="-1"/>
        </w:rPr>
        <w:t> </w:t>
      </w:r>
      <w:r>
        <w:rPr/>
        <w:t>investors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industry</w:t>
      </w:r>
      <w:r>
        <w:rPr>
          <w:spacing w:val="-1"/>
        </w:rPr>
        <w:t> </w:t>
      </w:r>
      <w:r>
        <w:rPr/>
        <w:t>analysts.</w:t>
      </w:r>
    </w:p>
    <w:p>
      <w:pPr>
        <w:pStyle w:val="BodyText"/>
        <w:spacing w:line="249" w:lineRule="auto" w:before="187"/>
        <w:ind w:right="129"/>
      </w:pPr>
      <w:r>
        <w:rPr/>
        <w:t>Future</w:t>
      </w:r>
      <w:r>
        <w:rPr>
          <w:spacing w:val="-4"/>
        </w:rPr>
        <w:t> </w:t>
      </w:r>
      <w:r>
        <w:rPr/>
        <w:t>acquisitions</w:t>
      </w:r>
      <w:r>
        <w:rPr>
          <w:spacing w:val="-4"/>
        </w:rPr>
        <w:t> </w:t>
      </w:r>
      <w:r>
        <w:rPr/>
        <w:t>may</w:t>
      </w:r>
      <w:r>
        <w:rPr>
          <w:spacing w:val="-3"/>
        </w:rPr>
        <w:t> </w:t>
      </w:r>
      <w:r>
        <w:rPr/>
        <w:t>reduce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cash</w:t>
      </w:r>
      <w:r>
        <w:rPr>
          <w:spacing w:val="-3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operations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other</w:t>
      </w:r>
      <w:r>
        <w:rPr>
          <w:spacing w:val="-2"/>
        </w:rPr>
        <w:t> </w:t>
      </w:r>
      <w:r>
        <w:rPr/>
        <w:t>uses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could</w:t>
      </w:r>
      <w:r>
        <w:rPr>
          <w:spacing w:val="-3"/>
        </w:rPr>
        <w:t> </w:t>
      </w:r>
      <w:r>
        <w:rPr/>
        <w:t>result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amortization</w:t>
      </w:r>
      <w:r>
        <w:rPr>
          <w:spacing w:val="-47"/>
        </w:rPr>
        <w:t> </w:t>
      </w:r>
      <w:r>
        <w:rPr/>
        <w:t>expense related to identifiable assets acquired. We may have to pay cash, incur debt or issue equity securities to pay</w:t>
      </w:r>
      <w:r>
        <w:rPr>
          <w:spacing w:val="-47"/>
        </w:rPr>
        <w:t> </w:t>
      </w:r>
      <w:r>
        <w:rPr/>
        <w:t>for any such acquisition, each of which could adversely affect our financial condition or the value of our common</w:t>
      </w:r>
      <w:r>
        <w:rPr>
          <w:spacing w:val="1"/>
        </w:rPr>
        <w:t> </w:t>
      </w:r>
      <w:r>
        <w:rPr/>
        <w:t>stock.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sale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issuance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equity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finance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/>
        <w:t>such</w:t>
      </w:r>
      <w:r>
        <w:rPr>
          <w:spacing w:val="-2"/>
        </w:rPr>
        <w:t> </w:t>
      </w:r>
      <w:r>
        <w:rPr/>
        <w:t>acquisitions</w:t>
      </w:r>
      <w:r>
        <w:rPr>
          <w:spacing w:val="-3"/>
        </w:rPr>
        <w:t> </w:t>
      </w:r>
      <w:r>
        <w:rPr/>
        <w:t>would</w:t>
      </w:r>
      <w:r>
        <w:rPr>
          <w:spacing w:val="-1"/>
        </w:rPr>
        <w:t> </w:t>
      </w:r>
      <w:r>
        <w:rPr/>
        <w:t>result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dilution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stockholders.</w:t>
      </w:r>
    </w:p>
    <w:p>
      <w:pPr>
        <w:pStyle w:val="BodyText"/>
        <w:spacing w:line="249" w:lineRule="auto" w:before="3"/>
        <w:ind w:right="127" w:firstLine="0"/>
      </w:pPr>
      <w:r>
        <w:rPr/>
        <w:t>The incurrence of indebtedness to finance any such acquisition would result in fixed obligations and could also</w:t>
      </w:r>
      <w:r>
        <w:rPr>
          <w:spacing w:val="1"/>
        </w:rPr>
        <w:t> </w:t>
      </w:r>
      <w:r>
        <w:rPr/>
        <w:t>include</w:t>
      </w:r>
      <w:r>
        <w:rPr>
          <w:spacing w:val="-4"/>
        </w:rPr>
        <w:t> </w:t>
      </w:r>
      <w:r>
        <w:rPr/>
        <w:t>covenants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other</w:t>
      </w:r>
      <w:r>
        <w:rPr>
          <w:spacing w:val="-2"/>
        </w:rPr>
        <w:t> </w:t>
      </w:r>
      <w:r>
        <w:rPr/>
        <w:t>restrictions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could</w:t>
      </w:r>
      <w:r>
        <w:rPr>
          <w:spacing w:val="-2"/>
        </w:rPr>
        <w:t> </w:t>
      </w:r>
      <w:r>
        <w:rPr/>
        <w:t>impede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ability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manage</w:t>
      </w:r>
      <w:r>
        <w:rPr>
          <w:spacing w:val="-4"/>
        </w:rPr>
        <w:t> </w:t>
      </w:r>
      <w:r>
        <w:rPr/>
        <w:t>our</w:t>
      </w:r>
      <w:r>
        <w:rPr>
          <w:spacing w:val="-2"/>
        </w:rPr>
        <w:t> </w:t>
      </w:r>
      <w:r>
        <w:rPr/>
        <w:t>operations.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addition,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future</w:t>
      </w:r>
      <w:r>
        <w:rPr>
          <w:spacing w:val="-47"/>
        </w:rPr>
        <w:t> </w:t>
      </w:r>
      <w:r>
        <w:rPr/>
        <w:t>results of operations may be adversely affected by the dilutive effect of an acquisition, performance earn-outs or</w:t>
      </w:r>
      <w:r>
        <w:rPr>
          <w:spacing w:val="1"/>
        </w:rPr>
        <w:t> </w:t>
      </w:r>
      <w:r>
        <w:rPr/>
        <w:t>contingent bonuses associated with an acquisition. Furthermore, acquisitions may require large, one-time charges</w:t>
      </w:r>
      <w:r>
        <w:rPr>
          <w:spacing w:val="1"/>
        </w:rPr>
        <w:t> </w:t>
      </w:r>
      <w:r>
        <w:rPr/>
        <w:t>and can result in increased debt or contingent liabilities, adverse tax consequences, additional stock-based</w:t>
      </w:r>
      <w:r>
        <w:rPr>
          <w:spacing w:val="1"/>
        </w:rPr>
        <w:t> </w:t>
      </w:r>
      <w:r>
        <w:rPr/>
        <w:t>compensation expenses and the recording and subsequent amortization of amounts related to certain purchased</w:t>
      </w:r>
      <w:r>
        <w:rPr>
          <w:spacing w:val="1"/>
        </w:rPr>
        <w:t> </w:t>
      </w:r>
      <w:r>
        <w:rPr/>
        <w:t>intangible assets, any of which items could negatively affect our future results of operations. We may also incur</w:t>
      </w:r>
      <w:r>
        <w:rPr>
          <w:spacing w:val="1"/>
        </w:rPr>
        <w:t> </w:t>
      </w:r>
      <w:r>
        <w:rPr/>
        <w:t>goodwill</w:t>
      </w:r>
      <w:r>
        <w:rPr>
          <w:spacing w:val="-3"/>
        </w:rPr>
        <w:t> </w:t>
      </w:r>
      <w:r>
        <w:rPr/>
        <w:t>impairment</w:t>
      </w:r>
      <w:r>
        <w:rPr>
          <w:spacing w:val="-2"/>
        </w:rPr>
        <w:t> </w:t>
      </w:r>
      <w:r>
        <w:rPr/>
        <w:t>charges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future</w:t>
      </w:r>
      <w:r>
        <w:rPr>
          <w:spacing w:val="-3"/>
        </w:rPr>
        <w:t> </w:t>
      </w:r>
      <w:r>
        <w:rPr/>
        <w:t>if</w:t>
      </w:r>
      <w:r>
        <w:rPr>
          <w:spacing w:val="-1"/>
        </w:rPr>
        <w:t> </w:t>
      </w:r>
      <w:r>
        <w:rPr/>
        <w:t>we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realize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expected</w:t>
      </w:r>
      <w:r>
        <w:rPr>
          <w:spacing w:val="-1"/>
        </w:rPr>
        <w:t> </w:t>
      </w:r>
      <w:r>
        <w:rPr/>
        <w:t>value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such</w:t>
      </w:r>
      <w:r>
        <w:rPr>
          <w:spacing w:val="-2"/>
        </w:rPr>
        <w:t> </w:t>
      </w:r>
      <w:r>
        <w:rPr/>
        <w:t>acquisitions.</w:t>
      </w:r>
    </w:p>
    <w:p>
      <w:pPr>
        <w:pStyle w:val="BodyText"/>
        <w:spacing w:line="249" w:lineRule="auto" w:before="187"/>
        <w:ind w:right="127"/>
      </w:pPr>
      <w:r>
        <w:rPr/>
        <w:t>Also, the anticipated benefit of any acquisition may not materialize, or such acquisition may be prohibited. In</w:t>
      </w:r>
      <w:r>
        <w:rPr>
          <w:spacing w:val="1"/>
        </w:rPr>
        <w:t> </w:t>
      </w:r>
      <w:r>
        <w:rPr/>
        <w:t>September 2019, we entered into the loan and security agreement with Oxford Finance LLC which also restricts our</w:t>
      </w:r>
      <w:r>
        <w:rPr>
          <w:spacing w:val="1"/>
        </w:rPr>
        <w:t> </w:t>
      </w:r>
      <w:r>
        <w:rPr/>
        <w:t>ability</w:t>
      </w:r>
      <w:r>
        <w:rPr>
          <w:spacing w:val="2"/>
        </w:rPr>
        <w:t> </w:t>
      </w:r>
      <w:r>
        <w:rPr/>
        <w:t>to</w:t>
      </w:r>
      <w:r>
        <w:rPr>
          <w:spacing w:val="3"/>
        </w:rPr>
        <w:t> </w:t>
      </w:r>
      <w:r>
        <w:rPr/>
        <w:t>pursue</w:t>
      </w:r>
      <w:r>
        <w:rPr>
          <w:spacing w:val="2"/>
        </w:rPr>
        <w:t> </w:t>
      </w:r>
      <w:r>
        <w:rPr/>
        <w:t>certain</w:t>
      </w:r>
      <w:r>
        <w:rPr>
          <w:spacing w:val="3"/>
        </w:rPr>
        <w:t> </w:t>
      </w:r>
      <w:r>
        <w:rPr/>
        <w:t>mergers,</w:t>
      </w:r>
      <w:r>
        <w:rPr>
          <w:spacing w:val="3"/>
        </w:rPr>
        <w:t> </w:t>
      </w:r>
      <w:r>
        <w:rPr/>
        <w:t>acquisitions,</w:t>
      </w:r>
      <w:r>
        <w:rPr>
          <w:spacing w:val="2"/>
        </w:rPr>
        <w:t> </w:t>
      </w:r>
      <w:r>
        <w:rPr/>
        <w:t>amalgamations</w:t>
      </w:r>
      <w:r>
        <w:rPr>
          <w:spacing w:val="2"/>
        </w:rPr>
        <w:t> </w:t>
      </w:r>
      <w:r>
        <w:rPr/>
        <w:t>or</w:t>
      </w:r>
      <w:r>
        <w:rPr>
          <w:spacing w:val="3"/>
        </w:rPr>
        <w:t> </w:t>
      </w:r>
      <w:r>
        <w:rPr/>
        <w:t>consolidations</w:t>
      </w:r>
      <w:r>
        <w:rPr>
          <w:spacing w:val="2"/>
        </w:rPr>
        <w:t> </w:t>
      </w:r>
      <w:r>
        <w:rPr/>
        <w:t>that</w:t>
      </w:r>
      <w:r>
        <w:rPr>
          <w:spacing w:val="2"/>
        </w:rPr>
        <w:t> </w:t>
      </w:r>
      <w:r>
        <w:rPr/>
        <w:t>we</w:t>
      </w:r>
      <w:r>
        <w:rPr>
          <w:spacing w:val="2"/>
        </w:rPr>
        <w:t> </w:t>
      </w:r>
      <w:r>
        <w:rPr/>
        <w:t>may</w:t>
      </w:r>
      <w:r>
        <w:rPr>
          <w:spacing w:val="2"/>
        </w:rPr>
        <w:t> </w:t>
      </w:r>
      <w:r>
        <w:rPr/>
        <w:t>believe</w:t>
      </w:r>
      <w:r>
        <w:rPr>
          <w:spacing w:val="2"/>
        </w:rPr>
        <w:t> </w:t>
      </w:r>
      <w:r>
        <w:rPr/>
        <w:t>to</w:t>
      </w:r>
      <w:r>
        <w:rPr>
          <w:spacing w:val="3"/>
        </w:rPr>
        <w:t> </w:t>
      </w:r>
      <w:r>
        <w:rPr/>
        <w:t>be</w:t>
      </w:r>
      <w:r>
        <w:rPr>
          <w:spacing w:val="2"/>
        </w:rPr>
        <w:t> </w:t>
      </w:r>
      <w:r>
        <w:rPr/>
        <w:t>in</w:t>
      </w:r>
      <w:r>
        <w:rPr>
          <w:spacing w:val="3"/>
        </w:rPr>
        <w:t> </w:t>
      </w:r>
      <w:r>
        <w:rPr/>
        <w:t>our</w:t>
      </w:r>
      <w:r>
        <w:rPr>
          <w:spacing w:val="1"/>
        </w:rPr>
        <w:t> </w:t>
      </w:r>
      <w:r>
        <w:rPr/>
        <w:t>best interest. Additionally, future acquisitions or dispositions could result in potentially dilutive issuances of our</w:t>
      </w:r>
      <w:r>
        <w:rPr>
          <w:spacing w:val="1"/>
        </w:rPr>
        <w:t> </w:t>
      </w:r>
      <w:r>
        <w:rPr/>
        <w:t>equity</w:t>
      </w:r>
      <w:r>
        <w:rPr>
          <w:spacing w:val="-4"/>
        </w:rPr>
        <w:t> </w:t>
      </w:r>
      <w:r>
        <w:rPr/>
        <w:t>securities,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incurrence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debt,</w:t>
      </w:r>
      <w:r>
        <w:rPr>
          <w:spacing w:val="-3"/>
        </w:rPr>
        <w:t> </w:t>
      </w:r>
      <w:r>
        <w:rPr/>
        <w:t>contingent</w:t>
      </w:r>
      <w:r>
        <w:rPr>
          <w:spacing w:val="-4"/>
        </w:rPr>
        <w:t> </w:t>
      </w:r>
      <w:r>
        <w:rPr/>
        <w:t>liabilities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amortization</w:t>
      </w:r>
      <w:r>
        <w:rPr>
          <w:spacing w:val="-3"/>
        </w:rPr>
        <w:t> </w:t>
      </w:r>
      <w:r>
        <w:rPr/>
        <w:t>expenses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write-offs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goodwill,</w:t>
      </w:r>
      <w:r>
        <w:rPr>
          <w:spacing w:val="-3"/>
        </w:rPr>
        <w:t> </w:t>
      </w:r>
      <w:r>
        <w:rPr/>
        <w:t>any</w:t>
      </w:r>
      <w:r>
        <w:rPr>
          <w:spacing w:val="-47"/>
        </w:rPr>
        <w:t> </w:t>
      </w:r>
      <w:r>
        <w:rPr/>
        <w:t>of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/>
        <w:t>could</w:t>
      </w:r>
      <w:r>
        <w:rPr>
          <w:spacing w:val="-2"/>
        </w:rPr>
        <w:t> </w:t>
      </w:r>
      <w:r>
        <w:rPr/>
        <w:t>harm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condition.</w:t>
      </w:r>
      <w:r>
        <w:rPr>
          <w:spacing w:val="-2"/>
        </w:rPr>
        <w:t> </w:t>
      </w:r>
      <w:r>
        <w:rPr/>
        <w:t>We</w:t>
      </w:r>
      <w:r>
        <w:rPr>
          <w:spacing w:val="-2"/>
        </w:rPr>
        <w:t> </w:t>
      </w:r>
      <w:r>
        <w:rPr/>
        <w:t>cannot</w:t>
      </w:r>
      <w:r>
        <w:rPr>
          <w:spacing w:val="-3"/>
        </w:rPr>
        <w:t> </w:t>
      </w:r>
      <w:r>
        <w:rPr/>
        <w:t>predict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number,</w:t>
      </w:r>
      <w:r>
        <w:rPr>
          <w:spacing w:val="-2"/>
        </w:rPr>
        <w:t> </w:t>
      </w:r>
      <w:r>
        <w:rPr/>
        <w:t>timing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size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future</w:t>
      </w:r>
      <w:r>
        <w:rPr>
          <w:spacing w:val="-3"/>
        </w:rPr>
        <w:t> </w:t>
      </w:r>
      <w:r>
        <w:rPr/>
        <w:t>joint</w:t>
      </w:r>
      <w:r>
        <w:rPr>
          <w:spacing w:val="-3"/>
        </w:rPr>
        <w:t> </w:t>
      </w:r>
      <w:r>
        <w:rPr/>
        <w:t>ventures</w:t>
      </w:r>
      <w:r>
        <w:rPr>
          <w:spacing w:val="-3"/>
        </w:rPr>
        <w:t> </w:t>
      </w:r>
      <w:r>
        <w:rPr/>
        <w:t>or</w:t>
      </w:r>
      <w:r>
        <w:rPr>
          <w:spacing w:val="-47"/>
        </w:rPr>
        <w:t> </w:t>
      </w:r>
      <w:r>
        <w:rPr/>
        <w:t>acquisitions,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effect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such</w:t>
      </w:r>
      <w:r>
        <w:rPr>
          <w:spacing w:val="-1"/>
        </w:rPr>
        <w:t> </w:t>
      </w:r>
      <w:r>
        <w:rPr/>
        <w:t>transactions</w:t>
      </w:r>
      <w:r>
        <w:rPr>
          <w:spacing w:val="-1"/>
        </w:rPr>
        <w:t> </w:t>
      </w:r>
      <w:r>
        <w:rPr/>
        <w:t>might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our</w:t>
      </w:r>
      <w:r>
        <w:rPr>
          <w:spacing w:val="-1"/>
        </w:rPr>
        <w:t> </w:t>
      </w:r>
      <w:r>
        <w:rPr/>
        <w:t>operating results.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Heading2"/>
      </w:pPr>
      <w:r>
        <w:rPr/>
        <w:t>Risks</w:t>
      </w:r>
      <w:r>
        <w:rPr>
          <w:spacing w:val="-5"/>
        </w:rPr>
        <w:t> </w:t>
      </w:r>
      <w:r>
        <w:rPr/>
        <w:t>Related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Governmental</w:t>
      </w:r>
      <w:r>
        <w:rPr>
          <w:spacing w:val="-5"/>
        </w:rPr>
        <w:t> </w:t>
      </w:r>
      <w:r>
        <w:rPr/>
        <w:t>Regulation</w:t>
      </w:r>
    </w:p>
    <w:p>
      <w:pPr>
        <w:pStyle w:val="Heading3"/>
        <w:spacing w:line="249" w:lineRule="auto" w:before="190"/>
      </w:pPr>
      <w:r>
        <w:rPr>
          <w:i/>
        </w:rPr>
        <w:t>Changes to the reimbursement rates for BPH treatments and measures to reduce healthcare costs may adversely</w:t>
      </w:r>
      <w:r>
        <w:rPr>
          <w:i/>
          <w:spacing w:val="-47"/>
        </w:rPr>
        <w:t> </w:t>
      </w:r>
      <w:r>
        <w:rPr/>
        <w:t>impact</w:t>
      </w:r>
      <w:r>
        <w:rPr>
          <w:spacing w:val="-2"/>
        </w:rPr>
        <w:t> </w:t>
      </w:r>
      <w:r>
        <w:rPr/>
        <w:t>our</w:t>
      </w:r>
      <w:r>
        <w:rPr>
          <w:spacing w:val="-1"/>
        </w:rPr>
        <w:t> </w:t>
      </w:r>
      <w:r>
        <w:rPr/>
        <w:t>business.</w:t>
      </w:r>
    </w:p>
    <w:p>
      <w:pPr>
        <w:pStyle w:val="BodyText"/>
        <w:spacing w:line="249" w:lineRule="auto" w:before="185"/>
        <w:ind w:right="233"/>
      </w:pPr>
      <w:r>
        <w:rPr/>
        <w:t>We</w:t>
      </w:r>
      <w:r>
        <w:rPr>
          <w:spacing w:val="-4"/>
        </w:rPr>
        <w:t> </w:t>
      </w:r>
      <w:r>
        <w:rPr/>
        <w:t>derive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revenue</w:t>
      </w:r>
      <w:r>
        <w:rPr>
          <w:spacing w:val="-3"/>
        </w:rPr>
        <w:t> </w:t>
      </w:r>
      <w:r>
        <w:rPr/>
        <w:t>from</w:t>
      </w:r>
      <w:r>
        <w:rPr>
          <w:spacing w:val="-4"/>
        </w:rPr>
        <w:t> </w:t>
      </w:r>
      <w:r>
        <w:rPr/>
        <w:t>sales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products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hospitals,</w:t>
      </w:r>
      <w:r>
        <w:rPr>
          <w:spacing w:val="-2"/>
        </w:rPr>
        <w:t> </w:t>
      </w:r>
      <w:r>
        <w:rPr/>
        <w:t>ambulatory</w:t>
      </w:r>
      <w:r>
        <w:rPr>
          <w:spacing w:val="-3"/>
        </w:rPr>
        <w:t> </w:t>
      </w:r>
      <w:r>
        <w:rPr/>
        <w:t>surgery</w:t>
      </w:r>
      <w:r>
        <w:rPr>
          <w:spacing w:val="-2"/>
        </w:rPr>
        <w:t> </w:t>
      </w:r>
      <w:r>
        <w:rPr/>
        <w:t>centers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other</w:t>
      </w:r>
      <w:r>
        <w:rPr>
          <w:spacing w:val="-3"/>
        </w:rPr>
        <w:t> </w:t>
      </w:r>
      <w:r>
        <w:rPr/>
        <w:t>healthcare</w:t>
      </w:r>
      <w:r>
        <w:rPr>
          <w:spacing w:val="-47"/>
        </w:rPr>
        <w:t> </w:t>
      </w:r>
      <w:r>
        <w:rPr/>
        <w:t>facilities, which typically bill all or a portion of the costs and fees associated with using our products to various</w:t>
      </w:r>
      <w:r>
        <w:rPr>
          <w:spacing w:val="1"/>
        </w:rPr>
        <w:t> </w:t>
      </w:r>
      <w:r>
        <w:rPr/>
        <w:t>third-party payors, including Medicare, Medicaid, private commercial insurance companies, health maintenance</w:t>
      </w:r>
      <w:r>
        <w:rPr>
          <w:spacing w:val="1"/>
        </w:rPr>
        <w:t> </w:t>
      </w:r>
      <w:r>
        <w:rPr/>
        <w:t>organizations and other healthcare-related organizations. Because a vast majority of U.S. patients with BPH are</w:t>
      </w:r>
      <w:r>
        <w:rPr>
          <w:spacing w:val="1"/>
        </w:rPr>
        <w:t> </w:t>
      </w:r>
      <w:r>
        <w:rPr/>
        <w:t>covered by Medicare, the Medicare coverage policy and reimbursement rate are important factors in a physician’s</w:t>
      </w:r>
      <w:r>
        <w:rPr>
          <w:spacing w:val="1"/>
        </w:rPr>
        <w:t> </w:t>
      </w:r>
      <w:r>
        <w:rPr/>
        <w:t>decision to use Aquablation therapy and limits the prices we may charge for our products. In order to facilitate</w:t>
      </w:r>
      <w:r>
        <w:rPr>
          <w:spacing w:val="1"/>
        </w:rPr>
        <w:t> </w:t>
      </w:r>
      <w:r>
        <w:rPr/>
        <w:t>access for Medicare beneficiaries to new devices, the Centers for Medicare &amp; Medicaid Services, or CMS, the</w:t>
      </w:r>
      <w:r>
        <w:rPr>
          <w:spacing w:val="1"/>
        </w:rPr>
        <w:t> </w:t>
      </w:r>
      <w:r>
        <w:rPr/>
        <w:t>federal agency responsible for administering the Medicare program, grants approval for transitional pass-through</w:t>
      </w:r>
      <w:r>
        <w:rPr>
          <w:spacing w:val="1"/>
        </w:rPr>
        <w:t> </w:t>
      </w:r>
      <w:r>
        <w:rPr/>
        <w:t>payments under the Medicare hospital outpatient prospective payment system, or OPPS, and ambulatory surgical</w:t>
      </w:r>
      <w:r>
        <w:rPr>
          <w:spacing w:val="1"/>
        </w:rPr>
        <w:t> </w:t>
      </w:r>
      <w:r>
        <w:rPr/>
        <w:t>center, or ASC, payment system for medical devices that meet certain criteria. Effective January 1, 2020, hospitals</w:t>
      </w:r>
      <w:r>
        <w:rPr>
          <w:spacing w:val="1"/>
        </w:rPr>
        <w:t> </w:t>
      </w:r>
      <w:r>
        <w:rPr/>
        <w:t>and ASCs receive an additional payment for the single-use handpiece when performing Aquablation therapy in the</w:t>
      </w:r>
      <w:r>
        <w:rPr>
          <w:spacing w:val="1"/>
        </w:rPr>
        <w:t> </w:t>
      </w:r>
      <w:r>
        <w:rPr/>
        <w:t>hospital</w:t>
      </w:r>
      <w:r>
        <w:rPr>
          <w:spacing w:val="-4"/>
        </w:rPr>
        <w:t> </w:t>
      </w:r>
      <w:r>
        <w:rPr/>
        <w:t>outpatient</w:t>
      </w:r>
      <w:r>
        <w:rPr>
          <w:spacing w:val="-3"/>
        </w:rPr>
        <w:t> </w:t>
      </w:r>
      <w:r>
        <w:rPr/>
        <w:t>setting</w:t>
      </w:r>
      <w:r>
        <w:rPr>
          <w:spacing w:val="-2"/>
        </w:rPr>
        <w:t> </w:t>
      </w:r>
      <w:r>
        <w:rPr/>
        <w:t>until</w:t>
      </w:r>
      <w:r>
        <w:rPr>
          <w:spacing w:val="-3"/>
        </w:rPr>
        <w:t> </w:t>
      </w:r>
      <w:r>
        <w:rPr/>
        <w:t>December</w:t>
      </w:r>
      <w:r>
        <w:rPr>
          <w:spacing w:val="-3"/>
        </w:rPr>
        <w:t> </w:t>
      </w:r>
      <w:r>
        <w:rPr/>
        <w:t>31,</w:t>
      </w:r>
      <w:r>
        <w:rPr>
          <w:spacing w:val="-2"/>
        </w:rPr>
        <w:t> </w:t>
      </w:r>
      <w:r>
        <w:rPr/>
        <w:t>2022.</w:t>
      </w:r>
      <w:r>
        <w:rPr>
          <w:spacing w:val="-2"/>
        </w:rPr>
        <w:t> </w:t>
      </w:r>
      <w:r>
        <w:rPr/>
        <w:t>When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payment</w:t>
      </w:r>
      <w:r>
        <w:rPr>
          <w:spacing w:val="-3"/>
        </w:rPr>
        <w:t> </w:t>
      </w:r>
      <w:r>
        <w:rPr/>
        <w:t>expires,</w:t>
      </w:r>
      <w:r>
        <w:rPr>
          <w:spacing w:val="-2"/>
        </w:rPr>
        <w:t> </w:t>
      </w:r>
      <w:r>
        <w:rPr/>
        <w:t>hospitals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no</w:t>
      </w:r>
      <w:r>
        <w:rPr>
          <w:spacing w:val="-2"/>
        </w:rPr>
        <w:t> </w:t>
      </w:r>
      <w:r>
        <w:rPr/>
        <w:t>longer</w:t>
      </w:r>
      <w:r>
        <w:rPr>
          <w:spacing w:val="-2"/>
        </w:rPr>
        <w:t> </w:t>
      </w:r>
      <w:r>
        <w:rPr/>
        <w:t>receive</w:t>
      </w:r>
    </w:p>
    <w:p>
      <w:pPr>
        <w:pStyle w:val="BodyText"/>
        <w:spacing w:line="249" w:lineRule="auto" w:before="10"/>
        <w:ind w:right="140" w:firstLine="0"/>
      </w:pPr>
      <w:r>
        <w:rPr/>
        <w:t>separate</w:t>
      </w:r>
      <w:r>
        <w:rPr>
          <w:spacing w:val="-4"/>
        </w:rPr>
        <w:t> </w:t>
      </w:r>
      <w:r>
        <w:rPr/>
        <w:t>reimbursement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our</w:t>
      </w:r>
      <w:r>
        <w:rPr>
          <w:spacing w:val="-3"/>
        </w:rPr>
        <w:t> </w:t>
      </w:r>
      <w:r>
        <w:rPr/>
        <w:t>device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instead,</w:t>
      </w:r>
      <w:r>
        <w:rPr>
          <w:spacing w:val="-2"/>
        </w:rPr>
        <w:t> </w:t>
      </w:r>
      <w:r>
        <w:rPr/>
        <w:t>receive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single</w:t>
      </w:r>
      <w:r>
        <w:rPr>
          <w:spacing w:val="-4"/>
        </w:rPr>
        <w:t> </w:t>
      </w:r>
      <w:r>
        <w:rPr/>
        <w:t>bundled</w:t>
      </w:r>
      <w:r>
        <w:rPr>
          <w:spacing w:val="-3"/>
        </w:rPr>
        <w:t> </w:t>
      </w:r>
      <w:r>
        <w:rPr/>
        <w:t>payment</w:t>
      </w:r>
      <w:r>
        <w:rPr>
          <w:spacing w:val="-3"/>
        </w:rPr>
        <w:t> </w:t>
      </w:r>
      <w:r>
        <w:rPr/>
        <w:t>rate</w:t>
      </w:r>
      <w:r>
        <w:rPr>
          <w:spacing w:val="-4"/>
        </w:rPr>
        <w:t> </w:t>
      </w:r>
      <w:r>
        <w:rPr/>
        <w:t>intended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cover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costs</w:t>
      </w:r>
      <w:r>
        <w:rPr>
          <w:spacing w:val="-47"/>
        </w:rPr>
        <w:t> </w:t>
      </w:r>
      <w:r>
        <w:rPr/>
        <w:t>of all items and services, including our products, using during the Aquablation therapy. Accordingly, the additional</w:t>
      </w:r>
      <w:r>
        <w:rPr>
          <w:spacing w:val="1"/>
        </w:rPr>
        <w:t> </w:t>
      </w:r>
      <w:r>
        <w:rPr/>
        <w:t>cost associated with the use of our products may affect the profit margin of the hospital or ASC where the procedure</w:t>
      </w:r>
      <w:r>
        <w:rPr>
          <w:spacing w:val="-47"/>
        </w:rPr>
        <w:t> </w:t>
      </w:r>
      <w:r>
        <w:rPr/>
        <w:t>is performed. Some of our target customers may be unwilling to adopt our products in light of potential additional</w:t>
      </w:r>
      <w:r>
        <w:rPr>
          <w:spacing w:val="1"/>
        </w:rPr>
        <w:t> </w:t>
      </w:r>
      <w:r>
        <w:rPr/>
        <w:t>associated</w:t>
      </w:r>
      <w:r>
        <w:rPr>
          <w:spacing w:val="-1"/>
        </w:rPr>
        <w:t> </w:t>
      </w:r>
      <w:r>
        <w:rPr/>
        <w:t>cost.</w:t>
      </w:r>
    </w:p>
    <w:p>
      <w:pPr>
        <w:pStyle w:val="BodyText"/>
        <w:spacing w:line="249" w:lineRule="auto" w:before="184"/>
        <w:ind w:right="148"/>
      </w:pPr>
      <w:r>
        <w:rPr/>
        <w:t>Many</w:t>
      </w:r>
      <w:r>
        <w:rPr>
          <w:spacing w:val="-4"/>
        </w:rPr>
        <w:t> </w:t>
      </w:r>
      <w:r>
        <w:rPr/>
        <w:t>BPH</w:t>
      </w:r>
      <w:r>
        <w:rPr>
          <w:spacing w:val="-4"/>
        </w:rPr>
        <w:t> </w:t>
      </w:r>
      <w:r>
        <w:rPr/>
        <w:t>patients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Medicaid</w:t>
      </w:r>
      <w:r>
        <w:rPr>
          <w:spacing w:val="-3"/>
        </w:rPr>
        <w:t> </w:t>
      </w:r>
      <w:r>
        <w:rPr/>
        <w:t>coverage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supplemental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Medicare</w:t>
      </w:r>
      <w:r>
        <w:rPr>
          <w:spacing w:val="-4"/>
        </w:rPr>
        <w:t> </w:t>
      </w:r>
      <w:r>
        <w:rPr/>
        <w:t>coverage,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some</w:t>
      </w:r>
      <w:r>
        <w:rPr>
          <w:spacing w:val="-4"/>
        </w:rPr>
        <w:t> </w:t>
      </w:r>
      <w:r>
        <w:rPr/>
        <w:t>BPH</w:t>
      </w:r>
      <w:r>
        <w:rPr>
          <w:spacing w:val="-4"/>
        </w:rPr>
        <w:t> </w:t>
      </w:r>
      <w:r>
        <w:rPr/>
        <w:t>patients</w:t>
      </w:r>
      <w:r>
        <w:rPr>
          <w:spacing w:val="-47"/>
        </w:rPr>
        <w:t> </w:t>
      </w:r>
      <w:r>
        <w:rPr/>
        <w:t>may have Medicaid as their primary coverage. Because Medicaid is a state-administered program, Medicaid</w:t>
      </w:r>
      <w:r>
        <w:rPr>
          <w:spacing w:val="1"/>
        </w:rPr>
        <w:t> </w:t>
      </w:r>
      <w:r>
        <w:rPr/>
        <w:t>coverage policies and reimbursement vary by state. Changes in state Medicaid or other non-Medicare government-</w:t>
      </w:r>
      <w:r>
        <w:rPr>
          <w:spacing w:val="1"/>
        </w:rPr>
        <w:t> </w:t>
      </w:r>
      <w:r>
        <w:rPr/>
        <w:t>based</w:t>
      </w:r>
      <w:r>
        <w:rPr>
          <w:spacing w:val="-1"/>
        </w:rPr>
        <w:t> </w:t>
      </w:r>
      <w:r>
        <w:rPr/>
        <w:t>programs</w:t>
      </w:r>
      <w:r>
        <w:rPr>
          <w:spacing w:val="-2"/>
        </w:rPr>
        <w:t> </w:t>
      </w:r>
      <w:r>
        <w:rPr/>
        <w:t>or payment</w:t>
      </w:r>
      <w:r>
        <w:rPr>
          <w:spacing w:val="-2"/>
        </w:rPr>
        <w:t> </w:t>
      </w:r>
      <w:r>
        <w:rPr/>
        <w:t>rates</w:t>
      </w:r>
      <w:r>
        <w:rPr>
          <w:spacing w:val="-1"/>
        </w:rPr>
        <w:t> </w:t>
      </w:r>
      <w:r>
        <w:rPr/>
        <w:t>could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adverse</w:t>
      </w:r>
      <w:r>
        <w:rPr>
          <w:spacing w:val="-1"/>
        </w:rPr>
        <w:t> </w:t>
      </w:r>
      <w:r>
        <w:rPr/>
        <w:t>effect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our customer’s</w:t>
      </w:r>
      <w:r>
        <w:rPr>
          <w:spacing w:val="-2"/>
        </w:rPr>
        <w:t> </w:t>
      </w:r>
      <w:r>
        <w:rPr/>
        <w:t>business.</w:t>
      </w:r>
    </w:p>
    <w:p>
      <w:pPr>
        <w:pStyle w:val="BodyText"/>
        <w:spacing w:line="249" w:lineRule="auto" w:before="183"/>
        <w:ind w:right="180"/>
      </w:pPr>
      <w:r>
        <w:rPr/>
        <w:t>Finally, some patients may have coverage through private insurance, for example through a marketplace plan</w:t>
      </w:r>
      <w:r>
        <w:rPr>
          <w:spacing w:val="1"/>
        </w:rPr>
        <w:t> </w:t>
      </w:r>
      <w:r>
        <w:rPr/>
        <w:t>set up under the Patient Protection and Affordable Care Act, as amended by the Health Care and Education</w:t>
      </w:r>
      <w:r>
        <w:rPr>
          <w:spacing w:val="1"/>
        </w:rPr>
        <w:t> </w:t>
      </w:r>
      <w:r>
        <w:rPr/>
        <w:t>Reconciliation Act, or collectively, the ACA, or through an employer or union group health plan. Private insurance</w:t>
      </w:r>
      <w:r>
        <w:rPr>
          <w:spacing w:val="1"/>
        </w:rPr>
        <w:t> </w:t>
      </w:r>
      <w:r>
        <w:rPr/>
        <w:t>coverage policies can vary and reimbursement is generally higher than government reimbursement, but it varies by</w:t>
      </w:r>
      <w:r>
        <w:rPr>
          <w:spacing w:val="1"/>
        </w:rPr>
        <w:t> </w:t>
      </w:r>
      <w:r>
        <w:rPr/>
        <w:t>sponsor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plan.</w:t>
      </w:r>
      <w:r>
        <w:rPr>
          <w:spacing w:val="-3"/>
        </w:rPr>
        <w:t> </w:t>
      </w:r>
      <w:r>
        <w:rPr/>
        <w:t>Commercial</w:t>
      </w:r>
      <w:r>
        <w:rPr>
          <w:spacing w:val="-4"/>
        </w:rPr>
        <w:t> </w:t>
      </w:r>
      <w:r>
        <w:rPr/>
        <w:t>payment</w:t>
      </w:r>
      <w:r>
        <w:rPr>
          <w:spacing w:val="-4"/>
        </w:rPr>
        <w:t> </w:t>
      </w:r>
      <w:r>
        <w:rPr/>
        <w:t>rates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negotiated</w:t>
      </w:r>
      <w:r>
        <w:rPr>
          <w:spacing w:val="-3"/>
        </w:rPr>
        <w:t> </w:t>
      </w:r>
      <w:r>
        <w:rPr/>
        <w:t>between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customers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insurers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third-party</w:t>
      </w:r>
      <w:r>
        <w:rPr>
          <w:spacing w:val="-47"/>
        </w:rPr>
        <w:t> </w:t>
      </w:r>
      <w:r>
        <w:rPr/>
        <w:t>administrators,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commercial</w:t>
      </w:r>
      <w:r>
        <w:rPr>
          <w:spacing w:val="-2"/>
        </w:rPr>
        <w:t> </w:t>
      </w:r>
      <w:r>
        <w:rPr/>
        <w:t>payors</w:t>
      </w:r>
      <w:r>
        <w:rPr>
          <w:spacing w:val="-2"/>
        </w:rPr>
        <w:t> </w:t>
      </w:r>
      <w:r>
        <w:rPr/>
        <w:t>may also</w:t>
      </w:r>
      <w:r>
        <w:rPr>
          <w:spacing w:val="-1"/>
        </w:rPr>
        <w:t> </w:t>
      </w:r>
      <w:r>
        <w:rPr/>
        <w:t>exert</w:t>
      </w:r>
      <w:r>
        <w:rPr>
          <w:spacing w:val="-2"/>
        </w:rPr>
        <w:t> </w:t>
      </w:r>
      <w:r>
        <w:rPr/>
        <w:t>downward</w:t>
      </w:r>
      <w:r>
        <w:rPr>
          <w:spacing w:val="-1"/>
        </w:rPr>
        <w:t> </w:t>
      </w:r>
      <w:r>
        <w:rPr/>
        <w:t>pressure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payment</w:t>
      </w:r>
      <w:r>
        <w:rPr>
          <w:spacing w:val="-2"/>
        </w:rPr>
        <w:t> </w:t>
      </w:r>
      <w:r>
        <w:rPr/>
        <w:t>rates.</w:t>
      </w:r>
    </w:p>
    <w:p>
      <w:pPr>
        <w:pStyle w:val="BodyText"/>
        <w:spacing w:line="249" w:lineRule="auto" w:before="185"/>
      </w:pPr>
      <w:r>
        <w:rPr/>
        <w:t>Any reduction in reimbursement rates for Aquablation therapy may adversely affect our customers’ businesses</w:t>
      </w:r>
      <w:r>
        <w:rPr>
          <w:spacing w:val="1"/>
        </w:rPr>
        <w:t> </w:t>
      </w:r>
      <w:r>
        <w:rPr/>
        <w:t>and</w:t>
      </w:r>
      <w:r>
        <w:rPr>
          <w:spacing w:val="-3"/>
        </w:rPr>
        <w:t> </w:t>
      </w:r>
      <w:r>
        <w:rPr/>
        <w:t>cause</w:t>
      </w:r>
      <w:r>
        <w:rPr>
          <w:spacing w:val="-3"/>
        </w:rPr>
        <w:t> </w:t>
      </w:r>
      <w:r>
        <w:rPr/>
        <w:t>them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enact</w:t>
      </w:r>
      <w:r>
        <w:rPr>
          <w:spacing w:val="-3"/>
        </w:rPr>
        <w:t> </w:t>
      </w:r>
      <w:r>
        <w:rPr/>
        <w:t>cost</w:t>
      </w:r>
      <w:r>
        <w:rPr>
          <w:spacing w:val="-4"/>
        </w:rPr>
        <w:t> </w:t>
      </w:r>
      <w:r>
        <w:rPr/>
        <w:t>reduction</w:t>
      </w:r>
      <w:r>
        <w:rPr>
          <w:spacing w:val="-2"/>
        </w:rPr>
        <w:t> </w:t>
      </w:r>
      <w:r>
        <w:rPr/>
        <w:t>measures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may</w:t>
      </w:r>
      <w:r>
        <w:rPr>
          <w:spacing w:val="-2"/>
        </w:rPr>
        <w:t> </w:t>
      </w:r>
      <w:r>
        <w:rPr/>
        <w:t>include</w:t>
      </w:r>
      <w:r>
        <w:rPr>
          <w:spacing w:val="-4"/>
        </w:rPr>
        <w:t> </w:t>
      </w:r>
      <w:r>
        <w:rPr/>
        <w:t>reducing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scope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their</w:t>
      </w:r>
      <w:r>
        <w:rPr>
          <w:spacing w:val="-2"/>
        </w:rPr>
        <w:t> </w:t>
      </w:r>
      <w:r>
        <w:rPr/>
        <w:t>programs,</w:t>
      </w:r>
      <w:r>
        <w:rPr>
          <w:spacing w:val="-3"/>
        </w:rPr>
        <w:t> </w:t>
      </w:r>
      <w:r>
        <w:rPr/>
        <w:t>which</w:t>
      </w:r>
      <w:r>
        <w:rPr>
          <w:spacing w:val="-2"/>
        </w:rPr>
        <w:t> </w:t>
      </w:r>
      <w:r>
        <w:rPr/>
        <w:t>could</w:t>
      </w:r>
      <w:r>
        <w:rPr>
          <w:spacing w:val="-47"/>
        </w:rPr>
        <w:t> </w:t>
      </w:r>
      <w:r>
        <w:rPr/>
        <w:t>result</w:t>
      </w:r>
      <w:r>
        <w:rPr>
          <w:spacing w:val="-2"/>
        </w:rPr>
        <w:t> </w:t>
      </w:r>
      <w:r>
        <w:rPr/>
        <w:t>in a</w:t>
      </w:r>
      <w:r>
        <w:rPr>
          <w:spacing w:val="-1"/>
        </w:rPr>
        <w:t> </w:t>
      </w:r>
      <w:r>
        <w:rPr/>
        <w:t>reduced</w:t>
      </w:r>
      <w:r>
        <w:rPr>
          <w:spacing w:val="-1"/>
        </w:rPr>
        <w:t> </w:t>
      </w:r>
      <w:r>
        <w:rPr/>
        <w:t>demand for our</w:t>
      </w:r>
      <w:r>
        <w:rPr>
          <w:spacing w:val="-1"/>
        </w:rPr>
        <w:t> </w:t>
      </w:r>
      <w:r>
        <w:rPr/>
        <w:t>product</w:t>
      </w:r>
      <w:r>
        <w:rPr>
          <w:spacing w:val="-1"/>
        </w:rPr>
        <w:t> </w:t>
      </w:r>
      <w:r>
        <w:rPr/>
        <w:t>or additional</w:t>
      </w:r>
      <w:r>
        <w:rPr>
          <w:spacing w:val="-1"/>
        </w:rPr>
        <w:t> </w:t>
      </w:r>
      <w:r>
        <w:rPr/>
        <w:t>pricing</w:t>
      </w:r>
      <w:r>
        <w:rPr>
          <w:spacing w:val="-1"/>
        </w:rPr>
        <w:t> </w:t>
      </w:r>
      <w:r>
        <w:rPr/>
        <w:t>pressures.</w:t>
      </w:r>
    </w:p>
    <w:p>
      <w:pPr>
        <w:pStyle w:val="Heading3"/>
        <w:rPr>
          <w:i/>
        </w:rPr>
      </w:pPr>
      <w:r>
        <w:rPr>
          <w:i/>
        </w:rPr>
        <w:t>Healthcare</w:t>
      </w:r>
      <w:r>
        <w:rPr>
          <w:i/>
          <w:spacing w:val="-5"/>
        </w:rPr>
        <w:t> </w:t>
      </w:r>
      <w:r>
        <w:rPr>
          <w:i/>
        </w:rPr>
        <w:t>reform</w:t>
      </w:r>
      <w:r>
        <w:rPr>
          <w:i/>
          <w:spacing w:val="-5"/>
        </w:rPr>
        <w:t> </w:t>
      </w:r>
      <w:r>
        <w:rPr>
          <w:i/>
        </w:rPr>
        <w:t>measures</w:t>
      </w:r>
      <w:r>
        <w:rPr>
          <w:i/>
          <w:spacing w:val="-5"/>
        </w:rPr>
        <w:t> </w:t>
      </w:r>
      <w:r>
        <w:rPr>
          <w:i/>
        </w:rPr>
        <w:t>could</w:t>
      </w:r>
      <w:r>
        <w:rPr>
          <w:i/>
          <w:spacing w:val="-3"/>
        </w:rPr>
        <w:t> </w:t>
      </w:r>
      <w:r>
        <w:rPr>
          <w:i/>
        </w:rPr>
        <w:t>hinder</w:t>
      </w:r>
      <w:r>
        <w:rPr>
          <w:i/>
          <w:spacing w:val="-5"/>
        </w:rPr>
        <w:t> </w:t>
      </w:r>
      <w:r>
        <w:rPr>
          <w:i/>
        </w:rPr>
        <w:t>or</w:t>
      </w:r>
      <w:r>
        <w:rPr>
          <w:i/>
          <w:spacing w:val="-5"/>
        </w:rPr>
        <w:t> </w:t>
      </w:r>
      <w:r>
        <w:rPr>
          <w:i/>
        </w:rPr>
        <w:t>prevent</w:t>
      </w:r>
      <w:r>
        <w:rPr>
          <w:i/>
          <w:spacing w:val="-4"/>
        </w:rPr>
        <w:t> </w:t>
      </w:r>
      <w:r>
        <w:rPr>
          <w:i/>
        </w:rPr>
        <w:t>the</w:t>
      </w:r>
      <w:r>
        <w:rPr>
          <w:i/>
          <w:spacing w:val="-5"/>
        </w:rPr>
        <w:t> </w:t>
      </w:r>
      <w:r>
        <w:rPr>
          <w:i/>
        </w:rPr>
        <w:t>commercial</w:t>
      </w:r>
      <w:r>
        <w:rPr>
          <w:i/>
          <w:spacing w:val="-5"/>
        </w:rPr>
        <w:t> </w:t>
      </w:r>
      <w:r>
        <w:rPr>
          <w:i/>
        </w:rPr>
        <w:t>success</w:t>
      </w:r>
      <w:r>
        <w:rPr>
          <w:i/>
          <w:spacing w:val="-5"/>
        </w:rPr>
        <w:t> </w:t>
      </w:r>
      <w:r>
        <w:rPr>
          <w:i/>
        </w:rPr>
        <w:t>of</w:t>
      </w:r>
      <w:r>
        <w:rPr>
          <w:i/>
          <w:spacing w:val="-3"/>
        </w:rPr>
        <w:t> </w:t>
      </w:r>
      <w:r>
        <w:rPr>
          <w:i/>
        </w:rPr>
        <w:t>our</w:t>
      </w:r>
      <w:r>
        <w:rPr>
          <w:i/>
          <w:spacing w:val="-5"/>
        </w:rPr>
        <w:t> </w:t>
      </w:r>
      <w:r>
        <w:rPr>
          <w:i/>
        </w:rPr>
        <w:t>AquaBeam</w:t>
      </w:r>
      <w:r>
        <w:rPr>
          <w:i/>
          <w:spacing w:val="-5"/>
        </w:rPr>
        <w:t> </w:t>
      </w:r>
      <w:r>
        <w:rPr>
          <w:i/>
        </w:rPr>
        <w:t>Robotic</w:t>
      </w:r>
      <w:r>
        <w:rPr>
          <w:i/>
          <w:spacing w:val="-4"/>
        </w:rPr>
        <w:t> </w:t>
      </w:r>
      <w:r>
        <w:rPr>
          <w:i/>
        </w:rPr>
        <w:t>System.</w:t>
      </w:r>
    </w:p>
    <w:p>
      <w:pPr>
        <w:pStyle w:val="BodyText"/>
        <w:spacing w:line="249" w:lineRule="auto" w:before="193"/>
        <w:ind w:right="265"/>
      </w:pPr>
      <w:r>
        <w:rPr/>
        <w:t>In the United States, there have been, and we expect there will continue to be, a number of legislative and</w:t>
      </w:r>
      <w:r>
        <w:rPr>
          <w:spacing w:val="1"/>
        </w:rPr>
        <w:t> </w:t>
      </w:r>
      <w:r>
        <w:rPr/>
        <w:t>regulatory changes to the healthcare system in ways that may harm our future revenues and profitability and the</w:t>
      </w:r>
      <w:r>
        <w:rPr>
          <w:spacing w:val="1"/>
        </w:rPr>
        <w:t> </w:t>
      </w:r>
      <w:r>
        <w:rPr/>
        <w:t>demand for our AquaBeam Robotic System. Federal and state lawmakers regularly propose and, at times, enact</w:t>
      </w:r>
      <w:r>
        <w:rPr>
          <w:spacing w:val="1"/>
        </w:rPr>
        <w:t> </w:t>
      </w:r>
      <w:r>
        <w:rPr/>
        <w:t>legislation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would</w:t>
      </w:r>
      <w:r>
        <w:rPr>
          <w:spacing w:val="-3"/>
        </w:rPr>
        <w:t> </w:t>
      </w:r>
      <w:r>
        <w:rPr/>
        <w:t>result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significant</w:t>
      </w:r>
      <w:r>
        <w:rPr>
          <w:spacing w:val="-4"/>
        </w:rPr>
        <w:t> </w:t>
      </w:r>
      <w:r>
        <w:rPr/>
        <w:t>changes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healthcare</w:t>
      </w:r>
      <w:r>
        <w:rPr>
          <w:spacing w:val="-4"/>
        </w:rPr>
        <w:t> </w:t>
      </w:r>
      <w:r>
        <w:rPr/>
        <w:t>system,</w:t>
      </w:r>
      <w:r>
        <w:rPr>
          <w:spacing w:val="-3"/>
        </w:rPr>
        <w:t> </w:t>
      </w:r>
      <w:r>
        <w:rPr/>
        <w:t>some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intended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contain</w:t>
      </w:r>
      <w:r>
        <w:rPr>
          <w:spacing w:val="-47"/>
        </w:rPr>
        <w:t> </w:t>
      </w:r>
      <w:r>
        <w:rPr/>
        <w:t>or reduce the costs of medical products and services. Current and future legislative and regulatory proposals to</w:t>
      </w:r>
      <w:r>
        <w:rPr>
          <w:spacing w:val="1"/>
        </w:rPr>
        <w:t> </w:t>
      </w:r>
      <w:r>
        <w:rPr/>
        <w:t>further reform healthcare or reduce healthcare costs may limit coverage of or lower reimbursement for the</w:t>
      </w:r>
      <w:r>
        <w:rPr>
          <w:spacing w:val="1"/>
        </w:rPr>
        <w:t> </w:t>
      </w:r>
      <w:r>
        <w:rPr/>
        <w:t>procedures associated with the use of our AquaBeam Robotic System. The cost containment measures that payors</w:t>
      </w:r>
      <w:r>
        <w:rPr>
          <w:spacing w:val="-47"/>
        </w:rPr>
        <w:t> </w:t>
      </w:r>
      <w:r>
        <w:rPr/>
        <w:t>and providers are instituting and the effect of any healthcare reform initiative implemented in the future could</w:t>
      </w:r>
      <w:r>
        <w:rPr>
          <w:spacing w:val="1"/>
        </w:rPr>
        <w:t> </w:t>
      </w:r>
      <w:r>
        <w:rPr/>
        <w:t>impact</w:t>
      </w:r>
      <w:r>
        <w:rPr>
          <w:spacing w:val="-2"/>
        </w:rPr>
        <w:t> </w:t>
      </w:r>
      <w:r>
        <w:rPr/>
        <w:t>our revenue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sale</w:t>
      </w:r>
      <w:r>
        <w:rPr>
          <w:spacing w:val="-1"/>
        </w:rPr>
        <w:t> </w:t>
      </w:r>
      <w:r>
        <w:rPr/>
        <w:t>of our</w:t>
      </w:r>
      <w:r>
        <w:rPr>
          <w:spacing w:val="-1"/>
        </w:rPr>
        <w:t> </w:t>
      </w:r>
      <w:r>
        <w:rPr/>
        <w:t>AquaBeam</w:t>
      </w:r>
      <w:r>
        <w:rPr>
          <w:spacing w:val="-1"/>
        </w:rPr>
        <w:t> </w:t>
      </w:r>
      <w:r>
        <w:rPr/>
        <w:t>Robotic</w:t>
      </w:r>
      <w:r>
        <w:rPr>
          <w:spacing w:val="-1"/>
        </w:rPr>
        <w:t> </w:t>
      </w:r>
      <w:r>
        <w:rPr/>
        <w:t>System.</w:t>
      </w:r>
    </w:p>
    <w:p>
      <w:pPr>
        <w:pStyle w:val="BodyText"/>
        <w:spacing w:line="249" w:lineRule="auto" w:before="187"/>
        <w:ind w:right="212"/>
      </w:pPr>
      <w:r>
        <w:rPr/>
        <w:t>By way of example, in the United States, the ACA was enacted in March 2010 and substantially changed the</w:t>
      </w:r>
      <w:r>
        <w:rPr>
          <w:spacing w:val="1"/>
        </w:rPr>
        <w:t> </w:t>
      </w:r>
      <w:r>
        <w:rPr/>
        <w:t>way healthcare is financed by both governmental and private insurers, and significantly impacts our industry. The</w:t>
      </w:r>
      <w:r>
        <w:rPr>
          <w:spacing w:val="1"/>
        </w:rPr>
        <w:t> </w:t>
      </w:r>
      <w:r>
        <w:rPr/>
        <w:t>ACA contained a number of provisions, including those governing enrollment in federal healthcare programs,</w:t>
      </w:r>
      <w:r>
        <w:rPr>
          <w:spacing w:val="1"/>
        </w:rPr>
        <w:t> </w:t>
      </w:r>
      <w:r>
        <w:rPr/>
        <w:t>reimbursement</w:t>
      </w:r>
      <w:r>
        <w:rPr>
          <w:spacing w:val="-5"/>
        </w:rPr>
        <w:t> </w:t>
      </w:r>
      <w:r>
        <w:rPr/>
        <w:t>changes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fraud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abuse</w:t>
      </w:r>
      <w:r>
        <w:rPr>
          <w:spacing w:val="-4"/>
        </w:rPr>
        <w:t> </w:t>
      </w:r>
      <w:r>
        <w:rPr/>
        <w:t>measures,</w:t>
      </w:r>
      <w:r>
        <w:rPr>
          <w:spacing w:val="-3"/>
        </w:rPr>
        <w:t> </w:t>
      </w:r>
      <w:r>
        <w:rPr/>
        <w:t>all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have</w:t>
      </w:r>
      <w:r>
        <w:rPr>
          <w:spacing w:val="-4"/>
        </w:rPr>
        <w:t> </w:t>
      </w:r>
      <w:r>
        <w:rPr/>
        <w:t>impacted</w:t>
      </w:r>
      <w:r>
        <w:rPr>
          <w:spacing w:val="-3"/>
        </w:rPr>
        <w:t> </w:t>
      </w:r>
      <w:r>
        <w:rPr/>
        <w:t>existing</w:t>
      </w:r>
      <w:r>
        <w:rPr>
          <w:spacing w:val="-3"/>
        </w:rPr>
        <w:t> </w:t>
      </w:r>
      <w:r>
        <w:rPr/>
        <w:t>government</w:t>
      </w:r>
      <w:r>
        <w:rPr>
          <w:spacing w:val="-4"/>
        </w:rPr>
        <w:t> </w:t>
      </w:r>
      <w:r>
        <w:rPr/>
        <w:t>healthcare</w:t>
      </w:r>
      <w:r>
        <w:rPr>
          <w:spacing w:val="-47"/>
        </w:rPr>
        <w:t> </w:t>
      </w:r>
      <w:r>
        <w:rPr/>
        <w:t>programs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result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new</w:t>
      </w:r>
      <w:r>
        <w:rPr>
          <w:spacing w:val="-3"/>
        </w:rPr>
        <w:t> </w:t>
      </w:r>
      <w:r>
        <w:rPr/>
        <w:t>programs.</w:t>
      </w:r>
      <w:r>
        <w:rPr>
          <w:spacing w:val="-1"/>
        </w:rPr>
        <w:t> </w:t>
      </w:r>
      <w:r>
        <w:rPr/>
        <w:t>Since</w:t>
      </w:r>
      <w:r>
        <w:rPr>
          <w:spacing w:val="-3"/>
        </w:rPr>
        <w:t> </w:t>
      </w:r>
      <w:r>
        <w:rPr/>
        <w:t>its</w:t>
      </w:r>
      <w:r>
        <w:rPr>
          <w:spacing w:val="-2"/>
        </w:rPr>
        <w:t> </w:t>
      </w:r>
      <w:r>
        <w:rPr/>
        <w:t>enactment,</w:t>
      </w:r>
      <w:r>
        <w:rPr>
          <w:spacing w:val="-2"/>
        </w:rPr>
        <w:t> </w:t>
      </w:r>
      <w:r>
        <w:rPr/>
        <w:t>there</w:t>
      </w:r>
      <w:r>
        <w:rPr>
          <w:spacing w:val="-3"/>
        </w:rPr>
        <w:t> </w:t>
      </w:r>
      <w:r>
        <w:rPr/>
        <w:t>have</w:t>
      </w:r>
      <w:r>
        <w:rPr>
          <w:spacing w:val="-2"/>
        </w:rPr>
        <w:t> </w:t>
      </w:r>
      <w:r>
        <w:rPr/>
        <w:t>been</w:t>
      </w:r>
      <w:r>
        <w:rPr>
          <w:spacing w:val="-2"/>
        </w:rPr>
        <w:t> </w:t>
      </w:r>
      <w:r>
        <w:rPr/>
        <w:t>numerous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  <w:ind w:right="176" w:firstLine="0"/>
      </w:pPr>
      <w:r>
        <w:rPr/>
        <w:t>amendments to the ACA and revisions to implementing regulations, along with judicial, executive and</w:t>
      </w:r>
      <w:r>
        <w:rPr>
          <w:spacing w:val="1"/>
        </w:rPr>
        <w:t> </w:t>
      </w:r>
      <w:r>
        <w:rPr/>
        <w:t>Congressional challenges to certain aspects of the ACA. On June 17, 2021, the Supreme Court ruled that states and</w:t>
      </w:r>
      <w:r>
        <w:rPr>
          <w:spacing w:val="1"/>
        </w:rPr>
        <w:t> </w:t>
      </w:r>
      <w:r>
        <w:rPr/>
        <w:t>individuals lacked standing to challenge the constitutionality of the ACA’s individual mandate, post-repeal of its</w:t>
      </w:r>
      <w:r>
        <w:rPr>
          <w:spacing w:val="1"/>
        </w:rPr>
        <w:t> </w:t>
      </w:r>
      <w:r>
        <w:rPr/>
        <w:t>associated tax penalty. Additionally, President Biden issued an executive order that initiated a special enrollment</w:t>
      </w:r>
      <w:r>
        <w:rPr>
          <w:spacing w:val="1"/>
        </w:rPr>
        <w:t> </w:t>
      </w:r>
      <w:r>
        <w:rPr/>
        <w:t>period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purposes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obtaining</w:t>
      </w:r>
      <w:r>
        <w:rPr>
          <w:spacing w:val="-3"/>
        </w:rPr>
        <w:t> </w:t>
      </w:r>
      <w:r>
        <w:rPr/>
        <w:t>health</w:t>
      </w:r>
      <w:r>
        <w:rPr>
          <w:spacing w:val="-2"/>
        </w:rPr>
        <w:t> </w:t>
      </w:r>
      <w:r>
        <w:rPr/>
        <w:t>insurance</w:t>
      </w:r>
      <w:r>
        <w:rPr>
          <w:spacing w:val="-4"/>
        </w:rPr>
        <w:t> </w:t>
      </w:r>
      <w:r>
        <w:rPr/>
        <w:t>coverage</w:t>
      </w:r>
      <w:r>
        <w:rPr>
          <w:spacing w:val="-3"/>
        </w:rPr>
        <w:t> </w:t>
      </w:r>
      <w:r>
        <w:rPr/>
        <w:t>through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ACA</w:t>
      </w:r>
      <w:r>
        <w:rPr>
          <w:spacing w:val="-4"/>
        </w:rPr>
        <w:t> </w:t>
      </w:r>
      <w:r>
        <w:rPr/>
        <w:t>marketplace,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began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February</w:t>
      </w:r>
      <w:r>
        <w:rPr>
          <w:spacing w:val="-47"/>
        </w:rPr>
        <w:t> </w:t>
      </w:r>
      <w:r>
        <w:rPr/>
        <w:t>15, 2021 and will remain open through August 15, 2021. The executive order also instructed certain governmental</w:t>
      </w:r>
      <w:r>
        <w:rPr>
          <w:spacing w:val="1"/>
        </w:rPr>
        <w:t> </w:t>
      </w:r>
      <w:r>
        <w:rPr/>
        <w:t>agencies to review and reconsider their existing policies and rules that limit access to healthcare, including among</w:t>
      </w:r>
      <w:r>
        <w:rPr>
          <w:spacing w:val="1"/>
        </w:rPr>
        <w:t> </w:t>
      </w:r>
      <w:r>
        <w:rPr/>
        <w:t>others, reexamining Medicaid demonstration projects and waiver programs that include work requirements, and</w:t>
      </w:r>
      <w:r>
        <w:rPr>
          <w:spacing w:val="1"/>
        </w:rPr>
        <w:t> </w:t>
      </w:r>
      <w:r>
        <w:rPr/>
        <w:t>policies that create unnecessary barriers to obtaining access to health insurance coverage through Medicaid or the</w:t>
      </w:r>
      <w:r>
        <w:rPr>
          <w:spacing w:val="1"/>
        </w:rPr>
        <w:t> </w:t>
      </w:r>
      <w:r>
        <w:rPr/>
        <w:t>ACA. Additional legislative changes, regulatory changes and judicial challenges related to the ACA remain</w:t>
      </w:r>
      <w:r>
        <w:rPr>
          <w:spacing w:val="1"/>
        </w:rPr>
        <w:t> </w:t>
      </w:r>
      <w:r>
        <w:rPr/>
        <w:t>possible. We cannot predict what effect further changes related to the ACA, including under the Biden</w:t>
      </w:r>
      <w:r>
        <w:rPr>
          <w:spacing w:val="1"/>
        </w:rPr>
        <w:t> </w:t>
      </w:r>
      <w:r>
        <w:rPr/>
        <w:t>administration,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on our business.</w:t>
      </w:r>
    </w:p>
    <w:p>
      <w:pPr>
        <w:pStyle w:val="BodyText"/>
        <w:spacing w:line="249" w:lineRule="auto" w:before="189"/>
        <w:ind w:right="206"/>
      </w:pPr>
      <w:r>
        <w:rPr/>
        <w:t>In addition, other legislative changes have been proposed and adopted since the ACA was enacted. For</w:t>
      </w:r>
      <w:r>
        <w:rPr>
          <w:spacing w:val="1"/>
        </w:rPr>
        <w:t> </w:t>
      </w:r>
      <w:r>
        <w:rPr/>
        <w:t>example, the Budget Control Act of 2011, among other things, and in connection with subsequent legislation,</w:t>
      </w:r>
      <w:r>
        <w:rPr>
          <w:spacing w:val="1"/>
        </w:rPr>
        <w:t> </w:t>
      </w:r>
      <w:r>
        <w:rPr/>
        <w:t>reduced</w:t>
      </w:r>
      <w:r>
        <w:rPr>
          <w:spacing w:val="-2"/>
        </w:rPr>
        <w:t> </w:t>
      </w:r>
      <w:r>
        <w:rPr/>
        <w:t>Medicare</w:t>
      </w:r>
      <w:r>
        <w:rPr>
          <w:spacing w:val="-3"/>
        </w:rPr>
        <w:t> </w:t>
      </w:r>
      <w:r>
        <w:rPr/>
        <w:t>payments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providers</w:t>
      </w:r>
      <w:r>
        <w:rPr>
          <w:spacing w:val="-3"/>
        </w:rPr>
        <w:t> </w:t>
      </w:r>
      <w:r>
        <w:rPr/>
        <w:t>of,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average,</w:t>
      </w:r>
      <w:r>
        <w:rPr>
          <w:spacing w:val="-2"/>
        </w:rPr>
        <w:t> </w:t>
      </w:r>
      <w:r>
        <w:rPr/>
        <w:t>2%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fiscal</w:t>
      </w:r>
      <w:r>
        <w:rPr>
          <w:spacing w:val="-3"/>
        </w:rPr>
        <w:t> </w:t>
      </w:r>
      <w:r>
        <w:rPr/>
        <w:t>year,</w:t>
      </w:r>
      <w:r>
        <w:rPr>
          <w:spacing w:val="-1"/>
        </w:rPr>
        <w:t> </w:t>
      </w:r>
      <w:r>
        <w:rPr/>
        <w:t>which</w:t>
      </w:r>
      <w:r>
        <w:rPr>
          <w:spacing w:val="-2"/>
        </w:rPr>
        <w:t> </w:t>
      </w:r>
      <w:r>
        <w:rPr/>
        <w:t>went</w:t>
      </w:r>
      <w:r>
        <w:rPr>
          <w:spacing w:val="-3"/>
        </w:rPr>
        <w:t> </w:t>
      </w:r>
      <w:r>
        <w:rPr/>
        <w:t>into</w:t>
      </w:r>
      <w:r>
        <w:rPr>
          <w:spacing w:val="-2"/>
        </w:rPr>
        <w:t> </w:t>
      </w:r>
      <w:r>
        <w:rPr/>
        <w:t>effect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April</w:t>
      </w:r>
      <w:r>
        <w:rPr>
          <w:spacing w:val="-3"/>
        </w:rPr>
        <w:t> </w:t>
      </w:r>
      <w:r>
        <w:rPr/>
        <w:t>1,</w:t>
      </w:r>
      <w:r>
        <w:rPr>
          <w:spacing w:val="-2"/>
        </w:rPr>
        <w:t> </w:t>
      </w:r>
      <w:r>
        <w:rPr/>
        <w:t>2013</w:t>
      </w:r>
      <w:r>
        <w:rPr>
          <w:spacing w:val="-47"/>
        </w:rPr>
        <w:t> </w:t>
      </w:r>
      <w:r>
        <w:rPr/>
        <w:t>and, due to subsequent legislative amendments to the statute, will remain in effect through 2030, with the exception</w:t>
      </w:r>
      <w:r>
        <w:rPr>
          <w:spacing w:val="-47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temporary</w:t>
      </w:r>
      <w:r>
        <w:rPr>
          <w:spacing w:val="-2"/>
        </w:rPr>
        <w:t> </w:t>
      </w:r>
      <w:r>
        <w:rPr/>
        <w:t>suspension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1,</w:t>
      </w:r>
      <w:r>
        <w:rPr>
          <w:spacing w:val="-2"/>
        </w:rPr>
        <w:t> </w:t>
      </w:r>
      <w:r>
        <w:rPr/>
        <w:t>2020</w:t>
      </w:r>
      <w:r>
        <w:rPr>
          <w:spacing w:val="-2"/>
        </w:rPr>
        <w:t> </w:t>
      </w:r>
      <w:r>
        <w:rPr/>
        <w:t>through</w:t>
      </w:r>
      <w:r>
        <w:rPr>
          <w:spacing w:val="-2"/>
        </w:rPr>
        <w:t> </w:t>
      </w:r>
      <w:r>
        <w:rPr/>
        <w:t>December</w:t>
      </w:r>
      <w:r>
        <w:rPr>
          <w:spacing w:val="-3"/>
        </w:rPr>
        <w:t> </w:t>
      </w:r>
      <w:r>
        <w:rPr/>
        <w:t>31,</w:t>
      </w:r>
      <w:r>
        <w:rPr>
          <w:spacing w:val="-2"/>
        </w:rPr>
        <w:t> </w:t>
      </w:r>
      <w:r>
        <w:rPr/>
        <w:t>2021,</w:t>
      </w:r>
      <w:r>
        <w:rPr>
          <w:spacing w:val="-2"/>
        </w:rPr>
        <w:t> </w:t>
      </w:r>
      <w:r>
        <w:rPr/>
        <w:t>unless</w:t>
      </w:r>
      <w:r>
        <w:rPr>
          <w:spacing w:val="-3"/>
        </w:rPr>
        <w:t> </w:t>
      </w:r>
      <w:r>
        <w:rPr/>
        <w:t>additional</w:t>
      </w:r>
      <w:r>
        <w:rPr>
          <w:spacing w:val="-3"/>
        </w:rPr>
        <w:t> </w:t>
      </w:r>
      <w:r>
        <w:rPr/>
        <w:t>Congressional</w:t>
      </w:r>
      <w:r>
        <w:rPr>
          <w:spacing w:val="-4"/>
        </w:rPr>
        <w:t> </w:t>
      </w:r>
      <w:r>
        <w:rPr/>
        <w:t>action</w:t>
      </w:r>
      <w:r>
        <w:rPr>
          <w:spacing w:val="-2"/>
        </w:rPr>
        <w:t> </w:t>
      </w:r>
      <w:r>
        <w:rPr/>
        <w:t>is</w:t>
      </w:r>
      <w:r>
        <w:rPr>
          <w:spacing w:val="-47"/>
        </w:rPr>
        <w:t> </w:t>
      </w:r>
      <w:r>
        <w:rPr/>
        <w:t>taken. Additionally, the American Taxpayer Relief Act of 2012, among other things, further reduced Medicare</w:t>
      </w:r>
      <w:r>
        <w:rPr>
          <w:spacing w:val="1"/>
        </w:rPr>
        <w:t> </w:t>
      </w:r>
      <w:r>
        <w:rPr/>
        <w:t>payments to several categories of healthcare providers, including hospitals, and increased the statute of limitations</w:t>
      </w:r>
      <w:r>
        <w:rPr>
          <w:spacing w:val="1"/>
        </w:rPr>
        <w:t> </w:t>
      </w:r>
      <w:r>
        <w:rPr/>
        <w:t>period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government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recover</w:t>
      </w:r>
      <w:r>
        <w:rPr>
          <w:spacing w:val="-1"/>
        </w:rPr>
        <w:t> </w:t>
      </w:r>
      <w:r>
        <w:rPr/>
        <w:t>Medicare</w:t>
      </w:r>
      <w:r>
        <w:rPr>
          <w:spacing w:val="-1"/>
        </w:rPr>
        <w:t> </w:t>
      </w:r>
      <w:r>
        <w:rPr/>
        <w:t>overpayments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providers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three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five</w:t>
      </w:r>
      <w:r>
        <w:rPr>
          <w:spacing w:val="-1"/>
        </w:rPr>
        <w:t> </w:t>
      </w:r>
      <w:r>
        <w:rPr/>
        <w:t>years.</w:t>
      </w:r>
    </w:p>
    <w:p>
      <w:pPr>
        <w:pStyle w:val="BodyText"/>
        <w:spacing w:line="249" w:lineRule="auto" w:before="187"/>
        <w:ind w:right="265"/>
      </w:pPr>
      <w:r>
        <w:rPr/>
        <w:t>The</w:t>
      </w:r>
      <w:r>
        <w:rPr>
          <w:spacing w:val="-4"/>
        </w:rPr>
        <w:t> </w:t>
      </w:r>
      <w:r>
        <w:rPr/>
        <w:t>continuing</w:t>
      </w:r>
      <w:r>
        <w:rPr>
          <w:spacing w:val="-3"/>
        </w:rPr>
        <w:t> </w:t>
      </w:r>
      <w:r>
        <w:rPr/>
        <w:t>efforts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government,</w:t>
      </w:r>
      <w:r>
        <w:rPr>
          <w:spacing w:val="-3"/>
        </w:rPr>
        <w:t> </w:t>
      </w:r>
      <w:r>
        <w:rPr/>
        <w:t>insurance</w:t>
      </w:r>
      <w:r>
        <w:rPr>
          <w:spacing w:val="-4"/>
        </w:rPr>
        <w:t> </w:t>
      </w:r>
      <w:r>
        <w:rPr/>
        <w:t>companies,</w:t>
      </w:r>
      <w:r>
        <w:rPr>
          <w:spacing w:val="-2"/>
        </w:rPr>
        <w:t> </w:t>
      </w:r>
      <w:r>
        <w:rPr/>
        <w:t>managed</w:t>
      </w:r>
      <w:r>
        <w:rPr>
          <w:spacing w:val="-3"/>
        </w:rPr>
        <w:t> </w:t>
      </w:r>
      <w:r>
        <w:rPr/>
        <w:t>care</w:t>
      </w:r>
      <w:r>
        <w:rPr>
          <w:spacing w:val="-4"/>
        </w:rPr>
        <w:t> </w:t>
      </w:r>
      <w:r>
        <w:rPr/>
        <w:t>organizations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other</w:t>
      </w:r>
      <w:r>
        <w:rPr>
          <w:spacing w:val="-2"/>
        </w:rPr>
        <w:t> </w:t>
      </w:r>
      <w:r>
        <w:rPr/>
        <w:t>payors</w:t>
      </w:r>
      <w:r>
        <w:rPr>
          <w:spacing w:val="-47"/>
        </w:rPr>
        <w:t> </w:t>
      </w:r>
      <w:r>
        <w:rPr/>
        <w:t>of</w:t>
      </w:r>
      <w:r>
        <w:rPr>
          <w:spacing w:val="-1"/>
        </w:rPr>
        <w:t> </w:t>
      </w:r>
      <w:r>
        <w:rPr/>
        <w:t>healthcare</w:t>
      </w:r>
      <w:r>
        <w:rPr>
          <w:spacing w:val="-1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to contain or</w:t>
      </w:r>
      <w:r>
        <w:rPr>
          <w:spacing w:val="-1"/>
        </w:rPr>
        <w:t> </w:t>
      </w:r>
      <w:r>
        <w:rPr/>
        <w:t>reduce</w:t>
      </w:r>
      <w:r>
        <w:rPr>
          <w:spacing w:val="-1"/>
        </w:rPr>
        <w:t> </w:t>
      </w:r>
      <w:r>
        <w:rPr/>
        <w:t>costs</w:t>
      </w:r>
      <w:r>
        <w:rPr>
          <w:spacing w:val="-2"/>
        </w:rPr>
        <w:t> </w:t>
      </w:r>
      <w:r>
        <w:rPr/>
        <w:t>of healthcare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harm:</w:t>
      </w:r>
    </w:p>
    <w:p>
      <w:pPr>
        <w:pStyle w:val="ListParagraph"/>
        <w:numPr>
          <w:ilvl w:val="0"/>
          <w:numId w:val="6"/>
        </w:numPr>
        <w:tabs>
          <w:tab w:pos="819" w:val="left" w:leader="none"/>
          <w:tab w:pos="820" w:val="left" w:leader="none"/>
        </w:tabs>
        <w:spacing w:line="240" w:lineRule="auto" w:before="182" w:after="0"/>
        <w:ind w:left="820" w:right="0" w:hanging="360"/>
        <w:jc w:val="left"/>
        <w:rPr>
          <w:sz w:val="20"/>
        </w:rPr>
      </w:pP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ability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set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price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we</w:t>
      </w:r>
      <w:r>
        <w:rPr>
          <w:spacing w:val="-3"/>
          <w:sz w:val="20"/>
        </w:rPr>
        <w:t> </w:t>
      </w:r>
      <w:r>
        <w:rPr>
          <w:sz w:val="20"/>
        </w:rPr>
        <w:t>believe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fair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our</w:t>
      </w:r>
      <w:r>
        <w:rPr>
          <w:spacing w:val="-2"/>
          <w:sz w:val="20"/>
        </w:rPr>
        <w:t> </w:t>
      </w:r>
      <w:r>
        <w:rPr>
          <w:sz w:val="20"/>
        </w:rPr>
        <w:t>AquaBeam</w:t>
      </w:r>
      <w:r>
        <w:rPr>
          <w:spacing w:val="-3"/>
          <w:sz w:val="20"/>
        </w:rPr>
        <w:t> </w:t>
      </w:r>
      <w:r>
        <w:rPr>
          <w:sz w:val="20"/>
        </w:rPr>
        <w:t>Robotic</w:t>
      </w:r>
      <w:r>
        <w:rPr>
          <w:spacing w:val="-3"/>
          <w:sz w:val="20"/>
        </w:rPr>
        <w:t> </w:t>
      </w:r>
      <w:r>
        <w:rPr>
          <w:sz w:val="20"/>
        </w:rPr>
        <w:t>System;</w:t>
      </w:r>
    </w:p>
    <w:p>
      <w:pPr>
        <w:pStyle w:val="ListParagraph"/>
        <w:numPr>
          <w:ilvl w:val="0"/>
          <w:numId w:val="6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ability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generate</w:t>
      </w:r>
      <w:r>
        <w:rPr>
          <w:spacing w:val="-3"/>
          <w:sz w:val="20"/>
        </w:rPr>
        <w:t> </w:t>
      </w:r>
      <w:r>
        <w:rPr>
          <w:sz w:val="20"/>
        </w:rPr>
        <w:t>revenue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achieve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maintain</w:t>
      </w:r>
      <w:r>
        <w:rPr>
          <w:spacing w:val="-3"/>
          <w:sz w:val="20"/>
        </w:rPr>
        <w:t> </w:t>
      </w:r>
      <w:r>
        <w:rPr>
          <w:sz w:val="20"/>
        </w:rPr>
        <w:t>profitability;</w:t>
      </w:r>
      <w:r>
        <w:rPr>
          <w:spacing w:val="-4"/>
          <w:sz w:val="20"/>
        </w:rPr>
        <w:t> </w:t>
      </w:r>
      <w:r>
        <w:rPr>
          <w:sz w:val="20"/>
        </w:rPr>
        <w:t>and</w:t>
      </w:r>
    </w:p>
    <w:p>
      <w:pPr>
        <w:pStyle w:val="ListParagraph"/>
        <w:numPr>
          <w:ilvl w:val="0"/>
          <w:numId w:val="6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availability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capital.</w:t>
      </w:r>
    </w:p>
    <w:p>
      <w:pPr>
        <w:pStyle w:val="BodyText"/>
        <w:spacing w:line="249" w:lineRule="auto"/>
        <w:ind w:right="212"/>
      </w:pPr>
      <w:r>
        <w:rPr/>
        <w:t>The</w:t>
      </w:r>
      <w:r>
        <w:rPr>
          <w:spacing w:val="-4"/>
        </w:rPr>
        <w:t> </w:t>
      </w:r>
      <w:r>
        <w:rPr/>
        <w:t>current</w:t>
      </w:r>
      <w:r>
        <w:rPr>
          <w:spacing w:val="-4"/>
        </w:rPr>
        <w:t> </w:t>
      </w:r>
      <w:r>
        <w:rPr/>
        <w:t>presidential</w:t>
      </w:r>
      <w:r>
        <w:rPr>
          <w:spacing w:val="-4"/>
        </w:rPr>
        <w:t> </w:t>
      </w:r>
      <w:r>
        <w:rPr/>
        <w:t>administration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Congress</w:t>
      </w:r>
      <w:r>
        <w:rPr>
          <w:spacing w:val="-4"/>
        </w:rPr>
        <w:t> </w:t>
      </w:r>
      <w:r>
        <w:rPr/>
        <w:t>may</w:t>
      </w:r>
      <w:r>
        <w:rPr>
          <w:spacing w:val="-3"/>
        </w:rPr>
        <w:t> </w:t>
      </w:r>
      <w:r>
        <w:rPr/>
        <w:t>continue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pursue</w:t>
      </w:r>
      <w:r>
        <w:rPr>
          <w:spacing w:val="-4"/>
        </w:rPr>
        <w:t> </w:t>
      </w:r>
      <w:r>
        <w:rPr/>
        <w:t>significant</w:t>
      </w:r>
      <w:r>
        <w:rPr>
          <w:spacing w:val="-4"/>
        </w:rPr>
        <w:t> </w:t>
      </w:r>
      <w:r>
        <w:rPr/>
        <w:t>changes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current</w:t>
      </w:r>
      <w:r>
        <w:rPr>
          <w:spacing w:val="-47"/>
        </w:rPr>
        <w:t> </w:t>
      </w:r>
      <w:r>
        <w:rPr/>
        <w:t>healthcare laws. We cannot predict what other laws and regulations will ultimately be enacted and implemented at</w:t>
      </w:r>
      <w:r>
        <w:rPr>
          <w:spacing w:val="1"/>
        </w:rPr>
        <w:t> </w:t>
      </w:r>
      <w:r>
        <w:rPr/>
        <w:t>the federal or state level or the effect of any future legislation or regulation in the United States on our business,</w:t>
      </w:r>
      <w:r>
        <w:rPr>
          <w:spacing w:val="1"/>
        </w:rPr>
        <w:t> </w:t>
      </w:r>
      <w:r>
        <w:rPr/>
        <w:t>financial condition, and results of operations. Future changes in healthcare policy could increase our costs and</w:t>
      </w:r>
      <w:r>
        <w:rPr>
          <w:spacing w:val="1"/>
        </w:rPr>
        <w:t> </w:t>
      </w:r>
      <w:r>
        <w:rPr/>
        <w:t>subject us to additional requirements that may interrupt commercialization of our current and future solutions,</w:t>
      </w:r>
      <w:r>
        <w:rPr>
          <w:spacing w:val="1"/>
        </w:rPr>
        <w:t> </w:t>
      </w:r>
      <w:r>
        <w:rPr/>
        <w:t>decrease</w:t>
      </w:r>
      <w:r>
        <w:rPr>
          <w:spacing w:val="-2"/>
        </w:rPr>
        <w:t> </w:t>
      </w:r>
      <w:r>
        <w:rPr/>
        <w:t>our revenue</w:t>
      </w:r>
      <w:r>
        <w:rPr>
          <w:spacing w:val="-2"/>
        </w:rPr>
        <w:t> </w:t>
      </w:r>
      <w:r>
        <w:rPr/>
        <w:t>and impact</w:t>
      </w:r>
      <w:r>
        <w:rPr>
          <w:spacing w:val="-2"/>
        </w:rPr>
        <w:t> </w:t>
      </w:r>
      <w:r>
        <w:rPr/>
        <w:t>sales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and pricing</w:t>
      </w:r>
      <w:r>
        <w:rPr>
          <w:spacing w:val="-1"/>
        </w:rPr>
        <w:t> </w:t>
      </w:r>
      <w:r>
        <w:rPr/>
        <w:t>for our</w:t>
      </w:r>
      <w:r>
        <w:rPr>
          <w:spacing w:val="-1"/>
        </w:rPr>
        <w:t> </w:t>
      </w:r>
      <w:r>
        <w:rPr/>
        <w:t>current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future</w:t>
      </w:r>
      <w:r>
        <w:rPr>
          <w:spacing w:val="-1"/>
        </w:rPr>
        <w:t> </w:t>
      </w:r>
      <w:r>
        <w:rPr/>
        <w:t>products.</w:t>
      </w:r>
    </w:p>
    <w:p>
      <w:pPr>
        <w:pStyle w:val="Heading3"/>
        <w:spacing w:line="249" w:lineRule="auto" w:before="181"/>
      </w:pPr>
      <w:r>
        <w:rPr>
          <w:i/>
        </w:rPr>
        <w:t>We</w:t>
      </w:r>
      <w:r>
        <w:rPr>
          <w:i/>
          <w:spacing w:val="-5"/>
        </w:rPr>
        <w:t> </w:t>
      </w:r>
      <w:r>
        <w:rPr>
          <w:i/>
        </w:rPr>
        <w:t>must</w:t>
      </w:r>
      <w:r>
        <w:rPr>
          <w:i/>
          <w:spacing w:val="-4"/>
        </w:rPr>
        <w:t> </w:t>
      </w:r>
      <w:r>
        <w:rPr>
          <w:i/>
        </w:rPr>
        <w:t>comply</w:t>
      </w:r>
      <w:r>
        <w:rPr>
          <w:i/>
          <w:spacing w:val="-4"/>
        </w:rPr>
        <w:t> </w:t>
      </w:r>
      <w:r>
        <w:rPr>
          <w:i/>
        </w:rPr>
        <w:t>with</w:t>
      </w:r>
      <w:r>
        <w:rPr>
          <w:i/>
          <w:spacing w:val="-4"/>
        </w:rPr>
        <w:t> </w:t>
      </w:r>
      <w:r>
        <w:rPr>
          <w:i/>
        </w:rPr>
        <w:t>anti-kickback,</w:t>
      </w:r>
      <w:r>
        <w:rPr>
          <w:i/>
          <w:spacing w:val="-4"/>
        </w:rPr>
        <w:t> </w:t>
      </w:r>
      <w:r>
        <w:rPr>
          <w:i/>
        </w:rPr>
        <w:t>fraud</w:t>
      </w:r>
      <w:r>
        <w:rPr>
          <w:i/>
          <w:spacing w:val="-3"/>
        </w:rPr>
        <w:t> </w:t>
      </w:r>
      <w:r>
        <w:rPr>
          <w:i/>
        </w:rPr>
        <w:t>and</w:t>
      </w:r>
      <w:r>
        <w:rPr>
          <w:i/>
          <w:spacing w:val="-3"/>
        </w:rPr>
        <w:t> </w:t>
      </w:r>
      <w:r>
        <w:rPr>
          <w:i/>
        </w:rPr>
        <w:t>abuse,</w:t>
      </w:r>
      <w:r>
        <w:rPr>
          <w:i/>
          <w:spacing w:val="-3"/>
        </w:rPr>
        <w:t> </w:t>
      </w:r>
      <w:r>
        <w:rPr>
          <w:i/>
        </w:rPr>
        <w:t>false</w:t>
      </w:r>
      <w:r>
        <w:rPr>
          <w:i/>
          <w:spacing w:val="-4"/>
        </w:rPr>
        <w:t> </w:t>
      </w:r>
      <w:r>
        <w:rPr>
          <w:i/>
        </w:rPr>
        <w:t>claims,</w:t>
      </w:r>
      <w:r>
        <w:rPr>
          <w:i/>
          <w:spacing w:val="-4"/>
        </w:rPr>
        <w:t> </w:t>
      </w:r>
      <w:r>
        <w:rPr>
          <w:i/>
        </w:rPr>
        <w:t>transparency,</w:t>
      </w:r>
      <w:r>
        <w:rPr>
          <w:i/>
          <w:spacing w:val="-3"/>
        </w:rPr>
        <w:t> </w:t>
      </w:r>
      <w:r>
        <w:rPr>
          <w:i/>
        </w:rPr>
        <w:t>and</w:t>
      </w:r>
      <w:r>
        <w:rPr>
          <w:i/>
          <w:spacing w:val="-3"/>
        </w:rPr>
        <w:t> </w:t>
      </w:r>
      <w:r>
        <w:rPr>
          <w:i/>
        </w:rPr>
        <w:t>other</w:t>
      </w:r>
      <w:r>
        <w:rPr>
          <w:i/>
          <w:spacing w:val="-4"/>
        </w:rPr>
        <w:t> </w:t>
      </w:r>
      <w:r>
        <w:rPr>
          <w:i/>
        </w:rPr>
        <w:t>healthcare</w:t>
      </w:r>
      <w:r>
        <w:rPr>
          <w:i/>
          <w:spacing w:val="-5"/>
        </w:rPr>
        <w:t> </w:t>
      </w:r>
      <w:r>
        <w:rPr>
          <w:i/>
        </w:rPr>
        <w:t>laws</w:t>
      </w:r>
      <w:r>
        <w:rPr>
          <w:i/>
          <w:spacing w:val="-4"/>
        </w:rPr>
        <w:t> </w:t>
      </w:r>
      <w:r>
        <w:rPr>
          <w:i/>
        </w:rPr>
        <w:t>and</w:t>
      </w:r>
      <w:r>
        <w:rPr>
          <w:i/>
          <w:spacing w:val="1"/>
        </w:rPr>
        <w:t> </w:t>
      </w:r>
      <w:r>
        <w:rPr/>
        <w:t>regulations.</w:t>
      </w:r>
    </w:p>
    <w:p>
      <w:pPr>
        <w:pStyle w:val="BodyText"/>
        <w:spacing w:line="249" w:lineRule="auto" w:before="185"/>
        <w:ind w:right="148"/>
      </w:pPr>
      <w:r>
        <w:rPr/>
        <w:t>Our current and future operations are subject to various federal and state healthcare laws and regulations. These</w:t>
      </w:r>
      <w:r>
        <w:rPr>
          <w:spacing w:val="-47"/>
        </w:rPr>
        <w:t> </w:t>
      </w:r>
      <w:r>
        <w:rPr/>
        <w:t>laws affect our sales, marketing and other promotional activities by limiting the kinds of financial arrangements,</w:t>
      </w:r>
      <w:r>
        <w:rPr>
          <w:spacing w:val="1"/>
        </w:rPr>
        <w:t> </w:t>
      </w:r>
      <w:r>
        <w:rPr/>
        <w:t>including sales programs, we may have with hospitals, physicians or other potential purchasers or users, including</w:t>
      </w:r>
      <w:r>
        <w:rPr>
          <w:spacing w:val="1"/>
        </w:rPr>
        <w:t> </w:t>
      </w:r>
      <w:r>
        <w:rPr/>
        <w:t>patients,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medical</w:t>
      </w:r>
      <w:r>
        <w:rPr>
          <w:spacing w:val="-4"/>
        </w:rPr>
        <w:t> </w:t>
      </w:r>
      <w:r>
        <w:rPr/>
        <w:t>devices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services.</w:t>
      </w:r>
      <w:r>
        <w:rPr>
          <w:spacing w:val="-3"/>
        </w:rPr>
        <w:t> </w:t>
      </w:r>
      <w:r>
        <w:rPr/>
        <w:t>They</w:t>
      </w:r>
      <w:r>
        <w:rPr>
          <w:spacing w:val="-4"/>
        </w:rPr>
        <w:t> </w:t>
      </w:r>
      <w:r>
        <w:rPr/>
        <w:t>also</w:t>
      </w:r>
      <w:r>
        <w:rPr>
          <w:spacing w:val="-3"/>
        </w:rPr>
        <w:t> </w:t>
      </w:r>
      <w:r>
        <w:rPr/>
        <w:t>impose</w:t>
      </w:r>
      <w:r>
        <w:rPr>
          <w:spacing w:val="-4"/>
        </w:rPr>
        <w:t> </w:t>
      </w:r>
      <w:r>
        <w:rPr/>
        <w:t>additional</w:t>
      </w:r>
      <w:r>
        <w:rPr>
          <w:spacing w:val="-5"/>
        </w:rPr>
        <w:t> </w:t>
      </w:r>
      <w:r>
        <w:rPr/>
        <w:t>administrative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compliance</w:t>
      </w:r>
      <w:r>
        <w:rPr>
          <w:spacing w:val="-4"/>
        </w:rPr>
        <w:t> </w:t>
      </w:r>
      <w:r>
        <w:rPr/>
        <w:t>burdens</w:t>
      </w:r>
      <w:r>
        <w:rPr>
          <w:spacing w:val="-5"/>
        </w:rPr>
        <w:t> </w:t>
      </w:r>
      <w:r>
        <w:rPr/>
        <w:t>on</w:t>
      </w:r>
      <w:r>
        <w:rPr>
          <w:spacing w:val="-3"/>
        </w:rPr>
        <w:t> </w:t>
      </w:r>
      <w:r>
        <w:rPr/>
        <w:t>us.</w:t>
      </w:r>
      <w:r>
        <w:rPr>
          <w:spacing w:val="1"/>
        </w:rPr>
        <w:t> </w:t>
      </w:r>
      <w:r>
        <w:rPr/>
        <w:t>In particular, these laws influence, among other things, how we structure our sales, placement and rental offerings,</w:t>
      </w:r>
      <w:r>
        <w:rPr>
          <w:spacing w:val="1"/>
        </w:rPr>
        <w:t> </w:t>
      </w:r>
      <w:r>
        <w:rPr/>
        <w:t>including discount practices, customer support, education and training programs and physician consulting and other</w:t>
      </w:r>
      <w:r>
        <w:rPr>
          <w:spacing w:val="1"/>
        </w:rPr>
        <w:t> </w:t>
      </w:r>
      <w:r>
        <w:rPr/>
        <w:t>service</w:t>
      </w:r>
      <w:r>
        <w:rPr>
          <w:spacing w:val="-3"/>
        </w:rPr>
        <w:t> </w:t>
      </w:r>
      <w:r>
        <w:rPr/>
        <w:t>arrangements.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laws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affect</w:t>
      </w:r>
      <w:r>
        <w:rPr>
          <w:spacing w:val="-2"/>
        </w:rPr>
        <w:t> </w:t>
      </w:r>
      <w:r>
        <w:rPr/>
        <w:t>our</w:t>
      </w:r>
      <w:r>
        <w:rPr>
          <w:spacing w:val="-1"/>
        </w:rPr>
        <w:t> </w:t>
      </w:r>
      <w:r>
        <w:rPr/>
        <w:t>practices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arrangements</w:t>
      </w:r>
      <w:r>
        <w:rPr>
          <w:spacing w:val="-2"/>
        </w:rPr>
        <w:t> </w:t>
      </w:r>
      <w:r>
        <w:rPr/>
        <w:t>include,</w:t>
      </w:r>
      <w:r>
        <w:rPr>
          <w:spacing w:val="-2"/>
        </w:rPr>
        <w:t> </w:t>
      </w:r>
      <w:r>
        <w:rPr/>
        <w:t>but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limited</w:t>
      </w:r>
      <w:r>
        <w:rPr>
          <w:spacing w:val="-2"/>
        </w:rPr>
        <w:t> </w:t>
      </w:r>
      <w:r>
        <w:rPr/>
        <w:t>to:</w:t>
      </w:r>
    </w:p>
    <w:p>
      <w:pPr>
        <w:pStyle w:val="ListParagraph"/>
        <w:numPr>
          <w:ilvl w:val="0"/>
          <w:numId w:val="6"/>
        </w:numPr>
        <w:tabs>
          <w:tab w:pos="819" w:val="left" w:leader="none"/>
          <w:tab w:pos="820" w:val="left" w:leader="none"/>
        </w:tabs>
        <w:spacing w:line="249" w:lineRule="auto" w:before="186" w:after="0"/>
        <w:ind w:left="820" w:right="389" w:hanging="360"/>
        <w:jc w:val="left"/>
        <w:rPr>
          <w:sz w:val="20"/>
        </w:rPr>
      </w:pPr>
      <w:r>
        <w:rPr>
          <w:sz w:val="20"/>
        </w:rPr>
        <w:t>the U.S. federal Anti-Kickback Statute, which prohibits, among other things, persons or entities from</w:t>
      </w:r>
      <w:r>
        <w:rPr>
          <w:spacing w:val="1"/>
          <w:sz w:val="20"/>
        </w:rPr>
        <w:t> </w:t>
      </w:r>
      <w:r>
        <w:rPr>
          <w:sz w:val="20"/>
        </w:rPr>
        <w:t>knowingly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willfully</w:t>
      </w:r>
      <w:r>
        <w:rPr>
          <w:spacing w:val="-4"/>
          <w:sz w:val="20"/>
        </w:rPr>
        <w:t> </w:t>
      </w:r>
      <w:r>
        <w:rPr>
          <w:sz w:val="20"/>
        </w:rPr>
        <w:t>soliciting,</w:t>
      </w:r>
      <w:r>
        <w:rPr>
          <w:spacing w:val="-3"/>
          <w:sz w:val="20"/>
        </w:rPr>
        <w:t> </w:t>
      </w:r>
      <w:r>
        <w:rPr>
          <w:sz w:val="20"/>
        </w:rPr>
        <w:t>offering,</w:t>
      </w:r>
      <w:r>
        <w:rPr>
          <w:spacing w:val="-4"/>
          <w:sz w:val="20"/>
        </w:rPr>
        <w:t> </w:t>
      </w:r>
      <w:r>
        <w:rPr>
          <w:sz w:val="20"/>
        </w:rPr>
        <w:t>receiving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paying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remuneration,</w:t>
      </w:r>
      <w:r>
        <w:rPr>
          <w:spacing w:val="-4"/>
          <w:sz w:val="20"/>
        </w:rPr>
        <w:t> </w:t>
      </w:r>
      <w:r>
        <w:rPr>
          <w:sz w:val="20"/>
        </w:rPr>
        <w:t>directly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indirectly,</w:t>
      </w:r>
      <w:r>
        <w:rPr>
          <w:spacing w:val="-47"/>
          <w:sz w:val="20"/>
        </w:rPr>
        <w:t> </w:t>
      </w:r>
      <w:r>
        <w:rPr>
          <w:sz w:val="20"/>
        </w:rPr>
        <w:t>overtly or covertly, in cash or in kind, to induce or reward either the referral of an individual for, or the</w:t>
      </w:r>
      <w:r>
        <w:rPr>
          <w:spacing w:val="1"/>
          <w:sz w:val="20"/>
        </w:rPr>
        <w:t> </w:t>
      </w:r>
      <w:r>
        <w:rPr>
          <w:sz w:val="20"/>
        </w:rPr>
        <w:t>purchase, lease, order, or arranging for or recommending the purchase, lease or order of, any good or</w:t>
      </w:r>
      <w:r>
        <w:rPr>
          <w:spacing w:val="1"/>
          <w:sz w:val="20"/>
        </w:rPr>
        <w:t> </w:t>
      </w:r>
      <w:r>
        <w:rPr>
          <w:sz w:val="20"/>
        </w:rPr>
        <w:t>service, for which payment may be made, in whole or in part, under federal healthcare programs such as</w:t>
      </w:r>
      <w:r>
        <w:rPr>
          <w:spacing w:val="-47"/>
          <w:sz w:val="20"/>
        </w:rPr>
        <w:t> </w:t>
      </w:r>
      <w:r>
        <w:rPr>
          <w:sz w:val="20"/>
        </w:rPr>
        <w:t>Medicare and Medicaid. The term “remuneration” has been broadly interpreted to include anything of</w:t>
      </w:r>
      <w:r>
        <w:rPr>
          <w:spacing w:val="1"/>
          <w:sz w:val="20"/>
        </w:rPr>
        <w:t> </w:t>
      </w:r>
      <w:r>
        <w:rPr>
          <w:sz w:val="20"/>
        </w:rPr>
        <w:t>value,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government</w:t>
      </w:r>
      <w:r>
        <w:rPr>
          <w:spacing w:val="-3"/>
          <w:sz w:val="20"/>
        </w:rPr>
        <w:t> </w:t>
      </w:r>
      <w:r>
        <w:rPr>
          <w:sz w:val="20"/>
        </w:rPr>
        <w:t>can</w:t>
      </w:r>
      <w:r>
        <w:rPr>
          <w:spacing w:val="-2"/>
          <w:sz w:val="20"/>
        </w:rPr>
        <w:t> </w:t>
      </w:r>
      <w:r>
        <w:rPr>
          <w:sz w:val="20"/>
        </w:rPr>
        <w:t>establish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violation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Anti-Kickback</w:t>
      </w:r>
      <w:r>
        <w:rPr>
          <w:spacing w:val="-2"/>
          <w:sz w:val="20"/>
        </w:rPr>
        <w:t> </w:t>
      </w:r>
      <w:r>
        <w:rPr>
          <w:sz w:val="20"/>
        </w:rPr>
        <w:t>Statute</w:t>
      </w:r>
      <w:r>
        <w:rPr>
          <w:spacing w:val="-4"/>
          <w:sz w:val="20"/>
        </w:rPr>
        <w:t> </w:t>
      </w:r>
      <w:r>
        <w:rPr>
          <w:sz w:val="20"/>
        </w:rPr>
        <w:t>without</w:t>
      </w:r>
      <w:r>
        <w:rPr>
          <w:spacing w:val="-3"/>
          <w:sz w:val="20"/>
        </w:rPr>
        <w:t> </w:t>
      </w:r>
      <w:r>
        <w:rPr>
          <w:sz w:val="20"/>
        </w:rPr>
        <w:t>proving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</w:t>
      </w:r>
    </w:p>
    <w:p>
      <w:pPr>
        <w:spacing w:after="0" w:line="249" w:lineRule="auto"/>
        <w:jc w:val="left"/>
        <w:rPr>
          <w:sz w:val="20"/>
        </w:rPr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  <w:ind w:left="820" w:right="119" w:firstLine="0"/>
      </w:pPr>
      <w:r>
        <w:rPr/>
        <w:t>person or entity had actual knowledge of, or a specific intent to violate, the law. The Anti-Kickback Statute</w:t>
      </w:r>
      <w:r>
        <w:rPr>
          <w:spacing w:val="1"/>
        </w:rPr>
        <w:t> </w:t>
      </w:r>
      <w:r>
        <w:rPr/>
        <w:t>is</w:t>
      </w:r>
      <w:r>
        <w:rPr>
          <w:spacing w:val="-4"/>
        </w:rPr>
        <w:t> </w:t>
      </w:r>
      <w:r>
        <w:rPr/>
        <w:t>subject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evolving</w:t>
      </w:r>
      <w:r>
        <w:rPr>
          <w:spacing w:val="-3"/>
        </w:rPr>
        <w:t> </w:t>
      </w:r>
      <w:r>
        <w:rPr/>
        <w:t>interpretations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has</w:t>
      </w:r>
      <w:r>
        <w:rPr>
          <w:spacing w:val="-4"/>
        </w:rPr>
        <w:t> </w:t>
      </w:r>
      <w:r>
        <w:rPr/>
        <w:t>been</w:t>
      </w:r>
      <w:r>
        <w:rPr>
          <w:spacing w:val="-2"/>
        </w:rPr>
        <w:t> </w:t>
      </w:r>
      <w:r>
        <w:rPr/>
        <w:t>applied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government</w:t>
      </w:r>
      <w:r>
        <w:rPr>
          <w:spacing w:val="-4"/>
        </w:rPr>
        <w:t> </w:t>
      </w:r>
      <w:r>
        <w:rPr/>
        <w:t>enforcement</w:t>
      </w:r>
      <w:r>
        <w:rPr>
          <w:spacing w:val="-3"/>
        </w:rPr>
        <w:t> </w:t>
      </w:r>
      <w:r>
        <w:rPr/>
        <w:t>officials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number</w:t>
      </w:r>
      <w:r>
        <w:rPr>
          <w:spacing w:val="-47"/>
        </w:rPr>
        <w:t> </w:t>
      </w:r>
      <w:r>
        <w:rPr/>
        <w:t>of common business arrangements in the medical device industry. There are a number of statutory</w:t>
      </w:r>
      <w:r>
        <w:rPr>
          <w:spacing w:val="1"/>
        </w:rPr>
        <w:t> </w:t>
      </w:r>
      <w:r>
        <w:rPr/>
        <w:t>exceptions and</w:t>
      </w:r>
      <w:r>
        <w:rPr>
          <w:spacing w:val="2"/>
        </w:rPr>
        <w:t> </w:t>
      </w:r>
      <w:r>
        <w:rPr/>
        <w:t>regulatory</w:t>
      </w:r>
      <w:r>
        <w:rPr>
          <w:spacing w:val="1"/>
        </w:rPr>
        <w:t> </w:t>
      </w:r>
      <w:r>
        <w:rPr/>
        <w:t>safe</w:t>
      </w:r>
      <w:r>
        <w:rPr>
          <w:spacing w:val="1"/>
        </w:rPr>
        <w:t> </w:t>
      </w:r>
      <w:r>
        <w:rPr/>
        <w:t>harbors</w:t>
      </w:r>
      <w:r>
        <w:rPr>
          <w:spacing w:val="1"/>
        </w:rPr>
        <w:t> </w:t>
      </w:r>
      <w:r>
        <w:rPr/>
        <w:t>protecting</w:t>
      </w:r>
      <w:r>
        <w:rPr>
          <w:spacing w:val="1"/>
        </w:rPr>
        <w:t> </w:t>
      </w:r>
      <w:r>
        <w:rPr/>
        <w:t>some</w:t>
      </w:r>
      <w:r>
        <w:rPr>
          <w:spacing w:val="1"/>
        </w:rPr>
        <w:t> </w:t>
      </w:r>
      <w:r>
        <w:rPr/>
        <w:t>common</w:t>
      </w:r>
      <w:r>
        <w:rPr>
          <w:spacing w:val="2"/>
        </w:rPr>
        <w:t> </w:t>
      </w:r>
      <w:r>
        <w:rPr/>
        <w:t>activities from</w:t>
      </w:r>
      <w:r>
        <w:rPr>
          <w:spacing w:val="1"/>
        </w:rPr>
        <w:t> </w:t>
      </w:r>
      <w:r>
        <w:rPr/>
        <w:t>prosecution;</w:t>
      </w:r>
      <w:r>
        <w:rPr>
          <w:spacing w:val="1"/>
        </w:rPr>
        <w:t> </w:t>
      </w:r>
      <w:r>
        <w:rPr/>
        <w:t>however,</w:t>
      </w:r>
      <w:r>
        <w:rPr>
          <w:spacing w:val="1"/>
        </w:rPr>
        <w:t> </w:t>
      </w:r>
      <w:r>
        <w:rPr/>
        <w:t>those exceptions and safe harbors are drawn narrowly, and there is no exception or safe harbor for many</w:t>
      </w:r>
      <w:r>
        <w:rPr>
          <w:spacing w:val="1"/>
        </w:rPr>
        <w:t> </w:t>
      </w:r>
      <w:r>
        <w:rPr/>
        <w:t>common business activities. Failure to meet all of the requirements of a particular statutory exception or</w:t>
      </w:r>
      <w:r>
        <w:rPr>
          <w:spacing w:val="1"/>
        </w:rPr>
        <w:t> </w:t>
      </w:r>
      <w:r>
        <w:rPr/>
        <w:t>regulatory safe harbor does not make the conduct per se illegal under the Anti-Kickback Statute, but the</w:t>
      </w:r>
      <w:r>
        <w:rPr>
          <w:spacing w:val="1"/>
        </w:rPr>
        <w:t> </w:t>
      </w:r>
      <w:r>
        <w:rPr/>
        <w:t>legality of the arrangement will be evaluated on a case-by-case basis based on the totality of the facts and</w:t>
      </w:r>
      <w:r>
        <w:rPr>
          <w:spacing w:val="1"/>
        </w:rPr>
        <w:t> </w:t>
      </w:r>
      <w:r>
        <w:rPr/>
        <w:t>circumstances.</w:t>
      </w:r>
      <w:r>
        <w:rPr>
          <w:spacing w:val="1"/>
        </w:rPr>
        <w:t> </w:t>
      </w:r>
      <w:r>
        <w:rPr/>
        <w:t>Practices that</w:t>
      </w:r>
      <w:r>
        <w:rPr>
          <w:spacing w:val="1"/>
        </w:rPr>
        <w:t> </w:t>
      </w:r>
      <w:r>
        <w:rPr/>
        <w:t>involve remuneration</w:t>
      </w:r>
      <w:r>
        <w:rPr>
          <w:spacing w:val="2"/>
        </w:rPr>
        <w:t> </w:t>
      </w:r>
      <w:r>
        <w:rPr/>
        <w:t>to</w:t>
      </w:r>
      <w:r>
        <w:rPr>
          <w:spacing w:val="1"/>
        </w:rPr>
        <w:t> </w:t>
      </w:r>
      <w:r>
        <w:rPr/>
        <w:t>those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prescribe,</w:t>
      </w:r>
      <w:r>
        <w:rPr>
          <w:spacing w:val="1"/>
        </w:rPr>
        <w:t> </w:t>
      </w:r>
      <w:r>
        <w:rPr/>
        <w:t>purchase,</w:t>
      </w:r>
      <w:r>
        <w:rPr>
          <w:spacing w:val="2"/>
        </w:rPr>
        <w:t> </w:t>
      </w:r>
      <w:r>
        <w:rPr/>
        <w:t>or</w:t>
      </w:r>
      <w:r>
        <w:rPr>
          <w:spacing w:val="1"/>
        </w:rPr>
        <w:t> </w:t>
      </w:r>
      <w:r>
        <w:rPr/>
        <w:t>recommend</w:t>
      </w:r>
      <w:r>
        <w:rPr>
          <w:spacing w:val="1"/>
        </w:rPr>
        <w:t> </w:t>
      </w:r>
      <w:r>
        <w:rPr/>
        <w:t>medical device products, including discounts, or engaging individuals as speakers, consultants, or advisors,</w:t>
      </w:r>
      <w:r>
        <w:rPr>
          <w:spacing w:val="1"/>
        </w:rPr>
        <w:t> </w:t>
      </w:r>
      <w:r>
        <w:rPr/>
        <w:t>may be subject to scrutiny if they do not fit squarely within an exception or safe harbor. Our practices may</w:t>
      </w:r>
      <w:r>
        <w:rPr>
          <w:spacing w:val="1"/>
        </w:rPr>
        <w:t> </w:t>
      </w:r>
      <w:r>
        <w:rPr/>
        <w:t>not in all cases meet all of the criteria for safe harbor protection from anti-kickback liability. Moreover,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are</w:t>
      </w:r>
      <w:r>
        <w:rPr>
          <w:spacing w:val="2"/>
        </w:rPr>
        <w:t> </w:t>
      </w:r>
      <w:r>
        <w:rPr/>
        <w:t>no</w:t>
      </w:r>
      <w:r>
        <w:rPr>
          <w:spacing w:val="3"/>
        </w:rPr>
        <w:t> </w:t>
      </w:r>
      <w:r>
        <w:rPr/>
        <w:t>safe</w:t>
      </w:r>
      <w:r>
        <w:rPr>
          <w:spacing w:val="1"/>
        </w:rPr>
        <w:t> </w:t>
      </w:r>
      <w:r>
        <w:rPr/>
        <w:t>harbors</w:t>
      </w:r>
      <w:r>
        <w:rPr>
          <w:spacing w:val="2"/>
        </w:rPr>
        <w:t> </w:t>
      </w:r>
      <w:r>
        <w:rPr/>
        <w:t>for</w:t>
      </w:r>
      <w:r>
        <w:rPr>
          <w:spacing w:val="3"/>
        </w:rPr>
        <w:t> </w:t>
      </w:r>
      <w:r>
        <w:rPr/>
        <w:t>many</w:t>
      </w:r>
      <w:r>
        <w:rPr>
          <w:spacing w:val="3"/>
        </w:rPr>
        <w:t> </w:t>
      </w:r>
      <w:r>
        <w:rPr/>
        <w:t>common</w:t>
      </w:r>
      <w:r>
        <w:rPr>
          <w:spacing w:val="2"/>
        </w:rPr>
        <w:t> </w:t>
      </w:r>
      <w:r>
        <w:rPr/>
        <w:t>practices,</w:t>
      </w:r>
      <w:r>
        <w:rPr>
          <w:spacing w:val="3"/>
        </w:rPr>
        <w:t> </w:t>
      </w:r>
      <w:r>
        <w:rPr/>
        <w:t>such</w:t>
      </w:r>
      <w:r>
        <w:rPr>
          <w:spacing w:val="3"/>
        </w:rPr>
        <w:t> </w:t>
      </w:r>
      <w:r>
        <w:rPr/>
        <w:t>as</w:t>
      </w:r>
      <w:r>
        <w:rPr>
          <w:spacing w:val="1"/>
        </w:rPr>
        <w:t> </w:t>
      </w:r>
      <w:r>
        <w:rPr/>
        <w:t>reimbursement</w:t>
      </w:r>
      <w:r>
        <w:rPr>
          <w:spacing w:val="2"/>
        </w:rPr>
        <w:t> </w:t>
      </w:r>
      <w:r>
        <w:rPr/>
        <w:t>support</w:t>
      </w:r>
      <w:r>
        <w:rPr>
          <w:spacing w:val="2"/>
        </w:rPr>
        <w:t> </w:t>
      </w:r>
      <w:r>
        <w:rPr/>
        <w:t>programs,</w:t>
      </w:r>
      <w:r>
        <w:rPr>
          <w:spacing w:val="1"/>
        </w:rPr>
        <w:t> </w:t>
      </w:r>
      <w:r>
        <w:rPr/>
        <w:t>educational</w:t>
      </w:r>
      <w:r>
        <w:rPr>
          <w:spacing w:val="-2"/>
        </w:rPr>
        <w:t> </w:t>
      </w:r>
      <w:r>
        <w:rPr/>
        <w:t>or research grants,</w:t>
      </w:r>
      <w:r>
        <w:rPr>
          <w:spacing w:val="-1"/>
        </w:rPr>
        <w:t> </w:t>
      </w:r>
      <w:r>
        <w:rPr/>
        <w:t>or charitable</w:t>
      </w:r>
      <w:r>
        <w:rPr>
          <w:spacing w:val="-1"/>
        </w:rPr>
        <w:t> </w:t>
      </w:r>
      <w:r>
        <w:rPr/>
        <w:t>donations;</w:t>
      </w:r>
    </w:p>
    <w:p>
      <w:pPr>
        <w:pStyle w:val="ListParagraph"/>
        <w:numPr>
          <w:ilvl w:val="0"/>
          <w:numId w:val="6"/>
        </w:numPr>
        <w:tabs>
          <w:tab w:pos="819" w:val="left" w:leader="none"/>
          <w:tab w:pos="820" w:val="left" w:leader="none"/>
        </w:tabs>
        <w:spacing w:line="249" w:lineRule="auto" w:before="191" w:after="0"/>
        <w:ind w:left="820" w:right="128" w:hanging="360"/>
        <w:jc w:val="left"/>
        <w:rPr>
          <w:sz w:val="20"/>
        </w:rPr>
      </w:pPr>
      <w:r>
        <w:rPr>
          <w:sz w:val="20"/>
        </w:rPr>
        <w:t>the U.S. federal civil False Claims Act, which prohibits any person from, among other things, knowingly</w:t>
      </w:r>
      <w:r>
        <w:rPr>
          <w:spacing w:val="1"/>
          <w:sz w:val="20"/>
        </w:rPr>
        <w:t> </w:t>
      </w:r>
      <w:r>
        <w:rPr>
          <w:sz w:val="20"/>
        </w:rPr>
        <w:t>presenting, or causing to be presented false or fraudulent claims for payment of government funds;</w:t>
      </w:r>
      <w:r>
        <w:rPr>
          <w:spacing w:val="1"/>
          <w:sz w:val="20"/>
        </w:rPr>
        <w:t> </w:t>
      </w:r>
      <w:r>
        <w:rPr>
          <w:sz w:val="20"/>
        </w:rPr>
        <w:t>knowingly making, using or causing to be made or used, a false record or statement material to an</w:t>
      </w:r>
      <w:r>
        <w:rPr>
          <w:spacing w:val="1"/>
          <w:sz w:val="20"/>
        </w:rPr>
        <w:t> </w:t>
      </w:r>
      <w:r>
        <w:rPr>
          <w:sz w:val="20"/>
        </w:rPr>
        <w:t>obligation to pay money to the government or knowingly and improperly avoiding, decreasing or</w:t>
      </w:r>
      <w:r>
        <w:rPr>
          <w:spacing w:val="1"/>
          <w:sz w:val="20"/>
        </w:rPr>
        <w:t> </w:t>
      </w:r>
      <w:r>
        <w:rPr>
          <w:sz w:val="20"/>
        </w:rPr>
        <w:t>concealing an obligation to pay money to the U.S. federal government. In addition, any claims submitted as</w:t>
      </w:r>
      <w:r>
        <w:rPr>
          <w:spacing w:val="-47"/>
          <w:sz w:val="20"/>
        </w:rPr>
        <w:t> </w:t>
      </w:r>
      <w:r>
        <w:rPr>
          <w:sz w:val="20"/>
        </w:rPr>
        <w:t>a result of a violation of the federal Anti-Kickback Statute constitute false claims and are subject to</w:t>
      </w:r>
      <w:r>
        <w:rPr>
          <w:spacing w:val="1"/>
          <w:sz w:val="20"/>
        </w:rPr>
        <w:t> </w:t>
      </w:r>
      <w:r>
        <w:rPr>
          <w:sz w:val="20"/>
        </w:rPr>
        <w:t>enforcement under the False Claims Act. Actions under the False Claims Act may be brought by the</w:t>
      </w:r>
      <w:r>
        <w:rPr>
          <w:spacing w:val="1"/>
          <w:sz w:val="20"/>
        </w:rPr>
        <w:t> </w:t>
      </w:r>
      <w:r>
        <w:rPr>
          <w:sz w:val="20"/>
        </w:rPr>
        <w:t>government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qui</w:t>
      </w:r>
      <w:r>
        <w:rPr>
          <w:spacing w:val="-3"/>
          <w:sz w:val="20"/>
        </w:rPr>
        <w:t> </w:t>
      </w:r>
      <w:r>
        <w:rPr>
          <w:sz w:val="20"/>
        </w:rPr>
        <w:t>tam</w:t>
      </w:r>
      <w:r>
        <w:rPr>
          <w:spacing w:val="-2"/>
          <w:sz w:val="20"/>
        </w:rPr>
        <w:t> </w:t>
      </w:r>
      <w:r>
        <w:rPr>
          <w:sz w:val="20"/>
        </w:rPr>
        <w:t>action</w:t>
      </w:r>
      <w:r>
        <w:rPr>
          <w:spacing w:val="-1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private</w:t>
      </w:r>
      <w:r>
        <w:rPr>
          <w:spacing w:val="-3"/>
          <w:sz w:val="20"/>
        </w:rPr>
        <w:t> </w:t>
      </w:r>
      <w:r>
        <w:rPr>
          <w:sz w:val="20"/>
        </w:rPr>
        <w:t>individual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name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government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share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any</w:t>
      </w:r>
      <w:r>
        <w:rPr>
          <w:spacing w:val="-47"/>
          <w:sz w:val="20"/>
        </w:rPr>
        <w:t> </w:t>
      </w:r>
      <w:r>
        <w:rPr>
          <w:sz w:val="20"/>
        </w:rPr>
        <w:t>monetary recovery. Qui tam actions are filed under seal and impose a mandatory duty on the U.S.</w:t>
      </w:r>
      <w:r>
        <w:rPr>
          <w:spacing w:val="1"/>
          <w:sz w:val="20"/>
        </w:rPr>
        <w:t> </w:t>
      </w:r>
      <w:r>
        <w:rPr>
          <w:sz w:val="20"/>
        </w:rPr>
        <w:t>Department of Justice to investigate such allegations. False Claims Act liability is potentially significant in</w:t>
      </w:r>
      <w:r>
        <w:rPr>
          <w:spacing w:val="1"/>
          <w:sz w:val="20"/>
        </w:rPr>
        <w:t> </w:t>
      </w:r>
      <w:r>
        <w:rPr>
          <w:sz w:val="20"/>
        </w:rPr>
        <w:t>the healthcare industry because the statute provides for treble damages and significant mandatory penalties</w:t>
      </w:r>
      <w:r>
        <w:rPr>
          <w:spacing w:val="1"/>
          <w:sz w:val="20"/>
        </w:rPr>
        <w:t> </w:t>
      </w:r>
      <w:r>
        <w:rPr>
          <w:sz w:val="20"/>
        </w:rPr>
        <w:t>(adjusted annually for inflation) per false claim or statement for violations. Because of the potential for</w:t>
      </w:r>
      <w:r>
        <w:rPr>
          <w:spacing w:val="1"/>
          <w:sz w:val="20"/>
        </w:rPr>
        <w:t> </w:t>
      </w:r>
      <w:r>
        <w:rPr>
          <w:sz w:val="20"/>
        </w:rPr>
        <w:t>large monetary exposure, healthcare companies often resolve allegations without admissions of liability for</w:t>
      </w:r>
      <w:r>
        <w:rPr>
          <w:spacing w:val="1"/>
          <w:sz w:val="20"/>
        </w:rPr>
        <w:t> </w:t>
      </w:r>
      <w:r>
        <w:rPr>
          <w:sz w:val="20"/>
        </w:rPr>
        <w:t>significant and sometimes large settlement amounts to avoid the uncertainty of treble damages and per</w:t>
      </w:r>
      <w:r>
        <w:rPr>
          <w:spacing w:val="1"/>
          <w:sz w:val="20"/>
        </w:rPr>
        <w:t> </w:t>
      </w:r>
      <w:r>
        <w:rPr>
          <w:sz w:val="20"/>
        </w:rPr>
        <w:t>claim penalties that may be awarded in litigation proceedings.</w:t>
      </w:r>
      <w:r>
        <w:rPr>
          <w:spacing w:val="1"/>
          <w:sz w:val="20"/>
        </w:rPr>
        <w:t> </w:t>
      </w:r>
      <w:r>
        <w:rPr>
          <w:sz w:val="20"/>
        </w:rPr>
        <w:t>Many device manufacturers have resolved</w:t>
      </w:r>
      <w:r>
        <w:rPr>
          <w:spacing w:val="1"/>
          <w:sz w:val="20"/>
        </w:rPr>
        <w:t> </w:t>
      </w:r>
      <w:r>
        <w:rPr>
          <w:sz w:val="20"/>
        </w:rPr>
        <w:t>investigations of</w:t>
      </w:r>
      <w:r>
        <w:rPr>
          <w:spacing w:val="1"/>
          <w:sz w:val="20"/>
        </w:rPr>
        <w:t> </w:t>
      </w:r>
      <w:r>
        <w:rPr>
          <w:sz w:val="20"/>
        </w:rPr>
        <w:t>alleged</w:t>
      </w:r>
      <w:r>
        <w:rPr>
          <w:spacing w:val="1"/>
          <w:sz w:val="20"/>
        </w:rPr>
        <w:t> </w:t>
      </w:r>
      <w:r>
        <w:rPr>
          <w:sz w:val="20"/>
        </w:rPr>
        <w:t>improper</w:t>
      </w:r>
      <w:r>
        <w:rPr>
          <w:spacing w:val="2"/>
          <w:sz w:val="20"/>
        </w:rPr>
        <w:t> </w:t>
      </w:r>
      <w:r>
        <w:rPr>
          <w:sz w:val="20"/>
        </w:rPr>
        <w:t>activities,</w:t>
      </w:r>
      <w:r>
        <w:rPr>
          <w:spacing w:val="1"/>
          <w:sz w:val="20"/>
        </w:rPr>
        <w:t> </w:t>
      </w:r>
      <w:r>
        <w:rPr>
          <w:sz w:val="20"/>
        </w:rPr>
        <w:t>including</w:t>
      </w:r>
      <w:r>
        <w:rPr>
          <w:spacing w:val="1"/>
          <w:sz w:val="20"/>
        </w:rPr>
        <w:t> </w:t>
      </w:r>
      <w:r>
        <w:rPr>
          <w:sz w:val="20"/>
        </w:rPr>
        <w:t>causing</w:t>
      </w:r>
      <w:r>
        <w:rPr>
          <w:spacing w:val="1"/>
          <w:sz w:val="20"/>
        </w:rPr>
        <w:t> </w:t>
      </w:r>
      <w:r>
        <w:rPr>
          <w:sz w:val="20"/>
        </w:rPr>
        <w:t>false</w:t>
      </w:r>
      <w:r>
        <w:rPr>
          <w:spacing w:val="1"/>
          <w:sz w:val="20"/>
        </w:rPr>
        <w:t> </w:t>
      </w:r>
      <w:r>
        <w:rPr>
          <w:sz w:val="20"/>
        </w:rPr>
        <w:t>claims to</w:t>
      </w:r>
      <w:r>
        <w:rPr>
          <w:spacing w:val="1"/>
          <w:sz w:val="20"/>
        </w:rPr>
        <w:t> </w:t>
      </w:r>
      <w:r>
        <w:rPr>
          <w:sz w:val="20"/>
        </w:rPr>
        <w:t>be submitted</w:t>
      </w:r>
      <w:r>
        <w:rPr>
          <w:spacing w:val="2"/>
          <w:sz w:val="20"/>
        </w:rPr>
        <w:t> </w:t>
      </w:r>
      <w:r>
        <w:rPr>
          <w:sz w:val="20"/>
        </w:rPr>
        <w:t>as a result of</w:t>
      </w:r>
      <w:r>
        <w:rPr>
          <w:spacing w:val="1"/>
          <w:sz w:val="20"/>
        </w:rPr>
        <w:t> </w:t>
      </w:r>
      <w:r>
        <w:rPr>
          <w:sz w:val="20"/>
        </w:rPr>
        <w:t>the marketing of their products for unapproved and thus non reimbursable uses, and other interactions with</w:t>
      </w:r>
      <w:r>
        <w:rPr>
          <w:spacing w:val="1"/>
          <w:sz w:val="20"/>
        </w:rPr>
        <w:t> </w:t>
      </w:r>
      <w:r>
        <w:rPr>
          <w:sz w:val="20"/>
        </w:rPr>
        <w:t>prescribers and other customers including those that may have affected their billing or coding practices and</w:t>
      </w:r>
      <w:r>
        <w:rPr>
          <w:spacing w:val="1"/>
          <w:sz w:val="20"/>
        </w:rPr>
        <w:t> </w:t>
      </w:r>
      <w:r>
        <w:rPr>
          <w:sz w:val="20"/>
        </w:rPr>
        <w:t>submission to the federal government. Moreover, to avoid the risk of exclusion from federal healthcare</w:t>
      </w:r>
      <w:r>
        <w:rPr>
          <w:spacing w:val="1"/>
          <w:sz w:val="20"/>
        </w:rPr>
        <w:t> </w:t>
      </w:r>
      <w:r>
        <w:rPr>
          <w:sz w:val="20"/>
        </w:rPr>
        <w:t>programs as a result of a False Claims Act settlement, companies may enter into corporate integrity</w:t>
      </w:r>
      <w:r>
        <w:rPr>
          <w:spacing w:val="1"/>
          <w:sz w:val="20"/>
        </w:rPr>
        <w:t> </w:t>
      </w:r>
      <w:r>
        <w:rPr>
          <w:sz w:val="20"/>
        </w:rPr>
        <w:t>agreements with the government, which may impose substantial costs on companies to ensure compliance.</w:t>
      </w:r>
      <w:r>
        <w:rPr>
          <w:spacing w:val="1"/>
          <w:sz w:val="20"/>
        </w:rPr>
        <w:t> </w:t>
      </w:r>
      <w:r>
        <w:rPr>
          <w:sz w:val="20"/>
        </w:rPr>
        <w:t>There are also criminal penalties, including imprisonment and criminal fines, for making or presenting a</w:t>
      </w:r>
      <w:r>
        <w:rPr>
          <w:spacing w:val="1"/>
          <w:sz w:val="20"/>
        </w:rPr>
        <w:t> </w:t>
      </w:r>
      <w:r>
        <w:rPr>
          <w:sz w:val="20"/>
        </w:rPr>
        <w:t>false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fictitious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fraudulent</w:t>
      </w:r>
      <w:r>
        <w:rPr>
          <w:spacing w:val="-1"/>
          <w:sz w:val="20"/>
        </w:rPr>
        <w:t> </w:t>
      </w:r>
      <w:r>
        <w:rPr>
          <w:sz w:val="20"/>
        </w:rPr>
        <w:t>claim</w:t>
      </w:r>
      <w:r>
        <w:rPr>
          <w:spacing w:val="-2"/>
          <w:sz w:val="20"/>
        </w:rPr>
        <w:t> </w:t>
      </w:r>
      <w:r>
        <w:rPr>
          <w:sz w:val="20"/>
        </w:rPr>
        <w:t>or statement</w:t>
      </w:r>
      <w:r>
        <w:rPr>
          <w:spacing w:val="-2"/>
          <w:sz w:val="20"/>
        </w:rPr>
        <w:t> </w:t>
      </w:r>
      <w:r>
        <w:rPr>
          <w:sz w:val="20"/>
        </w:rPr>
        <w:t>to the</w:t>
      </w:r>
      <w:r>
        <w:rPr>
          <w:spacing w:val="-2"/>
          <w:sz w:val="20"/>
        </w:rPr>
        <w:t> </w:t>
      </w:r>
      <w:r>
        <w:rPr>
          <w:sz w:val="20"/>
        </w:rPr>
        <w:t>federal</w:t>
      </w:r>
      <w:r>
        <w:rPr>
          <w:spacing w:val="-1"/>
          <w:sz w:val="20"/>
        </w:rPr>
        <w:t> </w:t>
      </w:r>
      <w:r>
        <w:rPr>
          <w:sz w:val="20"/>
        </w:rPr>
        <w:t>government;</w:t>
      </w:r>
    </w:p>
    <w:p>
      <w:pPr>
        <w:pStyle w:val="BodyText"/>
        <w:spacing w:before="3"/>
        <w:ind w:left="0" w:firstLine="0"/>
        <w:rPr>
          <w:sz w:val="17"/>
        </w:rPr>
      </w:pPr>
    </w:p>
    <w:p>
      <w:pPr>
        <w:pStyle w:val="ListParagraph"/>
        <w:numPr>
          <w:ilvl w:val="0"/>
          <w:numId w:val="6"/>
        </w:numPr>
        <w:tabs>
          <w:tab w:pos="819" w:val="left" w:leader="none"/>
          <w:tab w:pos="820" w:val="left" w:leader="none"/>
        </w:tabs>
        <w:spacing w:line="249" w:lineRule="auto" w:before="0" w:after="0"/>
        <w:ind w:left="820" w:right="185" w:hanging="360"/>
        <w:jc w:val="left"/>
        <w:rPr>
          <w:sz w:val="20"/>
        </w:rPr>
      </w:pPr>
      <w:r>
        <w:rPr>
          <w:sz w:val="20"/>
        </w:rPr>
        <w:t>criminal healthcare statutes that were added by HIPAA, and its implementing regulations, which imposes</w:t>
      </w:r>
      <w:r>
        <w:rPr>
          <w:spacing w:val="1"/>
          <w:sz w:val="20"/>
        </w:rPr>
        <w:t> </w:t>
      </w:r>
      <w:r>
        <w:rPr>
          <w:sz w:val="20"/>
        </w:rPr>
        <w:t>criminal and civil liability for, among other things, knowingly and willfully executing, or attempting to</w:t>
      </w:r>
      <w:r>
        <w:rPr>
          <w:spacing w:val="1"/>
          <w:sz w:val="20"/>
        </w:rPr>
        <w:t> </w:t>
      </w:r>
      <w:r>
        <w:rPr>
          <w:sz w:val="20"/>
        </w:rPr>
        <w:t>execute, a scheme to defraud any healthcare benefit program, or knowingly and willfully falsifying,</w:t>
      </w:r>
      <w:r>
        <w:rPr>
          <w:spacing w:val="1"/>
          <w:sz w:val="20"/>
        </w:rPr>
        <w:t> </w:t>
      </w:r>
      <w:r>
        <w:rPr>
          <w:sz w:val="20"/>
        </w:rPr>
        <w:t>concealing or covering up a material fact or making any materially false statement, in connection with the</w:t>
      </w:r>
      <w:r>
        <w:rPr>
          <w:spacing w:val="1"/>
          <w:sz w:val="20"/>
        </w:rPr>
        <w:t> </w:t>
      </w:r>
      <w:r>
        <w:rPr>
          <w:sz w:val="20"/>
        </w:rPr>
        <w:t>delivery of, or payment for healthcare benefits, items or services by a healthcare benefit program, which</w:t>
      </w:r>
      <w:r>
        <w:rPr>
          <w:spacing w:val="1"/>
          <w:sz w:val="20"/>
        </w:rPr>
        <w:t> </w:t>
      </w:r>
      <w:r>
        <w:rPr>
          <w:sz w:val="20"/>
        </w:rPr>
        <w:t>includes both government and privately funded benefits programs; similar to the U.S. federal Anti-</w:t>
      </w:r>
      <w:r>
        <w:rPr>
          <w:spacing w:val="1"/>
          <w:sz w:val="20"/>
        </w:rPr>
        <w:t> </w:t>
      </w:r>
      <w:r>
        <w:rPr>
          <w:sz w:val="20"/>
        </w:rPr>
        <w:t>Kickback</w:t>
      </w:r>
      <w:r>
        <w:rPr>
          <w:spacing w:val="-3"/>
          <w:sz w:val="20"/>
        </w:rPr>
        <w:t> </w:t>
      </w:r>
      <w:r>
        <w:rPr>
          <w:sz w:val="20"/>
        </w:rPr>
        <w:t>Statute,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entity</w:t>
      </w:r>
      <w:r>
        <w:rPr>
          <w:spacing w:val="-2"/>
          <w:sz w:val="20"/>
        </w:rPr>
        <w:t> </w:t>
      </w:r>
      <w:r>
        <w:rPr>
          <w:sz w:val="20"/>
        </w:rPr>
        <w:t>does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need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actual</w:t>
      </w:r>
      <w:r>
        <w:rPr>
          <w:spacing w:val="-3"/>
          <w:sz w:val="20"/>
        </w:rPr>
        <w:t> </w:t>
      </w:r>
      <w:r>
        <w:rPr>
          <w:sz w:val="20"/>
        </w:rPr>
        <w:t>knowledge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statute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specific</w:t>
      </w:r>
      <w:r>
        <w:rPr>
          <w:spacing w:val="-3"/>
          <w:sz w:val="20"/>
        </w:rPr>
        <w:t> </w:t>
      </w:r>
      <w:r>
        <w:rPr>
          <w:sz w:val="20"/>
        </w:rPr>
        <w:t>intent</w:t>
      </w:r>
      <w:r>
        <w:rPr>
          <w:spacing w:val="-47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violate</w:t>
      </w:r>
      <w:r>
        <w:rPr>
          <w:spacing w:val="-1"/>
          <w:sz w:val="20"/>
        </w:rPr>
        <w:t> </w:t>
      </w:r>
      <w:r>
        <w:rPr>
          <w:sz w:val="20"/>
        </w:rPr>
        <w:t>them</w:t>
      </w:r>
      <w:r>
        <w:rPr>
          <w:spacing w:val="-1"/>
          <w:sz w:val="20"/>
        </w:rPr>
        <w:t> </w:t>
      </w:r>
      <w:r>
        <w:rPr>
          <w:sz w:val="20"/>
        </w:rPr>
        <w:t>in order</w:t>
      </w:r>
      <w:r>
        <w:rPr>
          <w:spacing w:val="-1"/>
          <w:sz w:val="20"/>
        </w:rPr>
        <w:t> </w:t>
      </w:r>
      <w:r>
        <w:rPr>
          <w:sz w:val="20"/>
        </w:rPr>
        <w:t>to have</w:t>
      </w:r>
      <w:r>
        <w:rPr>
          <w:spacing w:val="-1"/>
          <w:sz w:val="20"/>
        </w:rPr>
        <w:t> </w:t>
      </w:r>
      <w:r>
        <w:rPr>
          <w:sz w:val="20"/>
        </w:rPr>
        <w:t>committed a</w:t>
      </w:r>
      <w:r>
        <w:rPr>
          <w:spacing w:val="-2"/>
          <w:sz w:val="20"/>
        </w:rPr>
        <w:t> </w:t>
      </w:r>
      <w:r>
        <w:rPr>
          <w:sz w:val="20"/>
        </w:rPr>
        <w:t>violation;</w:t>
      </w:r>
    </w:p>
    <w:p>
      <w:pPr>
        <w:pStyle w:val="ListParagraph"/>
        <w:numPr>
          <w:ilvl w:val="0"/>
          <w:numId w:val="6"/>
        </w:numPr>
        <w:tabs>
          <w:tab w:pos="819" w:val="left" w:leader="none"/>
          <w:tab w:pos="820" w:val="left" w:leader="none"/>
        </w:tabs>
        <w:spacing w:line="249" w:lineRule="auto" w:before="187" w:after="0"/>
        <w:ind w:left="820" w:right="225" w:hanging="360"/>
        <w:jc w:val="left"/>
        <w:rPr>
          <w:sz w:val="20"/>
        </w:rPr>
      </w:pPr>
      <w:r>
        <w:rPr>
          <w:sz w:val="20"/>
        </w:rPr>
        <w:t>the Physician Payments Sunshine Act, or Sunshine Act, and its implementing regulations, which requires</w:t>
      </w:r>
      <w:r>
        <w:rPr>
          <w:spacing w:val="1"/>
          <w:sz w:val="20"/>
        </w:rPr>
        <w:t> </w:t>
      </w:r>
      <w:r>
        <w:rPr>
          <w:sz w:val="20"/>
        </w:rPr>
        <w:t>certain manufacturers of drugs, devices, biologics and medical supplies that are reimbursable under</w:t>
      </w:r>
      <w:r>
        <w:rPr>
          <w:spacing w:val="1"/>
          <w:sz w:val="20"/>
        </w:rPr>
        <w:t> </w:t>
      </w:r>
      <w:r>
        <w:rPr>
          <w:sz w:val="20"/>
        </w:rPr>
        <w:t>Medicare, Medicaid, or the Children’s Health Insurance Program to report annually to the CMS</w:t>
      </w:r>
      <w:r>
        <w:rPr>
          <w:spacing w:val="1"/>
          <w:sz w:val="20"/>
        </w:rPr>
        <w:t> </w:t>
      </w:r>
      <w:r>
        <w:rPr>
          <w:sz w:val="20"/>
        </w:rPr>
        <w:t>information</w:t>
      </w:r>
      <w:r>
        <w:rPr>
          <w:spacing w:val="-3"/>
          <w:sz w:val="20"/>
        </w:rPr>
        <w:t> </w:t>
      </w:r>
      <w:r>
        <w:rPr>
          <w:sz w:val="20"/>
        </w:rPr>
        <w:t>related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certain</w:t>
      </w:r>
      <w:r>
        <w:rPr>
          <w:spacing w:val="-2"/>
          <w:sz w:val="20"/>
        </w:rPr>
        <w:t> </w:t>
      </w:r>
      <w:r>
        <w:rPr>
          <w:sz w:val="20"/>
        </w:rPr>
        <w:t>payments</w:t>
      </w:r>
      <w:r>
        <w:rPr>
          <w:spacing w:val="-4"/>
          <w:sz w:val="20"/>
        </w:rPr>
        <w:t> </w:t>
      </w:r>
      <w:r>
        <w:rPr>
          <w:sz w:val="20"/>
        </w:rPr>
        <w:t>made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preceding</w:t>
      </w:r>
      <w:r>
        <w:rPr>
          <w:spacing w:val="-2"/>
          <w:sz w:val="20"/>
        </w:rPr>
        <w:t> </w:t>
      </w:r>
      <w:r>
        <w:rPr>
          <w:sz w:val="20"/>
        </w:rPr>
        <w:t>calendar</w:t>
      </w:r>
      <w:r>
        <w:rPr>
          <w:spacing w:val="-3"/>
          <w:sz w:val="20"/>
        </w:rPr>
        <w:t> </w:t>
      </w:r>
      <w:r>
        <w:rPr>
          <w:sz w:val="20"/>
        </w:rPr>
        <w:t>year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2"/>
          <w:sz w:val="20"/>
        </w:rPr>
        <w:t> </w:t>
      </w:r>
      <w:r>
        <w:rPr>
          <w:sz w:val="20"/>
        </w:rPr>
        <w:t>transfers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value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7"/>
          <w:sz w:val="20"/>
        </w:rPr>
        <w:t> </w:t>
      </w:r>
      <w:r>
        <w:rPr>
          <w:sz w:val="20"/>
        </w:rPr>
        <w:t>physicians (defined to include doctors, dentists, optometrists, podiatrists and chiropractors) and teaching</w:t>
      </w:r>
      <w:r>
        <w:rPr>
          <w:spacing w:val="1"/>
          <w:sz w:val="20"/>
        </w:rPr>
        <w:t> </w:t>
      </w:r>
      <w:r>
        <w:rPr>
          <w:sz w:val="20"/>
        </w:rPr>
        <w:t>hospitals,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well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ownership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investment</w:t>
      </w:r>
      <w:r>
        <w:rPr>
          <w:spacing w:val="-4"/>
          <w:sz w:val="20"/>
        </w:rPr>
        <w:t> </w:t>
      </w:r>
      <w:r>
        <w:rPr>
          <w:sz w:val="20"/>
        </w:rPr>
        <w:t>interests</w:t>
      </w:r>
      <w:r>
        <w:rPr>
          <w:spacing w:val="-3"/>
          <w:sz w:val="20"/>
        </w:rPr>
        <w:t> </w:t>
      </w:r>
      <w:r>
        <w:rPr>
          <w:sz w:val="20"/>
        </w:rPr>
        <w:t>held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physicians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their</w:t>
      </w:r>
      <w:r>
        <w:rPr>
          <w:spacing w:val="-3"/>
          <w:sz w:val="20"/>
        </w:rPr>
        <w:t> </w:t>
      </w:r>
      <w:r>
        <w:rPr>
          <w:sz w:val="20"/>
        </w:rPr>
        <w:t>immediate</w:t>
      </w:r>
      <w:r>
        <w:rPr>
          <w:spacing w:val="-3"/>
          <w:sz w:val="20"/>
        </w:rPr>
        <w:t> </w:t>
      </w:r>
      <w:r>
        <w:rPr>
          <w:sz w:val="20"/>
        </w:rPr>
        <w:t>family</w:t>
      </w:r>
    </w:p>
    <w:p>
      <w:pPr>
        <w:spacing w:after="0" w:line="249" w:lineRule="auto"/>
        <w:jc w:val="left"/>
        <w:rPr>
          <w:sz w:val="20"/>
        </w:rPr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  <w:ind w:left="820" w:firstLine="0"/>
      </w:pPr>
      <w:r>
        <w:rPr/>
        <w:t>members. Beginning January 1, 2022, manufacturers will also be required to report payments and other</w:t>
      </w:r>
      <w:r>
        <w:rPr>
          <w:spacing w:val="1"/>
        </w:rPr>
        <w:t> </w:t>
      </w:r>
      <w:r>
        <w:rPr/>
        <w:t>transfers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value</w:t>
      </w:r>
      <w:r>
        <w:rPr>
          <w:spacing w:val="-4"/>
        </w:rPr>
        <w:t> </w:t>
      </w:r>
      <w:r>
        <w:rPr/>
        <w:t>made</w:t>
      </w:r>
      <w:r>
        <w:rPr>
          <w:spacing w:val="-4"/>
        </w:rPr>
        <w:t> </w:t>
      </w:r>
      <w:r>
        <w:rPr/>
        <w:t>during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prior</w:t>
      </w:r>
      <w:r>
        <w:rPr>
          <w:spacing w:val="-3"/>
        </w:rPr>
        <w:t> </w:t>
      </w:r>
      <w:r>
        <w:rPr/>
        <w:t>calendar</w:t>
      </w:r>
      <w:r>
        <w:rPr>
          <w:spacing w:val="-3"/>
        </w:rPr>
        <w:t> </w:t>
      </w:r>
      <w:r>
        <w:rPr/>
        <w:t>year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physician</w:t>
      </w:r>
      <w:r>
        <w:rPr>
          <w:spacing w:val="-3"/>
        </w:rPr>
        <w:t> </w:t>
      </w:r>
      <w:r>
        <w:rPr/>
        <w:t>assistants,</w:t>
      </w:r>
      <w:r>
        <w:rPr>
          <w:spacing w:val="-3"/>
        </w:rPr>
        <w:t> </w:t>
      </w:r>
      <w:r>
        <w:rPr/>
        <w:t>nurse</w:t>
      </w:r>
      <w:r>
        <w:rPr>
          <w:spacing w:val="-4"/>
        </w:rPr>
        <w:t> </w:t>
      </w:r>
      <w:r>
        <w:rPr/>
        <w:t>practitioners,</w:t>
      </w:r>
      <w:r>
        <w:rPr>
          <w:spacing w:val="-3"/>
        </w:rPr>
        <w:t> </w:t>
      </w:r>
      <w:r>
        <w:rPr/>
        <w:t>clinical</w:t>
      </w:r>
      <w:r>
        <w:rPr>
          <w:spacing w:val="-47"/>
        </w:rPr>
        <w:t> </w:t>
      </w:r>
      <w:r>
        <w:rPr/>
        <w:t>nurse</w:t>
      </w:r>
      <w:r>
        <w:rPr>
          <w:spacing w:val="-7"/>
        </w:rPr>
        <w:t> </w:t>
      </w:r>
      <w:r>
        <w:rPr/>
        <w:t>specialists,</w:t>
      </w:r>
      <w:r>
        <w:rPr>
          <w:spacing w:val="-5"/>
        </w:rPr>
        <w:t> </w:t>
      </w:r>
      <w:r>
        <w:rPr/>
        <w:t>certified</w:t>
      </w:r>
      <w:r>
        <w:rPr>
          <w:spacing w:val="-6"/>
        </w:rPr>
        <w:t> </w:t>
      </w:r>
      <w:r>
        <w:rPr/>
        <w:t>nurse</w:t>
      </w:r>
      <w:r>
        <w:rPr>
          <w:spacing w:val="-6"/>
        </w:rPr>
        <w:t> </w:t>
      </w:r>
      <w:r>
        <w:rPr/>
        <w:t>anesthetists,</w:t>
      </w:r>
      <w:r>
        <w:rPr>
          <w:spacing w:val="-5"/>
        </w:rPr>
        <w:t> </w:t>
      </w:r>
      <w:r>
        <w:rPr/>
        <w:t>anesthesiology</w:t>
      </w:r>
      <w:r>
        <w:rPr>
          <w:spacing w:val="-6"/>
        </w:rPr>
        <w:t> </w:t>
      </w:r>
      <w:r>
        <w:rPr/>
        <w:t>assistants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certified</w:t>
      </w:r>
      <w:r>
        <w:rPr>
          <w:spacing w:val="-6"/>
        </w:rPr>
        <w:t> </w:t>
      </w:r>
      <w:r>
        <w:rPr/>
        <w:t>nurse-midwives;</w:t>
      </w:r>
      <w:r>
        <w:rPr>
          <w:spacing w:val="-6"/>
        </w:rPr>
        <w:t> </w:t>
      </w:r>
      <w:r>
        <w:rPr/>
        <w:t>and</w:t>
      </w:r>
    </w:p>
    <w:p>
      <w:pPr>
        <w:pStyle w:val="ListParagraph"/>
        <w:numPr>
          <w:ilvl w:val="0"/>
          <w:numId w:val="6"/>
        </w:numPr>
        <w:tabs>
          <w:tab w:pos="819" w:val="left" w:leader="none"/>
          <w:tab w:pos="820" w:val="left" w:leader="none"/>
        </w:tabs>
        <w:spacing w:line="249" w:lineRule="auto" w:before="182" w:after="0"/>
        <w:ind w:left="820" w:right="174" w:hanging="360"/>
        <w:jc w:val="left"/>
        <w:rPr>
          <w:sz w:val="20"/>
        </w:rPr>
      </w:pPr>
      <w:r>
        <w:rPr>
          <w:sz w:val="20"/>
        </w:rPr>
        <w:t>foreign and state laws and regulations, including state payment reporting, anti-kickback and false claims</w:t>
      </w:r>
      <w:r>
        <w:rPr>
          <w:spacing w:val="1"/>
          <w:sz w:val="20"/>
        </w:rPr>
        <w:t> </w:t>
      </w:r>
      <w:r>
        <w:rPr>
          <w:sz w:val="20"/>
        </w:rPr>
        <w:t>laws, that may apply to items or services reimbursed by any third-party payor, including private insurers;</w:t>
      </w:r>
      <w:r>
        <w:rPr>
          <w:spacing w:val="1"/>
          <w:sz w:val="20"/>
        </w:rPr>
        <w:t> </w:t>
      </w:r>
      <w:r>
        <w:rPr>
          <w:sz w:val="20"/>
        </w:rPr>
        <w:t>foreign and state laws that require medical device companies to comply with the medical device industry’s</w:t>
      </w:r>
      <w:r>
        <w:rPr>
          <w:spacing w:val="-47"/>
          <w:sz w:val="20"/>
        </w:rPr>
        <w:t> </w:t>
      </w:r>
      <w:r>
        <w:rPr>
          <w:sz w:val="20"/>
        </w:rPr>
        <w:t>voluntary compliance guidelines and the relevant compliance guidance promulgated by the U.S. federal</w:t>
      </w:r>
      <w:r>
        <w:rPr>
          <w:spacing w:val="1"/>
          <w:sz w:val="20"/>
        </w:rPr>
        <w:t> </w:t>
      </w:r>
      <w:r>
        <w:rPr>
          <w:sz w:val="20"/>
        </w:rPr>
        <w:t>government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national</w:t>
      </w:r>
      <w:r>
        <w:rPr>
          <w:spacing w:val="-4"/>
          <w:sz w:val="20"/>
        </w:rPr>
        <w:t> </w:t>
      </w:r>
      <w:r>
        <w:rPr>
          <w:sz w:val="20"/>
        </w:rPr>
        <w:t>governments,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otherwise</w:t>
      </w:r>
      <w:r>
        <w:rPr>
          <w:spacing w:val="-4"/>
          <w:sz w:val="20"/>
        </w:rPr>
        <w:t> </w:t>
      </w:r>
      <w:r>
        <w:rPr>
          <w:sz w:val="20"/>
        </w:rPr>
        <w:t>restrict</w:t>
      </w:r>
      <w:r>
        <w:rPr>
          <w:spacing w:val="-4"/>
          <w:sz w:val="20"/>
        </w:rPr>
        <w:t> </w:t>
      </w:r>
      <w:r>
        <w:rPr>
          <w:sz w:val="20"/>
        </w:rPr>
        <w:t>payments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healthcare</w:t>
      </w:r>
      <w:r>
        <w:rPr>
          <w:spacing w:val="-47"/>
          <w:sz w:val="20"/>
        </w:rPr>
        <w:t> </w:t>
      </w:r>
      <w:r>
        <w:rPr>
          <w:sz w:val="20"/>
        </w:rPr>
        <w:t>providers and other potential referral sources; and foreign and state laws and regulations that require drug</w:t>
      </w:r>
      <w:r>
        <w:rPr>
          <w:spacing w:val="1"/>
          <w:sz w:val="20"/>
        </w:rPr>
        <w:t> </w:t>
      </w:r>
      <w:r>
        <w:rPr>
          <w:sz w:val="20"/>
        </w:rPr>
        <w:t>and device manufacturers to report information related to payments and other transfers of value to</w:t>
      </w:r>
      <w:r>
        <w:rPr>
          <w:spacing w:val="1"/>
          <w:sz w:val="20"/>
        </w:rPr>
        <w:t> </w:t>
      </w:r>
      <w:r>
        <w:rPr>
          <w:sz w:val="20"/>
        </w:rPr>
        <w:t>physicians and other healthcare providers or marketing expenditures, many of which differ from each other</w:t>
      </w:r>
      <w:r>
        <w:rPr>
          <w:spacing w:val="-47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significant</w:t>
      </w:r>
      <w:r>
        <w:rPr>
          <w:spacing w:val="-2"/>
          <w:sz w:val="20"/>
        </w:rPr>
        <w:t> </w:t>
      </w:r>
      <w:r>
        <w:rPr>
          <w:sz w:val="20"/>
        </w:rPr>
        <w:t>ways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may</w:t>
      </w:r>
      <w:r>
        <w:rPr>
          <w:spacing w:val="-1"/>
          <w:sz w:val="20"/>
        </w:rPr>
        <w:t> </w:t>
      </w: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have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same</w:t>
      </w:r>
      <w:r>
        <w:rPr>
          <w:spacing w:val="-2"/>
          <w:sz w:val="20"/>
        </w:rPr>
        <w:t> </w:t>
      </w:r>
      <w:r>
        <w:rPr>
          <w:sz w:val="20"/>
        </w:rPr>
        <w:t>effect,</w:t>
      </w:r>
      <w:r>
        <w:rPr>
          <w:spacing w:val="-1"/>
          <w:sz w:val="20"/>
        </w:rPr>
        <w:t> </w:t>
      </w:r>
      <w:r>
        <w:rPr>
          <w:sz w:val="20"/>
        </w:rPr>
        <w:t>thus</w:t>
      </w:r>
      <w:r>
        <w:rPr>
          <w:spacing w:val="-2"/>
          <w:sz w:val="20"/>
        </w:rPr>
        <w:t> </w:t>
      </w:r>
      <w:r>
        <w:rPr>
          <w:sz w:val="20"/>
        </w:rPr>
        <w:t>complicating</w:t>
      </w:r>
      <w:r>
        <w:rPr>
          <w:spacing w:val="-1"/>
          <w:sz w:val="20"/>
        </w:rPr>
        <w:t> </w:t>
      </w:r>
      <w:r>
        <w:rPr>
          <w:sz w:val="20"/>
        </w:rPr>
        <w:t>compliance</w:t>
      </w:r>
      <w:r>
        <w:rPr>
          <w:spacing w:val="-2"/>
          <w:sz w:val="20"/>
        </w:rPr>
        <w:t> </w:t>
      </w:r>
      <w:r>
        <w:rPr>
          <w:sz w:val="20"/>
        </w:rPr>
        <w:t>efforts.</w:t>
      </w:r>
    </w:p>
    <w:p>
      <w:pPr>
        <w:pStyle w:val="BodyText"/>
        <w:spacing w:line="249" w:lineRule="auto" w:before="187"/>
        <w:ind w:right="127"/>
      </w:pPr>
      <w:r>
        <w:rPr/>
        <w:t>The scope and enforcement of these laws is substantial and subject to rapid change. The shifting compliance</w:t>
      </w:r>
      <w:r>
        <w:rPr>
          <w:spacing w:val="1"/>
        </w:rPr>
        <w:t> </w:t>
      </w:r>
      <w:r>
        <w:rPr/>
        <w:t>environment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need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build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maintain</w:t>
      </w:r>
      <w:r>
        <w:rPr>
          <w:spacing w:val="-3"/>
        </w:rPr>
        <w:t> </w:t>
      </w:r>
      <w:r>
        <w:rPr/>
        <w:t>robust</w:t>
      </w:r>
      <w:r>
        <w:rPr>
          <w:spacing w:val="-3"/>
        </w:rPr>
        <w:t> </w:t>
      </w:r>
      <w:r>
        <w:rPr/>
        <w:t>compliance</w:t>
      </w:r>
      <w:r>
        <w:rPr>
          <w:spacing w:val="-4"/>
        </w:rPr>
        <w:t> </w:t>
      </w:r>
      <w:r>
        <w:rPr/>
        <w:t>programs,</w:t>
      </w:r>
      <w:r>
        <w:rPr>
          <w:spacing w:val="-3"/>
        </w:rPr>
        <w:t> </w:t>
      </w:r>
      <w:r>
        <w:rPr/>
        <w:t>systems,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processes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comply</w:t>
      </w:r>
      <w:r>
        <w:rPr>
          <w:spacing w:val="-3"/>
        </w:rPr>
        <w:t> </w:t>
      </w:r>
      <w:r>
        <w:rPr/>
        <w:t>with</w:t>
      </w:r>
      <w:r>
        <w:rPr>
          <w:spacing w:val="-47"/>
        </w:rPr>
        <w:t> </w:t>
      </w:r>
      <w:r>
        <w:rPr/>
        <w:t>different compliance and/or reporting requirements in multiple jurisdictions increase the possibility that we may run</w:t>
      </w:r>
      <w:r>
        <w:rPr>
          <w:spacing w:val="1"/>
        </w:rPr>
        <w:t> </w:t>
      </w:r>
      <w:r>
        <w:rPr/>
        <w:t>afoul of one or more of the requirements or that federal or state regulatory authorities might challenge our current or</w:t>
      </w:r>
      <w:r>
        <w:rPr>
          <w:spacing w:val="-47"/>
        </w:rPr>
        <w:t> </w:t>
      </w:r>
      <w:r>
        <w:rPr/>
        <w:t>future activities under these laws. Additionally, we cannot predict the impact of any changes in these laws, whether</w:t>
      </w:r>
      <w:r>
        <w:rPr>
          <w:spacing w:val="1"/>
        </w:rPr>
        <w:t> </w:t>
      </w:r>
      <w:r>
        <w:rPr/>
        <w:t>or not retroactive. Because of the breadth of these laws and the narrowness of available statutory and regulatory</w:t>
      </w:r>
      <w:r>
        <w:rPr>
          <w:spacing w:val="1"/>
        </w:rPr>
        <w:t> </w:t>
      </w:r>
      <w:r>
        <w:rPr/>
        <w:t>exemptions or safe harbors, it is possible that some of our activities, such as stock-option compensation paid to</w:t>
      </w:r>
      <w:r>
        <w:rPr>
          <w:spacing w:val="1"/>
        </w:rPr>
        <w:t> </w:t>
      </w:r>
      <w:r>
        <w:rPr/>
        <w:t>physicians or our practice of loaning equipment to customers at no additional cost, could be subject to challenge</w:t>
      </w:r>
      <w:r>
        <w:rPr>
          <w:spacing w:val="1"/>
        </w:rPr>
        <w:t> </w:t>
      </w:r>
      <w:r>
        <w:rPr/>
        <w:t>under one or more of such laws. Any government investigation, even if we are able to successfully defend against it,</w:t>
      </w:r>
      <w:r>
        <w:rPr>
          <w:spacing w:val="-47"/>
        </w:rPr>
        <w:t> </w:t>
      </w:r>
      <w:r>
        <w:rPr/>
        <w:t>will require the expenditure of significant resources, is likely to generate negative publicity, harm our reputation and</w:t>
      </w:r>
      <w:r>
        <w:rPr>
          <w:spacing w:val="-47"/>
        </w:rPr>
        <w:t> </w:t>
      </w:r>
      <w:r>
        <w:rPr/>
        <w:t>potentially our financial condition and divert the attention of our management.</w:t>
      </w:r>
      <w:r>
        <w:rPr>
          <w:spacing w:val="1"/>
        </w:rPr>
        <w:t> </w:t>
      </w:r>
      <w:r>
        <w:rPr/>
        <w:t>Moreover, any investigation into our</w:t>
      </w:r>
      <w:r>
        <w:rPr>
          <w:spacing w:val="-47"/>
        </w:rPr>
        <w:t> </w:t>
      </w:r>
      <w:r>
        <w:rPr/>
        <w:t>practices could cause adverse publicity and require a costly and time-consuming response. If our operations are</w:t>
      </w:r>
      <w:r>
        <w:rPr>
          <w:spacing w:val="1"/>
        </w:rPr>
        <w:t> </w:t>
      </w:r>
      <w:r>
        <w:rPr/>
        <w:t>found to be in violation of any of these laws or any other governmental regulations that may apply to us, we may be</w:t>
      </w:r>
      <w:r>
        <w:rPr>
          <w:spacing w:val="1"/>
        </w:rPr>
        <w:t> </w:t>
      </w:r>
      <w:r>
        <w:rPr/>
        <w:t>subject to significant civil, criminal and administrative penalties, damages, fines, imprisonment of individuals,</w:t>
      </w:r>
      <w:r>
        <w:rPr>
          <w:spacing w:val="1"/>
        </w:rPr>
        <w:t> </w:t>
      </w:r>
      <w:r>
        <w:rPr/>
        <w:t>exclusion from government funded healthcare programs, such as Medicare and Medicaid, imposition of compliance</w:t>
      </w:r>
      <w:r>
        <w:rPr>
          <w:spacing w:val="1"/>
        </w:rPr>
        <w:t> </w:t>
      </w:r>
      <w:r>
        <w:rPr/>
        <w:t>obligations and monitoring, and the curtailment or restructuring of our operations. Any of the foregoing</w:t>
      </w:r>
      <w:r>
        <w:rPr>
          <w:spacing w:val="1"/>
        </w:rPr>
        <w:t> </w:t>
      </w:r>
      <w:r>
        <w:rPr/>
        <w:t>consequences</w:t>
      </w:r>
      <w:r>
        <w:rPr>
          <w:spacing w:val="-2"/>
        </w:rPr>
        <w:t> </w:t>
      </w:r>
      <w:r>
        <w:rPr/>
        <w:t>could seriously</w:t>
      </w:r>
      <w:r>
        <w:rPr>
          <w:spacing w:val="-1"/>
        </w:rPr>
        <w:t> </w:t>
      </w:r>
      <w:r>
        <w:rPr/>
        <w:t>harm</w:t>
      </w:r>
      <w:r>
        <w:rPr>
          <w:spacing w:val="-1"/>
        </w:rPr>
        <w:t> </w:t>
      </w:r>
      <w:r>
        <w:rPr/>
        <w:t>our business</w:t>
      </w:r>
      <w:r>
        <w:rPr>
          <w:spacing w:val="-2"/>
        </w:rPr>
        <w:t> </w:t>
      </w:r>
      <w:r>
        <w:rPr/>
        <w:t>and our financial</w:t>
      </w:r>
      <w:r>
        <w:rPr>
          <w:spacing w:val="-2"/>
        </w:rPr>
        <w:t> </w:t>
      </w:r>
      <w:r>
        <w:rPr/>
        <w:t>results.</w:t>
      </w:r>
    </w:p>
    <w:p>
      <w:pPr>
        <w:pStyle w:val="Heading3"/>
        <w:spacing w:line="249" w:lineRule="auto" w:before="191"/>
        <w:ind w:right="148"/>
      </w:pPr>
      <w:r>
        <w:rPr>
          <w:i/>
        </w:rPr>
        <w:t>Our</w:t>
      </w:r>
      <w:r>
        <w:rPr>
          <w:i/>
          <w:spacing w:val="-5"/>
        </w:rPr>
        <w:t> </w:t>
      </w:r>
      <w:r>
        <w:rPr>
          <w:i/>
        </w:rPr>
        <w:t>AquaBeam</w:t>
      </w:r>
      <w:r>
        <w:rPr>
          <w:i/>
          <w:spacing w:val="-5"/>
        </w:rPr>
        <w:t> </w:t>
      </w:r>
      <w:r>
        <w:rPr>
          <w:i/>
        </w:rPr>
        <w:t>Robotic</w:t>
      </w:r>
      <w:r>
        <w:rPr>
          <w:i/>
          <w:spacing w:val="-4"/>
        </w:rPr>
        <w:t> </w:t>
      </w:r>
      <w:r>
        <w:rPr>
          <w:i/>
        </w:rPr>
        <w:t>System</w:t>
      </w:r>
      <w:r>
        <w:rPr>
          <w:i/>
          <w:spacing w:val="-5"/>
        </w:rPr>
        <w:t> </w:t>
      </w:r>
      <w:r>
        <w:rPr>
          <w:i/>
        </w:rPr>
        <w:t>and</w:t>
      </w:r>
      <w:r>
        <w:rPr>
          <w:i/>
          <w:spacing w:val="-4"/>
        </w:rPr>
        <w:t> </w:t>
      </w:r>
      <w:r>
        <w:rPr>
          <w:i/>
        </w:rPr>
        <w:t>our</w:t>
      </w:r>
      <w:r>
        <w:rPr>
          <w:i/>
          <w:spacing w:val="-4"/>
        </w:rPr>
        <w:t> </w:t>
      </w:r>
      <w:r>
        <w:rPr>
          <w:i/>
        </w:rPr>
        <w:t>operations</w:t>
      </w:r>
      <w:r>
        <w:rPr>
          <w:i/>
          <w:spacing w:val="-5"/>
        </w:rPr>
        <w:t> </w:t>
      </w:r>
      <w:r>
        <w:rPr>
          <w:i/>
        </w:rPr>
        <w:t>are</w:t>
      </w:r>
      <w:r>
        <w:rPr>
          <w:i/>
          <w:spacing w:val="-4"/>
        </w:rPr>
        <w:t> </w:t>
      </w:r>
      <w:r>
        <w:rPr>
          <w:i/>
        </w:rPr>
        <w:t>subject</w:t>
      </w:r>
      <w:r>
        <w:rPr>
          <w:i/>
          <w:spacing w:val="-5"/>
        </w:rPr>
        <w:t> </w:t>
      </w:r>
      <w:r>
        <w:rPr>
          <w:i/>
        </w:rPr>
        <w:t>to</w:t>
      </w:r>
      <w:r>
        <w:rPr>
          <w:i/>
          <w:spacing w:val="-4"/>
        </w:rPr>
        <w:t> </w:t>
      </w:r>
      <w:r>
        <w:rPr>
          <w:i/>
        </w:rPr>
        <w:t>extensive</w:t>
      </w:r>
      <w:r>
        <w:rPr>
          <w:i/>
          <w:spacing w:val="-4"/>
        </w:rPr>
        <w:t> </w:t>
      </w:r>
      <w:r>
        <w:rPr>
          <w:i/>
        </w:rPr>
        <w:t>government</w:t>
      </w:r>
      <w:r>
        <w:rPr>
          <w:i/>
          <w:spacing w:val="-5"/>
        </w:rPr>
        <w:t> </w:t>
      </w:r>
      <w:r>
        <w:rPr>
          <w:i/>
        </w:rPr>
        <w:t>regulation</w:t>
      </w:r>
      <w:r>
        <w:rPr>
          <w:i/>
          <w:spacing w:val="-4"/>
        </w:rPr>
        <w:t> </w:t>
      </w:r>
      <w:r>
        <w:rPr>
          <w:i/>
        </w:rPr>
        <w:t>and</w:t>
      </w:r>
      <w:r>
        <w:rPr>
          <w:i/>
          <w:spacing w:val="-4"/>
        </w:rPr>
        <w:t> </w:t>
      </w:r>
      <w:r>
        <w:rPr>
          <w:i/>
        </w:rPr>
        <w:t>oversight</w:t>
      </w:r>
      <w:r>
        <w:rPr>
          <w:i/>
          <w:spacing w:val="1"/>
        </w:rPr>
        <w:t> </w:t>
      </w:r>
      <w:r>
        <w:rPr/>
        <w:t>in the United States. If we fail to maintain necessary marketing authorizations for our AquaBeam Robotic</w:t>
      </w:r>
      <w:r>
        <w:rPr>
          <w:spacing w:val="1"/>
        </w:rPr>
        <w:t> </w:t>
      </w:r>
      <w:r>
        <w:rPr/>
        <w:t>System, or if approvals or clearances for future products or modifications to existing products are delayed or not</w:t>
      </w:r>
      <w:r>
        <w:rPr>
          <w:spacing w:val="-47"/>
        </w:rPr>
        <w:t> </w:t>
      </w:r>
      <w:r>
        <w:rPr/>
        <w:t>issued,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negatively</w:t>
      </w:r>
      <w:r>
        <w:rPr>
          <w:spacing w:val="-2"/>
        </w:rPr>
        <w:t> </w:t>
      </w:r>
      <w:r>
        <w:rPr/>
        <w:t>affect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business,</w:t>
      </w:r>
      <w:r>
        <w:rPr>
          <w:spacing w:val="-1"/>
        </w:rPr>
        <w:t> </w:t>
      </w:r>
      <w:r>
        <w:rPr/>
        <w:t>financial</w:t>
      </w:r>
      <w:r>
        <w:rPr>
          <w:spacing w:val="-2"/>
        </w:rPr>
        <w:t> </w:t>
      </w:r>
      <w:r>
        <w:rPr/>
        <w:t>condition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results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operations.</w:t>
      </w:r>
    </w:p>
    <w:p>
      <w:pPr>
        <w:pStyle w:val="BodyText"/>
        <w:spacing w:line="249" w:lineRule="auto" w:before="187"/>
        <w:ind w:right="180"/>
      </w:pPr>
      <w:r>
        <w:rPr/>
        <w:t>Our AquaBeam Robotic System is a medical device subject to extensive regulation in the United States and</w:t>
      </w:r>
      <w:r>
        <w:rPr>
          <w:spacing w:val="1"/>
        </w:rPr>
        <w:t> </w:t>
      </w:r>
      <w:r>
        <w:rPr/>
        <w:t>elsewhere,</w:t>
      </w:r>
      <w:r>
        <w:rPr>
          <w:spacing w:val="-4"/>
        </w:rPr>
        <w:t> </w:t>
      </w:r>
      <w:r>
        <w:rPr/>
        <w:t>including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FDA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its</w:t>
      </w:r>
      <w:r>
        <w:rPr>
          <w:spacing w:val="-4"/>
        </w:rPr>
        <w:t> </w:t>
      </w:r>
      <w:r>
        <w:rPr/>
        <w:t>foreign</w:t>
      </w:r>
      <w:r>
        <w:rPr>
          <w:spacing w:val="-4"/>
        </w:rPr>
        <w:t> </w:t>
      </w:r>
      <w:r>
        <w:rPr/>
        <w:t>counterparts.</w:t>
      </w:r>
      <w:r>
        <w:rPr>
          <w:spacing w:val="-3"/>
        </w:rPr>
        <w:t> </w:t>
      </w:r>
      <w:r>
        <w:rPr/>
        <w:t>Government</w:t>
      </w:r>
      <w:r>
        <w:rPr>
          <w:spacing w:val="-4"/>
        </w:rPr>
        <w:t> </w:t>
      </w:r>
      <w:r>
        <w:rPr/>
        <w:t>regulations</w:t>
      </w:r>
      <w:r>
        <w:rPr>
          <w:spacing w:val="-4"/>
        </w:rPr>
        <w:t> </w:t>
      </w:r>
      <w:r>
        <w:rPr/>
        <w:t>specific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medical</w:t>
      </w:r>
      <w:r>
        <w:rPr>
          <w:spacing w:val="-4"/>
        </w:rPr>
        <w:t> </w:t>
      </w:r>
      <w:r>
        <w:rPr/>
        <w:t>devices</w:t>
      </w:r>
      <w:r>
        <w:rPr>
          <w:spacing w:val="-47"/>
        </w:rPr>
        <w:t> </w:t>
      </w:r>
      <w:r>
        <w:rPr/>
        <w:t>are</w:t>
      </w:r>
      <w:r>
        <w:rPr>
          <w:spacing w:val="-2"/>
        </w:rPr>
        <w:t> </w:t>
      </w:r>
      <w:r>
        <w:rPr/>
        <w:t>wide</w:t>
      </w:r>
      <w:r>
        <w:rPr>
          <w:spacing w:val="-1"/>
        </w:rPr>
        <w:t> </w:t>
      </w:r>
      <w:r>
        <w:rPr/>
        <w:t>ranging and govern, among other things:</w:t>
      </w:r>
    </w:p>
    <w:p>
      <w:pPr>
        <w:pStyle w:val="ListParagraph"/>
        <w:numPr>
          <w:ilvl w:val="0"/>
          <w:numId w:val="6"/>
        </w:numPr>
        <w:tabs>
          <w:tab w:pos="819" w:val="left" w:leader="none"/>
          <w:tab w:pos="820" w:val="left" w:leader="none"/>
        </w:tabs>
        <w:spacing w:line="240" w:lineRule="auto" w:before="182" w:after="0"/>
        <w:ind w:left="820" w:right="0" w:hanging="360"/>
        <w:jc w:val="left"/>
        <w:rPr>
          <w:sz w:val="20"/>
        </w:rPr>
      </w:pPr>
      <w:r>
        <w:rPr>
          <w:sz w:val="20"/>
        </w:rPr>
        <w:t>product</w:t>
      </w:r>
      <w:r>
        <w:rPr>
          <w:spacing w:val="-5"/>
          <w:sz w:val="20"/>
        </w:rPr>
        <w:t> </w:t>
      </w:r>
      <w:r>
        <w:rPr>
          <w:sz w:val="20"/>
        </w:rPr>
        <w:t>design,</w:t>
      </w:r>
      <w:r>
        <w:rPr>
          <w:spacing w:val="-4"/>
          <w:sz w:val="20"/>
        </w:rPr>
        <w:t> </w:t>
      </w:r>
      <w:r>
        <w:rPr>
          <w:sz w:val="20"/>
        </w:rPr>
        <w:t>development,</w:t>
      </w:r>
      <w:r>
        <w:rPr>
          <w:spacing w:val="-3"/>
          <w:sz w:val="20"/>
        </w:rPr>
        <w:t> </w:t>
      </w:r>
      <w:r>
        <w:rPr>
          <w:sz w:val="20"/>
        </w:rPr>
        <w:t>manufacture,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release;</w:t>
      </w:r>
    </w:p>
    <w:p>
      <w:pPr>
        <w:pStyle w:val="ListParagraph"/>
        <w:numPr>
          <w:ilvl w:val="0"/>
          <w:numId w:val="6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laboratory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clinical</w:t>
      </w:r>
      <w:r>
        <w:rPr>
          <w:spacing w:val="-5"/>
          <w:sz w:val="20"/>
        </w:rPr>
        <w:t> </w:t>
      </w:r>
      <w:r>
        <w:rPr>
          <w:sz w:val="20"/>
        </w:rPr>
        <w:t>testing,</w:t>
      </w:r>
      <w:r>
        <w:rPr>
          <w:spacing w:val="-3"/>
          <w:sz w:val="20"/>
        </w:rPr>
        <w:t> </w:t>
      </w:r>
      <w:r>
        <w:rPr>
          <w:sz w:val="20"/>
        </w:rPr>
        <w:t>labeling,</w:t>
      </w:r>
      <w:r>
        <w:rPr>
          <w:spacing w:val="-4"/>
          <w:sz w:val="20"/>
        </w:rPr>
        <w:t> </w:t>
      </w:r>
      <w:r>
        <w:rPr>
          <w:sz w:val="20"/>
        </w:rPr>
        <w:t>packaging,</w:t>
      </w:r>
      <w:r>
        <w:rPr>
          <w:spacing w:val="-4"/>
          <w:sz w:val="20"/>
        </w:rPr>
        <w:t> </w:t>
      </w:r>
      <w:r>
        <w:rPr>
          <w:sz w:val="20"/>
        </w:rPr>
        <w:t>storage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distribution;</w:t>
      </w:r>
    </w:p>
    <w:p>
      <w:pPr>
        <w:pStyle w:val="ListParagraph"/>
        <w:numPr>
          <w:ilvl w:val="0"/>
          <w:numId w:val="6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product</w:t>
      </w:r>
      <w:r>
        <w:rPr>
          <w:spacing w:val="-4"/>
          <w:sz w:val="20"/>
        </w:rPr>
        <w:t> </w:t>
      </w:r>
      <w:r>
        <w:rPr>
          <w:sz w:val="20"/>
        </w:rPr>
        <w:t>safety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efficacy;</w:t>
      </w:r>
    </w:p>
    <w:p>
      <w:pPr>
        <w:pStyle w:val="ListParagraph"/>
        <w:numPr>
          <w:ilvl w:val="0"/>
          <w:numId w:val="6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premarketing</w:t>
      </w:r>
      <w:r>
        <w:rPr>
          <w:spacing w:val="-4"/>
          <w:sz w:val="20"/>
        </w:rPr>
        <w:t> </w:t>
      </w:r>
      <w:r>
        <w:rPr>
          <w:sz w:val="20"/>
        </w:rPr>
        <w:t>clearance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approval;</w:t>
      </w:r>
    </w:p>
    <w:p>
      <w:pPr>
        <w:pStyle w:val="ListParagraph"/>
        <w:numPr>
          <w:ilvl w:val="0"/>
          <w:numId w:val="6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service</w:t>
      </w:r>
      <w:r>
        <w:rPr>
          <w:spacing w:val="-6"/>
          <w:sz w:val="20"/>
        </w:rPr>
        <w:t> </w:t>
      </w:r>
      <w:r>
        <w:rPr>
          <w:sz w:val="20"/>
        </w:rPr>
        <w:t>operations,</w:t>
      </w:r>
      <w:r>
        <w:rPr>
          <w:spacing w:val="-4"/>
          <w:sz w:val="20"/>
        </w:rPr>
        <w:t> </w:t>
      </w:r>
      <w:r>
        <w:rPr>
          <w:sz w:val="20"/>
        </w:rPr>
        <w:t>including</w:t>
      </w:r>
      <w:r>
        <w:rPr>
          <w:spacing w:val="-5"/>
          <w:sz w:val="20"/>
        </w:rPr>
        <w:t> </w:t>
      </w:r>
      <w:r>
        <w:rPr>
          <w:sz w:val="20"/>
        </w:rPr>
        <w:t>relationships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healthcare</w:t>
      </w:r>
      <w:r>
        <w:rPr>
          <w:spacing w:val="-6"/>
          <w:sz w:val="20"/>
        </w:rPr>
        <w:t> </w:t>
      </w:r>
      <w:r>
        <w:rPr>
          <w:sz w:val="20"/>
        </w:rPr>
        <w:t>providers;</w:t>
      </w:r>
    </w:p>
    <w:p>
      <w:pPr>
        <w:pStyle w:val="ListParagraph"/>
        <w:numPr>
          <w:ilvl w:val="0"/>
          <w:numId w:val="6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record</w:t>
      </w:r>
      <w:r>
        <w:rPr>
          <w:spacing w:val="-3"/>
          <w:sz w:val="20"/>
        </w:rPr>
        <w:t> </w:t>
      </w:r>
      <w:r>
        <w:rPr>
          <w:sz w:val="20"/>
        </w:rPr>
        <w:t>keeping;</w:t>
      </w:r>
    </w:p>
    <w:p>
      <w:pPr>
        <w:pStyle w:val="ListParagraph"/>
        <w:numPr>
          <w:ilvl w:val="0"/>
          <w:numId w:val="6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product</w:t>
      </w:r>
      <w:r>
        <w:rPr>
          <w:spacing w:val="-5"/>
          <w:sz w:val="20"/>
        </w:rPr>
        <w:t> </w:t>
      </w:r>
      <w:r>
        <w:rPr>
          <w:sz w:val="20"/>
        </w:rPr>
        <w:t>marketing,</w:t>
      </w:r>
      <w:r>
        <w:rPr>
          <w:spacing w:val="-4"/>
          <w:sz w:val="20"/>
        </w:rPr>
        <w:t> </w:t>
      </w:r>
      <w:r>
        <w:rPr>
          <w:sz w:val="20"/>
        </w:rPr>
        <w:t>promotion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advertising,</w:t>
      </w:r>
      <w:r>
        <w:rPr>
          <w:spacing w:val="-4"/>
          <w:sz w:val="20"/>
        </w:rPr>
        <w:t> </w:t>
      </w:r>
      <w:r>
        <w:rPr>
          <w:sz w:val="20"/>
        </w:rPr>
        <w:t>registration,</w:t>
      </w:r>
      <w:r>
        <w:rPr>
          <w:spacing w:val="-3"/>
          <w:sz w:val="20"/>
        </w:rPr>
        <w:t> </w:t>
      </w:r>
      <w:r>
        <w:rPr>
          <w:sz w:val="20"/>
        </w:rPr>
        <w:t>sales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distribution;</w:t>
      </w:r>
    </w:p>
    <w:p>
      <w:pPr>
        <w:pStyle w:val="ListParagraph"/>
        <w:numPr>
          <w:ilvl w:val="0"/>
          <w:numId w:val="6"/>
        </w:numPr>
        <w:tabs>
          <w:tab w:pos="819" w:val="left" w:leader="none"/>
          <w:tab w:pos="820" w:val="left" w:leader="none"/>
        </w:tabs>
        <w:spacing w:line="249" w:lineRule="auto" w:before="190" w:after="0"/>
        <w:ind w:left="820" w:right="190" w:hanging="360"/>
        <w:jc w:val="left"/>
        <w:rPr>
          <w:sz w:val="20"/>
        </w:rPr>
      </w:pPr>
      <w:r>
        <w:rPr>
          <w:sz w:val="20"/>
        </w:rPr>
        <w:t>post-marketing</w:t>
      </w:r>
      <w:r>
        <w:rPr>
          <w:spacing w:val="-4"/>
          <w:sz w:val="20"/>
        </w:rPr>
        <w:t> </w:t>
      </w:r>
      <w:r>
        <w:rPr>
          <w:sz w:val="20"/>
        </w:rPr>
        <w:t>surveillance,</w:t>
      </w:r>
      <w:r>
        <w:rPr>
          <w:spacing w:val="-3"/>
          <w:sz w:val="20"/>
        </w:rPr>
        <w:t> </w:t>
      </w:r>
      <w:r>
        <w:rPr>
          <w:sz w:val="20"/>
        </w:rPr>
        <w:t>including</w:t>
      </w:r>
      <w:r>
        <w:rPr>
          <w:spacing w:val="-3"/>
          <w:sz w:val="20"/>
        </w:rPr>
        <w:t> </w:t>
      </w:r>
      <w:r>
        <w:rPr>
          <w:sz w:val="20"/>
        </w:rPr>
        <w:t>reporting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deaths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serious</w:t>
      </w:r>
      <w:r>
        <w:rPr>
          <w:spacing w:val="-4"/>
          <w:sz w:val="20"/>
        </w:rPr>
        <w:t> </w:t>
      </w:r>
      <w:r>
        <w:rPr>
          <w:sz w:val="20"/>
        </w:rPr>
        <w:t>injuries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recalls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correction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removals;</w:t>
      </w:r>
    </w:p>
    <w:p>
      <w:pPr>
        <w:spacing w:after="0" w:line="249" w:lineRule="auto"/>
        <w:jc w:val="left"/>
        <w:rPr>
          <w:sz w:val="20"/>
        </w:rPr>
        <w:sectPr>
          <w:pgSz w:w="12240" w:h="15840"/>
          <w:pgMar w:header="0" w:footer="741" w:top="1320" w:bottom="940" w:left="1340" w:right="1320"/>
        </w:sectPr>
      </w:pPr>
    </w:p>
    <w:p>
      <w:pPr>
        <w:pStyle w:val="ListParagraph"/>
        <w:numPr>
          <w:ilvl w:val="0"/>
          <w:numId w:val="6"/>
        </w:numPr>
        <w:tabs>
          <w:tab w:pos="819" w:val="left" w:leader="none"/>
          <w:tab w:pos="820" w:val="left" w:leader="none"/>
        </w:tabs>
        <w:spacing w:line="240" w:lineRule="auto" w:before="72" w:after="0"/>
        <w:ind w:left="820" w:right="0" w:hanging="360"/>
        <w:jc w:val="left"/>
        <w:rPr>
          <w:sz w:val="20"/>
        </w:rPr>
      </w:pPr>
      <w:r>
        <w:rPr>
          <w:sz w:val="20"/>
        </w:rPr>
        <w:t>post-market</w:t>
      </w:r>
      <w:r>
        <w:rPr>
          <w:spacing w:val="-4"/>
          <w:sz w:val="20"/>
        </w:rPr>
        <w:t> </w:t>
      </w:r>
      <w:r>
        <w:rPr>
          <w:sz w:val="20"/>
        </w:rPr>
        <w:t>approval</w:t>
      </w:r>
      <w:r>
        <w:rPr>
          <w:spacing w:val="-4"/>
          <w:sz w:val="20"/>
        </w:rPr>
        <w:t> </w:t>
      </w:r>
      <w:r>
        <w:rPr>
          <w:sz w:val="20"/>
        </w:rPr>
        <w:t>studies;</w:t>
      </w:r>
      <w:r>
        <w:rPr>
          <w:spacing w:val="-4"/>
          <w:sz w:val="20"/>
        </w:rPr>
        <w:t> </w:t>
      </w:r>
      <w:r>
        <w:rPr>
          <w:sz w:val="20"/>
        </w:rPr>
        <w:t>and</w:t>
      </w:r>
    </w:p>
    <w:p>
      <w:pPr>
        <w:pStyle w:val="ListParagraph"/>
        <w:numPr>
          <w:ilvl w:val="0"/>
          <w:numId w:val="6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product</w:t>
      </w:r>
      <w:r>
        <w:rPr>
          <w:spacing w:val="-3"/>
          <w:sz w:val="20"/>
        </w:rPr>
        <w:t> </w:t>
      </w:r>
      <w:r>
        <w:rPr>
          <w:sz w:val="20"/>
        </w:rPr>
        <w:t>import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export.</w:t>
      </w:r>
    </w:p>
    <w:p>
      <w:pPr>
        <w:pStyle w:val="BodyText"/>
        <w:spacing w:line="249" w:lineRule="auto"/>
      </w:pPr>
      <w:r>
        <w:rPr/>
        <w:t>The regulations to which we are subject are complex and have tended to become more stringent over time.</w:t>
      </w:r>
      <w:r>
        <w:rPr>
          <w:spacing w:val="1"/>
        </w:rPr>
        <w:t> </w:t>
      </w:r>
      <w:r>
        <w:rPr/>
        <w:t>Regulatory changes could result in restrictions on our ability to carry on or expand our operations, higher than</w:t>
      </w:r>
      <w:r>
        <w:rPr>
          <w:spacing w:val="1"/>
        </w:rPr>
        <w:t> </w:t>
      </w:r>
      <w:r>
        <w:rPr/>
        <w:t>anticipated costs or lower than anticipated sales. The FDA enforces these regulatory requirements through, among</w:t>
      </w:r>
      <w:r>
        <w:rPr>
          <w:spacing w:val="1"/>
        </w:rPr>
        <w:t> </w:t>
      </w:r>
      <w:r>
        <w:rPr/>
        <w:t>other</w:t>
      </w:r>
      <w:r>
        <w:rPr>
          <w:spacing w:val="-3"/>
        </w:rPr>
        <w:t> </w:t>
      </w:r>
      <w:r>
        <w:rPr/>
        <w:t>means,</w:t>
      </w:r>
      <w:r>
        <w:rPr>
          <w:spacing w:val="-2"/>
        </w:rPr>
        <w:t> </w:t>
      </w:r>
      <w:r>
        <w:rPr/>
        <w:t>periodic</w:t>
      </w:r>
      <w:r>
        <w:rPr>
          <w:spacing w:val="-3"/>
        </w:rPr>
        <w:t> </w:t>
      </w:r>
      <w:r>
        <w:rPr/>
        <w:t>unannounced</w:t>
      </w:r>
      <w:r>
        <w:rPr>
          <w:spacing w:val="-3"/>
        </w:rPr>
        <w:t> </w:t>
      </w:r>
      <w:r>
        <w:rPr/>
        <w:t>inspections.</w:t>
      </w:r>
      <w:r>
        <w:rPr>
          <w:spacing w:val="-2"/>
        </w:rPr>
        <w:t> </w:t>
      </w:r>
      <w:r>
        <w:rPr/>
        <w:t>We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know</w:t>
      </w:r>
      <w:r>
        <w:rPr>
          <w:spacing w:val="-3"/>
        </w:rPr>
        <w:t> </w:t>
      </w:r>
      <w:r>
        <w:rPr/>
        <w:t>whether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found</w:t>
      </w:r>
      <w:r>
        <w:rPr>
          <w:spacing w:val="-2"/>
        </w:rPr>
        <w:t> </w:t>
      </w:r>
      <w:r>
        <w:rPr/>
        <w:t>compliant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connection</w:t>
      </w:r>
      <w:r>
        <w:rPr>
          <w:spacing w:val="-47"/>
        </w:rPr>
        <w:t> </w:t>
      </w:r>
      <w:r>
        <w:rPr/>
        <w:t>with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/>
        <w:t>future</w:t>
      </w:r>
      <w:r>
        <w:rPr>
          <w:spacing w:val="-3"/>
        </w:rPr>
        <w:t> </w:t>
      </w:r>
      <w:r>
        <w:rPr/>
        <w:t>regulatory</w:t>
      </w:r>
      <w:r>
        <w:rPr>
          <w:spacing w:val="-2"/>
        </w:rPr>
        <w:t> </w:t>
      </w:r>
      <w:r>
        <w:rPr/>
        <w:t>inspections.</w:t>
      </w:r>
      <w:r>
        <w:rPr>
          <w:spacing w:val="-2"/>
        </w:rPr>
        <w:t> </w:t>
      </w:r>
      <w:r>
        <w:rPr/>
        <w:t>Moreover,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FDA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state</w:t>
      </w:r>
      <w:r>
        <w:rPr>
          <w:spacing w:val="-3"/>
        </w:rPr>
        <w:t> </w:t>
      </w:r>
      <w:r>
        <w:rPr/>
        <w:t>authorities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broad</w:t>
      </w:r>
      <w:r>
        <w:rPr>
          <w:spacing w:val="-2"/>
        </w:rPr>
        <w:t> </w:t>
      </w:r>
      <w:r>
        <w:rPr/>
        <w:t>enforcement</w:t>
      </w:r>
      <w:r>
        <w:rPr>
          <w:spacing w:val="-3"/>
        </w:rPr>
        <w:t> </w:t>
      </w:r>
      <w:r>
        <w:rPr/>
        <w:t>powers.</w:t>
      </w:r>
    </w:p>
    <w:p>
      <w:pPr>
        <w:pStyle w:val="BodyText"/>
        <w:spacing w:line="249" w:lineRule="auto" w:before="4"/>
        <w:ind w:right="212" w:firstLine="0"/>
      </w:pPr>
      <w:r>
        <w:rPr/>
        <w:t>Our</w:t>
      </w:r>
      <w:r>
        <w:rPr>
          <w:spacing w:val="-3"/>
        </w:rPr>
        <w:t> </w:t>
      </w:r>
      <w:r>
        <w:rPr/>
        <w:t>failure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comply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applicable</w:t>
      </w:r>
      <w:r>
        <w:rPr>
          <w:spacing w:val="-3"/>
        </w:rPr>
        <w:t> </w:t>
      </w:r>
      <w:r>
        <w:rPr/>
        <w:t>regulatory</w:t>
      </w:r>
      <w:r>
        <w:rPr>
          <w:spacing w:val="-3"/>
        </w:rPr>
        <w:t> </w:t>
      </w:r>
      <w:r>
        <w:rPr/>
        <w:t>requirements</w:t>
      </w:r>
      <w:r>
        <w:rPr>
          <w:spacing w:val="-4"/>
        </w:rPr>
        <w:t> </w:t>
      </w:r>
      <w:r>
        <w:rPr/>
        <w:t>could</w:t>
      </w:r>
      <w:r>
        <w:rPr>
          <w:spacing w:val="-3"/>
        </w:rPr>
        <w:t> </w:t>
      </w:r>
      <w:r>
        <w:rPr/>
        <w:t>result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enforcement</w:t>
      </w:r>
      <w:r>
        <w:rPr>
          <w:spacing w:val="-3"/>
        </w:rPr>
        <w:t> </w:t>
      </w:r>
      <w:r>
        <w:rPr/>
        <w:t>action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such</w:t>
      </w:r>
      <w:r>
        <w:rPr>
          <w:spacing w:val="-47"/>
        </w:rPr>
        <w:t> </w:t>
      </w:r>
      <w:r>
        <w:rPr/>
        <w:t>agency,</w:t>
      </w:r>
      <w:r>
        <w:rPr>
          <w:spacing w:val="-1"/>
        </w:rPr>
        <w:t> </w:t>
      </w:r>
      <w:r>
        <w:rPr/>
        <w:t>which may include</w:t>
      </w:r>
      <w:r>
        <w:rPr>
          <w:spacing w:val="-2"/>
        </w:rPr>
        <w:t> </w:t>
      </w:r>
      <w:r>
        <w:rPr/>
        <w:t>any of the</w:t>
      </w:r>
      <w:r>
        <w:rPr>
          <w:spacing w:val="-1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sanctions:</w:t>
      </w:r>
    </w:p>
    <w:p>
      <w:pPr>
        <w:pStyle w:val="ListParagraph"/>
        <w:numPr>
          <w:ilvl w:val="0"/>
          <w:numId w:val="6"/>
        </w:numPr>
        <w:tabs>
          <w:tab w:pos="819" w:val="left" w:leader="none"/>
          <w:tab w:pos="820" w:val="left" w:leader="none"/>
        </w:tabs>
        <w:spacing w:line="249" w:lineRule="auto" w:before="181" w:after="0"/>
        <w:ind w:left="820" w:right="503" w:hanging="360"/>
        <w:jc w:val="left"/>
        <w:rPr>
          <w:sz w:val="20"/>
        </w:rPr>
      </w:pPr>
      <w:r>
        <w:rPr>
          <w:sz w:val="20"/>
        </w:rPr>
        <w:t>adverse</w:t>
      </w:r>
      <w:r>
        <w:rPr>
          <w:spacing w:val="-5"/>
          <w:sz w:val="20"/>
        </w:rPr>
        <w:t> </w:t>
      </w:r>
      <w:r>
        <w:rPr>
          <w:sz w:val="20"/>
        </w:rPr>
        <w:t>publicity,</w:t>
      </w:r>
      <w:r>
        <w:rPr>
          <w:spacing w:val="-4"/>
          <w:sz w:val="20"/>
        </w:rPr>
        <w:t> </w:t>
      </w:r>
      <w:r>
        <w:rPr>
          <w:sz w:val="20"/>
        </w:rPr>
        <w:t>warning</w:t>
      </w:r>
      <w:r>
        <w:rPr>
          <w:spacing w:val="-3"/>
          <w:sz w:val="20"/>
        </w:rPr>
        <w:t> </w:t>
      </w:r>
      <w:r>
        <w:rPr>
          <w:sz w:val="20"/>
        </w:rPr>
        <w:t>letters,</w:t>
      </w:r>
      <w:r>
        <w:rPr>
          <w:spacing w:val="-4"/>
          <w:sz w:val="20"/>
        </w:rPr>
        <w:t> </w:t>
      </w:r>
      <w:r>
        <w:rPr>
          <w:sz w:val="20"/>
        </w:rPr>
        <w:t>untitled</w:t>
      </w:r>
      <w:r>
        <w:rPr>
          <w:spacing w:val="-4"/>
          <w:sz w:val="20"/>
        </w:rPr>
        <w:t> </w:t>
      </w:r>
      <w:r>
        <w:rPr>
          <w:sz w:val="20"/>
        </w:rPr>
        <w:t>letters,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come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4"/>
          <w:sz w:val="20"/>
        </w:rPr>
        <w:t> </w:t>
      </w:r>
      <w:r>
        <w:rPr>
          <w:sz w:val="20"/>
        </w:rPr>
        <w:t>attention</w:t>
      </w:r>
      <w:r>
        <w:rPr>
          <w:spacing w:val="-4"/>
          <w:sz w:val="20"/>
        </w:rPr>
        <w:t> </w:t>
      </w:r>
      <w:r>
        <w:rPr>
          <w:sz w:val="20"/>
        </w:rPr>
        <w:t>letters,</w:t>
      </w:r>
      <w:r>
        <w:rPr>
          <w:spacing w:val="-3"/>
          <w:sz w:val="20"/>
        </w:rPr>
        <w:t> </w:t>
      </w:r>
      <w:r>
        <w:rPr>
          <w:sz w:val="20"/>
        </w:rPr>
        <w:t>fines,</w:t>
      </w:r>
      <w:r>
        <w:rPr>
          <w:spacing w:val="-4"/>
          <w:sz w:val="20"/>
        </w:rPr>
        <w:t> </w:t>
      </w:r>
      <w:r>
        <w:rPr>
          <w:sz w:val="20"/>
        </w:rPr>
        <w:t>injunctions,</w:t>
      </w:r>
      <w:r>
        <w:rPr>
          <w:spacing w:val="-47"/>
          <w:sz w:val="20"/>
        </w:rPr>
        <w:t> </w:t>
      </w:r>
      <w:r>
        <w:rPr>
          <w:sz w:val="20"/>
        </w:rPr>
        <w:t>consent</w:t>
      </w:r>
      <w:r>
        <w:rPr>
          <w:spacing w:val="-2"/>
          <w:sz w:val="20"/>
        </w:rPr>
        <w:t> </w:t>
      </w:r>
      <w:r>
        <w:rPr>
          <w:sz w:val="20"/>
        </w:rPr>
        <w:t>decrees</w:t>
      </w:r>
      <w:r>
        <w:rPr>
          <w:spacing w:val="-1"/>
          <w:sz w:val="20"/>
        </w:rPr>
        <w:t> </w:t>
      </w:r>
      <w:r>
        <w:rPr>
          <w:sz w:val="20"/>
        </w:rPr>
        <w:t>and civil</w:t>
      </w:r>
      <w:r>
        <w:rPr>
          <w:spacing w:val="-1"/>
          <w:sz w:val="20"/>
        </w:rPr>
        <w:t> </w:t>
      </w:r>
      <w:r>
        <w:rPr>
          <w:sz w:val="20"/>
        </w:rPr>
        <w:t>penalties;</w:t>
      </w:r>
    </w:p>
    <w:p>
      <w:pPr>
        <w:pStyle w:val="ListParagraph"/>
        <w:numPr>
          <w:ilvl w:val="0"/>
          <w:numId w:val="6"/>
        </w:numPr>
        <w:tabs>
          <w:tab w:pos="819" w:val="left" w:leader="none"/>
          <w:tab w:pos="820" w:val="left" w:leader="none"/>
        </w:tabs>
        <w:spacing w:line="240" w:lineRule="auto" w:before="182" w:after="0"/>
        <w:ind w:left="820" w:right="0" w:hanging="360"/>
        <w:jc w:val="left"/>
        <w:rPr>
          <w:sz w:val="20"/>
        </w:rPr>
      </w:pPr>
      <w:r>
        <w:rPr>
          <w:sz w:val="20"/>
        </w:rPr>
        <w:t>repair,</w:t>
      </w:r>
      <w:r>
        <w:rPr>
          <w:spacing w:val="-4"/>
          <w:sz w:val="20"/>
        </w:rPr>
        <w:t> </w:t>
      </w:r>
      <w:r>
        <w:rPr>
          <w:sz w:val="20"/>
        </w:rPr>
        <w:t>replacement,</w:t>
      </w:r>
      <w:r>
        <w:rPr>
          <w:spacing w:val="-3"/>
          <w:sz w:val="20"/>
        </w:rPr>
        <w:t> </w:t>
      </w:r>
      <w:r>
        <w:rPr>
          <w:sz w:val="20"/>
        </w:rPr>
        <w:t>refunds,</w:t>
      </w:r>
      <w:r>
        <w:rPr>
          <w:spacing w:val="-3"/>
          <w:sz w:val="20"/>
        </w:rPr>
        <w:t> </w:t>
      </w:r>
      <w:r>
        <w:rPr>
          <w:sz w:val="20"/>
        </w:rPr>
        <w:t>recall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seizure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AquaBeam</w:t>
      </w:r>
      <w:r>
        <w:rPr>
          <w:spacing w:val="-4"/>
          <w:sz w:val="20"/>
        </w:rPr>
        <w:t> </w:t>
      </w:r>
      <w:r>
        <w:rPr>
          <w:sz w:val="20"/>
        </w:rPr>
        <w:t>Robotic</w:t>
      </w:r>
      <w:r>
        <w:rPr>
          <w:spacing w:val="-3"/>
          <w:sz w:val="20"/>
        </w:rPr>
        <w:t> </w:t>
      </w:r>
      <w:r>
        <w:rPr>
          <w:sz w:val="20"/>
        </w:rPr>
        <w:t>System;</w:t>
      </w:r>
    </w:p>
    <w:p>
      <w:pPr>
        <w:pStyle w:val="ListParagraph"/>
        <w:numPr>
          <w:ilvl w:val="0"/>
          <w:numId w:val="6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operating</w:t>
      </w:r>
      <w:r>
        <w:rPr>
          <w:spacing w:val="-4"/>
          <w:sz w:val="20"/>
        </w:rPr>
        <w:t> </w:t>
      </w:r>
      <w:r>
        <w:rPr>
          <w:sz w:val="20"/>
        </w:rPr>
        <w:t>restrictions,</w:t>
      </w:r>
      <w:r>
        <w:rPr>
          <w:spacing w:val="-3"/>
          <w:sz w:val="20"/>
        </w:rPr>
        <w:t> </w:t>
      </w:r>
      <w:r>
        <w:rPr>
          <w:sz w:val="20"/>
        </w:rPr>
        <w:t>partial</w:t>
      </w:r>
      <w:r>
        <w:rPr>
          <w:spacing w:val="-4"/>
          <w:sz w:val="20"/>
        </w:rPr>
        <w:t> </w:t>
      </w:r>
      <w:r>
        <w:rPr>
          <w:sz w:val="20"/>
        </w:rPr>
        <w:t>suspension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total</w:t>
      </w:r>
      <w:r>
        <w:rPr>
          <w:spacing w:val="-4"/>
          <w:sz w:val="20"/>
        </w:rPr>
        <w:t> </w:t>
      </w:r>
      <w:r>
        <w:rPr>
          <w:sz w:val="20"/>
        </w:rPr>
        <w:t>shutdown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production;</w:t>
      </w:r>
    </w:p>
    <w:p>
      <w:pPr>
        <w:pStyle w:val="ListParagraph"/>
        <w:numPr>
          <w:ilvl w:val="0"/>
          <w:numId w:val="6"/>
        </w:numPr>
        <w:tabs>
          <w:tab w:pos="819" w:val="left" w:leader="none"/>
          <w:tab w:pos="820" w:val="left" w:leader="none"/>
        </w:tabs>
        <w:spacing w:line="249" w:lineRule="auto" w:before="190" w:after="0"/>
        <w:ind w:left="820" w:right="988" w:hanging="360"/>
        <w:jc w:val="left"/>
        <w:rPr>
          <w:sz w:val="20"/>
        </w:rPr>
      </w:pPr>
      <w:r>
        <w:rPr>
          <w:sz w:val="20"/>
        </w:rPr>
        <w:t>denial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our</w:t>
      </w:r>
      <w:r>
        <w:rPr>
          <w:spacing w:val="-2"/>
          <w:sz w:val="20"/>
        </w:rPr>
        <w:t> </w:t>
      </w:r>
      <w:r>
        <w:rPr>
          <w:sz w:val="20"/>
        </w:rPr>
        <w:t>requests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regulatory</w:t>
      </w:r>
      <w:r>
        <w:rPr>
          <w:spacing w:val="-2"/>
          <w:sz w:val="20"/>
        </w:rPr>
        <w:t> </w:t>
      </w:r>
      <w:r>
        <w:rPr>
          <w:sz w:val="20"/>
        </w:rPr>
        <w:t>clearance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approval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new</w:t>
      </w:r>
      <w:r>
        <w:rPr>
          <w:spacing w:val="-3"/>
          <w:sz w:val="20"/>
        </w:rPr>
        <w:t> </w:t>
      </w:r>
      <w:r>
        <w:rPr>
          <w:sz w:val="20"/>
        </w:rPr>
        <w:t>products,</w:t>
      </w:r>
      <w:r>
        <w:rPr>
          <w:spacing w:val="-1"/>
          <w:sz w:val="20"/>
        </w:rPr>
        <w:t> </w:t>
      </w:r>
      <w:r>
        <w:rPr>
          <w:sz w:val="20"/>
        </w:rPr>
        <w:t>new</w:t>
      </w:r>
      <w:r>
        <w:rPr>
          <w:spacing w:val="-3"/>
          <w:sz w:val="20"/>
        </w:rPr>
        <w:t> </w:t>
      </w:r>
      <w:r>
        <w:rPr>
          <w:sz w:val="20"/>
        </w:rPr>
        <w:t>intended</w:t>
      </w:r>
      <w:r>
        <w:rPr>
          <w:spacing w:val="-2"/>
          <w:sz w:val="20"/>
        </w:rPr>
        <w:t> </w:t>
      </w:r>
      <w:r>
        <w:rPr>
          <w:sz w:val="20"/>
        </w:rPr>
        <w:t>uses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7"/>
          <w:sz w:val="20"/>
        </w:rPr>
        <w:t> </w:t>
      </w:r>
      <w:r>
        <w:rPr>
          <w:sz w:val="20"/>
        </w:rPr>
        <w:t>modifications</w:t>
      </w:r>
      <w:r>
        <w:rPr>
          <w:spacing w:val="-2"/>
          <w:sz w:val="20"/>
        </w:rPr>
        <w:t> </w:t>
      </w:r>
      <w:r>
        <w:rPr>
          <w:sz w:val="20"/>
        </w:rPr>
        <w:t>to existing products;</w:t>
      </w:r>
    </w:p>
    <w:p>
      <w:pPr>
        <w:pStyle w:val="ListParagraph"/>
        <w:numPr>
          <w:ilvl w:val="0"/>
          <w:numId w:val="6"/>
        </w:numPr>
        <w:tabs>
          <w:tab w:pos="819" w:val="left" w:leader="none"/>
          <w:tab w:pos="820" w:val="left" w:leader="none"/>
        </w:tabs>
        <w:spacing w:line="240" w:lineRule="auto" w:before="182" w:after="0"/>
        <w:ind w:left="820" w:right="0" w:hanging="360"/>
        <w:jc w:val="left"/>
        <w:rPr>
          <w:sz w:val="20"/>
        </w:rPr>
      </w:pPr>
      <w:r>
        <w:rPr>
          <w:sz w:val="20"/>
        </w:rPr>
        <w:t>withdrawal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suspension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regulatory</w:t>
      </w:r>
      <w:r>
        <w:rPr>
          <w:spacing w:val="-3"/>
          <w:sz w:val="20"/>
        </w:rPr>
        <w:t> </w:t>
      </w:r>
      <w:r>
        <w:rPr>
          <w:sz w:val="20"/>
        </w:rPr>
        <w:t>clearance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approval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already</w:t>
      </w:r>
      <w:r>
        <w:rPr>
          <w:spacing w:val="-2"/>
          <w:sz w:val="20"/>
        </w:rPr>
        <w:t> </w:t>
      </w:r>
      <w:r>
        <w:rPr>
          <w:sz w:val="20"/>
        </w:rPr>
        <w:t>been</w:t>
      </w:r>
      <w:r>
        <w:rPr>
          <w:spacing w:val="-3"/>
          <w:sz w:val="20"/>
        </w:rPr>
        <w:t> </w:t>
      </w:r>
      <w:r>
        <w:rPr>
          <w:sz w:val="20"/>
        </w:rPr>
        <w:t>granted;</w:t>
      </w:r>
      <w:r>
        <w:rPr>
          <w:spacing w:val="-3"/>
          <w:sz w:val="20"/>
        </w:rPr>
        <w:t> </w:t>
      </w:r>
      <w:r>
        <w:rPr>
          <w:sz w:val="20"/>
        </w:rPr>
        <w:t>or</w:t>
      </w:r>
    </w:p>
    <w:p>
      <w:pPr>
        <w:pStyle w:val="ListParagraph"/>
        <w:numPr>
          <w:ilvl w:val="0"/>
          <w:numId w:val="6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criminal</w:t>
      </w:r>
      <w:r>
        <w:rPr>
          <w:spacing w:val="-6"/>
          <w:sz w:val="20"/>
        </w:rPr>
        <w:t> </w:t>
      </w:r>
      <w:r>
        <w:rPr>
          <w:sz w:val="20"/>
        </w:rPr>
        <w:t>prosecution.</w:t>
      </w:r>
    </w:p>
    <w:p>
      <w:pPr>
        <w:pStyle w:val="BodyText"/>
        <w:spacing w:line="249" w:lineRule="auto"/>
        <w:ind w:right="180"/>
      </w:pPr>
      <w:r>
        <w:rPr/>
        <w:t>If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these</w:t>
      </w:r>
      <w:r>
        <w:rPr>
          <w:spacing w:val="-3"/>
        </w:rPr>
        <w:t> </w:t>
      </w:r>
      <w:r>
        <w:rPr/>
        <w:t>events</w:t>
      </w:r>
      <w:r>
        <w:rPr>
          <w:spacing w:val="-3"/>
        </w:rPr>
        <w:t> </w:t>
      </w:r>
      <w:r>
        <w:rPr/>
        <w:t>were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occur,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negatively</w:t>
      </w:r>
      <w:r>
        <w:rPr>
          <w:spacing w:val="-2"/>
        </w:rPr>
        <w:t> </w:t>
      </w:r>
      <w:r>
        <w:rPr/>
        <w:t>affect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business,</w:t>
      </w:r>
      <w:r>
        <w:rPr>
          <w:spacing w:val="-2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condition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results</w:t>
      </w:r>
      <w:r>
        <w:rPr>
          <w:spacing w:val="-3"/>
        </w:rPr>
        <w:t> </w:t>
      </w:r>
      <w:r>
        <w:rPr/>
        <w:t>of</w:t>
      </w:r>
      <w:r>
        <w:rPr>
          <w:spacing w:val="-47"/>
        </w:rPr>
        <w:t> </w:t>
      </w:r>
      <w:r>
        <w:rPr/>
        <w:t>operations.</w:t>
      </w:r>
    </w:p>
    <w:p>
      <w:pPr>
        <w:pStyle w:val="BodyText"/>
        <w:spacing w:line="249" w:lineRule="auto" w:before="181"/>
        <w:ind w:right="148"/>
      </w:pPr>
      <w:r>
        <w:rPr/>
        <w:t>We may not receive, or may be delayed in receiving, the necessary clearances or approvals for our future</w:t>
      </w:r>
      <w:r>
        <w:rPr>
          <w:spacing w:val="1"/>
        </w:rPr>
        <w:t> </w:t>
      </w:r>
      <w:r>
        <w:rPr/>
        <w:t>products or modifications to our current products, and failure to timely obtain necessary clearances or approvals for</w:t>
      </w:r>
      <w:r>
        <w:rPr>
          <w:spacing w:val="-47"/>
        </w:rPr>
        <w:t> </w:t>
      </w:r>
      <w:r>
        <w:rPr/>
        <w:t>our</w:t>
      </w:r>
      <w:r>
        <w:rPr>
          <w:spacing w:val="-3"/>
        </w:rPr>
        <w:t> </w:t>
      </w:r>
      <w:r>
        <w:rPr/>
        <w:t>future</w:t>
      </w:r>
      <w:r>
        <w:rPr>
          <w:spacing w:val="-3"/>
        </w:rPr>
        <w:t> </w:t>
      </w:r>
      <w:r>
        <w:rPr/>
        <w:t>products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modifications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current</w:t>
      </w:r>
      <w:r>
        <w:rPr>
          <w:spacing w:val="-3"/>
        </w:rPr>
        <w:t> </w:t>
      </w:r>
      <w:r>
        <w:rPr/>
        <w:t>products</w:t>
      </w:r>
      <w:r>
        <w:rPr>
          <w:spacing w:val="-3"/>
        </w:rPr>
        <w:t> </w:t>
      </w:r>
      <w:r>
        <w:rPr/>
        <w:t>would</w:t>
      </w:r>
      <w:r>
        <w:rPr>
          <w:spacing w:val="-2"/>
        </w:rPr>
        <w:t> </w:t>
      </w:r>
      <w:r>
        <w:rPr/>
        <w:t>adversely</w:t>
      </w:r>
      <w:r>
        <w:rPr>
          <w:spacing w:val="-2"/>
        </w:rPr>
        <w:t> </w:t>
      </w:r>
      <w:r>
        <w:rPr/>
        <w:t>affect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ability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grow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business.</w:t>
      </w:r>
    </w:p>
    <w:p>
      <w:pPr>
        <w:pStyle w:val="BodyText"/>
        <w:spacing w:line="249" w:lineRule="auto" w:before="183"/>
        <w:ind w:right="212"/>
      </w:pPr>
      <w:r>
        <w:rPr/>
        <w:t>The FDA classifies medical devices into one of three classes on the basis of the intended use of the device, the</w:t>
      </w:r>
      <w:r>
        <w:rPr>
          <w:spacing w:val="1"/>
        </w:rPr>
        <w:t> </w:t>
      </w:r>
      <w:r>
        <w:rPr/>
        <w:t>risk</w:t>
      </w:r>
      <w:r>
        <w:rPr>
          <w:spacing w:val="-3"/>
        </w:rPr>
        <w:t> </w:t>
      </w:r>
      <w:r>
        <w:rPr/>
        <w:t>associated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use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device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indication,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determined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FDA,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controls</w:t>
      </w:r>
      <w:r>
        <w:rPr>
          <w:spacing w:val="-3"/>
        </w:rPr>
        <w:t> </w:t>
      </w:r>
      <w:r>
        <w:rPr/>
        <w:t>deemed</w:t>
      </w:r>
      <w:r>
        <w:rPr>
          <w:spacing w:val="-47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FDA</w:t>
      </w:r>
      <w:r>
        <w:rPr>
          <w:spacing w:val="-2"/>
        </w:rPr>
        <w:t> </w:t>
      </w:r>
      <w:r>
        <w:rPr/>
        <w:t>to be</w:t>
      </w:r>
      <w:r>
        <w:rPr>
          <w:spacing w:val="-2"/>
        </w:rPr>
        <w:t> </w:t>
      </w:r>
      <w:r>
        <w:rPr/>
        <w:t>necessary to</w:t>
      </w:r>
      <w:r>
        <w:rPr>
          <w:spacing w:val="-1"/>
        </w:rPr>
        <w:t> </w:t>
      </w:r>
      <w:r>
        <w:rPr/>
        <w:t>reasonably ensure</w:t>
      </w:r>
      <w:r>
        <w:rPr>
          <w:spacing w:val="-2"/>
        </w:rPr>
        <w:t> </w:t>
      </w:r>
      <w:r>
        <w:rPr/>
        <w:t>their safety</w:t>
      </w:r>
      <w:r>
        <w:rPr>
          <w:spacing w:val="-1"/>
        </w:rPr>
        <w:t> </w:t>
      </w:r>
      <w:r>
        <w:rPr/>
        <w:t>and effectiveness.</w:t>
      </w:r>
    </w:p>
    <w:p>
      <w:pPr>
        <w:pStyle w:val="BodyText"/>
        <w:spacing w:line="249" w:lineRule="auto" w:before="182"/>
        <w:ind w:right="180"/>
      </w:pPr>
      <w:r>
        <w:rPr/>
        <w:t>Class</w:t>
      </w:r>
      <w:r>
        <w:rPr>
          <w:spacing w:val="-4"/>
        </w:rPr>
        <w:t> </w:t>
      </w:r>
      <w:r>
        <w:rPr/>
        <w:t>I</w:t>
      </w:r>
      <w:r>
        <w:rPr>
          <w:spacing w:val="-2"/>
        </w:rPr>
        <w:t> </w:t>
      </w:r>
      <w:r>
        <w:rPr/>
        <w:t>includes</w:t>
      </w:r>
      <w:r>
        <w:rPr>
          <w:spacing w:val="-4"/>
        </w:rPr>
        <w:t> </w:t>
      </w:r>
      <w:r>
        <w:rPr/>
        <w:t>devices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lowest</w:t>
      </w:r>
      <w:r>
        <w:rPr>
          <w:spacing w:val="-4"/>
        </w:rPr>
        <w:t> </w:t>
      </w:r>
      <w:r>
        <w:rPr/>
        <w:t>risk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patient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are</w:t>
      </w:r>
      <w:r>
        <w:rPr>
          <w:spacing w:val="-4"/>
        </w:rPr>
        <w:t> </w:t>
      </w:r>
      <w:r>
        <w:rPr/>
        <w:t>those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which</w:t>
      </w:r>
      <w:r>
        <w:rPr>
          <w:spacing w:val="-2"/>
        </w:rPr>
        <w:t> </w:t>
      </w:r>
      <w:r>
        <w:rPr/>
        <w:t>safety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effectiveness</w:t>
      </w:r>
      <w:r>
        <w:rPr>
          <w:spacing w:val="-4"/>
        </w:rPr>
        <w:t> </w:t>
      </w:r>
      <w:r>
        <w:rPr/>
        <w:t>can</w:t>
      </w:r>
      <w:r>
        <w:rPr>
          <w:spacing w:val="1"/>
        </w:rPr>
        <w:t> </w:t>
      </w:r>
      <w:r>
        <w:rPr/>
        <w:t>be assured by adherence to the FDA’s General Controls for medical devices, which include compliance with the</w:t>
      </w:r>
      <w:r>
        <w:rPr>
          <w:spacing w:val="1"/>
        </w:rPr>
        <w:t> </w:t>
      </w:r>
      <w:r>
        <w:rPr/>
        <w:t>applicable portions of the QSR facility registration and product listing, reporting of adverse medical events, and</w:t>
      </w:r>
      <w:r>
        <w:rPr>
          <w:spacing w:val="1"/>
        </w:rPr>
        <w:t> </w:t>
      </w:r>
      <w:r>
        <w:rPr/>
        <w:t>truthful and non-misleading labeling, advertising, and promotional materials. Class II devices are subject to the</w:t>
      </w:r>
      <w:r>
        <w:rPr>
          <w:spacing w:val="1"/>
        </w:rPr>
        <w:t> </w:t>
      </w:r>
      <w:r>
        <w:rPr/>
        <w:t>FDA’s General Controls, and special controls as deemed necessary by the FDA to ensure the safety and</w:t>
      </w:r>
      <w:r>
        <w:rPr>
          <w:spacing w:val="1"/>
        </w:rPr>
        <w:t> </w:t>
      </w:r>
      <w:r>
        <w:rPr/>
        <w:t>effectiveness of the device. These special controls can include performance standards, post-market surveillance,</w:t>
      </w:r>
      <w:r>
        <w:rPr>
          <w:spacing w:val="1"/>
        </w:rPr>
        <w:t> </w:t>
      </w:r>
      <w:r>
        <w:rPr/>
        <w:t>patient</w:t>
      </w:r>
      <w:r>
        <w:rPr>
          <w:spacing w:val="-2"/>
        </w:rPr>
        <w:t> </w:t>
      </w:r>
      <w:r>
        <w:rPr/>
        <w:t>registries</w:t>
      </w:r>
      <w:r>
        <w:rPr>
          <w:spacing w:val="-1"/>
        </w:rPr>
        <w:t> </w:t>
      </w:r>
      <w:r>
        <w:rPr/>
        <w:t>and FDA</w:t>
      </w:r>
      <w:r>
        <w:rPr>
          <w:spacing w:val="-1"/>
        </w:rPr>
        <w:t> </w:t>
      </w:r>
      <w:r>
        <w:rPr/>
        <w:t>guidance</w:t>
      </w:r>
      <w:r>
        <w:rPr>
          <w:spacing w:val="-1"/>
        </w:rPr>
        <w:t> </w:t>
      </w:r>
      <w:r>
        <w:rPr/>
        <w:t>documents.</w:t>
      </w:r>
    </w:p>
    <w:p>
      <w:pPr>
        <w:pStyle w:val="BodyText"/>
        <w:spacing w:line="249" w:lineRule="auto" w:before="186"/>
        <w:ind w:right="129"/>
      </w:pPr>
      <w:r>
        <w:rPr/>
        <w:t>While most Class I devices are exempt from the 510(k) premarket notification requirement, manufacturers of</w:t>
      </w:r>
      <w:r>
        <w:rPr>
          <w:spacing w:val="1"/>
        </w:rPr>
        <w:t> </w:t>
      </w:r>
      <w:r>
        <w:rPr/>
        <w:t>most Class II devices are required to submit to the FDA a premarket notification under Section 510(k) of the FDCA</w:t>
      </w:r>
      <w:r>
        <w:rPr>
          <w:spacing w:val="1"/>
        </w:rPr>
        <w:t> </w:t>
      </w:r>
      <w:r>
        <w:rPr/>
        <w:t>requesting permission to commercially distribute the device. The FDA’s permission to commercially distribute a</w:t>
      </w:r>
      <w:r>
        <w:rPr>
          <w:spacing w:val="1"/>
        </w:rPr>
        <w:t> </w:t>
      </w:r>
      <w:r>
        <w:rPr/>
        <w:t>device subject to a 510(k) premarket notification is generally known as 510(k) clearance. Devices deemed by the</w:t>
      </w:r>
      <w:r>
        <w:rPr>
          <w:spacing w:val="1"/>
        </w:rPr>
        <w:t> </w:t>
      </w:r>
      <w:r>
        <w:rPr/>
        <w:t>FDA to pose the greatest risks, such as life sustaining, life supporting or some implantable devices, or devices that</w:t>
      </w:r>
      <w:r>
        <w:rPr>
          <w:spacing w:val="1"/>
        </w:rPr>
        <w:t> </w:t>
      </w:r>
      <w:r>
        <w:rPr/>
        <w:t>have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new</w:t>
      </w:r>
      <w:r>
        <w:rPr>
          <w:spacing w:val="-3"/>
        </w:rPr>
        <w:t> </w:t>
      </w:r>
      <w:r>
        <w:rPr/>
        <w:t>intended</w:t>
      </w:r>
      <w:r>
        <w:rPr>
          <w:spacing w:val="-3"/>
        </w:rPr>
        <w:t> </w:t>
      </w:r>
      <w:r>
        <w:rPr/>
        <w:t>use,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use</w:t>
      </w:r>
      <w:r>
        <w:rPr>
          <w:spacing w:val="-3"/>
        </w:rPr>
        <w:t> </w:t>
      </w:r>
      <w:r>
        <w:rPr/>
        <w:t>advanced</w:t>
      </w:r>
      <w:r>
        <w:rPr>
          <w:spacing w:val="-2"/>
        </w:rPr>
        <w:t> </w:t>
      </w:r>
      <w:r>
        <w:rPr/>
        <w:t>technology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substantially</w:t>
      </w:r>
      <w:r>
        <w:rPr>
          <w:spacing w:val="-2"/>
        </w:rPr>
        <w:t> </w:t>
      </w:r>
      <w:r>
        <w:rPr/>
        <w:t>equivalent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legally</w:t>
      </w:r>
      <w:r>
        <w:rPr>
          <w:spacing w:val="-2"/>
        </w:rPr>
        <w:t> </w:t>
      </w:r>
      <w:r>
        <w:rPr/>
        <w:t>marketed</w:t>
      </w:r>
      <w:r>
        <w:rPr>
          <w:spacing w:val="-47"/>
        </w:rPr>
        <w:t> </w:t>
      </w:r>
      <w:r>
        <w:rPr/>
        <w:t>device, are placed in Class III, requiring approval of a premarket approval application, or PMA. Some pre-</w:t>
      </w:r>
      <w:r>
        <w:rPr>
          <w:spacing w:val="1"/>
        </w:rPr>
        <w:t> </w:t>
      </w:r>
      <w:r>
        <w:rPr/>
        <w:t>amendment devices are unclassified, but are subject to FDA’s premarket notification and clearance process in order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commercially</w:t>
      </w:r>
      <w:r>
        <w:rPr>
          <w:spacing w:val="-2"/>
        </w:rPr>
        <w:t> </w:t>
      </w:r>
      <w:r>
        <w:rPr/>
        <w:t>distributed.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AquaBeam</w:t>
      </w:r>
      <w:r>
        <w:rPr>
          <w:spacing w:val="-3"/>
        </w:rPr>
        <w:t> </w:t>
      </w:r>
      <w:r>
        <w:rPr/>
        <w:t>Robotic</w:t>
      </w:r>
      <w:r>
        <w:rPr>
          <w:spacing w:val="-3"/>
        </w:rPr>
        <w:t> </w:t>
      </w:r>
      <w:r>
        <w:rPr/>
        <w:t>System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Class</w:t>
      </w:r>
      <w:r>
        <w:rPr>
          <w:spacing w:val="-3"/>
        </w:rPr>
        <w:t> </w:t>
      </w:r>
      <w:r>
        <w:rPr/>
        <w:t>II</w:t>
      </w:r>
      <w:r>
        <w:rPr>
          <w:spacing w:val="-2"/>
        </w:rPr>
        <w:t> </w:t>
      </w:r>
      <w:r>
        <w:rPr/>
        <w:t>device</w:t>
      </w:r>
      <w:r>
        <w:rPr>
          <w:spacing w:val="-3"/>
        </w:rPr>
        <w:t> </w:t>
      </w:r>
      <w:r>
        <w:rPr/>
        <w:t>subject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510(k)</w:t>
      </w:r>
      <w:r>
        <w:rPr>
          <w:spacing w:val="-2"/>
        </w:rPr>
        <w:t> </w:t>
      </w:r>
      <w:r>
        <w:rPr/>
        <w:t>clearance.</w:t>
      </w:r>
    </w:p>
    <w:p>
      <w:pPr>
        <w:pStyle w:val="BodyText"/>
        <w:spacing w:line="249" w:lineRule="auto" w:before="187"/>
        <w:ind w:right="212"/>
      </w:pPr>
      <w:r>
        <w:rPr/>
        <w:t>Before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new</w:t>
      </w:r>
      <w:r>
        <w:rPr>
          <w:spacing w:val="-3"/>
        </w:rPr>
        <w:t> </w:t>
      </w:r>
      <w:r>
        <w:rPr/>
        <w:t>medical</w:t>
      </w:r>
      <w:r>
        <w:rPr>
          <w:spacing w:val="-3"/>
        </w:rPr>
        <w:t> </w:t>
      </w:r>
      <w:r>
        <w:rPr/>
        <w:t>device,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new</w:t>
      </w:r>
      <w:r>
        <w:rPr>
          <w:spacing w:val="-3"/>
        </w:rPr>
        <w:t> </w:t>
      </w:r>
      <w:r>
        <w:rPr/>
        <w:t>intended</w:t>
      </w:r>
      <w:r>
        <w:rPr>
          <w:spacing w:val="-2"/>
        </w:rPr>
        <w:t> </w:t>
      </w:r>
      <w:r>
        <w:rPr/>
        <w:t>use</w:t>
      </w:r>
      <w:r>
        <w:rPr>
          <w:spacing w:val="-4"/>
        </w:rPr>
        <w:t> </w:t>
      </w:r>
      <w:r>
        <w:rPr/>
        <w:t>of,</w:t>
      </w:r>
      <w:r>
        <w:rPr>
          <w:spacing w:val="-2"/>
        </w:rPr>
        <w:t> </w:t>
      </w:r>
      <w:r>
        <w:rPr/>
        <w:t>claim</w:t>
      </w:r>
      <w:r>
        <w:rPr>
          <w:spacing w:val="-3"/>
        </w:rPr>
        <w:t> </w:t>
      </w:r>
      <w:r>
        <w:rPr/>
        <w:t>for,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significant</w:t>
      </w:r>
      <w:r>
        <w:rPr>
          <w:spacing w:val="-3"/>
        </w:rPr>
        <w:t> </w:t>
      </w:r>
      <w:r>
        <w:rPr/>
        <w:t>modification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existing</w:t>
      </w:r>
      <w:r>
        <w:rPr>
          <w:spacing w:val="-47"/>
        </w:rPr>
        <w:t> </w:t>
      </w:r>
      <w:r>
        <w:rPr/>
        <w:t>device,</w:t>
      </w:r>
      <w:r>
        <w:rPr>
          <w:spacing w:val="-3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marketed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United</w:t>
      </w:r>
      <w:r>
        <w:rPr>
          <w:spacing w:val="-3"/>
        </w:rPr>
        <w:t> </w:t>
      </w:r>
      <w:r>
        <w:rPr/>
        <w:t>States,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company</w:t>
      </w:r>
      <w:r>
        <w:rPr>
          <w:spacing w:val="-2"/>
        </w:rPr>
        <w:t> </w:t>
      </w:r>
      <w:r>
        <w:rPr/>
        <w:t>must</w:t>
      </w:r>
      <w:r>
        <w:rPr>
          <w:spacing w:val="-4"/>
        </w:rPr>
        <w:t> </w:t>
      </w:r>
      <w:r>
        <w:rPr/>
        <w:t>first</w:t>
      </w:r>
      <w:r>
        <w:rPr>
          <w:spacing w:val="-3"/>
        </w:rPr>
        <w:t> </w:t>
      </w:r>
      <w:r>
        <w:rPr/>
        <w:t>submit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application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receive</w:t>
      </w:r>
      <w:r>
        <w:rPr>
          <w:spacing w:val="-4"/>
        </w:rPr>
        <w:t> </w:t>
      </w:r>
      <w:r>
        <w:rPr/>
        <w:t>either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  <w:ind w:right="127" w:firstLine="0"/>
      </w:pPr>
      <w:r>
        <w:rPr/>
        <w:t>510(k) clearance pursuant to a premarket notification submitted under Section 510(k) of the FDCA, de novo</w:t>
      </w:r>
      <w:r>
        <w:rPr>
          <w:spacing w:val="1"/>
        </w:rPr>
        <w:t> </w:t>
      </w:r>
      <w:r>
        <w:rPr/>
        <w:t>classification, or approval of a PMA from the FDA, unless an exemption applies. Most Class I devices and some</w:t>
      </w:r>
      <w:r>
        <w:rPr>
          <w:spacing w:val="1"/>
        </w:rPr>
        <w:t> </w:t>
      </w:r>
      <w:r>
        <w:rPr/>
        <w:t>Class II devices are exempt from these premarket review requirements. In the 510(k) clearance process, before a</w:t>
      </w:r>
      <w:r>
        <w:rPr>
          <w:spacing w:val="1"/>
        </w:rPr>
        <w:t> </w:t>
      </w:r>
      <w:r>
        <w:rPr/>
        <w:t>device may be marketed, the FDA must determine that a proposed device is substantially equivalent to a legally-</w:t>
      </w:r>
      <w:r>
        <w:rPr>
          <w:spacing w:val="1"/>
        </w:rPr>
        <w:t> </w:t>
      </w:r>
      <w:r>
        <w:rPr/>
        <w:t>marketed predicate device, which includes a device that has been previously cleared through the 510(k) process, a</w:t>
      </w:r>
      <w:r>
        <w:rPr>
          <w:spacing w:val="1"/>
        </w:rPr>
        <w:t> </w:t>
      </w:r>
      <w:r>
        <w:rPr/>
        <w:t>device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legally</w:t>
      </w:r>
      <w:r>
        <w:rPr>
          <w:spacing w:val="-2"/>
        </w:rPr>
        <w:t> </w:t>
      </w:r>
      <w:r>
        <w:rPr/>
        <w:t>marketed</w:t>
      </w:r>
      <w:r>
        <w:rPr>
          <w:spacing w:val="-2"/>
        </w:rPr>
        <w:t> </w:t>
      </w:r>
      <w:r>
        <w:rPr/>
        <w:t>prior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May</w:t>
      </w:r>
      <w:r>
        <w:rPr>
          <w:spacing w:val="-3"/>
        </w:rPr>
        <w:t> </w:t>
      </w:r>
      <w:r>
        <w:rPr/>
        <w:t>28,</w:t>
      </w:r>
      <w:r>
        <w:rPr>
          <w:spacing w:val="-2"/>
        </w:rPr>
        <w:t> </w:t>
      </w:r>
      <w:r>
        <w:rPr/>
        <w:t>1976</w:t>
      </w:r>
      <w:r>
        <w:rPr>
          <w:spacing w:val="-2"/>
        </w:rPr>
        <w:t> </w:t>
      </w:r>
      <w:r>
        <w:rPr/>
        <w:t>(pre-amendments</w:t>
      </w:r>
      <w:r>
        <w:rPr>
          <w:spacing w:val="-4"/>
        </w:rPr>
        <w:t> </w:t>
      </w:r>
      <w:r>
        <w:rPr/>
        <w:t>device),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device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originally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</w:p>
    <w:p>
      <w:pPr>
        <w:pStyle w:val="BodyText"/>
        <w:spacing w:line="249" w:lineRule="auto" w:before="5"/>
        <w:ind w:right="148" w:firstLine="0"/>
      </w:pPr>
      <w:r>
        <w:rPr/>
        <w:t>U.S.</w:t>
      </w:r>
      <w:r>
        <w:rPr>
          <w:spacing w:val="-3"/>
        </w:rPr>
        <w:t> </w:t>
      </w:r>
      <w:r>
        <w:rPr/>
        <w:t>market</w:t>
      </w:r>
      <w:r>
        <w:rPr>
          <w:spacing w:val="-4"/>
        </w:rPr>
        <w:t> </w:t>
      </w:r>
      <w:r>
        <w:rPr/>
        <w:t>pursuant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approved</w:t>
      </w:r>
      <w:r>
        <w:rPr>
          <w:spacing w:val="-3"/>
        </w:rPr>
        <w:t> </w:t>
      </w:r>
      <w:r>
        <w:rPr/>
        <w:t>PMA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later</w:t>
      </w:r>
      <w:r>
        <w:rPr>
          <w:spacing w:val="-3"/>
        </w:rPr>
        <w:t> </w:t>
      </w:r>
      <w:r>
        <w:rPr/>
        <w:t>down-classified,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510(k)-exempt</w:t>
      </w:r>
      <w:r>
        <w:rPr>
          <w:spacing w:val="-3"/>
        </w:rPr>
        <w:t> </w:t>
      </w:r>
      <w:r>
        <w:rPr/>
        <w:t>device.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substantially</w:t>
      </w:r>
      <w:r>
        <w:rPr>
          <w:spacing w:val="-47"/>
        </w:rPr>
        <w:t> </w:t>
      </w:r>
      <w:r>
        <w:rPr/>
        <w:t>equivalent, the proposed device must have the same intended use as the predicate device, and either have the same</w:t>
      </w:r>
      <w:r>
        <w:rPr>
          <w:spacing w:val="1"/>
        </w:rPr>
        <w:t> </w:t>
      </w:r>
      <w:r>
        <w:rPr/>
        <w:t>technological characteristics as the predicate device or have different technological characteristics and not raise</w:t>
      </w:r>
      <w:r>
        <w:rPr>
          <w:spacing w:val="1"/>
        </w:rPr>
        <w:t> </w:t>
      </w:r>
      <w:r>
        <w:rPr/>
        <w:t>different questions of safety or effectiveness than the predicate device. Clinical data are sometimes required to</w:t>
      </w:r>
      <w:r>
        <w:rPr>
          <w:spacing w:val="1"/>
        </w:rPr>
        <w:t> </w:t>
      </w:r>
      <w:r>
        <w:rPr/>
        <w:t>support</w:t>
      </w:r>
      <w:r>
        <w:rPr>
          <w:spacing w:val="-2"/>
        </w:rPr>
        <w:t> </w:t>
      </w:r>
      <w:r>
        <w:rPr/>
        <w:t>substantial</w:t>
      </w:r>
      <w:r>
        <w:rPr>
          <w:spacing w:val="-1"/>
        </w:rPr>
        <w:t> </w:t>
      </w:r>
      <w:r>
        <w:rPr/>
        <w:t>equivalence.</w:t>
      </w:r>
    </w:p>
    <w:p>
      <w:pPr>
        <w:pStyle w:val="BodyText"/>
        <w:spacing w:line="249" w:lineRule="auto" w:before="184"/>
        <w:ind w:right="212"/>
      </w:pP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process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obtaining</w:t>
      </w:r>
      <w:r>
        <w:rPr>
          <w:spacing w:val="-2"/>
        </w:rPr>
        <w:t> </w:t>
      </w:r>
      <w:r>
        <w:rPr/>
        <w:t>PMA</w:t>
      </w:r>
      <w:r>
        <w:rPr>
          <w:spacing w:val="-3"/>
        </w:rPr>
        <w:t> </w:t>
      </w:r>
      <w:r>
        <w:rPr/>
        <w:t>approval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FDA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determine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proposed</w:t>
      </w:r>
      <w:r>
        <w:rPr>
          <w:spacing w:val="-2"/>
        </w:rPr>
        <w:t> </w:t>
      </w:r>
      <w:r>
        <w:rPr/>
        <w:t>device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safe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effective</w:t>
      </w:r>
      <w:r>
        <w:rPr>
          <w:spacing w:val="-47"/>
        </w:rPr>
        <w:t> </w:t>
      </w:r>
      <w:r>
        <w:rPr/>
        <w:t>for its intended use based, in part, on extensive data, including, but not limited to, technical, clinical trial,</w:t>
      </w:r>
      <w:r>
        <w:rPr>
          <w:spacing w:val="1"/>
        </w:rPr>
        <w:t> </w:t>
      </w:r>
      <w:r>
        <w:rPr/>
        <w:t>manufacturing</w:t>
      </w:r>
      <w:r>
        <w:rPr>
          <w:spacing w:val="-1"/>
        </w:rPr>
        <w:t> </w:t>
      </w:r>
      <w:r>
        <w:rPr/>
        <w:t>and labeling data.</w:t>
      </w:r>
    </w:p>
    <w:p>
      <w:pPr>
        <w:pStyle w:val="BodyText"/>
        <w:spacing w:line="249" w:lineRule="auto" w:before="182"/>
        <w:ind w:right="148"/>
      </w:pPr>
      <w:r>
        <w:rPr/>
        <w:t>In the de novo classification process, a manufacturer whose novel device would otherwise be automatically</w:t>
      </w:r>
      <w:r>
        <w:rPr>
          <w:spacing w:val="1"/>
        </w:rPr>
        <w:t> </w:t>
      </w:r>
      <w:r>
        <w:rPr/>
        <w:t>classified as Class III and require the submission and approval of a PMA prior to marketing is able to request down-</w:t>
      </w:r>
      <w:r>
        <w:rPr>
          <w:spacing w:val="-47"/>
        </w:rPr>
        <w:t> </w:t>
      </w:r>
      <w:r>
        <w:rPr/>
        <w:t>classification of the device to Class I or Class II on the basis that the device presents a low or moderate risk. If the</w:t>
      </w:r>
      <w:r>
        <w:rPr>
          <w:spacing w:val="1"/>
        </w:rPr>
        <w:t> </w:t>
      </w:r>
      <w:r>
        <w:rPr/>
        <w:t>FDA grants the de novo classification request, the applicant will receive authorization to market the device. This</w:t>
      </w:r>
      <w:r>
        <w:rPr>
          <w:spacing w:val="1"/>
        </w:rPr>
        <w:t> </w:t>
      </w:r>
      <w:r>
        <w:rPr/>
        <w:t>device type may be used subsequently as a predicate device for future 510(k) submissions. Prior to the enactment of</w:t>
      </w:r>
      <w:r>
        <w:rPr>
          <w:spacing w:val="-47"/>
        </w:rPr>
        <w:t> </w:t>
      </w:r>
      <w:r>
        <w:rPr/>
        <w:t>the Food and Drug Administration Safety and Innovation Act of 2012, or FDASIA, a medical device could only be</w:t>
      </w:r>
      <w:r>
        <w:rPr>
          <w:spacing w:val="1"/>
        </w:rPr>
        <w:t> </w:t>
      </w:r>
      <w:r>
        <w:rPr/>
        <w:t>eligible for de novo classification if the manufacturer first submitted a 510(k) premarket notification and received a</w:t>
      </w:r>
      <w:r>
        <w:rPr>
          <w:spacing w:val="1"/>
        </w:rPr>
        <w:t> </w:t>
      </w:r>
      <w:r>
        <w:rPr/>
        <w:t>determination from the FDA that the device was not substantially equivalent. FDASIA streamlined the de novo</w:t>
      </w:r>
      <w:r>
        <w:rPr>
          <w:spacing w:val="1"/>
        </w:rPr>
        <w:t> </w:t>
      </w:r>
      <w:r>
        <w:rPr/>
        <w:t>classification</w:t>
      </w:r>
      <w:r>
        <w:rPr>
          <w:spacing w:val="-5"/>
        </w:rPr>
        <w:t> </w:t>
      </w:r>
      <w:r>
        <w:rPr/>
        <w:t>pathway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permitting</w:t>
      </w:r>
      <w:r>
        <w:rPr>
          <w:spacing w:val="-4"/>
        </w:rPr>
        <w:t> </w:t>
      </w:r>
      <w:r>
        <w:rPr/>
        <w:t>manufacturers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request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novo</w:t>
      </w:r>
      <w:r>
        <w:rPr>
          <w:spacing w:val="-4"/>
        </w:rPr>
        <w:t> </w:t>
      </w:r>
      <w:r>
        <w:rPr/>
        <w:t>classification</w:t>
      </w:r>
      <w:r>
        <w:rPr>
          <w:spacing w:val="-5"/>
        </w:rPr>
        <w:t> </w:t>
      </w:r>
      <w:r>
        <w:rPr/>
        <w:t>directly</w:t>
      </w:r>
      <w:r>
        <w:rPr>
          <w:spacing w:val="-4"/>
        </w:rPr>
        <w:t> </w:t>
      </w:r>
      <w:r>
        <w:rPr/>
        <w:t>without</w:t>
      </w:r>
      <w:r>
        <w:rPr>
          <w:spacing w:val="-5"/>
        </w:rPr>
        <w:t> </w:t>
      </w:r>
      <w:r>
        <w:rPr/>
        <w:t>first</w:t>
      </w:r>
      <w:r>
        <w:rPr>
          <w:spacing w:val="-5"/>
        </w:rPr>
        <w:t> </w:t>
      </w:r>
      <w:r>
        <w:rPr/>
        <w:t>submitting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510(k)</w:t>
      </w:r>
      <w:r>
        <w:rPr>
          <w:spacing w:val="-1"/>
        </w:rPr>
        <w:t> </w:t>
      </w:r>
      <w:r>
        <w:rPr/>
        <w:t>premarket</w:t>
      </w:r>
      <w:r>
        <w:rPr>
          <w:spacing w:val="-2"/>
        </w:rPr>
        <w:t> </w:t>
      </w:r>
      <w:r>
        <w:rPr/>
        <w:t>notification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FDA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receiving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substantially</w:t>
      </w:r>
      <w:r>
        <w:rPr>
          <w:spacing w:val="-1"/>
        </w:rPr>
        <w:t> </w:t>
      </w:r>
      <w:r>
        <w:rPr/>
        <w:t>equivalent</w:t>
      </w:r>
      <w:r>
        <w:rPr>
          <w:spacing w:val="-3"/>
        </w:rPr>
        <w:t> </w:t>
      </w:r>
      <w:r>
        <w:rPr/>
        <w:t>determination.</w:t>
      </w:r>
    </w:p>
    <w:p>
      <w:pPr>
        <w:pStyle w:val="BodyText"/>
        <w:spacing w:line="249" w:lineRule="auto" w:before="188"/>
        <w:ind w:right="148"/>
      </w:pPr>
      <w:r>
        <w:rPr/>
        <w:t>The 510(k), de novo or PMA processes can be expensive, lengthy and unpredictable. The FDA’s 510(k)</w:t>
      </w:r>
      <w:r>
        <w:rPr>
          <w:spacing w:val="1"/>
        </w:rPr>
        <w:t> </w:t>
      </w:r>
      <w:r>
        <w:rPr/>
        <w:t>clearance process usually takes from three to 12 months, but can last longer. The process of obtaining a PMA is</w:t>
      </w:r>
      <w:r>
        <w:rPr>
          <w:spacing w:val="1"/>
        </w:rPr>
        <w:t> </w:t>
      </w:r>
      <w:r>
        <w:rPr/>
        <w:t>much more costly and uncertain than the 510(k) clearance process and generally takes from one to three years, or</w:t>
      </w:r>
      <w:r>
        <w:rPr>
          <w:spacing w:val="1"/>
        </w:rPr>
        <w:t> </w:t>
      </w:r>
      <w:r>
        <w:rPr/>
        <w:t>even longer, from the time the application is filed with the FDA. In addition, a PMA generally requires the</w:t>
      </w:r>
      <w:r>
        <w:rPr>
          <w:spacing w:val="1"/>
        </w:rPr>
        <w:t> </w:t>
      </w:r>
      <w:r>
        <w:rPr/>
        <w:t>performance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one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more</w:t>
      </w:r>
      <w:r>
        <w:rPr>
          <w:spacing w:val="-3"/>
        </w:rPr>
        <w:t> </w:t>
      </w:r>
      <w:r>
        <w:rPr/>
        <w:t>clinical</w:t>
      </w:r>
      <w:r>
        <w:rPr>
          <w:spacing w:val="-3"/>
        </w:rPr>
        <w:t> </w:t>
      </w:r>
      <w:r>
        <w:rPr/>
        <w:t>trials.</w:t>
      </w:r>
      <w:r>
        <w:rPr>
          <w:spacing w:val="-2"/>
        </w:rPr>
        <w:t> </w:t>
      </w:r>
      <w:r>
        <w:rPr/>
        <w:t>Despite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time,</w:t>
      </w:r>
      <w:r>
        <w:rPr>
          <w:spacing w:val="-2"/>
        </w:rPr>
        <w:t> </w:t>
      </w:r>
      <w:r>
        <w:rPr/>
        <w:t>effort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cost,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device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approved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cleared</w:t>
      </w:r>
      <w:r>
        <w:rPr>
          <w:spacing w:val="-47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FDA.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delay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failure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obtain</w:t>
      </w:r>
      <w:r>
        <w:rPr>
          <w:spacing w:val="-2"/>
        </w:rPr>
        <w:t> </w:t>
      </w:r>
      <w:r>
        <w:rPr/>
        <w:t>necessary</w:t>
      </w:r>
      <w:r>
        <w:rPr>
          <w:spacing w:val="-1"/>
        </w:rPr>
        <w:t> </w:t>
      </w:r>
      <w:r>
        <w:rPr/>
        <w:t>regulatory</w:t>
      </w:r>
      <w:r>
        <w:rPr>
          <w:spacing w:val="-2"/>
        </w:rPr>
        <w:t> </w:t>
      </w:r>
      <w:r>
        <w:rPr/>
        <w:t>clearances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approvals</w:t>
      </w:r>
      <w:r>
        <w:rPr>
          <w:spacing w:val="-3"/>
        </w:rPr>
        <w:t> </w:t>
      </w:r>
      <w:r>
        <w:rPr/>
        <w:t>could</w:t>
      </w:r>
      <w:r>
        <w:rPr>
          <w:spacing w:val="-2"/>
        </w:rPr>
        <w:t> </w:t>
      </w:r>
      <w:r>
        <w:rPr/>
        <w:t>harm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business.</w:t>
      </w:r>
    </w:p>
    <w:p>
      <w:pPr>
        <w:pStyle w:val="BodyText"/>
        <w:spacing w:line="249" w:lineRule="auto" w:before="5"/>
        <w:ind w:right="180" w:firstLine="0"/>
      </w:pPr>
      <w:r>
        <w:rPr/>
        <w:t>Furthermore,</w:t>
      </w:r>
      <w:r>
        <w:rPr>
          <w:spacing w:val="-4"/>
        </w:rPr>
        <w:t> </w:t>
      </w:r>
      <w:r>
        <w:rPr/>
        <w:t>even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we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granted</w:t>
      </w:r>
      <w:r>
        <w:rPr>
          <w:spacing w:val="-3"/>
        </w:rPr>
        <w:t> </w:t>
      </w:r>
      <w:r>
        <w:rPr/>
        <w:t>regulatory</w:t>
      </w:r>
      <w:r>
        <w:rPr>
          <w:spacing w:val="-3"/>
        </w:rPr>
        <w:t> </w:t>
      </w:r>
      <w:r>
        <w:rPr/>
        <w:t>clearances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approvals,</w:t>
      </w:r>
      <w:r>
        <w:rPr>
          <w:spacing w:val="-3"/>
        </w:rPr>
        <w:t> </w:t>
      </w:r>
      <w:r>
        <w:rPr/>
        <w:t>they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include</w:t>
      </w:r>
      <w:r>
        <w:rPr>
          <w:spacing w:val="-4"/>
        </w:rPr>
        <w:t> </w:t>
      </w:r>
      <w:r>
        <w:rPr/>
        <w:t>significant</w:t>
      </w:r>
      <w:r>
        <w:rPr>
          <w:spacing w:val="-4"/>
        </w:rPr>
        <w:t> </w:t>
      </w:r>
      <w:r>
        <w:rPr/>
        <w:t>limitations</w:t>
      </w:r>
      <w:r>
        <w:rPr>
          <w:spacing w:val="-4"/>
        </w:rPr>
        <w:t> </w:t>
      </w:r>
      <w:r>
        <w:rPr/>
        <w:t>on</w:t>
      </w:r>
      <w:r>
        <w:rPr>
          <w:spacing w:val="-47"/>
        </w:rPr>
        <w:t> </w:t>
      </w:r>
      <w:r>
        <w:rPr/>
        <w:t>the</w:t>
      </w:r>
      <w:r>
        <w:rPr>
          <w:spacing w:val="-2"/>
        </w:rPr>
        <w:t> </w:t>
      </w:r>
      <w:r>
        <w:rPr/>
        <w:t>indicated uses</w:t>
      </w:r>
      <w:r>
        <w:rPr>
          <w:spacing w:val="-2"/>
        </w:rPr>
        <w:t> </w:t>
      </w:r>
      <w:r>
        <w:rPr/>
        <w:t>for the</w:t>
      </w:r>
      <w:r>
        <w:rPr>
          <w:spacing w:val="-2"/>
        </w:rPr>
        <w:t> </w:t>
      </w:r>
      <w:r>
        <w:rPr/>
        <w:t>device, which may</w:t>
      </w:r>
      <w:r>
        <w:rPr>
          <w:spacing w:val="-1"/>
        </w:rPr>
        <w:t> </w:t>
      </w:r>
      <w:r>
        <w:rPr/>
        <w:t>limit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market</w:t>
      </w:r>
      <w:r>
        <w:rPr>
          <w:spacing w:val="-1"/>
        </w:rPr>
        <w:t> </w:t>
      </w:r>
      <w:r>
        <w:rPr/>
        <w:t>for the</w:t>
      </w:r>
      <w:r>
        <w:rPr>
          <w:spacing w:val="-2"/>
        </w:rPr>
        <w:t> </w:t>
      </w:r>
      <w:r>
        <w:rPr/>
        <w:t>device.</w:t>
      </w:r>
    </w:p>
    <w:p>
      <w:pPr>
        <w:pStyle w:val="BodyText"/>
        <w:spacing w:line="249" w:lineRule="auto" w:before="182"/>
        <w:ind w:right="157"/>
      </w:pPr>
      <w:r>
        <w:rPr/>
        <w:t>We originally obtained de novo classification of our AquaBeam Robotic System for use in patients with BPH,</w:t>
      </w:r>
      <w:r>
        <w:rPr>
          <w:spacing w:val="1"/>
        </w:rPr>
        <w:t> </w:t>
      </w:r>
      <w:r>
        <w:rPr/>
        <w:t>and have subsequently obtained 510(k) clearances for modifications to the system. Any modification to these</w:t>
      </w:r>
      <w:r>
        <w:rPr>
          <w:spacing w:val="1"/>
        </w:rPr>
        <w:t> </w:t>
      </w:r>
      <w:r>
        <w:rPr/>
        <w:t>systems that has not been previously cleared may require us to submit a new 510(k) premarket notification and</w:t>
      </w:r>
      <w:r>
        <w:rPr>
          <w:spacing w:val="1"/>
        </w:rPr>
        <w:t> </w:t>
      </w:r>
      <w:r>
        <w:rPr/>
        <w:t>obtain clearance,</w:t>
      </w:r>
      <w:r>
        <w:rPr>
          <w:spacing w:val="1"/>
        </w:rPr>
        <w:t> </w:t>
      </w:r>
      <w:r>
        <w:rPr/>
        <w:t>or depending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change,</w:t>
      </w:r>
      <w:r>
        <w:rPr>
          <w:spacing w:val="1"/>
        </w:rPr>
        <w:t> </w:t>
      </w:r>
      <w:r>
        <w:rPr/>
        <w:t>we may be required</w:t>
      </w:r>
      <w:r>
        <w:rPr>
          <w:spacing w:val="1"/>
        </w:rPr>
        <w:t> </w:t>
      </w:r>
      <w:r>
        <w:rPr/>
        <w:t>to submit a PMA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obtain</w:t>
      </w:r>
      <w:r>
        <w:rPr>
          <w:spacing w:val="1"/>
        </w:rPr>
        <w:t> </w:t>
      </w:r>
      <w:r>
        <w:rPr/>
        <w:t>FDA</w:t>
      </w:r>
      <w:r>
        <w:rPr>
          <w:spacing w:val="-1"/>
        </w:rPr>
        <w:t> </w:t>
      </w:r>
      <w:r>
        <w:rPr/>
        <w:t>approval</w:t>
      </w:r>
      <w:r>
        <w:rPr>
          <w:spacing w:val="1"/>
        </w:rPr>
        <w:t> </w:t>
      </w:r>
      <w:r>
        <w:rPr/>
        <w:t>before implementing the change. Specifically, any modification to a 510(k)-cleared device that could significantly</w:t>
      </w:r>
      <w:r>
        <w:rPr>
          <w:spacing w:val="1"/>
        </w:rPr>
        <w:t> </w:t>
      </w:r>
      <w:r>
        <w:rPr/>
        <w:t>affect its safety or effectiveness, or that would constitute a major change in its intended use, design or manufacture,</w:t>
      </w:r>
      <w:r>
        <w:rPr>
          <w:spacing w:val="1"/>
        </w:rPr>
        <w:t> </w:t>
      </w:r>
      <w:r>
        <w:rPr/>
        <w:t>requires</w:t>
      </w:r>
      <w:r>
        <w:rPr>
          <w:spacing w:val="-1"/>
        </w:rPr>
        <w:t> </w:t>
      </w:r>
      <w:r>
        <w:rPr/>
        <w:t>a new 510(k)</w:t>
      </w:r>
      <w:r>
        <w:rPr>
          <w:spacing w:val="1"/>
        </w:rPr>
        <w:t> </w:t>
      </w:r>
      <w:r>
        <w:rPr/>
        <w:t>clearance or, possibly,</w:t>
      </w:r>
      <w:r>
        <w:rPr>
          <w:spacing w:val="1"/>
        </w:rPr>
        <w:t> </w:t>
      </w:r>
      <w:r>
        <w:rPr/>
        <w:t>approval of</w:t>
      </w:r>
      <w:r>
        <w:rPr>
          <w:spacing w:val="1"/>
        </w:rPr>
        <w:t> </w:t>
      </w:r>
      <w:r>
        <w:rPr/>
        <w:t>a PMA.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FDA requires every</w:t>
      </w:r>
      <w:r>
        <w:rPr>
          <w:spacing w:val="1"/>
        </w:rPr>
        <w:t> </w:t>
      </w:r>
      <w:r>
        <w:rPr/>
        <w:t>manufacturer</w:t>
      </w:r>
      <w:r>
        <w:rPr>
          <w:spacing w:val="1"/>
        </w:rPr>
        <w:t> </w:t>
      </w:r>
      <w:r>
        <w:rPr/>
        <w:t>to make</w:t>
      </w:r>
      <w:r>
        <w:rPr>
          <w:spacing w:val="1"/>
        </w:rPr>
        <w:t> </w:t>
      </w:r>
      <w:r>
        <w:rPr/>
        <w:t>this determination in the first instance, but the FDA may review any manufacturer’s decision. The FDA may not</w:t>
      </w:r>
      <w:r>
        <w:rPr>
          <w:spacing w:val="1"/>
        </w:rPr>
        <w:t> </w:t>
      </w:r>
      <w:r>
        <w:rPr/>
        <w:t>agree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decisions</w:t>
      </w:r>
      <w:r>
        <w:rPr>
          <w:spacing w:val="-4"/>
        </w:rPr>
        <w:t> </w:t>
      </w:r>
      <w:r>
        <w:rPr/>
        <w:t>regarding</w:t>
      </w:r>
      <w:r>
        <w:rPr>
          <w:spacing w:val="-3"/>
        </w:rPr>
        <w:t> </w:t>
      </w:r>
      <w:r>
        <w:rPr/>
        <w:t>whether</w:t>
      </w:r>
      <w:r>
        <w:rPr>
          <w:spacing w:val="-3"/>
        </w:rPr>
        <w:t> </w:t>
      </w:r>
      <w:r>
        <w:rPr/>
        <w:t>new</w:t>
      </w:r>
      <w:r>
        <w:rPr>
          <w:spacing w:val="-4"/>
        </w:rPr>
        <w:t> </w:t>
      </w:r>
      <w:r>
        <w:rPr/>
        <w:t>clearances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approvals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necessary.</w:t>
      </w:r>
      <w:r>
        <w:rPr>
          <w:spacing w:val="-3"/>
        </w:rPr>
        <w:t> </w:t>
      </w:r>
      <w:r>
        <w:rPr/>
        <w:t>We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made</w:t>
      </w:r>
      <w:r>
        <w:rPr>
          <w:spacing w:val="-4"/>
        </w:rPr>
        <w:t> </w:t>
      </w:r>
      <w:r>
        <w:rPr/>
        <w:t>modifications</w:t>
      </w:r>
      <w:r>
        <w:rPr>
          <w:spacing w:val="-47"/>
        </w:rPr>
        <w:t> </w:t>
      </w:r>
      <w:r>
        <w:rPr/>
        <w:t>to 510(k)-cleared products in the past and have determined based on our review of the applicable FDA regulations</w:t>
      </w:r>
      <w:r>
        <w:rPr>
          <w:spacing w:val="1"/>
        </w:rPr>
        <w:t> </w:t>
      </w:r>
      <w:r>
        <w:rPr/>
        <w:t>and guidance that in certain instances new 510(k) clearances or PMA approvals were not required. We may make</w:t>
      </w:r>
      <w:r>
        <w:rPr>
          <w:spacing w:val="1"/>
        </w:rPr>
        <w:t> </w:t>
      </w:r>
      <w:r>
        <w:rPr/>
        <w:t>modifications or add additional features in the future that we believe do not require a new 510(k) clearance or</w:t>
      </w:r>
      <w:r>
        <w:rPr>
          <w:spacing w:val="1"/>
        </w:rPr>
        <w:t> </w:t>
      </w:r>
      <w:r>
        <w:rPr/>
        <w:t>approval of a PMA. If the FDA disagrees with our determination and requires us to submit new 510(k) notifications</w:t>
      </w:r>
      <w:r>
        <w:rPr>
          <w:spacing w:val="1"/>
        </w:rPr>
        <w:t> </w:t>
      </w:r>
      <w:r>
        <w:rPr/>
        <w:t>or PMA applications for modifications to our previously cleared products for which we have concluded that new</w:t>
      </w:r>
      <w:r>
        <w:rPr>
          <w:spacing w:val="1"/>
        </w:rPr>
        <w:t> </w:t>
      </w:r>
      <w:r>
        <w:rPr/>
        <w:t>clearances or approvals are unnecessary, we may be required to cease marketing or to recall the modified product</w:t>
      </w:r>
      <w:r>
        <w:rPr>
          <w:spacing w:val="1"/>
        </w:rPr>
        <w:t> </w:t>
      </w:r>
      <w:r>
        <w:rPr/>
        <w:t>until we obtain clearance or approval, and we may be subject to significant regulatory fines or penalties. If the FDA</w:t>
      </w:r>
      <w:r>
        <w:rPr>
          <w:spacing w:val="1"/>
        </w:rPr>
        <w:t> </w:t>
      </w:r>
      <w:r>
        <w:rPr/>
        <w:t>requires us to go through a lengthier, more rigorous examination for future products or modifications to existing</w:t>
      </w:r>
      <w:r>
        <w:rPr>
          <w:spacing w:val="1"/>
        </w:rPr>
        <w:t> </w:t>
      </w:r>
      <w:r>
        <w:rPr/>
        <w:t>products than we had expected, product introductions or modifications could be delayed or canceled, which could</w:t>
      </w:r>
      <w:r>
        <w:rPr>
          <w:spacing w:val="1"/>
        </w:rPr>
        <w:t> </w:t>
      </w:r>
      <w:r>
        <w:rPr/>
        <w:t>adversely</w:t>
      </w:r>
      <w:r>
        <w:rPr>
          <w:spacing w:val="-1"/>
        </w:rPr>
        <w:t> </w:t>
      </w:r>
      <w:r>
        <w:rPr/>
        <w:t>affect</w:t>
      </w:r>
      <w:r>
        <w:rPr>
          <w:spacing w:val="-1"/>
        </w:rPr>
        <w:t> </w:t>
      </w:r>
      <w:r>
        <w:rPr/>
        <w:t>our ability to grow</w:t>
      </w:r>
      <w:r>
        <w:rPr>
          <w:spacing w:val="-1"/>
        </w:rPr>
        <w:t> </w:t>
      </w:r>
      <w:r>
        <w:rPr/>
        <w:t>our</w:t>
      </w:r>
      <w:r>
        <w:rPr>
          <w:spacing w:val="-1"/>
        </w:rPr>
        <w:t> </w:t>
      </w:r>
      <w:r>
        <w:rPr/>
        <w:t>business.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</w:pPr>
      <w:r>
        <w:rPr/>
        <w:t>The</w:t>
      </w:r>
      <w:r>
        <w:rPr>
          <w:spacing w:val="-3"/>
        </w:rPr>
        <w:t> </w:t>
      </w:r>
      <w:r>
        <w:rPr/>
        <w:t>FDA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</w:t>
      </w:r>
      <w:r>
        <w:rPr/>
        <w:t>regulators</w:t>
      </w:r>
      <w:r>
        <w:rPr>
          <w:spacing w:val="-3"/>
        </w:rPr>
        <w:t> </w:t>
      </w:r>
      <w:r>
        <w:rPr/>
        <w:t>can</w:t>
      </w:r>
      <w:r>
        <w:rPr>
          <w:spacing w:val="-2"/>
        </w:rPr>
        <w:t> </w:t>
      </w:r>
      <w:r>
        <w:rPr/>
        <w:t>delay,</w:t>
      </w:r>
      <w:r>
        <w:rPr>
          <w:spacing w:val="-2"/>
        </w:rPr>
        <w:t> </w:t>
      </w:r>
      <w:r>
        <w:rPr/>
        <w:t>limit,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deny</w:t>
      </w:r>
      <w:r>
        <w:rPr>
          <w:spacing w:val="-2"/>
        </w:rPr>
        <w:t> </w:t>
      </w:r>
      <w:r>
        <w:rPr/>
        <w:t>clearance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approval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device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many</w:t>
      </w:r>
      <w:r>
        <w:rPr>
          <w:spacing w:val="-2"/>
        </w:rPr>
        <w:t> </w:t>
      </w:r>
      <w:r>
        <w:rPr/>
        <w:t>reasons,</w:t>
      </w:r>
      <w:r>
        <w:rPr>
          <w:spacing w:val="-47"/>
        </w:rPr>
        <w:t> </w:t>
      </w:r>
      <w:r>
        <w:rPr/>
        <w:t>including: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9" w:lineRule="auto" w:before="181" w:after="0"/>
        <w:ind w:left="820" w:right="228" w:hanging="360"/>
        <w:jc w:val="left"/>
        <w:rPr>
          <w:sz w:val="20"/>
        </w:rPr>
      </w:pPr>
      <w:r>
        <w:rPr>
          <w:sz w:val="20"/>
        </w:rPr>
        <w:t>our inability to demonstrate to the satisfaction of the FDA or the applicable regulatory entity or notified</w:t>
      </w:r>
      <w:r>
        <w:rPr>
          <w:spacing w:val="1"/>
          <w:sz w:val="20"/>
        </w:rPr>
        <w:t> </w:t>
      </w:r>
      <w:r>
        <w:rPr>
          <w:sz w:val="20"/>
        </w:rPr>
        <w:t>body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AquaBeam</w:t>
      </w:r>
      <w:r>
        <w:rPr>
          <w:spacing w:val="-3"/>
          <w:sz w:val="20"/>
        </w:rPr>
        <w:t> </w:t>
      </w:r>
      <w:r>
        <w:rPr>
          <w:sz w:val="20"/>
        </w:rPr>
        <w:t>Robotic</w:t>
      </w:r>
      <w:r>
        <w:rPr>
          <w:spacing w:val="-4"/>
          <w:sz w:val="20"/>
        </w:rPr>
        <w:t> </w:t>
      </w:r>
      <w:r>
        <w:rPr>
          <w:sz w:val="20"/>
        </w:rPr>
        <w:t>System,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future</w:t>
      </w:r>
      <w:r>
        <w:rPr>
          <w:spacing w:val="-4"/>
          <w:sz w:val="20"/>
        </w:rPr>
        <w:t> </w:t>
      </w:r>
      <w:r>
        <w:rPr>
          <w:sz w:val="20"/>
        </w:rPr>
        <w:t>device,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accessories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substantially</w:t>
      </w:r>
      <w:r>
        <w:rPr>
          <w:spacing w:val="-47"/>
          <w:sz w:val="20"/>
        </w:rPr>
        <w:t> </w:t>
      </w:r>
      <w:r>
        <w:rPr>
          <w:sz w:val="20"/>
        </w:rPr>
        <w:t>equivalent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legally</w:t>
      </w:r>
      <w:r>
        <w:rPr>
          <w:spacing w:val="-2"/>
          <w:sz w:val="20"/>
        </w:rPr>
        <w:t> </w:t>
      </w:r>
      <w:r>
        <w:rPr>
          <w:sz w:val="20"/>
        </w:rPr>
        <w:t>marketed</w:t>
      </w:r>
      <w:r>
        <w:rPr>
          <w:spacing w:val="-2"/>
          <w:sz w:val="20"/>
        </w:rPr>
        <w:t> </w:t>
      </w:r>
      <w:r>
        <w:rPr>
          <w:sz w:val="20"/>
        </w:rPr>
        <w:t>predicate</w:t>
      </w:r>
      <w:r>
        <w:rPr>
          <w:spacing w:val="-2"/>
          <w:sz w:val="20"/>
        </w:rPr>
        <w:t> </w:t>
      </w:r>
      <w:r>
        <w:rPr>
          <w:sz w:val="20"/>
        </w:rPr>
        <w:t>device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safe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effective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their</w:t>
      </w:r>
      <w:r>
        <w:rPr>
          <w:spacing w:val="-2"/>
          <w:sz w:val="20"/>
        </w:rPr>
        <w:t> </w:t>
      </w:r>
      <w:r>
        <w:rPr>
          <w:sz w:val="20"/>
        </w:rPr>
        <w:t>proposed</w:t>
      </w:r>
      <w:r>
        <w:rPr>
          <w:spacing w:val="-2"/>
          <w:sz w:val="20"/>
        </w:rPr>
        <w:t> </w:t>
      </w:r>
      <w:r>
        <w:rPr>
          <w:sz w:val="20"/>
        </w:rPr>
        <w:t>intended</w:t>
      </w:r>
      <w:r>
        <w:rPr>
          <w:spacing w:val="-2"/>
          <w:sz w:val="20"/>
        </w:rPr>
        <w:t> </w:t>
      </w:r>
      <w:r>
        <w:rPr>
          <w:sz w:val="20"/>
        </w:rPr>
        <w:t>uses;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9" w:lineRule="auto" w:before="183" w:after="0"/>
        <w:ind w:left="820" w:right="152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disagreement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FDA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design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implementation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clinical</w:t>
      </w:r>
      <w:r>
        <w:rPr>
          <w:spacing w:val="-3"/>
          <w:sz w:val="20"/>
        </w:rPr>
        <w:t> </w:t>
      </w:r>
      <w:r>
        <w:rPr>
          <w:sz w:val="20"/>
        </w:rPr>
        <w:t>trials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interpretation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data</w:t>
      </w:r>
      <w:r>
        <w:rPr>
          <w:spacing w:val="-2"/>
          <w:sz w:val="20"/>
        </w:rPr>
        <w:t> </w:t>
      </w:r>
      <w:r>
        <w:rPr>
          <w:sz w:val="20"/>
        </w:rPr>
        <w:t>from</w:t>
      </w:r>
      <w:r>
        <w:rPr>
          <w:spacing w:val="-1"/>
          <w:sz w:val="20"/>
        </w:rPr>
        <w:t> </w:t>
      </w:r>
      <w:r>
        <w:rPr>
          <w:sz w:val="20"/>
        </w:rPr>
        <w:t>preclinical</w:t>
      </w:r>
      <w:r>
        <w:rPr>
          <w:spacing w:val="-1"/>
          <w:sz w:val="20"/>
        </w:rPr>
        <w:t> </w:t>
      </w:r>
      <w:r>
        <w:rPr>
          <w:sz w:val="20"/>
        </w:rPr>
        <w:t>studies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clinical</w:t>
      </w:r>
      <w:r>
        <w:rPr>
          <w:spacing w:val="-1"/>
          <w:sz w:val="20"/>
        </w:rPr>
        <w:t> </w:t>
      </w:r>
      <w:r>
        <w:rPr>
          <w:sz w:val="20"/>
        </w:rPr>
        <w:t>trials;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0" w:lineRule="auto" w:before="181" w:after="0"/>
        <w:ind w:left="820" w:right="0" w:hanging="360"/>
        <w:jc w:val="left"/>
        <w:rPr>
          <w:sz w:val="20"/>
        </w:rPr>
      </w:pPr>
      <w:r>
        <w:rPr>
          <w:sz w:val="20"/>
        </w:rPr>
        <w:t>serious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unexpected</w:t>
      </w:r>
      <w:r>
        <w:rPr>
          <w:spacing w:val="-3"/>
          <w:sz w:val="20"/>
        </w:rPr>
        <w:t> </w:t>
      </w:r>
      <w:r>
        <w:rPr>
          <w:sz w:val="20"/>
        </w:rPr>
        <w:t>adverse</w:t>
      </w:r>
      <w:r>
        <w:rPr>
          <w:spacing w:val="-5"/>
          <w:sz w:val="20"/>
        </w:rPr>
        <w:t> </w:t>
      </w:r>
      <w:r>
        <w:rPr>
          <w:sz w:val="20"/>
        </w:rPr>
        <w:t>device</w:t>
      </w:r>
      <w:r>
        <w:rPr>
          <w:spacing w:val="-4"/>
          <w:sz w:val="20"/>
        </w:rPr>
        <w:t> </w:t>
      </w:r>
      <w:r>
        <w:rPr>
          <w:sz w:val="20"/>
        </w:rPr>
        <w:t>effects</w:t>
      </w:r>
      <w:r>
        <w:rPr>
          <w:spacing w:val="-4"/>
          <w:sz w:val="20"/>
        </w:rPr>
        <w:t> </w:t>
      </w:r>
      <w:r>
        <w:rPr>
          <w:sz w:val="20"/>
        </w:rPr>
        <w:t>experienced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participants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4"/>
          <w:sz w:val="20"/>
        </w:rPr>
        <w:t> </w:t>
      </w:r>
      <w:r>
        <w:rPr>
          <w:sz w:val="20"/>
        </w:rPr>
        <w:t>clinical</w:t>
      </w:r>
      <w:r>
        <w:rPr>
          <w:spacing w:val="-4"/>
          <w:sz w:val="20"/>
        </w:rPr>
        <w:t> </w:t>
      </w:r>
      <w:r>
        <w:rPr>
          <w:sz w:val="20"/>
        </w:rPr>
        <w:t>trials;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9" w:lineRule="auto" w:before="190" w:after="0"/>
        <w:ind w:left="820" w:right="613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insufficiency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preclinical</w:t>
      </w:r>
      <w:r>
        <w:rPr>
          <w:spacing w:val="-3"/>
          <w:sz w:val="20"/>
        </w:rPr>
        <w:t> </w:t>
      </w:r>
      <w:r>
        <w:rPr>
          <w:sz w:val="20"/>
        </w:rPr>
        <w:t>studies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clinical</w:t>
      </w:r>
      <w:r>
        <w:rPr>
          <w:spacing w:val="-3"/>
          <w:sz w:val="20"/>
        </w:rPr>
        <w:t> </w:t>
      </w:r>
      <w:r>
        <w:rPr>
          <w:sz w:val="20"/>
        </w:rPr>
        <w:t>trials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support</w:t>
      </w:r>
      <w:r>
        <w:rPr>
          <w:spacing w:val="-3"/>
          <w:sz w:val="20"/>
        </w:rPr>
        <w:t> </w:t>
      </w:r>
      <w:r>
        <w:rPr>
          <w:sz w:val="20"/>
        </w:rPr>
        <w:t>clearance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approval,</w:t>
      </w:r>
      <w:r>
        <w:rPr>
          <w:spacing w:val="-47"/>
          <w:sz w:val="20"/>
        </w:rPr>
        <w:t> </w:t>
      </w:r>
      <w:r>
        <w:rPr>
          <w:sz w:val="20"/>
        </w:rPr>
        <w:t>where</w:t>
      </w:r>
      <w:r>
        <w:rPr>
          <w:spacing w:val="-2"/>
          <w:sz w:val="20"/>
        </w:rPr>
        <w:t> </w:t>
      </w:r>
      <w:r>
        <w:rPr>
          <w:sz w:val="20"/>
        </w:rPr>
        <w:t>required;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0" w:lineRule="auto" w:before="182" w:after="0"/>
        <w:ind w:left="820" w:right="0" w:hanging="360"/>
        <w:jc w:val="left"/>
        <w:rPr>
          <w:sz w:val="20"/>
        </w:rPr>
      </w:pP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inability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demonstrate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clinical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2"/>
          <w:sz w:val="20"/>
        </w:rPr>
        <w:t> </w:t>
      </w:r>
      <w:r>
        <w:rPr>
          <w:sz w:val="20"/>
        </w:rPr>
        <w:t>benefits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device</w:t>
      </w:r>
      <w:r>
        <w:rPr>
          <w:spacing w:val="-3"/>
          <w:sz w:val="20"/>
        </w:rPr>
        <w:t> </w:t>
      </w:r>
      <w:r>
        <w:rPr>
          <w:sz w:val="20"/>
        </w:rPr>
        <w:t>outweigh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risks;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failure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manufacturing</w:t>
      </w:r>
      <w:r>
        <w:rPr>
          <w:spacing w:val="-3"/>
          <w:sz w:val="20"/>
        </w:rPr>
        <w:t> </w:t>
      </w:r>
      <w:r>
        <w:rPr>
          <w:sz w:val="20"/>
        </w:rPr>
        <w:t>process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facilities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meet</w:t>
      </w:r>
      <w:r>
        <w:rPr>
          <w:spacing w:val="-4"/>
          <w:sz w:val="20"/>
        </w:rPr>
        <w:t> </w:t>
      </w:r>
      <w:r>
        <w:rPr>
          <w:sz w:val="20"/>
        </w:rPr>
        <w:t>applicable</w:t>
      </w:r>
      <w:r>
        <w:rPr>
          <w:spacing w:val="-4"/>
          <w:sz w:val="20"/>
        </w:rPr>
        <w:t> </w:t>
      </w:r>
      <w:r>
        <w:rPr>
          <w:sz w:val="20"/>
        </w:rPr>
        <w:t>requirements;</w:t>
      </w:r>
      <w:r>
        <w:rPr>
          <w:spacing w:val="-4"/>
          <w:sz w:val="20"/>
        </w:rPr>
        <w:t> </w:t>
      </w:r>
      <w:r>
        <w:rPr>
          <w:sz w:val="20"/>
        </w:rPr>
        <w:t>and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9" w:lineRule="auto" w:before="190" w:after="0"/>
        <w:ind w:left="820" w:right="302" w:hanging="360"/>
        <w:jc w:val="left"/>
        <w:rPr>
          <w:sz w:val="20"/>
        </w:rPr>
      </w:pPr>
      <w:r>
        <w:rPr>
          <w:sz w:val="20"/>
        </w:rPr>
        <w:t>the potential for approval policies or regulations of the FDA or applicable foreign regulatory bodies to</w:t>
      </w:r>
      <w:r>
        <w:rPr>
          <w:spacing w:val="1"/>
          <w:sz w:val="20"/>
        </w:rPr>
        <w:t> </w:t>
      </w:r>
      <w:r>
        <w:rPr>
          <w:sz w:val="20"/>
        </w:rPr>
        <w:t>change</w:t>
      </w:r>
      <w:r>
        <w:rPr>
          <w:spacing w:val="-4"/>
          <w:sz w:val="20"/>
        </w:rPr>
        <w:t> </w:t>
      </w:r>
      <w:r>
        <w:rPr>
          <w:sz w:val="20"/>
        </w:rPr>
        <w:t>significantly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manner</w:t>
      </w:r>
      <w:r>
        <w:rPr>
          <w:spacing w:val="-3"/>
          <w:sz w:val="20"/>
        </w:rPr>
        <w:t> </w:t>
      </w:r>
      <w:r>
        <w:rPr>
          <w:sz w:val="20"/>
        </w:rPr>
        <w:t>rendering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clinical</w:t>
      </w:r>
      <w:r>
        <w:rPr>
          <w:spacing w:val="-4"/>
          <w:sz w:val="20"/>
        </w:rPr>
        <w:t> </w:t>
      </w:r>
      <w:r>
        <w:rPr>
          <w:sz w:val="20"/>
        </w:rPr>
        <w:t>data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regulatory</w:t>
      </w:r>
      <w:r>
        <w:rPr>
          <w:spacing w:val="-3"/>
          <w:sz w:val="20"/>
        </w:rPr>
        <w:t> </w:t>
      </w:r>
      <w:r>
        <w:rPr>
          <w:sz w:val="20"/>
        </w:rPr>
        <w:t>filings</w:t>
      </w:r>
      <w:r>
        <w:rPr>
          <w:spacing w:val="-4"/>
          <w:sz w:val="20"/>
        </w:rPr>
        <w:t> </w:t>
      </w:r>
      <w:r>
        <w:rPr>
          <w:sz w:val="20"/>
        </w:rPr>
        <w:t>insufficient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clearance</w:t>
      </w:r>
      <w:r>
        <w:rPr>
          <w:spacing w:val="-47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approval.</w:t>
      </w:r>
    </w:p>
    <w:p>
      <w:pPr>
        <w:pStyle w:val="Heading3"/>
        <w:spacing w:line="249" w:lineRule="auto" w:before="179"/>
        <w:ind w:right="129"/>
      </w:pPr>
      <w:r>
        <w:rPr>
          <w:i/>
        </w:rPr>
        <w:t>Our future success depends on our ability to develop, receive regulatory clearance or approval for, and introduce</w:t>
      </w:r>
      <w:r>
        <w:rPr>
          <w:i/>
          <w:spacing w:val="1"/>
        </w:rPr>
        <w:t> </w:t>
      </w:r>
      <w:r>
        <w:rPr/>
        <w:t>new products that will be accepted by the market in a timely manner. There is no guarantee that the FDA will</w:t>
      </w:r>
      <w:r>
        <w:rPr>
          <w:spacing w:val="1"/>
        </w:rPr>
        <w:t> </w:t>
      </w:r>
      <w:r>
        <w:rPr/>
        <w:t>grant 510(k) clearance or PMA approval of our future products on a timely basis, if at all, and failure to obtain</w:t>
      </w:r>
      <w:r>
        <w:rPr>
          <w:spacing w:val="1"/>
        </w:rPr>
        <w:t> </w:t>
      </w:r>
      <w:r>
        <w:rPr/>
        <w:t>necessary</w:t>
      </w:r>
      <w:r>
        <w:rPr>
          <w:spacing w:val="-4"/>
        </w:rPr>
        <w:t> </w:t>
      </w:r>
      <w:r>
        <w:rPr/>
        <w:t>clearances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approvals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our</w:t>
      </w:r>
      <w:r>
        <w:rPr>
          <w:spacing w:val="-4"/>
        </w:rPr>
        <w:t> </w:t>
      </w:r>
      <w:r>
        <w:rPr/>
        <w:t>future</w:t>
      </w:r>
      <w:r>
        <w:rPr>
          <w:spacing w:val="-4"/>
        </w:rPr>
        <w:t> </w:t>
      </w:r>
      <w:r>
        <w:rPr/>
        <w:t>products</w:t>
      </w:r>
      <w:r>
        <w:rPr>
          <w:spacing w:val="-4"/>
        </w:rPr>
        <w:t> </w:t>
      </w:r>
      <w:r>
        <w:rPr/>
        <w:t>would</w:t>
      </w:r>
      <w:r>
        <w:rPr>
          <w:spacing w:val="-3"/>
        </w:rPr>
        <w:t> </w:t>
      </w:r>
      <w:r>
        <w:rPr/>
        <w:t>adversely</w:t>
      </w:r>
      <w:r>
        <w:rPr>
          <w:spacing w:val="-4"/>
        </w:rPr>
        <w:t> </w:t>
      </w:r>
      <w:r>
        <w:rPr/>
        <w:t>affect</w:t>
      </w:r>
      <w:r>
        <w:rPr>
          <w:spacing w:val="-4"/>
        </w:rPr>
        <w:t> </w:t>
      </w:r>
      <w:r>
        <w:rPr/>
        <w:t>our</w:t>
      </w:r>
      <w:r>
        <w:rPr>
          <w:spacing w:val="-4"/>
        </w:rPr>
        <w:t> </w:t>
      </w:r>
      <w:r>
        <w:rPr/>
        <w:t>ability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grow</w:t>
      </w:r>
      <w:r>
        <w:rPr>
          <w:spacing w:val="-4"/>
        </w:rPr>
        <w:t> </w:t>
      </w:r>
      <w:r>
        <w:rPr/>
        <w:t>our</w:t>
      </w:r>
      <w:r>
        <w:rPr>
          <w:spacing w:val="-4"/>
        </w:rPr>
        <w:t> </w:t>
      </w:r>
      <w:r>
        <w:rPr/>
        <w:t>business.</w:t>
      </w:r>
    </w:p>
    <w:p>
      <w:pPr>
        <w:pStyle w:val="BodyText"/>
        <w:spacing w:line="249" w:lineRule="auto" w:before="187"/>
        <w:ind w:right="212"/>
      </w:pP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important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business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build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pipeline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product</w:t>
      </w:r>
      <w:r>
        <w:rPr>
          <w:spacing w:val="-3"/>
        </w:rPr>
        <w:t> </w:t>
      </w:r>
      <w:r>
        <w:rPr/>
        <w:t>offerings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address</w:t>
      </w:r>
      <w:r>
        <w:rPr>
          <w:spacing w:val="-3"/>
        </w:rPr>
        <w:t> </w:t>
      </w:r>
      <w:r>
        <w:rPr/>
        <w:t>limitations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current</w:t>
      </w:r>
      <w:r>
        <w:rPr>
          <w:spacing w:val="-47"/>
        </w:rPr>
        <w:t> </w:t>
      </w:r>
      <w:r>
        <w:rPr/>
        <w:t>BPH</w:t>
      </w:r>
      <w:r>
        <w:rPr>
          <w:spacing w:val="-3"/>
        </w:rPr>
        <w:t> </w:t>
      </w:r>
      <w:r>
        <w:rPr/>
        <w:t>products.</w:t>
      </w:r>
      <w:r>
        <w:rPr>
          <w:spacing w:val="-1"/>
        </w:rPr>
        <w:t> </w:t>
      </w:r>
      <w:r>
        <w:rPr/>
        <w:t>As</w:t>
      </w:r>
      <w:r>
        <w:rPr>
          <w:spacing w:val="-3"/>
        </w:rPr>
        <w:t> </w:t>
      </w:r>
      <w:r>
        <w:rPr/>
        <w:t>such,</w:t>
      </w:r>
      <w:r>
        <w:rPr>
          <w:spacing w:val="-1"/>
        </w:rPr>
        <w:t> </w:t>
      </w:r>
      <w:r>
        <w:rPr/>
        <w:t>our</w:t>
      </w:r>
      <w:r>
        <w:rPr>
          <w:spacing w:val="-2"/>
        </w:rPr>
        <w:t> </w:t>
      </w:r>
      <w:r>
        <w:rPr/>
        <w:t>success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depend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part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</w:t>
      </w:r>
      <w:r>
        <w:rPr/>
        <w:t>our</w:t>
      </w:r>
      <w:r>
        <w:rPr>
          <w:spacing w:val="-2"/>
        </w:rPr>
        <w:t> </w:t>
      </w:r>
      <w:r>
        <w:rPr/>
        <w:t>ability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develop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introduce</w:t>
      </w:r>
      <w:r>
        <w:rPr>
          <w:spacing w:val="-2"/>
        </w:rPr>
        <w:t> </w:t>
      </w:r>
      <w:r>
        <w:rPr/>
        <w:t>new</w:t>
      </w:r>
      <w:r>
        <w:rPr>
          <w:spacing w:val="-3"/>
        </w:rPr>
        <w:t> </w:t>
      </w:r>
      <w:r>
        <w:rPr/>
        <w:t>products.</w:t>
      </w:r>
    </w:p>
    <w:p>
      <w:pPr>
        <w:pStyle w:val="BodyText"/>
        <w:spacing w:line="249" w:lineRule="auto" w:before="1"/>
        <w:ind w:right="212" w:firstLine="0"/>
      </w:pPr>
      <w:r>
        <w:rPr/>
        <w:t>However,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not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able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successfully</w:t>
      </w:r>
      <w:r>
        <w:rPr>
          <w:spacing w:val="-3"/>
        </w:rPr>
        <w:t> </w:t>
      </w:r>
      <w:r>
        <w:rPr/>
        <w:t>develop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obtain</w:t>
      </w:r>
      <w:r>
        <w:rPr>
          <w:spacing w:val="-2"/>
        </w:rPr>
        <w:t> </w:t>
      </w:r>
      <w:r>
        <w:rPr/>
        <w:t>regulatory</w:t>
      </w:r>
      <w:r>
        <w:rPr>
          <w:spacing w:val="-3"/>
        </w:rPr>
        <w:t> </w:t>
      </w:r>
      <w:r>
        <w:rPr/>
        <w:t>clearance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approval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product</w:t>
      </w:r>
      <w:r>
        <w:rPr>
          <w:spacing w:val="-47"/>
        </w:rPr>
        <w:t> </w:t>
      </w:r>
      <w:r>
        <w:rPr/>
        <w:t>enhancements, or new products for any number of reasons, including due to the cost associated with certain</w:t>
      </w:r>
      <w:r>
        <w:rPr>
          <w:spacing w:val="1"/>
        </w:rPr>
        <w:t> </w:t>
      </w:r>
      <w:r>
        <w:rPr/>
        <w:t>regulatory</w:t>
      </w:r>
      <w:r>
        <w:rPr>
          <w:spacing w:val="-1"/>
        </w:rPr>
        <w:t> </w:t>
      </w:r>
      <w:r>
        <w:rPr/>
        <w:t>approval</w:t>
      </w:r>
      <w:r>
        <w:rPr>
          <w:spacing w:val="-2"/>
        </w:rPr>
        <w:t> </w:t>
      </w:r>
      <w:r>
        <w:rPr/>
        <w:t>requirements,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these</w:t>
      </w:r>
      <w:r>
        <w:rPr>
          <w:spacing w:val="-2"/>
        </w:rPr>
        <w:t> </w:t>
      </w:r>
      <w:r>
        <w:rPr/>
        <w:t>products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accepted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physicians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users.</w:t>
      </w:r>
    </w:p>
    <w:p>
      <w:pPr>
        <w:pStyle w:val="BodyText"/>
        <w:spacing w:line="249" w:lineRule="auto" w:before="183"/>
        <w:ind w:right="180"/>
      </w:pPr>
      <w:r>
        <w:rPr/>
        <w:t>The</w:t>
      </w:r>
      <w:r>
        <w:rPr>
          <w:spacing w:val="-3"/>
        </w:rPr>
        <w:t> </w:t>
      </w:r>
      <w:r>
        <w:rPr/>
        <w:t>success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any</w:t>
      </w:r>
      <w:r>
        <w:rPr>
          <w:spacing w:val="-1"/>
        </w:rPr>
        <w:t> </w:t>
      </w:r>
      <w:r>
        <w:rPr/>
        <w:t>new</w:t>
      </w:r>
      <w:r>
        <w:rPr>
          <w:spacing w:val="-3"/>
        </w:rPr>
        <w:t> </w:t>
      </w:r>
      <w:r>
        <w:rPr/>
        <w:t>product</w:t>
      </w:r>
      <w:r>
        <w:rPr>
          <w:spacing w:val="-3"/>
        </w:rPr>
        <w:t> </w:t>
      </w:r>
      <w:r>
        <w:rPr/>
        <w:t>offering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enhancement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</w:t>
      </w:r>
      <w:r>
        <w:rPr/>
        <w:t>existing</w:t>
      </w:r>
      <w:r>
        <w:rPr>
          <w:spacing w:val="-2"/>
        </w:rPr>
        <w:t> </w:t>
      </w:r>
      <w:r>
        <w:rPr/>
        <w:t>product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depend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number</w:t>
      </w:r>
      <w:r>
        <w:rPr>
          <w:spacing w:val="-1"/>
        </w:rPr>
        <w:t> </w:t>
      </w:r>
      <w:r>
        <w:rPr/>
        <w:t>of</w:t>
      </w:r>
      <w:r>
        <w:rPr>
          <w:spacing w:val="-47"/>
        </w:rPr>
        <w:t> </w:t>
      </w:r>
      <w:r>
        <w:rPr/>
        <w:t>factors,</w:t>
      </w:r>
      <w:r>
        <w:rPr>
          <w:spacing w:val="-1"/>
        </w:rPr>
        <w:t> </w:t>
      </w:r>
      <w:r>
        <w:rPr/>
        <w:t>including our ability to, among</w:t>
      </w:r>
      <w:r>
        <w:rPr>
          <w:spacing w:val="-1"/>
        </w:rPr>
        <w:t> </w:t>
      </w:r>
      <w:r>
        <w:rPr/>
        <w:t>others: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0" w:lineRule="auto" w:before="182" w:after="0"/>
        <w:ind w:left="820" w:right="0" w:hanging="360"/>
        <w:jc w:val="left"/>
        <w:rPr>
          <w:sz w:val="20"/>
        </w:rPr>
      </w:pPr>
      <w:r>
        <w:rPr>
          <w:sz w:val="20"/>
        </w:rPr>
        <w:t>identify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anticipate</w:t>
      </w:r>
      <w:r>
        <w:rPr>
          <w:spacing w:val="-4"/>
          <w:sz w:val="20"/>
        </w:rPr>
        <w:t> </w:t>
      </w:r>
      <w:r>
        <w:rPr>
          <w:sz w:val="20"/>
        </w:rPr>
        <w:t>physician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patient</w:t>
      </w:r>
      <w:r>
        <w:rPr>
          <w:spacing w:val="-4"/>
          <w:sz w:val="20"/>
        </w:rPr>
        <w:t> </w:t>
      </w:r>
      <w:r>
        <w:rPr>
          <w:sz w:val="20"/>
        </w:rPr>
        <w:t>needs</w:t>
      </w:r>
      <w:r>
        <w:rPr>
          <w:spacing w:val="-4"/>
          <w:sz w:val="20"/>
        </w:rPr>
        <w:t> </w:t>
      </w:r>
      <w:r>
        <w:rPr>
          <w:sz w:val="20"/>
        </w:rPr>
        <w:t>properly;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develop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introduce</w:t>
      </w:r>
      <w:r>
        <w:rPr>
          <w:spacing w:val="-3"/>
          <w:sz w:val="20"/>
        </w:rPr>
        <w:t> </w:t>
      </w:r>
      <w:r>
        <w:rPr>
          <w:sz w:val="20"/>
        </w:rPr>
        <w:t>new</w:t>
      </w:r>
      <w:r>
        <w:rPr>
          <w:spacing w:val="-3"/>
          <w:sz w:val="20"/>
        </w:rPr>
        <w:t> </w:t>
      </w:r>
      <w:r>
        <w:rPr>
          <w:sz w:val="20"/>
        </w:rPr>
        <w:t>products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product</w:t>
      </w:r>
      <w:r>
        <w:rPr>
          <w:spacing w:val="-3"/>
          <w:sz w:val="20"/>
        </w:rPr>
        <w:t> </w:t>
      </w:r>
      <w:r>
        <w:rPr>
          <w:sz w:val="20"/>
        </w:rPr>
        <w:t>enhancements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timely</w:t>
      </w:r>
      <w:r>
        <w:rPr>
          <w:spacing w:val="-3"/>
          <w:sz w:val="20"/>
        </w:rPr>
        <w:t> </w:t>
      </w:r>
      <w:r>
        <w:rPr>
          <w:sz w:val="20"/>
        </w:rPr>
        <w:t>manner;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avoid</w:t>
      </w:r>
      <w:r>
        <w:rPr>
          <w:spacing w:val="-3"/>
          <w:sz w:val="20"/>
        </w:rPr>
        <w:t> </w:t>
      </w:r>
      <w:r>
        <w:rPr>
          <w:sz w:val="20"/>
        </w:rPr>
        <w:t>infringing</w:t>
      </w:r>
      <w:r>
        <w:rPr>
          <w:spacing w:val="-3"/>
          <w:sz w:val="20"/>
        </w:rPr>
        <w:t> </w:t>
      </w:r>
      <w:r>
        <w:rPr>
          <w:sz w:val="20"/>
        </w:rPr>
        <w:t>upon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intellectual</w:t>
      </w:r>
      <w:r>
        <w:rPr>
          <w:spacing w:val="-3"/>
          <w:sz w:val="20"/>
        </w:rPr>
        <w:t> </w:t>
      </w:r>
      <w:r>
        <w:rPr>
          <w:sz w:val="20"/>
        </w:rPr>
        <w:t>property</w:t>
      </w:r>
      <w:r>
        <w:rPr>
          <w:spacing w:val="-3"/>
          <w:sz w:val="20"/>
        </w:rPr>
        <w:t> </w:t>
      </w:r>
      <w:r>
        <w:rPr>
          <w:sz w:val="20"/>
        </w:rPr>
        <w:t>rights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third</w:t>
      </w:r>
      <w:r>
        <w:rPr>
          <w:spacing w:val="-2"/>
          <w:sz w:val="20"/>
        </w:rPr>
        <w:t> </w:t>
      </w:r>
      <w:r>
        <w:rPr>
          <w:sz w:val="20"/>
        </w:rPr>
        <w:t>parties;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demonstrate,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required,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safety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efficacy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new</w:t>
      </w:r>
      <w:r>
        <w:rPr>
          <w:spacing w:val="-4"/>
          <w:sz w:val="20"/>
        </w:rPr>
        <w:t> </w:t>
      </w:r>
      <w:r>
        <w:rPr>
          <w:sz w:val="20"/>
        </w:rPr>
        <w:t>products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clinical</w:t>
      </w:r>
      <w:r>
        <w:rPr>
          <w:spacing w:val="-4"/>
          <w:sz w:val="20"/>
        </w:rPr>
        <w:t> </w:t>
      </w:r>
      <w:r>
        <w:rPr>
          <w:sz w:val="20"/>
        </w:rPr>
        <w:t>studies;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obtain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necessary</w:t>
      </w:r>
      <w:r>
        <w:rPr>
          <w:spacing w:val="-3"/>
          <w:sz w:val="20"/>
        </w:rPr>
        <w:t> </w:t>
      </w:r>
      <w:r>
        <w:rPr>
          <w:sz w:val="20"/>
        </w:rPr>
        <w:t>regulatory</w:t>
      </w:r>
      <w:r>
        <w:rPr>
          <w:spacing w:val="-2"/>
          <w:sz w:val="20"/>
        </w:rPr>
        <w:t> </w:t>
      </w:r>
      <w:r>
        <w:rPr>
          <w:sz w:val="20"/>
        </w:rPr>
        <w:t>clearances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approvals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new</w:t>
      </w:r>
      <w:r>
        <w:rPr>
          <w:spacing w:val="-4"/>
          <w:sz w:val="20"/>
        </w:rPr>
        <w:t> </w:t>
      </w:r>
      <w:r>
        <w:rPr>
          <w:sz w:val="20"/>
        </w:rPr>
        <w:t>products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product</w:t>
      </w:r>
      <w:r>
        <w:rPr>
          <w:spacing w:val="-4"/>
          <w:sz w:val="20"/>
        </w:rPr>
        <w:t> </w:t>
      </w:r>
      <w:r>
        <w:rPr>
          <w:sz w:val="20"/>
        </w:rPr>
        <w:t>enhancements;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9" w:lineRule="auto" w:before="190" w:after="0"/>
        <w:ind w:left="820" w:right="448" w:hanging="360"/>
        <w:jc w:val="left"/>
        <w:rPr>
          <w:sz w:val="20"/>
        </w:rPr>
      </w:pPr>
      <w:r>
        <w:rPr>
          <w:sz w:val="20"/>
        </w:rPr>
        <w:t>comply</w:t>
      </w:r>
      <w:r>
        <w:rPr>
          <w:spacing w:val="-3"/>
          <w:sz w:val="20"/>
        </w:rPr>
        <w:t> </w:t>
      </w:r>
      <w:r>
        <w:rPr>
          <w:sz w:val="20"/>
        </w:rPr>
        <w:t>fully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FDA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foreign</w:t>
      </w:r>
      <w:r>
        <w:rPr>
          <w:spacing w:val="-3"/>
          <w:sz w:val="20"/>
        </w:rPr>
        <w:t> </w:t>
      </w:r>
      <w:r>
        <w:rPr>
          <w:sz w:val="20"/>
        </w:rPr>
        <w:t>regulations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marketing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new</w:t>
      </w:r>
      <w:r>
        <w:rPr>
          <w:spacing w:val="-3"/>
          <w:sz w:val="20"/>
        </w:rPr>
        <w:t> </w:t>
      </w:r>
      <w:r>
        <w:rPr>
          <w:sz w:val="20"/>
        </w:rPr>
        <w:t>products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modified</w:t>
      </w:r>
      <w:r>
        <w:rPr>
          <w:spacing w:val="-2"/>
          <w:sz w:val="20"/>
        </w:rPr>
        <w:t> </w:t>
      </w:r>
      <w:r>
        <w:rPr>
          <w:sz w:val="20"/>
        </w:rPr>
        <w:t>products;</w:t>
      </w:r>
      <w:r>
        <w:rPr>
          <w:spacing w:val="-47"/>
          <w:sz w:val="20"/>
        </w:rPr>
        <w:t> </w:t>
      </w:r>
      <w:r>
        <w:rPr>
          <w:sz w:val="20"/>
        </w:rPr>
        <w:t>and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0" w:lineRule="auto" w:before="181" w:after="0"/>
        <w:ind w:left="820" w:right="0" w:hanging="360"/>
        <w:jc w:val="left"/>
        <w:rPr>
          <w:sz w:val="20"/>
        </w:rPr>
      </w:pPr>
      <w:r>
        <w:rPr>
          <w:sz w:val="20"/>
        </w:rPr>
        <w:t>provide</w:t>
      </w:r>
      <w:r>
        <w:rPr>
          <w:spacing w:val="-4"/>
          <w:sz w:val="20"/>
        </w:rPr>
        <w:t> </w:t>
      </w:r>
      <w:r>
        <w:rPr>
          <w:sz w:val="20"/>
        </w:rPr>
        <w:t>adequate</w:t>
      </w:r>
      <w:r>
        <w:rPr>
          <w:spacing w:val="-4"/>
          <w:sz w:val="20"/>
        </w:rPr>
        <w:t> </w:t>
      </w:r>
      <w:r>
        <w:rPr>
          <w:sz w:val="20"/>
        </w:rPr>
        <w:t>training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potential</w:t>
      </w:r>
      <w:r>
        <w:rPr>
          <w:spacing w:val="-4"/>
          <w:sz w:val="20"/>
        </w:rPr>
        <w:t> </w:t>
      </w:r>
      <w:r>
        <w:rPr>
          <w:sz w:val="20"/>
        </w:rPr>
        <w:t>users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AquaBeam</w:t>
      </w:r>
      <w:r>
        <w:rPr>
          <w:spacing w:val="-3"/>
          <w:sz w:val="20"/>
        </w:rPr>
        <w:t> </w:t>
      </w:r>
      <w:r>
        <w:rPr>
          <w:sz w:val="20"/>
        </w:rPr>
        <w:t>Robotic</w:t>
      </w:r>
      <w:r>
        <w:rPr>
          <w:spacing w:val="-4"/>
          <w:sz w:val="20"/>
        </w:rPr>
        <w:t> </w:t>
      </w:r>
      <w:r>
        <w:rPr>
          <w:sz w:val="20"/>
        </w:rPr>
        <w:t>System.</w:t>
      </w:r>
    </w:p>
    <w:p>
      <w:pPr>
        <w:pStyle w:val="BodyText"/>
        <w:spacing w:line="249" w:lineRule="auto"/>
      </w:pPr>
      <w:r>
        <w:rPr/>
        <w:t>If</w:t>
      </w:r>
      <w:r>
        <w:rPr>
          <w:spacing w:val="-2"/>
        </w:rPr>
        <w:t> </w:t>
      </w:r>
      <w:r>
        <w:rPr/>
        <w:t>we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develop</w:t>
      </w:r>
      <w:r>
        <w:rPr>
          <w:spacing w:val="-2"/>
        </w:rPr>
        <w:t> </w:t>
      </w:r>
      <w:r>
        <w:rPr/>
        <w:t>new</w:t>
      </w:r>
      <w:r>
        <w:rPr>
          <w:spacing w:val="-3"/>
        </w:rPr>
        <w:t> </w:t>
      </w:r>
      <w:r>
        <w:rPr/>
        <w:t>products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product</w:t>
      </w:r>
      <w:r>
        <w:rPr>
          <w:spacing w:val="-2"/>
        </w:rPr>
        <w:t> </w:t>
      </w:r>
      <w:r>
        <w:rPr/>
        <w:t>enhancements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time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meet</w:t>
      </w:r>
      <w:r>
        <w:rPr>
          <w:spacing w:val="-3"/>
        </w:rPr>
        <w:t> </w:t>
      </w:r>
      <w:r>
        <w:rPr/>
        <w:t>market</w:t>
      </w:r>
      <w:r>
        <w:rPr>
          <w:spacing w:val="-2"/>
        </w:rPr>
        <w:t> </w:t>
      </w:r>
      <w:r>
        <w:rPr/>
        <w:t>demand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there</w:t>
      </w:r>
      <w:r>
        <w:rPr>
          <w:spacing w:val="-2"/>
        </w:rPr>
        <w:t> </w:t>
      </w:r>
      <w:r>
        <w:rPr/>
        <w:t>is</w:t>
      </w:r>
      <w:r>
        <w:rPr>
          <w:spacing w:val="-47"/>
        </w:rPr>
        <w:t> </w:t>
      </w:r>
      <w:r>
        <w:rPr/>
        <w:t>insufficient demand for these products or enhancements, or if our competitors introduce new products with</w:t>
      </w:r>
      <w:r>
        <w:rPr>
          <w:spacing w:val="1"/>
        </w:rPr>
        <w:t> </w:t>
      </w:r>
      <w:r>
        <w:rPr/>
        <w:t>functionalities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superior to</w:t>
      </w:r>
      <w:r>
        <w:rPr>
          <w:spacing w:val="-1"/>
        </w:rPr>
        <w:t> </w:t>
      </w:r>
      <w:r>
        <w:rPr/>
        <w:t>ours, our</w:t>
      </w:r>
      <w:r>
        <w:rPr>
          <w:spacing w:val="-1"/>
        </w:rPr>
        <w:t> </w:t>
      </w:r>
      <w:r>
        <w:rPr/>
        <w:t>results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operations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suffer.</w:t>
      </w:r>
    </w:p>
    <w:p>
      <w:pPr>
        <w:pStyle w:val="BodyText"/>
        <w:spacing w:line="249" w:lineRule="auto" w:before="183"/>
        <w:ind w:right="127"/>
      </w:pPr>
      <w:r>
        <w:rPr/>
        <w:t>Some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our</w:t>
      </w:r>
      <w:r>
        <w:rPr>
          <w:spacing w:val="-1"/>
        </w:rPr>
        <w:t> </w:t>
      </w:r>
      <w:r>
        <w:rPr/>
        <w:t>future</w:t>
      </w:r>
      <w:r>
        <w:rPr>
          <w:spacing w:val="-3"/>
        </w:rPr>
        <w:t> </w:t>
      </w:r>
      <w:r>
        <w:rPr/>
        <w:t>products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/>
        <w:t>require</w:t>
      </w:r>
      <w:r>
        <w:rPr>
          <w:spacing w:val="-3"/>
        </w:rPr>
        <w:t> </w:t>
      </w:r>
      <w:r>
        <w:rPr/>
        <w:t>FDA</w:t>
      </w:r>
      <w:r>
        <w:rPr>
          <w:spacing w:val="-2"/>
        </w:rPr>
        <w:t> </w:t>
      </w:r>
      <w:r>
        <w:rPr/>
        <w:t>clearance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510(k).</w:t>
      </w:r>
      <w:r>
        <w:rPr>
          <w:spacing w:val="-2"/>
        </w:rPr>
        <w:t> </w:t>
      </w:r>
      <w:r>
        <w:rPr/>
        <w:t>Other</w:t>
      </w:r>
      <w:r>
        <w:rPr>
          <w:spacing w:val="-1"/>
        </w:rPr>
        <w:t> </w:t>
      </w:r>
      <w:r>
        <w:rPr/>
        <w:t>products</w:t>
      </w:r>
      <w:r>
        <w:rPr>
          <w:spacing w:val="-3"/>
        </w:rPr>
        <w:t> </w:t>
      </w:r>
      <w:r>
        <w:rPr/>
        <w:t>may</w:t>
      </w:r>
      <w:r>
        <w:rPr>
          <w:spacing w:val="-1"/>
        </w:rPr>
        <w:t> </w:t>
      </w:r>
      <w:r>
        <w:rPr/>
        <w:t>require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approval</w:t>
      </w:r>
      <w:r>
        <w:rPr>
          <w:spacing w:val="-2"/>
        </w:rPr>
        <w:t> </w:t>
      </w:r>
      <w:r>
        <w:rPr/>
        <w:t>of</w:t>
      </w:r>
      <w:r>
        <w:rPr>
          <w:spacing w:val="-47"/>
        </w:rPr>
        <w:t> </w:t>
      </w:r>
      <w:r>
        <w:rPr/>
        <w:t>a</w:t>
      </w:r>
      <w:r>
        <w:rPr>
          <w:spacing w:val="-3"/>
        </w:rPr>
        <w:t> </w:t>
      </w:r>
      <w:r>
        <w:rPr/>
        <w:t>PMA.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addition,</w:t>
      </w:r>
      <w:r>
        <w:rPr>
          <w:spacing w:val="-1"/>
        </w:rPr>
        <w:t> </w:t>
      </w:r>
      <w:r>
        <w:rPr/>
        <w:t>some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our</w:t>
      </w:r>
      <w:r>
        <w:rPr>
          <w:spacing w:val="-2"/>
        </w:rPr>
        <w:t> </w:t>
      </w:r>
      <w:r>
        <w:rPr/>
        <w:t>future</w:t>
      </w:r>
      <w:r>
        <w:rPr>
          <w:spacing w:val="-2"/>
        </w:rPr>
        <w:t> </w:t>
      </w:r>
      <w:r>
        <w:rPr/>
        <w:t>products</w:t>
      </w:r>
      <w:r>
        <w:rPr>
          <w:spacing w:val="-3"/>
        </w:rPr>
        <w:t> </w:t>
      </w:r>
      <w:r>
        <w:rPr/>
        <w:t>may</w:t>
      </w:r>
      <w:r>
        <w:rPr>
          <w:spacing w:val="-1"/>
        </w:rPr>
        <w:t> </w:t>
      </w:r>
      <w:r>
        <w:rPr/>
        <w:t>require</w:t>
      </w:r>
      <w:r>
        <w:rPr>
          <w:spacing w:val="-3"/>
        </w:rPr>
        <w:t> </w:t>
      </w:r>
      <w:r>
        <w:rPr/>
        <w:t>clinical</w:t>
      </w:r>
      <w:r>
        <w:rPr>
          <w:spacing w:val="-2"/>
        </w:rPr>
        <w:t> </w:t>
      </w:r>
      <w:r>
        <w:rPr/>
        <w:t>trials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support</w:t>
      </w:r>
      <w:r>
        <w:rPr>
          <w:spacing w:val="-2"/>
        </w:rPr>
        <w:t> </w:t>
      </w:r>
      <w:r>
        <w:rPr/>
        <w:t>regulatory</w:t>
      </w:r>
      <w:r>
        <w:rPr>
          <w:spacing w:val="-2"/>
        </w:rPr>
        <w:t> </w:t>
      </w:r>
      <w:r>
        <w:rPr/>
        <w:t>approval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we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  <w:ind w:right="125" w:firstLine="0"/>
      </w:pPr>
      <w:r>
        <w:rPr/>
        <w:t>may not successfully complete these clinical trials. The FDA may not approve or clear these products for the</w:t>
      </w:r>
      <w:r>
        <w:rPr>
          <w:spacing w:val="1"/>
        </w:rPr>
        <w:t> </w:t>
      </w:r>
      <w:r>
        <w:rPr/>
        <w:t>indications that are necessary or desirable for successful commercialization. Indeed, the FDA may refuse our</w:t>
      </w:r>
      <w:r>
        <w:rPr>
          <w:spacing w:val="1"/>
        </w:rPr>
        <w:t> </w:t>
      </w:r>
      <w:r>
        <w:rPr/>
        <w:t>requests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510(k)</w:t>
      </w:r>
      <w:r>
        <w:rPr>
          <w:spacing w:val="-2"/>
        </w:rPr>
        <w:t> </w:t>
      </w:r>
      <w:r>
        <w:rPr/>
        <w:t>clearance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PMA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new</w:t>
      </w:r>
      <w:r>
        <w:rPr>
          <w:spacing w:val="-3"/>
        </w:rPr>
        <w:t> </w:t>
      </w:r>
      <w:r>
        <w:rPr/>
        <w:t>products.</w:t>
      </w:r>
      <w:r>
        <w:rPr>
          <w:spacing w:val="-2"/>
        </w:rPr>
        <w:t> </w:t>
      </w:r>
      <w:r>
        <w:rPr/>
        <w:t>Failure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receive</w:t>
      </w:r>
      <w:r>
        <w:rPr>
          <w:spacing w:val="-2"/>
        </w:rPr>
        <w:t> </w:t>
      </w:r>
      <w:r>
        <w:rPr/>
        <w:t>clearance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approval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new</w:t>
      </w:r>
      <w:r>
        <w:rPr>
          <w:spacing w:val="-3"/>
        </w:rPr>
        <w:t> </w:t>
      </w:r>
      <w:r>
        <w:rPr/>
        <w:t>products</w:t>
      </w:r>
      <w:r>
        <w:rPr>
          <w:spacing w:val="-47"/>
        </w:rPr>
        <w:t> </w:t>
      </w:r>
      <w:r>
        <w:rPr/>
        <w:t>would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an adverse</w:t>
      </w:r>
      <w:r>
        <w:rPr>
          <w:spacing w:val="-1"/>
        </w:rPr>
        <w:t> </w:t>
      </w:r>
      <w:r>
        <w:rPr/>
        <w:t>effect</w:t>
      </w:r>
      <w:r>
        <w:rPr>
          <w:spacing w:val="-2"/>
        </w:rPr>
        <w:t> </w:t>
      </w:r>
      <w:r>
        <w:rPr/>
        <w:t>on our ability</w:t>
      </w:r>
      <w:r>
        <w:rPr>
          <w:spacing w:val="-1"/>
        </w:rPr>
        <w:t> </w:t>
      </w:r>
      <w:r>
        <w:rPr/>
        <w:t>to expand our business.</w:t>
      </w:r>
    </w:p>
    <w:p>
      <w:pPr>
        <w:pStyle w:val="Heading3"/>
        <w:spacing w:line="249" w:lineRule="auto"/>
        <w:ind w:right="148"/>
      </w:pPr>
      <w:r>
        <w:rPr>
          <w:i/>
        </w:rPr>
        <w:t>Modifications</w:t>
      </w:r>
      <w:r>
        <w:rPr>
          <w:i/>
          <w:spacing w:val="-4"/>
        </w:rPr>
        <w:t> </w:t>
      </w:r>
      <w:r>
        <w:rPr>
          <w:i/>
        </w:rPr>
        <w:t>to</w:t>
      </w:r>
      <w:r>
        <w:rPr>
          <w:i/>
          <w:spacing w:val="-3"/>
        </w:rPr>
        <w:t> </w:t>
      </w:r>
      <w:r>
        <w:rPr>
          <w:i/>
        </w:rPr>
        <w:t>our</w:t>
      </w:r>
      <w:r>
        <w:rPr>
          <w:i/>
          <w:spacing w:val="-4"/>
        </w:rPr>
        <w:t> </w:t>
      </w:r>
      <w:r>
        <w:rPr>
          <w:i/>
        </w:rPr>
        <w:t>marketed</w:t>
      </w:r>
      <w:r>
        <w:rPr>
          <w:i/>
          <w:spacing w:val="-2"/>
        </w:rPr>
        <w:t> </w:t>
      </w:r>
      <w:r>
        <w:rPr>
          <w:i/>
        </w:rPr>
        <w:t>products</w:t>
      </w:r>
      <w:r>
        <w:rPr>
          <w:i/>
          <w:spacing w:val="-4"/>
        </w:rPr>
        <w:t> </w:t>
      </w:r>
      <w:r>
        <w:rPr>
          <w:i/>
        </w:rPr>
        <w:t>may</w:t>
      </w:r>
      <w:r>
        <w:rPr>
          <w:i/>
          <w:spacing w:val="-4"/>
        </w:rPr>
        <w:t> </w:t>
      </w:r>
      <w:r>
        <w:rPr>
          <w:i/>
        </w:rPr>
        <w:t>require</w:t>
      </w:r>
      <w:r>
        <w:rPr>
          <w:i/>
          <w:spacing w:val="-3"/>
        </w:rPr>
        <w:t> </w:t>
      </w:r>
      <w:r>
        <w:rPr>
          <w:i/>
        </w:rPr>
        <w:t>new</w:t>
      </w:r>
      <w:r>
        <w:rPr>
          <w:i/>
          <w:spacing w:val="-4"/>
        </w:rPr>
        <w:t> </w:t>
      </w:r>
      <w:r>
        <w:rPr>
          <w:i/>
        </w:rPr>
        <w:t>510(k)</w:t>
      </w:r>
      <w:r>
        <w:rPr>
          <w:i/>
          <w:spacing w:val="-3"/>
        </w:rPr>
        <w:t> </w:t>
      </w:r>
      <w:r>
        <w:rPr>
          <w:i/>
        </w:rPr>
        <w:t>clearances</w:t>
      </w:r>
      <w:r>
        <w:rPr>
          <w:i/>
          <w:spacing w:val="-3"/>
        </w:rPr>
        <w:t> </w:t>
      </w:r>
      <w:r>
        <w:rPr>
          <w:i/>
        </w:rPr>
        <w:t>or</w:t>
      </w:r>
      <w:r>
        <w:rPr>
          <w:i/>
          <w:spacing w:val="-4"/>
        </w:rPr>
        <w:t> </w:t>
      </w:r>
      <w:r>
        <w:rPr>
          <w:i/>
        </w:rPr>
        <w:t>PMA</w:t>
      </w:r>
      <w:r>
        <w:rPr>
          <w:i/>
          <w:spacing w:val="-4"/>
        </w:rPr>
        <w:t> </w:t>
      </w:r>
      <w:r>
        <w:rPr>
          <w:i/>
        </w:rPr>
        <w:t>approvals,</w:t>
      </w:r>
      <w:r>
        <w:rPr>
          <w:i/>
          <w:spacing w:val="-3"/>
        </w:rPr>
        <w:t> </w:t>
      </w:r>
      <w:r>
        <w:rPr>
          <w:i/>
        </w:rPr>
        <w:t>or</w:t>
      </w:r>
      <w:r>
        <w:rPr>
          <w:i/>
          <w:spacing w:val="-3"/>
        </w:rPr>
        <w:t> </w:t>
      </w:r>
      <w:r>
        <w:rPr>
          <w:i/>
        </w:rPr>
        <w:t>may</w:t>
      </w:r>
      <w:r>
        <w:rPr>
          <w:i/>
          <w:spacing w:val="-4"/>
        </w:rPr>
        <w:t> </w:t>
      </w:r>
      <w:r>
        <w:rPr>
          <w:i/>
        </w:rPr>
        <w:t>require</w:t>
      </w:r>
      <w:r>
        <w:rPr>
          <w:i/>
          <w:spacing w:val="-4"/>
        </w:rPr>
        <w:t> </w:t>
      </w:r>
      <w:r>
        <w:rPr>
          <w:i/>
        </w:rPr>
        <w:t>us</w:t>
      </w:r>
      <w:r>
        <w:rPr>
          <w:i/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cease</w:t>
      </w:r>
      <w:r>
        <w:rPr>
          <w:spacing w:val="-2"/>
        </w:rPr>
        <w:t> </w:t>
      </w:r>
      <w:r>
        <w:rPr/>
        <w:t>marketing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recall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modified</w:t>
      </w:r>
      <w:r>
        <w:rPr>
          <w:spacing w:val="-1"/>
        </w:rPr>
        <w:t> </w:t>
      </w:r>
      <w:r>
        <w:rPr/>
        <w:t>products</w:t>
      </w:r>
      <w:r>
        <w:rPr>
          <w:spacing w:val="-2"/>
        </w:rPr>
        <w:t> </w:t>
      </w:r>
      <w:r>
        <w:rPr/>
        <w:t>until</w:t>
      </w:r>
      <w:r>
        <w:rPr>
          <w:spacing w:val="-2"/>
        </w:rPr>
        <w:t> </w:t>
      </w:r>
      <w:r>
        <w:rPr/>
        <w:t>clearances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approvals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obtained.</w:t>
      </w:r>
    </w:p>
    <w:p>
      <w:pPr>
        <w:pStyle w:val="BodyText"/>
        <w:spacing w:line="249" w:lineRule="auto" w:before="185"/>
        <w:ind w:right="129"/>
      </w:pPr>
      <w:r>
        <w:rPr/>
        <w:t>Modifications to our AquaBeam Robotic System and associated consumables may require new regulatory</w:t>
      </w:r>
      <w:r>
        <w:rPr>
          <w:spacing w:val="1"/>
        </w:rPr>
        <w:t> </w:t>
      </w:r>
      <w:r>
        <w:rPr/>
        <w:t>approvals or clearances, including 510(k) clearances or PMAs, or require us to recall or cease marketing the</w:t>
      </w:r>
      <w:r>
        <w:rPr>
          <w:spacing w:val="1"/>
        </w:rPr>
        <w:t> </w:t>
      </w:r>
      <w:r>
        <w:rPr/>
        <w:t>modified systems until these clearances or approvals are obtained. The FDA requires device manufacturers to</w:t>
      </w:r>
      <w:r>
        <w:rPr>
          <w:spacing w:val="1"/>
        </w:rPr>
        <w:t> </w:t>
      </w:r>
      <w:r>
        <w:rPr/>
        <w:t>initially make and document a determination of whether or not a modification requires a new approval, supplement</w:t>
      </w:r>
      <w:r>
        <w:rPr>
          <w:spacing w:val="1"/>
        </w:rPr>
        <w:t> </w:t>
      </w:r>
      <w:r>
        <w:rPr/>
        <w:t>or clearance. A manufacturer may determine that a modification could not significantly affect safety or efficacy and</w:t>
      </w:r>
      <w:r>
        <w:rPr>
          <w:spacing w:val="1"/>
        </w:rPr>
        <w:t> </w:t>
      </w:r>
      <w:r>
        <w:rPr/>
        <w:t>does not represent a major change in its intended use, so that no new 510(k) clearance is necessary. However, the</w:t>
      </w:r>
      <w:r>
        <w:rPr>
          <w:spacing w:val="1"/>
        </w:rPr>
        <w:t> </w:t>
      </w:r>
      <w:r>
        <w:rPr/>
        <w:t>FDA</w:t>
      </w:r>
      <w:r>
        <w:rPr>
          <w:spacing w:val="-4"/>
        </w:rPr>
        <w:t> </w:t>
      </w:r>
      <w:r>
        <w:rPr/>
        <w:t>can</w:t>
      </w:r>
      <w:r>
        <w:rPr>
          <w:spacing w:val="-3"/>
        </w:rPr>
        <w:t> </w:t>
      </w:r>
      <w:r>
        <w:rPr/>
        <w:t>review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manufacturer’s</w:t>
      </w:r>
      <w:r>
        <w:rPr>
          <w:spacing w:val="-4"/>
        </w:rPr>
        <w:t> </w:t>
      </w:r>
      <w:r>
        <w:rPr/>
        <w:t>decision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disagree.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FDA</w:t>
      </w:r>
      <w:r>
        <w:rPr>
          <w:spacing w:val="-4"/>
        </w:rPr>
        <w:t> </w:t>
      </w:r>
      <w:r>
        <w:rPr/>
        <w:t>may</w:t>
      </w:r>
      <w:r>
        <w:rPr>
          <w:spacing w:val="-3"/>
        </w:rPr>
        <w:t> </w:t>
      </w:r>
      <w:r>
        <w:rPr/>
        <w:t>also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its</w:t>
      </w:r>
      <w:r>
        <w:rPr>
          <w:spacing w:val="-4"/>
        </w:rPr>
        <w:t> </w:t>
      </w:r>
      <w:r>
        <w:rPr/>
        <w:t>own</w:t>
      </w:r>
      <w:r>
        <w:rPr>
          <w:spacing w:val="-2"/>
        </w:rPr>
        <w:t> </w:t>
      </w:r>
      <w:r>
        <w:rPr/>
        <w:t>initiative</w:t>
      </w:r>
      <w:r>
        <w:rPr>
          <w:spacing w:val="-4"/>
        </w:rPr>
        <w:t> </w:t>
      </w:r>
      <w:r>
        <w:rPr/>
        <w:t>determine</w:t>
      </w:r>
      <w:r>
        <w:rPr>
          <w:spacing w:val="-4"/>
        </w:rPr>
        <w:t> </w:t>
      </w:r>
      <w:r>
        <w:rPr/>
        <w:t>that</w:t>
      </w:r>
      <w:r>
        <w:rPr>
          <w:spacing w:val="1"/>
        </w:rPr>
        <w:t> </w:t>
      </w:r>
      <w:r>
        <w:rPr/>
        <w:t>a new clearance or approval is required. We have made modifications to our AquaBeam Robotic System in the past</w:t>
      </w:r>
      <w:r>
        <w:rPr>
          <w:spacing w:val="1"/>
        </w:rPr>
        <w:t> </w:t>
      </w:r>
      <w:r>
        <w:rPr/>
        <w:t>and may make additional modifications in the future that we believe do not or will not require additional clearances</w:t>
      </w:r>
      <w:r>
        <w:rPr>
          <w:spacing w:val="1"/>
        </w:rPr>
        <w:t> </w:t>
      </w:r>
      <w:r>
        <w:rPr/>
        <w:t>or approvals. If the FDA disagrees and requires new clearances or approvals for the modifications, we may be</w:t>
      </w:r>
      <w:r>
        <w:rPr>
          <w:spacing w:val="1"/>
        </w:rPr>
        <w:t> </w:t>
      </w:r>
      <w:r>
        <w:rPr/>
        <w:t>required to recall and to stop marketing our AquaBeam Robotic System as modified, which could require us to</w:t>
      </w:r>
      <w:r>
        <w:rPr>
          <w:spacing w:val="1"/>
        </w:rPr>
        <w:t> </w:t>
      </w:r>
      <w:r>
        <w:rPr/>
        <w:t>redesign our AquaBeam Robotic System and/or seek new marketing authorizations and harm our operating results.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these</w:t>
      </w:r>
      <w:r>
        <w:rPr>
          <w:spacing w:val="-1"/>
        </w:rPr>
        <w:t> </w:t>
      </w:r>
      <w:r>
        <w:rPr/>
        <w:t>circumstances,</w:t>
      </w:r>
      <w:r>
        <w:rPr>
          <w:spacing w:val="-1"/>
        </w:rPr>
        <w:t> </w:t>
      </w:r>
      <w:r>
        <w:rPr/>
        <w:t>we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subject</w:t>
      </w:r>
      <w:r>
        <w:rPr>
          <w:spacing w:val="-2"/>
        </w:rPr>
        <w:t> </w:t>
      </w:r>
      <w:r>
        <w:rPr/>
        <w:t>to significant</w:t>
      </w:r>
      <w:r>
        <w:rPr>
          <w:spacing w:val="-2"/>
        </w:rPr>
        <w:t> </w:t>
      </w:r>
      <w:r>
        <w:rPr/>
        <w:t>enforcement</w:t>
      </w:r>
      <w:r>
        <w:rPr>
          <w:spacing w:val="-1"/>
        </w:rPr>
        <w:t> </w:t>
      </w:r>
      <w:r>
        <w:rPr/>
        <w:t>actions.</w:t>
      </w:r>
    </w:p>
    <w:p>
      <w:pPr>
        <w:pStyle w:val="BodyText"/>
        <w:spacing w:line="249" w:lineRule="auto"/>
        <w:ind w:right="212"/>
      </w:pPr>
      <w:r>
        <w:rPr/>
        <w:t>If a manufacturer determines that a modification to an FDA-cleared device could significantly affect its safety</w:t>
      </w:r>
      <w:r>
        <w:rPr>
          <w:spacing w:val="1"/>
        </w:rPr>
        <w:t> </w:t>
      </w:r>
      <w:r>
        <w:rPr/>
        <w:t>or effectiveness, or would constitute a major change in its intended use, then the manufacturer must file for a new</w:t>
      </w:r>
      <w:r>
        <w:rPr>
          <w:spacing w:val="1"/>
        </w:rPr>
        <w:t> </w:t>
      </w:r>
      <w:r>
        <w:rPr/>
        <w:t>510(k)</w:t>
      </w:r>
      <w:r>
        <w:rPr>
          <w:spacing w:val="-3"/>
        </w:rPr>
        <w:t> </w:t>
      </w:r>
      <w:r>
        <w:rPr/>
        <w:t>clearance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possibly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PMA</w:t>
      </w:r>
      <w:r>
        <w:rPr>
          <w:spacing w:val="-3"/>
        </w:rPr>
        <w:t> </w:t>
      </w:r>
      <w:r>
        <w:rPr/>
        <w:t>application.</w:t>
      </w:r>
      <w:r>
        <w:rPr>
          <w:spacing w:val="-3"/>
        </w:rPr>
        <w:t> </w:t>
      </w:r>
      <w:r>
        <w:rPr/>
        <w:t>Where</w:t>
      </w:r>
      <w:r>
        <w:rPr>
          <w:spacing w:val="-4"/>
        </w:rPr>
        <w:t> </w:t>
      </w:r>
      <w:r>
        <w:rPr/>
        <w:t>we</w:t>
      </w:r>
      <w:r>
        <w:rPr>
          <w:spacing w:val="-4"/>
        </w:rPr>
        <w:t> </w:t>
      </w:r>
      <w:r>
        <w:rPr/>
        <w:t>determine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modifications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AquaBeam</w:t>
      </w:r>
      <w:r>
        <w:rPr>
          <w:spacing w:val="-4"/>
        </w:rPr>
        <w:t> </w:t>
      </w:r>
      <w:r>
        <w:rPr/>
        <w:t>Robotic</w:t>
      </w:r>
      <w:r>
        <w:rPr>
          <w:spacing w:val="-47"/>
        </w:rPr>
        <w:t> </w:t>
      </w:r>
      <w:r>
        <w:rPr/>
        <w:t>System require a new 510(k) clearance or PMA application, we may not be able to obtain those additional</w:t>
      </w:r>
      <w:r>
        <w:rPr>
          <w:spacing w:val="1"/>
        </w:rPr>
        <w:t> </w:t>
      </w:r>
      <w:r>
        <w:rPr/>
        <w:t>clearances or approvals for the modifications or additional indications in a timely manner, or at all. Obtaining</w:t>
      </w:r>
      <w:r>
        <w:rPr>
          <w:spacing w:val="1"/>
        </w:rPr>
        <w:t> </w:t>
      </w:r>
      <w:r>
        <w:rPr/>
        <w:t>clearances and approvals can be a time-consuming process, and delays in obtaining required future clearances or</w:t>
      </w:r>
      <w:r>
        <w:rPr>
          <w:spacing w:val="1"/>
        </w:rPr>
        <w:t> </w:t>
      </w:r>
      <w:r>
        <w:rPr/>
        <w:t>approvals would adversely affect our ability to introduce new or enhanced products in a timely manner, which in</w:t>
      </w:r>
      <w:r>
        <w:rPr>
          <w:spacing w:val="1"/>
        </w:rPr>
        <w:t> </w:t>
      </w:r>
      <w:r>
        <w:rPr/>
        <w:t>turn</w:t>
      </w:r>
      <w:r>
        <w:rPr>
          <w:spacing w:val="-1"/>
        </w:rPr>
        <w:t> </w:t>
      </w:r>
      <w:r>
        <w:rPr/>
        <w:t>would harm</w:t>
      </w:r>
      <w:r>
        <w:rPr>
          <w:spacing w:val="-1"/>
        </w:rPr>
        <w:t> </w:t>
      </w:r>
      <w:r>
        <w:rPr/>
        <w:t>our future</w:t>
      </w:r>
      <w:r>
        <w:rPr>
          <w:spacing w:val="-1"/>
        </w:rPr>
        <w:t> </w:t>
      </w:r>
      <w:r>
        <w:rPr/>
        <w:t>growth.</w:t>
      </w:r>
    </w:p>
    <w:p>
      <w:pPr>
        <w:pStyle w:val="Heading3"/>
        <w:spacing w:line="249" w:lineRule="auto" w:before="184"/>
      </w:pPr>
      <w:r>
        <w:rPr>
          <w:i/>
        </w:rPr>
        <w:t>Even though we have obtained marketing authorization for our AquaBeam Robotic System, we are subject to</w:t>
      </w:r>
      <w:r>
        <w:rPr>
          <w:i/>
          <w:spacing w:val="1"/>
        </w:rPr>
        <w:t> </w:t>
      </w:r>
      <w:r>
        <w:rPr/>
        <w:t>ongoing regulatory review and scrutiny. Failure to comply with post-marketing regulatory requirements could</w:t>
      </w:r>
      <w:r>
        <w:rPr>
          <w:spacing w:val="-47"/>
        </w:rPr>
        <w:t> </w:t>
      </w:r>
      <w:r>
        <w:rPr/>
        <w:t>subject</w:t>
      </w:r>
      <w:r>
        <w:rPr>
          <w:spacing w:val="-5"/>
        </w:rPr>
        <w:t> </w:t>
      </w:r>
      <w:r>
        <w:rPr/>
        <w:t>us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enforcement</w:t>
      </w:r>
      <w:r>
        <w:rPr>
          <w:spacing w:val="-5"/>
        </w:rPr>
        <w:t> </w:t>
      </w:r>
      <w:r>
        <w:rPr/>
        <w:t>actions,</w:t>
      </w:r>
      <w:r>
        <w:rPr>
          <w:spacing w:val="-3"/>
        </w:rPr>
        <w:t> </w:t>
      </w:r>
      <w:r>
        <w:rPr/>
        <w:t>including</w:t>
      </w:r>
      <w:r>
        <w:rPr>
          <w:spacing w:val="-4"/>
        </w:rPr>
        <w:t> </w:t>
      </w:r>
      <w:r>
        <w:rPr/>
        <w:t>substantial</w:t>
      </w:r>
      <w:r>
        <w:rPr>
          <w:spacing w:val="-4"/>
        </w:rPr>
        <w:t> </w:t>
      </w:r>
      <w:r>
        <w:rPr/>
        <w:t>penalties,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might</w:t>
      </w:r>
      <w:r>
        <w:rPr>
          <w:spacing w:val="-5"/>
        </w:rPr>
        <w:t> </w:t>
      </w:r>
      <w:r>
        <w:rPr/>
        <w:t>require</w:t>
      </w:r>
      <w:r>
        <w:rPr>
          <w:spacing w:val="-4"/>
        </w:rPr>
        <w:t> </w:t>
      </w:r>
      <w:r>
        <w:rPr/>
        <w:t>us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recall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withdraw</w:t>
      </w:r>
      <w:r>
        <w:rPr>
          <w:spacing w:val="-5"/>
        </w:rPr>
        <w:t> </w:t>
      </w:r>
      <w:r>
        <w:rPr/>
        <w:t>a</w:t>
      </w:r>
      <w:r>
        <w:rPr>
          <w:spacing w:val="1"/>
        </w:rPr>
        <w:t> </w:t>
      </w:r>
      <w:r>
        <w:rPr/>
        <w:t>product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market.</w:t>
      </w:r>
    </w:p>
    <w:p>
      <w:pPr>
        <w:pStyle w:val="BodyText"/>
        <w:spacing w:line="249" w:lineRule="auto" w:before="186"/>
        <w:ind w:right="119"/>
      </w:pPr>
      <w:r>
        <w:rPr/>
        <w:t>Even though we have obtained marketing authorization for our AquaBeam Robotic System, it and any other</w:t>
      </w:r>
      <w:r>
        <w:rPr>
          <w:spacing w:val="1"/>
        </w:rPr>
        <w:t> </w:t>
      </w:r>
      <w:r>
        <w:rPr/>
        <w:t>product for which we obtain clearance or approval, and the manufacturing processes, post-market surveillance, post-</w:t>
      </w:r>
      <w:r>
        <w:rPr>
          <w:spacing w:val="-47"/>
        </w:rPr>
        <w:t> </w:t>
      </w:r>
      <w:r>
        <w:rPr/>
        <w:t>approval clinical data and promotional activities for such product, are or, in the case of future products, will be,</w:t>
      </w:r>
      <w:r>
        <w:rPr>
          <w:spacing w:val="1"/>
        </w:rPr>
        <w:t> </w:t>
      </w:r>
      <w:r>
        <w:rPr/>
        <w:t>subject to continued regulatory review, oversight, requirements, and periodic inspections by the FDA and other</w:t>
      </w:r>
      <w:r>
        <w:rPr>
          <w:spacing w:val="1"/>
        </w:rPr>
        <w:t> </w:t>
      </w:r>
      <w:r>
        <w:rPr/>
        <w:t>domestic and foreign regulatory bodies. In particular, we and our suppliers are required to comply with FDA’s QSR</w:t>
      </w:r>
      <w:r>
        <w:rPr>
          <w:spacing w:val="1"/>
        </w:rPr>
        <w:t> </w:t>
      </w:r>
      <w:r>
        <w:rPr/>
        <w:t>and other regulations enforced outside the United States which cover the manufacture of our products and the</w:t>
      </w:r>
      <w:r>
        <w:rPr>
          <w:spacing w:val="1"/>
        </w:rPr>
        <w:t> </w:t>
      </w:r>
      <w:r>
        <w:rPr/>
        <w:t>methods and documentation of the design, testing, production, control, quality assurance, labeling, packaging,</w:t>
      </w:r>
      <w:r>
        <w:rPr>
          <w:spacing w:val="1"/>
        </w:rPr>
        <w:t> </w:t>
      </w:r>
      <w:r>
        <w:rPr/>
        <w:t>storage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shipping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medical</w:t>
      </w:r>
      <w:r>
        <w:rPr>
          <w:spacing w:val="-3"/>
        </w:rPr>
        <w:t> </w:t>
      </w:r>
      <w:r>
        <w:rPr/>
        <w:t>devices.</w:t>
      </w:r>
      <w:r>
        <w:rPr>
          <w:spacing w:val="-3"/>
        </w:rPr>
        <w:t> </w:t>
      </w:r>
      <w:r>
        <w:rPr/>
        <w:t>Regulatory</w:t>
      </w:r>
      <w:r>
        <w:rPr>
          <w:spacing w:val="-2"/>
        </w:rPr>
        <w:t> </w:t>
      </w:r>
      <w:r>
        <w:rPr/>
        <w:t>bodies,</w:t>
      </w:r>
      <w:r>
        <w:rPr>
          <w:spacing w:val="-3"/>
        </w:rPr>
        <w:t> </w:t>
      </w:r>
      <w:r>
        <w:rPr/>
        <w:t>such</w:t>
      </w:r>
      <w:r>
        <w:rPr>
          <w:spacing w:val="-2"/>
        </w:rPr>
        <w:t> </w:t>
      </w:r>
      <w:r>
        <w:rPr/>
        <w:t>as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FDA,</w:t>
      </w:r>
      <w:r>
        <w:rPr>
          <w:spacing w:val="-3"/>
        </w:rPr>
        <w:t> </w:t>
      </w:r>
      <w:r>
        <w:rPr/>
        <w:t>enforce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QSR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other</w:t>
      </w:r>
      <w:r>
        <w:rPr>
          <w:spacing w:val="-2"/>
        </w:rPr>
        <w:t> </w:t>
      </w:r>
      <w:r>
        <w:rPr/>
        <w:t>regulations</w:t>
      </w:r>
      <w:r>
        <w:rPr>
          <w:spacing w:val="-47"/>
        </w:rPr>
        <w:t> </w:t>
      </w:r>
      <w:r>
        <w:rPr/>
        <w:t>through periodic inspections. The failure by us or one of our suppliers to comply with applicable statutes and</w:t>
      </w:r>
      <w:r>
        <w:rPr>
          <w:spacing w:val="1"/>
        </w:rPr>
        <w:t> </w:t>
      </w:r>
      <w:r>
        <w:rPr/>
        <w:t>regulations administered by the FDA and other regulatory bodies, or the failure to timely and adequately respond to</w:t>
      </w:r>
      <w:r>
        <w:rPr>
          <w:spacing w:val="1"/>
        </w:rPr>
        <w:t> </w:t>
      </w:r>
      <w:r>
        <w:rPr/>
        <w:t>any adverse inspectional observations or product safety issues, could result in, among other things, any of the</w:t>
      </w:r>
      <w:r>
        <w:rPr>
          <w:spacing w:val="1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enforcement</w:t>
      </w:r>
      <w:r>
        <w:rPr>
          <w:spacing w:val="-1"/>
        </w:rPr>
        <w:t> </w:t>
      </w:r>
      <w:r>
        <w:rPr/>
        <w:t>actions: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untitled</w:t>
      </w:r>
      <w:r>
        <w:rPr>
          <w:spacing w:val="-5"/>
          <w:sz w:val="20"/>
        </w:rPr>
        <w:t> </w:t>
      </w:r>
      <w:r>
        <w:rPr>
          <w:sz w:val="20"/>
        </w:rPr>
        <w:t>letters,</w:t>
      </w:r>
      <w:r>
        <w:rPr>
          <w:spacing w:val="-4"/>
          <w:sz w:val="20"/>
        </w:rPr>
        <w:t> </w:t>
      </w:r>
      <w:r>
        <w:rPr>
          <w:sz w:val="20"/>
        </w:rPr>
        <w:t>warning</w:t>
      </w:r>
      <w:r>
        <w:rPr>
          <w:spacing w:val="-4"/>
          <w:sz w:val="20"/>
        </w:rPr>
        <w:t> </w:t>
      </w:r>
      <w:r>
        <w:rPr>
          <w:sz w:val="20"/>
        </w:rPr>
        <w:t>letters,</w:t>
      </w:r>
      <w:r>
        <w:rPr>
          <w:spacing w:val="-4"/>
          <w:sz w:val="20"/>
        </w:rPr>
        <w:t> </w:t>
      </w:r>
      <w:r>
        <w:rPr>
          <w:sz w:val="20"/>
        </w:rPr>
        <w:t>fines,</w:t>
      </w:r>
      <w:r>
        <w:rPr>
          <w:spacing w:val="-4"/>
          <w:sz w:val="20"/>
        </w:rPr>
        <w:t> </w:t>
      </w:r>
      <w:r>
        <w:rPr>
          <w:sz w:val="20"/>
        </w:rPr>
        <w:t>injunctions,</w:t>
      </w:r>
      <w:r>
        <w:rPr>
          <w:spacing w:val="-5"/>
          <w:sz w:val="20"/>
        </w:rPr>
        <w:t> </w:t>
      </w:r>
      <w:r>
        <w:rPr>
          <w:sz w:val="20"/>
        </w:rPr>
        <w:t>consent</w:t>
      </w:r>
      <w:r>
        <w:rPr>
          <w:spacing w:val="-5"/>
          <w:sz w:val="20"/>
        </w:rPr>
        <w:t> </w:t>
      </w:r>
      <w:r>
        <w:rPr>
          <w:sz w:val="20"/>
        </w:rPr>
        <w:t>decrees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civil</w:t>
      </w:r>
      <w:r>
        <w:rPr>
          <w:spacing w:val="-5"/>
          <w:sz w:val="20"/>
        </w:rPr>
        <w:t> </w:t>
      </w:r>
      <w:r>
        <w:rPr>
          <w:sz w:val="20"/>
        </w:rPr>
        <w:t>penalties;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unanticipated</w:t>
      </w:r>
      <w:r>
        <w:rPr>
          <w:spacing w:val="-4"/>
          <w:sz w:val="20"/>
        </w:rPr>
        <w:t> </w:t>
      </w:r>
      <w:r>
        <w:rPr>
          <w:sz w:val="20"/>
        </w:rPr>
        <w:t>expenditures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address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defend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actions;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customer</w:t>
      </w:r>
      <w:r>
        <w:rPr>
          <w:spacing w:val="-4"/>
          <w:sz w:val="20"/>
        </w:rPr>
        <w:t> </w:t>
      </w:r>
      <w:r>
        <w:rPr>
          <w:sz w:val="20"/>
        </w:rPr>
        <w:t>notifications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repair,</w:t>
      </w:r>
      <w:r>
        <w:rPr>
          <w:spacing w:val="-4"/>
          <w:sz w:val="20"/>
        </w:rPr>
        <w:t> </w:t>
      </w:r>
      <w:r>
        <w:rPr>
          <w:sz w:val="20"/>
        </w:rPr>
        <w:t>replacement,</w:t>
      </w:r>
      <w:r>
        <w:rPr>
          <w:spacing w:val="-4"/>
          <w:sz w:val="20"/>
        </w:rPr>
        <w:t> </w:t>
      </w:r>
      <w:r>
        <w:rPr>
          <w:sz w:val="20"/>
        </w:rPr>
        <w:t>refunds;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recall,</w:t>
      </w:r>
      <w:r>
        <w:rPr>
          <w:spacing w:val="-3"/>
          <w:sz w:val="20"/>
        </w:rPr>
        <w:t> </w:t>
      </w:r>
      <w:r>
        <w:rPr>
          <w:sz w:val="20"/>
        </w:rPr>
        <w:t>detention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seizure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our</w:t>
      </w:r>
      <w:r>
        <w:rPr>
          <w:spacing w:val="-2"/>
          <w:sz w:val="20"/>
        </w:rPr>
        <w:t> </w:t>
      </w:r>
      <w:r>
        <w:rPr>
          <w:sz w:val="20"/>
        </w:rPr>
        <w:t>products;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741" w:top="1320" w:bottom="940" w:left="1340" w:right="1320"/>
        </w:sectPr>
      </w:pP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0" w:lineRule="auto" w:before="72" w:after="0"/>
        <w:ind w:left="820" w:right="0" w:hanging="360"/>
        <w:jc w:val="left"/>
        <w:rPr>
          <w:sz w:val="20"/>
        </w:rPr>
      </w:pPr>
      <w:r>
        <w:rPr>
          <w:sz w:val="20"/>
        </w:rPr>
        <w:t>operating</w:t>
      </w:r>
      <w:r>
        <w:rPr>
          <w:spacing w:val="-3"/>
          <w:sz w:val="20"/>
        </w:rPr>
        <w:t> </w:t>
      </w:r>
      <w:r>
        <w:rPr>
          <w:sz w:val="20"/>
        </w:rPr>
        <w:t>restrictions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partial</w:t>
      </w:r>
      <w:r>
        <w:rPr>
          <w:spacing w:val="-4"/>
          <w:sz w:val="20"/>
        </w:rPr>
        <w:t> </w:t>
      </w:r>
      <w:r>
        <w:rPr>
          <w:sz w:val="20"/>
        </w:rPr>
        <w:t>suspension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total</w:t>
      </w:r>
      <w:r>
        <w:rPr>
          <w:spacing w:val="-4"/>
          <w:sz w:val="20"/>
        </w:rPr>
        <w:t> </w:t>
      </w:r>
      <w:r>
        <w:rPr>
          <w:sz w:val="20"/>
        </w:rPr>
        <w:t>shutdown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production;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refusing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delaying</w:t>
      </w:r>
      <w:r>
        <w:rPr>
          <w:spacing w:val="-2"/>
          <w:sz w:val="20"/>
        </w:rPr>
        <w:t> </w:t>
      </w:r>
      <w:r>
        <w:rPr>
          <w:sz w:val="20"/>
        </w:rPr>
        <w:t>our</w:t>
      </w:r>
      <w:r>
        <w:rPr>
          <w:spacing w:val="-2"/>
          <w:sz w:val="20"/>
        </w:rPr>
        <w:t> </w:t>
      </w:r>
      <w:r>
        <w:rPr>
          <w:sz w:val="20"/>
        </w:rPr>
        <w:t>requests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510(k)</w:t>
      </w:r>
      <w:r>
        <w:rPr>
          <w:spacing w:val="-2"/>
          <w:sz w:val="20"/>
        </w:rPr>
        <w:t> </w:t>
      </w:r>
      <w:r>
        <w:rPr>
          <w:sz w:val="20"/>
        </w:rPr>
        <w:t>clearance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PMA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new</w:t>
      </w:r>
      <w:r>
        <w:rPr>
          <w:spacing w:val="-3"/>
          <w:sz w:val="20"/>
        </w:rPr>
        <w:t> </w:t>
      </w:r>
      <w:r>
        <w:rPr>
          <w:sz w:val="20"/>
        </w:rPr>
        <w:t>products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modified</w:t>
      </w:r>
      <w:r>
        <w:rPr>
          <w:spacing w:val="-2"/>
          <w:sz w:val="20"/>
        </w:rPr>
        <w:t> </w:t>
      </w:r>
      <w:r>
        <w:rPr>
          <w:sz w:val="20"/>
        </w:rPr>
        <w:t>products;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operating</w:t>
      </w:r>
      <w:r>
        <w:rPr>
          <w:spacing w:val="-6"/>
          <w:sz w:val="20"/>
        </w:rPr>
        <w:t> </w:t>
      </w:r>
      <w:r>
        <w:rPr>
          <w:sz w:val="20"/>
        </w:rPr>
        <w:t>restrictions;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withdrawal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510(k)</w:t>
      </w:r>
      <w:r>
        <w:rPr>
          <w:spacing w:val="-3"/>
          <w:sz w:val="20"/>
        </w:rPr>
        <w:t> </w:t>
      </w:r>
      <w:r>
        <w:rPr>
          <w:sz w:val="20"/>
        </w:rPr>
        <w:t>clearances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PMA</w:t>
      </w:r>
      <w:r>
        <w:rPr>
          <w:spacing w:val="-3"/>
          <w:sz w:val="20"/>
        </w:rPr>
        <w:t> </w:t>
      </w:r>
      <w:r>
        <w:rPr>
          <w:sz w:val="20"/>
        </w:rPr>
        <w:t>approvals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already</w:t>
      </w:r>
      <w:r>
        <w:rPr>
          <w:spacing w:val="-3"/>
          <w:sz w:val="20"/>
        </w:rPr>
        <w:t> </w:t>
      </w:r>
      <w:r>
        <w:rPr>
          <w:sz w:val="20"/>
        </w:rPr>
        <w:t>been</w:t>
      </w:r>
      <w:r>
        <w:rPr>
          <w:spacing w:val="-2"/>
          <w:sz w:val="20"/>
        </w:rPr>
        <w:t> </w:t>
      </w:r>
      <w:r>
        <w:rPr>
          <w:sz w:val="20"/>
        </w:rPr>
        <w:t>granted;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refusal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grant</w:t>
      </w:r>
      <w:r>
        <w:rPr>
          <w:spacing w:val="-2"/>
          <w:sz w:val="20"/>
        </w:rPr>
        <w:t> </w:t>
      </w:r>
      <w:r>
        <w:rPr>
          <w:sz w:val="20"/>
        </w:rPr>
        <w:t>export</w:t>
      </w:r>
      <w:r>
        <w:rPr>
          <w:spacing w:val="-2"/>
          <w:sz w:val="20"/>
        </w:rPr>
        <w:t> </w:t>
      </w:r>
      <w:r>
        <w:rPr>
          <w:sz w:val="20"/>
        </w:rPr>
        <w:t>approval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our</w:t>
      </w:r>
      <w:r>
        <w:rPr>
          <w:spacing w:val="-1"/>
          <w:sz w:val="20"/>
        </w:rPr>
        <w:t> </w:t>
      </w:r>
      <w:r>
        <w:rPr>
          <w:sz w:val="20"/>
        </w:rPr>
        <w:t>products;</w:t>
      </w:r>
      <w:r>
        <w:rPr>
          <w:spacing w:val="-2"/>
          <w:sz w:val="20"/>
        </w:rPr>
        <w:t> </w:t>
      </w:r>
      <w:r>
        <w:rPr>
          <w:sz w:val="20"/>
        </w:rPr>
        <w:t>or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criminal</w:t>
      </w:r>
      <w:r>
        <w:rPr>
          <w:spacing w:val="-6"/>
          <w:sz w:val="20"/>
        </w:rPr>
        <w:t> </w:t>
      </w:r>
      <w:r>
        <w:rPr>
          <w:sz w:val="20"/>
        </w:rPr>
        <w:t>prosecution.</w:t>
      </w:r>
    </w:p>
    <w:p>
      <w:pPr>
        <w:pStyle w:val="BodyText"/>
        <w:spacing w:line="249" w:lineRule="auto"/>
        <w:ind w:right="148"/>
      </w:pPr>
      <w:r>
        <w:rPr/>
        <w:t>If any of these actions were to occur it would harm our reputation and cause our product sales and profitability</w:t>
      </w:r>
      <w:r>
        <w:rPr>
          <w:spacing w:val="1"/>
        </w:rPr>
        <w:t> </w:t>
      </w:r>
      <w:r>
        <w:rPr/>
        <w:t>to</w:t>
      </w:r>
      <w:r>
        <w:rPr>
          <w:spacing w:val="-3"/>
        </w:rPr>
        <w:t> </w:t>
      </w:r>
      <w:r>
        <w:rPr/>
        <w:t>suffer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prevent</w:t>
      </w:r>
      <w:r>
        <w:rPr>
          <w:spacing w:val="-3"/>
        </w:rPr>
        <w:t> </w:t>
      </w:r>
      <w:r>
        <w:rPr/>
        <w:t>us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generating</w:t>
      </w:r>
      <w:r>
        <w:rPr>
          <w:spacing w:val="-2"/>
        </w:rPr>
        <w:t> </w:t>
      </w:r>
      <w:r>
        <w:rPr/>
        <w:t>revenue.</w:t>
      </w:r>
      <w:r>
        <w:rPr>
          <w:spacing w:val="-2"/>
        </w:rPr>
        <w:t> </w:t>
      </w:r>
      <w:r>
        <w:rPr/>
        <w:t>Furthermore,</w:t>
      </w:r>
      <w:r>
        <w:rPr>
          <w:spacing w:val="-2"/>
        </w:rPr>
        <w:t> </w:t>
      </w:r>
      <w:r>
        <w:rPr/>
        <w:t>our</w:t>
      </w:r>
      <w:r>
        <w:rPr>
          <w:spacing w:val="-3"/>
        </w:rPr>
        <w:t> </w:t>
      </w:r>
      <w:r>
        <w:rPr/>
        <w:t>key</w:t>
      </w:r>
      <w:r>
        <w:rPr>
          <w:spacing w:val="-2"/>
        </w:rPr>
        <w:t> </w:t>
      </w:r>
      <w:r>
        <w:rPr/>
        <w:t>component</w:t>
      </w:r>
      <w:r>
        <w:rPr>
          <w:spacing w:val="-3"/>
        </w:rPr>
        <w:t> </w:t>
      </w:r>
      <w:r>
        <w:rPr/>
        <w:t>suppliers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currently</w:t>
      </w:r>
      <w:r>
        <w:rPr>
          <w:spacing w:val="-47"/>
        </w:rPr>
        <w:t> </w:t>
      </w:r>
      <w:r>
        <w:rPr/>
        <w:t>be or may not continue to be in compliance with all applicable regulatory requirements which could result in our</w:t>
      </w:r>
      <w:r>
        <w:rPr>
          <w:spacing w:val="1"/>
        </w:rPr>
        <w:t> </w:t>
      </w:r>
      <w:r>
        <w:rPr/>
        <w:t>failure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produce</w:t>
      </w:r>
      <w:r>
        <w:rPr>
          <w:spacing w:val="-1"/>
        </w:rPr>
        <w:t> </w:t>
      </w:r>
      <w:r>
        <w:rPr/>
        <w:t>our</w:t>
      </w:r>
      <w:r>
        <w:rPr>
          <w:spacing w:val="-1"/>
        </w:rPr>
        <w:t> </w:t>
      </w:r>
      <w:r>
        <w:rPr/>
        <w:t>products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timely</w:t>
      </w:r>
      <w:r>
        <w:rPr>
          <w:spacing w:val="-1"/>
        </w:rPr>
        <w:t> </w:t>
      </w:r>
      <w:r>
        <w:rPr/>
        <w:t>basis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in the</w:t>
      </w:r>
      <w:r>
        <w:rPr>
          <w:spacing w:val="-2"/>
        </w:rPr>
        <w:t> </w:t>
      </w:r>
      <w:r>
        <w:rPr/>
        <w:t>required quantities,</w:t>
      </w:r>
      <w:r>
        <w:rPr>
          <w:spacing w:val="-1"/>
        </w:rPr>
        <w:t> </w:t>
      </w:r>
      <w:r>
        <w:rPr/>
        <w:t>if at</w:t>
      </w:r>
      <w:r>
        <w:rPr>
          <w:spacing w:val="-2"/>
        </w:rPr>
        <w:t> </w:t>
      </w:r>
      <w:r>
        <w:rPr/>
        <w:t>all.</w:t>
      </w:r>
    </w:p>
    <w:p>
      <w:pPr>
        <w:pStyle w:val="BodyText"/>
        <w:spacing w:line="249" w:lineRule="auto" w:before="183"/>
        <w:ind w:right="212"/>
      </w:pPr>
      <w:r>
        <w:rPr/>
        <w:t>In addition, we are required to conduct costly post-market testing and surveillance to monitor the safety or</w:t>
      </w:r>
      <w:r>
        <w:rPr>
          <w:spacing w:val="1"/>
        </w:rPr>
        <w:t> </w:t>
      </w:r>
      <w:r>
        <w:rPr/>
        <w:t>effectiveness of our products, and we must comply with medical device reporting requirements, including the</w:t>
      </w:r>
      <w:r>
        <w:rPr>
          <w:spacing w:val="1"/>
        </w:rPr>
        <w:t> </w:t>
      </w:r>
      <w:r>
        <w:rPr/>
        <w:t>reporting of adverse events and malfunctions related to our products. Later discovery of previously unknown</w:t>
      </w:r>
      <w:r>
        <w:rPr>
          <w:spacing w:val="1"/>
        </w:rPr>
        <w:t> </w:t>
      </w:r>
      <w:r>
        <w:rPr/>
        <w:t>problems with our products, including unanticipated adverse events or adverse events of unanticipated severity or</w:t>
      </w:r>
      <w:r>
        <w:rPr>
          <w:spacing w:val="1"/>
        </w:rPr>
        <w:t> </w:t>
      </w:r>
      <w:r>
        <w:rPr/>
        <w:t>frequency, manufacturing problems, or failure to comply with regulatory requirements such as QSR, may result in</w:t>
      </w:r>
      <w:r>
        <w:rPr>
          <w:spacing w:val="1"/>
        </w:rPr>
        <w:t> </w:t>
      </w:r>
      <w:r>
        <w:rPr/>
        <w:t>changes to labeling, restrictions on such products or manufacturing processes, withdrawal of the products from the</w:t>
      </w:r>
      <w:r>
        <w:rPr>
          <w:spacing w:val="1"/>
        </w:rPr>
        <w:t> </w:t>
      </w:r>
      <w:r>
        <w:rPr/>
        <w:t>market,</w:t>
      </w:r>
      <w:r>
        <w:rPr>
          <w:spacing w:val="-3"/>
        </w:rPr>
        <w:t> </w:t>
      </w:r>
      <w:r>
        <w:rPr/>
        <w:t>voluntary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mandatory</w:t>
      </w:r>
      <w:r>
        <w:rPr>
          <w:spacing w:val="-2"/>
        </w:rPr>
        <w:t> </w:t>
      </w:r>
      <w:r>
        <w:rPr/>
        <w:t>recalls,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requirement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repair,</w:t>
      </w:r>
      <w:r>
        <w:rPr>
          <w:spacing w:val="-3"/>
        </w:rPr>
        <w:t> </w:t>
      </w:r>
      <w:r>
        <w:rPr/>
        <w:t>replace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refund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cost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any</w:t>
      </w:r>
      <w:r>
        <w:rPr>
          <w:spacing w:val="-3"/>
        </w:rPr>
        <w:t> </w:t>
      </w:r>
      <w:r>
        <w:rPr/>
        <w:t>medical</w:t>
      </w:r>
      <w:r>
        <w:rPr>
          <w:spacing w:val="-3"/>
        </w:rPr>
        <w:t> </w:t>
      </w:r>
      <w:r>
        <w:rPr/>
        <w:t>device</w:t>
      </w:r>
      <w:r>
        <w:rPr>
          <w:spacing w:val="-3"/>
        </w:rPr>
        <w:t> </w:t>
      </w:r>
      <w:r>
        <w:rPr/>
        <w:t>we</w:t>
      </w:r>
      <w:r>
        <w:rPr>
          <w:spacing w:val="-47"/>
        </w:rPr>
        <w:t> </w:t>
      </w:r>
      <w:r>
        <w:rPr/>
        <w:t>manufacture or distribute, fines, suspension of regulatory approvals, product seizures, injunctions or the imposition</w:t>
      </w:r>
      <w:r>
        <w:rPr>
          <w:spacing w:val="-47"/>
        </w:rPr>
        <w:t> </w:t>
      </w:r>
      <w:r>
        <w:rPr/>
        <w:t>of</w:t>
      </w:r>
      <w:r>
        <w:rPr>
          <w:spacing w:val="-2"/>
        </w:rPr>
        <w:t> </w:t>
      </w:r>
      <w:r>
        <w:rPr/>
        <w:t>civil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criminal</w:t>
      </w:r>
      <w:r>
        <w:rPr>
          <w:spacing w:val="-2"/>
        </w:rPr>
        <w:t> </w:t>
      </w:r>
      <w:r>
        <w:rPr/>
        <w:t>penalties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/>
        <w:t>would</w:t>
      </w:r>
      <w:r>
        <w:rPr>
          <w:spacing w:val="-1"/>
        </w:rPr>
        <w:t> </w:t>
      </w:r>
      <w:r>
        <w:rPr/>
        <w:t>adversely</w:t>
      </w:r>
      <w:r>
        <w:rPr>
          <w:spacing w:val="-1"/>
        </w:rPr>
        <w:t> </w:t>
      </w:r>
      <w:r>
        <w:rPr/>
        <w:t>affect</w:t>
      </w:r>
      <w:r>
        <w:rPr>
          <w:spacing w:val="-3"/>
        </w:rPr>
        <w:t> </w:t>
      </w:r>
      <w:r>
        <w:rPr/>
        <w:t>our</w:t>
      </w:r>
      <w:r>
        <w:rPr>
          <w:spacing w:val="-1"/>
        </w:rPr>
        <w:t> </w:t>
      </w:r>
      <w:r>
        <w:rPr/>
        <w:t>business,</w:t>
      </w:r>
      <w:r>
        <w:rPr>
          <w:spacing w:val="-2"/>
        </w:rPr>
        <w:t> </w:t>
      </w:r>
      <w:r>
        <w:rPr/>
        <w:t>operating</w:t>
      </w:r>
      <w:r>
        <w:rPr>
          <w:spacing w:val="-1"/>
        </w:rPr>
        <w:t> </w:t>
      </w:r>
      <w:r>
        <w:rPr/>
        <w:t>results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prospects.</w:t>
      </w:r>
    </w:p>
    <w:p>
      <w:pPr>
        <w:pStyle w:val="Heading3"/>
        <w:spacing w:line="249" w:lineRule="auto" w:before="184"/>
      </w:pPr>
      <w:r>
        <w:rPr>
          <w:i/>
        </w:rPr>
        <w:t>Our products may cause or contribute to adverse medical events or be subject to failures or malfunctions that we</w:t>
      </w:r>
      <w:r>
        <w:rPr>
          <w:i/>
          <w:spacing w:val="1"/>
        </w:rPr>
        <w:t> </w:t>
      </w:r>
      <w:r>
        <w:rPr/>
        <w:t>are required to report to the FDA, and if we fail to do so, we would be subject to sanctions that could harm our</w:t>
      </w:r>
      <w:r>
        <w:rPr>
          <w:spacing w:val="1"/>
        </w:rPr>
        <w:t> </w:t>
      </w:r>
      <w:r>
        <w:rPr/>
        <w:t>reputation,</w:t>
      </w:r>
      <w:r>
        <w:rPr>
          <w:spacing w:val="-4"/>
        </w:rPr>
        <w:t> </w:t>
      </w:r>
      <w:r>
        <w:rPr/>
        <w:t>business,</w:t>
      </w:r>
      <w:r>
        <w:rPr>
          <w:spacing w:val="-4"/>
        </w:rPr>
        <w:t> </w:t>
      </w:r>
      <w:r>
        <w:rPr/>
        <w:t>financial</w:t>
      </w:r>
      <w:r>
        <w:rPr>
          <w:spacing w:val="-5"/>
        </w:rPr>
        <w:t> </w:t>
      </w:r>
      <w:r>
        <w:rPr/>
        <w:t>condition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results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operations.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discovery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serious</w:t>
      </w:r>
      <w:r>
        <w:rPr>
          <w:spacing w:val="-5"/>
        </w:rPr>
        <w:t> </w:t>
      </w:r>
      <w:r>
        <w:rPr/>
        <w:t>safety</w:t>
      </w:r>
      <w:r>
        <w:rPr>
          <w:spacing w:val="-5"/>
        </w:rPr>
        <w:t> </w:t>
      </w:r>
      <w:r>
        <w:rPr/>
        <w:t>issues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/>
        <w:t>our</w:t>
      </w:r>
      <w:r>
        <w:rPr>
          <w:spacing w:val="1"/>
        </w:rPr>
        <w:t> </w:t>
      </w:r>
      <w:r>
        <w:rPr/>
        <w:t>products, or a recall of our products either voluntarily or at the direction of the FDA or another governmental</w:t>
      </w:r>
      <w:r>
        <w:rPr>
          <w:spacing w:val="1"/>
        </w:rPr>
        <w:t> </w:t>
      </w:r>
      <w:r>
        <w:rPr/>
        <w:t>authority,</w:t>
      </w:r>
      <w:r>
        <w:rPr>
          <w:spacing w:val="-1"/>
        </w:rPr>
        <w:t> </w:t>
      </w:r>
      <w:r>
        <w:rPr/>
        <w:t>could have</w:t>
      </w:r>
      <w:r>
        <w:rPr>
          <w:spacing w:val="-1"/>
        </w:rPr>
        <w:t> </w:t>
      </w:r>
      <w:r>
        <w:rPr/>
        <w:t>a negative</w:t>
      </w:r>
      <w:r>
        <w:rPr>
          <w:spacing w:val="-1"/>
        </w:rPr>
        <w:t> </w:t>
      </w:r>
      <w:r>
        <w:rPr/>
        <w:t>impact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us.</w:t>
      </w:r>
    </w:p>
    <w:p>
      <w:pPr>
        <w:pStyle w:val="BodyText"/>
        <w:spacing w:line="249" w:lineRule="auto" w:before="187"/>
        <w:ind w:right="148"/>
      </w:pPr>
      <w:r>
        <w:rPr/>
        <w:t>We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subject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FDA’s</w:t>
      </w:r>
      <w:r>
        <w:rPr>
          <w:spacing w:val="-4"/>
        </w:rPr>
        <w:t> </w:t>
      </w:r>
      <w:r>
        <w:rPr/>
        <w:t>medical</w:t>
      </w:r>
      <w:r>
        <w:rPr>
          <w:spacing w:val="-4"/>
        </w:rPr>
        <w:t> </w:t>
      </w:r>
      <w:r>
        <w:rPr/>
        <w:t>device</w:t>
      </w:r>
      <w:r>
        <w:rPr>
          <w:spacing w:val="-4"/>
        </w:rPr>
        <w:t> </w:t>
      </w:r>
      <w:r>
        <w:rPr/>
        <w:t>reporting</w:t>
      </w:r>
      <w:r>
        <w:rPr>
          <w:spacing w:val="-3"/>
        </w:rPr>
        <w:t> </w:t>
      </w:r>
      <w:r>
        <w:rPr/>
        <w:t>regulations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similar</w:t>
      </w:r>
      <w:r>
        <w:rPr>
          <w:spacing w:val="-3"/>
        </w:rPr>
        <w:t> </w:t>
      </w:r>
      <w:r>
        <w:rPr/>
        <w:t>foreign</w:t>
      </w:r>
      <w:r>
        <w:rPr>
          <w:spacing w:val="-3"/>
        </w:rPr>
        <w:t> </w:t>
      </w:r>
      <w:r>
        <w:rPr/>
        <w:t>regulations,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require</w:t>
      </w:r>
      <w:r>
        <w:rPr>
          <w:spacing w:val="-47"/>
        </w:rPr>
        <w:t> </w:t>
      </w:r>
      <w:r>
        <w:rPr/>
        <w:t>us to report to the FDA when we receive or become aware of information that reasonably suggests that one or more</w:t>
      </w:r>
      <w:r>
        <w:rPr>
          <w:spacing w:val="1"/>
        </w:rPr>
        <w:t> </w:t>
      </w:r>
      <w:r>
        <w:rPr/>
        <w:t>of our products may have caused or contributed to a death or serious injury or malfunctioned in a way that, if the</w:t>
      </w:r>
      <w:r>
        <w:rPr>
          <w:spacing w:val="1"/>
        </w:rPr>
        <w:t> </w:t>
      </w:r>
      <w:r>
        <w:rPr/>
        <w:t>malfunction were to recur, it could cause or contribute to a death or serious injury. The timing of our obligation to</w:t>
      </w:r>
      <w:r>
        <w:rPr>
          <w:spacing w:val="1"/>
        </w:rPr>
        <w:t> </w:t>
      </w:r>
      <w:r>
        <w:rPr/>
        <w:t>report is triggered by the date we become aware of the adverse event as well as the nature of the event. We may fail</w:t>
      </w:r>
      <w:r>
        <w:rPr>
          <w:spacing w:val="1"/>
        </w:rPr>
        <w:t> </w:t>
      </w:r>
      <w:r>
        <w:rPr/>
        <w:t>to report adverse events of which we become aware within the prescribed timeframe. We may also fail to recognize</w:t>
      </w:r>
      <w:r>
        <w:rPr>
          <w:spacing w:val="1"/>
        </w:rPr>
        <w:t> </w:t>
      </w:r>
      <w:r>
        <w:rPr/>
        <w:t>that we have become aware of a reportable adverse event, especially if it is not reported to us as an adverse event or</w:t>
      </w:r>
      <w:r>
        <w:rPr>
          <w:spacing w:val="1"/>
        </w:rPr>
        <w:t> </w:t>
      </w:r>
      <w:r>
        <w:rPr/>
        <w:t>if it is an adverse event that is unexpected or removed in time from the use of the product. If we fail to comply with</w:t>
      </w:r>
      <w:r>
        <w:rPr>
          <w:spacing w:val="1"/>
        </w:rPr>
        <w:t> </w:t>
      </w:r>
      <w:r>
        <w:rPr/>
        <w:t>our reporting obligations, the FDA could take action, including warning letters, untitled letters, administrative</w:t>
      </w:r>
      <w:r>
        <w:rPr>
          <w:spacing w:val="1"/>
        </w:rPr>
        <w:t> </w:t>
      </w:r>
      <w:r>
        <w:rPr/>
        <w:t>actions,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prosecution,</w:t>
      </w:r>
      <w:r>
        <w:rPr>
          <w:spacing w:val="-4"/>
        </w:rPr>
        <w:t> </w:t>
      </w:r>
      <w:r>
        <w:rPr/>
        <w:t>imposition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civil</w:t>
      </w:r>
      <w:r>
        <w:rPr>
          <w:spacing w:val="-4"/>
        </w:rPr>
        <w:t> </w:t>
      </w:r>
      <w:r>
        <w:rPr/>
        <w:t>monetary</w:t>
      </w:r>
      <w:r>
        <w:rPr>
          <w:spacing w:val="-4"/>
        </w:rPr>
        <w:t> </w:t>
      </w:r>
      <w:r>
        <w:rPr/>
        <w:t>penalties,</w:t>
      </w:r>
      <w:r>
        <w:rPr>
          <w:spacing w:val="-3"/>
        </w:rPr>
        <w:t> </w:t>
      </w:r>
      <w:r>
        <w:rPr/>
        <w:t>revocation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device</w:t>
      </w:r>
      <w:r>
        <w:rPr>
          <w:spacing w:val="-5"/>
        </w:rPr>
        <w:t> </w:t>
      </w:r>
      <w:r>
        <w:rPr/>
        <w:t>clearance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approval,</w:t>
      </w:r>
      <w:r>
        <w:rPr>
          <w:spacing w:val="1"/>
        </w:rPr>
        <w:t> </w:t>
      </w:r>
      <w:r>
        <w:rPr/>
        <w:t>seizure</w:t>
      </w:r>
      <w:r>
        <w:rPr>
          <w:spacing w:val="-2"/>
        </w:rPr>
        <w:t> </w:t>
      </w:r>
      <w:r>
        <w:rPr/>
        <w:t>of our products</w:t>
      </w:r>
      <w:r>
        <w:rPr>
          <w:spacing w:val="-2"/>
        </w:rPr>
        <w:t> </w:t>
      </w:r>
      <w:r>
        <w:rPr/>
        <w:t>or delay in clearance</w:t>
      </w:r>
      <w:r>
        <w:rPr>
          <w:spacing w:val="-2"/>
        </w:rPr>
        <w:t> </w:t>
      </w:r>
      <w:r>
        <w:rPr/>
        <w:t>or approval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future</w:t>
      </w:r>
      <w:r>
        <w:rPr>
          <w:spacing w:val="-1"/>
        </w:rPr>
        <w:t> </w:t>
      </w:r>
      <w:r>
        <w:rPr/>
        <w:t>products.</w:t>
      </w:r>
    </w:p>
    <w:p>
      <w:pPr>
        <w:pStyle w:val="BodyText"/>
        <w:spacing w:line="249" w:lineRule="auto" w:before="189"/>
        <w:ind w:right="138"/>
      </w:pPr>
      <w:r>
        <w:rPr/>
        <w:t>The FDA and foreign regulatory bodies have the authority to require the recall of commercialized products in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event of material deficiencies or defects in</w:t>
      </w:r>
      <w:r>
        <w:rPr>
          <w:spacing w:val="1"/>
        </w:rPr>
        <w:t> </w:t>
      </w:r>
      <w:r>
        <w:rPr/>
        <w:t>design or</w:t>
      </w:r>
      <w:r>
        <w:rPr>
          <w:spacing w:val="1"/>
        </w:rPr>
        <w:t> </w:t>
      </w:r>
      <w:r>
        <w:rPr/>
        <w:t>manufacture of a product or in</w:t>
      </w:r>
      <w:r>
        <w:rPr>
          <w:spacing w:val="1"/>
        </w:rPr>
        <w:t> </w:t>
      </w:r>
      <w:r>
        <w:rPr/>
        <w:t>the event</w:t>
      </w:r>
      <w:r>
        <w:rPr>
          <w:spacing w:val="-1"/>
        </w:rPr>
        <w:t> </w:t>
      </w:r>
      <w:r>
        <w:rPr/>
        <w:t>that a product</w:t>
      </w:r>
      <w:r>
        <w:rPr>
          <w:spacing w:val="1"/>
        </w:rPr>
        <w:t> </w:t>
      </w:r>
      <w:r>
        <w:rPr/>
        <w:t>poses an unacceptable risk to health. The FDA’s authority to require a recall must be based on a finding that there is</w:t>
      </w:r>
      <w:r>
        <w:rPr>
          <w:spacing w:val="1"/>
        </w:rPr>
        <w:t> </w:t>
      </w:r>
      <w:r>
        <w:rPr/>
        <w:t>reasonable</w:t>
      </w:r>
      <w:r>
        <w:rPr>
          <w:spacing w:val="-4"/>
        </w:rPr>
        <w:t> </w:t>
      </w:r>
      <w:r>
        <w:rPr/>
        <w:t>probability</w:t>
      </w:r>
      <w:r>
        <w:rPr>
          <w:spacing w:val="-2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device</w:t>
      </w:r>
      <w:r>
        <w:rPr>
          <w:spacing w:val="-4"/>
        </w:rPr>
        <w:t> </w:t>
      </w:r>
      <w:r>
        <w:rPr/>
        <w:t>could</w:t>
      </w:r>
      <w:r>
        <w:rPr>
          <w:spacing w:val="-2"/>
        </w:rPr>
        <w:t> </w:t>
      </w:r>
      <w:r>
        <w:rPr/>
        <w:t>cause</w:t>
      </w:r>
      <w:r>
        <w:rPr>
          <w:spacing w:val="-4"/>
        </w:rPr>
        <w:t> </w:t>
      </w:r>
      <w:r>
        <w:rPr/>
        <w:t>serious</w:t>
      </w:r>
      <w:r>
        <w:rPr>
          <w:spacing w:val="-3"/>
        </w:rPr>
        <w:t> </w:t>
      </w:r>
      <w:r>
        <w:rPr/>
        <w:t>injury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death.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also</w:t>
      </w:r>
      <w:r>
        <w:rPr>
          <w:spacing w:val="-2"/>
        </w:rPr>
        <w:t> </w:t>
      </w:r>
      <w:r>
        <w:rPr/>
        <w:t>choose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voluntarily</w:t>
      </w:r>
      <w:r>
        <w:rPr>
          <w:spacing w:val="-2"/>
        </w:rPr>
        <w:t> </w:t>
      </w:r>
      <w:r>
        <w:rPr/>
        <w:t>recall</w:t>
      </w:r>
      <w:r>
        <w:rPr>
          <w:spacing w:val="-4"/>
        </w:rPr>
        <w:t> </w:t>
      </w:r>
      <w:r>
        <w:rPr/>
        <w:t>a</w:t>
      </w:r>
      <w:r>
        <w:rPr>
          <w:spacing w:val="-47"/>
        </w:rPr>
        <w:t> </w:t>
      </w:r>
      <w:r>
        <w:rPr/>
        <w:t>product</w:t>
      </w:r>
      <w:r>
        <w:rPr>
          <w:spacing w:val="-4"/>
        </w:rPr>
        <w:t> </w:t>
      </w:r>
      <w:r>
        <w:rPr/>
        <w:t>if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material</w:t>
      </w:r>
      <w:r>
        <w:rPr>
          <w:spacing w:val="-3"/>
        </w:rPr>
        <w:t> </w:t>
      </w:r>
      <w:r>
        <w:rPr/>
        <w:t>deficiency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found.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government-mandated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voluntary</w:t>
      </w:r>
      <w:r>
        <w:rPr>
          <w:spacing w:val="-2"/>
        </w:rPr>
        <w:t> </w:t>
      </w:r>
      <w:r>
        <w:rPr/>
        <w:t>recall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us</w:t>
      </w:r>
      <w:r>
        <w:rPr>
          <w:spacing w:val="-3"/>
        </w:rPr>
        <w:t> </w:t>
      </w:r>
      <w:r>
        <w:rPr/>
        <w:t>could</w:t>
      </w:r>
      <w:r>
        <w:rPr>
          <w:spacing w:val="-2"/>
        </w:rPr>
        <w:t> </w:t>
      </w:r>
      <w:r>
        <w:rPr/>
        <w:t>occur</w:t>
      </w:r>
      <w:r>
        <w:rPr>
          <w:spacing w:val="-2"/>
        </w:rPr>
        <w:t> </w:t>
      </w:r>
      <w:r>
        <w:rPr/>
        <w:t>as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result</w:t>
      </w:r>
      <w:r>
        <w:rPr>
          <w:spacing w:val="-47"/>
        </w:rPr>
        <w:t> </w:t>
      </w:r>
      <w:r>
        <w:rPr/>
        <w:t>of an unacceptable risk to health, component failures, malfunctions, manufacturing defects, labeling or design</w:t>
      </w:r>
      <w:r>
        <w:rPr>
          <w:spacing w:val="1"/>
        </w:rPr>
        <w:t> </w:t>
      </w:r>
      <w:r>
        <w:rPr/>
        <w:t>deficiencies, packaging defects or other deficiencies or failures to comply with applicable regulations. Product</w:t>
      </w:r>
      <w:r>
        <w:rPr>
          <w:spacing w:val="1"/>
        </w:rPr>
        <w:t> </w:t>
      </w:r>
      <w:r>
        <w:rPr/>
        <w:t>defects</w:t>
      </w:r>
      <w:r>
        <w:rPr>
          <w:spacing w:val="-2"/>
        </w:rPr>
        <w:t> </w:t>
      </w:r>
      <w:r>
        <w:rPr/>
        <w:t>or other errors</w:t>
      </w:r>
      <w:r>
        <w:rPr>
          <w:spacing w:val="-1"/>
        </w:rPr>
        <w:t> </w:t>
      </w:r>
      <w:r>
        <w:rPr/>
        <w:t>may occur in the</w:t>
      </w:r>
      <w:r>
        <w:rPr>
          <w:spacing w:val="-1"/>
        </w:rPr>
        <w:t> </w:t>
      </w:r>
      <w:r>
        <w:rPr/>
        <w:t>future.</w:t>
      </w:r>
    </w:p>
    <w:p>
      <w:pPr>
        <w:pStyle w:val="BodyText"/>
        <w:spacing w:line="249" w:lineRule="auto" w:before="187"/>
        <w:ind w:right="148"/>
      </w:pPr>
      <w:r>
        <w:rPr/>
        <w:t>Depending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corrective</w:t>
      </w:r>
      <w:r>
        <w:rPr>
          <w:spacing w:val="-3"/>
        </w:rPr>
        <w:t> </w:t>
      </w:r>
      <w:r>
        <w:rPr/>
        <w:t>action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take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redress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product’s</w:t>
      </w:r>
      <w:r>
        <w:rPr>
          <w:spacing w:val="-3"/>
        </w:rPr>
        <w:t> </w:t>
      </w:r>
      <w:r>
        <w:rPr/>
        <w:t>deficiencies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defects,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FDA</w:t>
      </w:r>
      <w:r>
        <w:rPr>
          <w:spacing w:val="-4"/>
        </w:rPr>
        <w:t> </w:t>
      </w:r>
      <w:r>
        <w:rPr/>
        <w:t>may</w:t>
      </w:r>
      <w:r>
        <w:rPr>
          <w:spacing w:val="-2"/>
        </w:rPr>
        <w:t> </w:t>
      </w:r>
      <w:r>
        <w:rPr/>
        <w:t>require,</w:t>
      </w:r>
      <w:r>
        <w:rPr>
          <w:spacing w:val="-47"/>
        </w:rPr>
        <w:t> </w:t>
      </w:r>
      <w:r>
        <w:rPr/>
        <w:t>or</w:t>
      </w:r>
      <w:r>
        <w:rPr>
          <w:spacing w:val="-2"/>
        </w:rPr>
        <w:t> </w:t>
      </w:r>
      <w:r>
        <w:rPr/>
        <w:t>we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decide,</w:t>
      </w:r>
      <w:r>
        <w:rPr>
          <w:spacing w:val="-1"/>
        </w:rPr>
        <w:t> </w:t>
      </w:r>
      <w:r>
        <w:rPr/>
        <w:t>that</w:t>
      </w:r>
      <w:r>
        <w:rPr>
          <w:spacing w:val="-3"/>
        </w:rPr>
        <w:t> </w:t>
      </w:r>
      <w:r>
        <w:rPr/>
        <w:t>we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/>
        <w:t>need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obtain</w:t>
      </w:r>
      <w:r>
        <w:rPr>
          <w:spacing w:val="-1"/>
        </w:rPr>
        <w:t> </w:t>
      </w:r>
      <w:r>
        <w:rPr/>
        <w:t>new</w:t>
      </w:r>
      <w:r>
        <w:rPr>
          <w:spacing w:val="-3"/>
        </w:rPr>
        <w:t> </w:t>
      </w:r>
      <w:r>
        <w:rPr/>
        <w:t>clearances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approvals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device</w:t>
      </w:r>
      <w:r>
        <w:rPr>
          <w:spacing w:val="-3"/>
        </w:rPr>
        <w:t> </w:t>
      </w:r>
      <w:r>
        <w:rPr/>
        <w:t>before</w:t>
      </w:r>
      <w:r>
        <w:rPr>
          <w:spacing w:val="-2"/>
        </w:rPr>
        <w:t> </w:t>
      </w:r>
      <w:r>
        <w:rPr/>
        <w:t>we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market</w:t>
      </w:r>
      <w:r>
        <w:rPr>
          <w:spacing w:val="-2"/>
        </w:rPr>
        <w:t> </w:t>
      </w:r>
      <w:r>
        <w:rPr/>
        <w:t>or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  <w:ind w:right="418" w:firstLine="0"/>
      </w:pPr>
      <w:r>
        <w:rPr/>
        <w:t>distribute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corrected</w:t>
      </w:r>
      <w:r>
        <w:rPr>
          <w:spacing w:val="-3"/>
        </w:rPr>
        <w:t> </w:t>
      </w:r>
      <w:r>
        <w:rPr/>
        <w:t>device.</w:t>
      </w:r>
      <w:r>
        <w:rPr>
          <w:spacing w:val="-3"/>
        </w:rPr>
        <w:t> </w:t>
      </w:r>
      <w:r>
        <w:rPr/>
        <w:t>Seeking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clearances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approvals</w:t>
      </w:r>
      <w:r>
        <w:rPr>
          <w:spacing w:val="-4"/>
        </w:rPr>
        <w:t> </w:t>
      </w:r>
      <w:r>
        <w:rPr/>
        <w:t>may</w:t>
      </w:r>
      <w:r>
        <w:rPr>
          <w:spacing w:val="-4"/>
        </w:rPr>
        <w:t> </w:t>
      </w:r>
      <w:r>
        <w:rPr/>
        <w:t>delay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replace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recalled</w:t>
      </w:r>
      <w:r>
        <w:rPr>
          <w:spacing w:val="-47"/>
        </w:rPr>
        <w:t> </w:t>
      </w:r>
      <w:r>
        <w:rPr/>
        <w:t>devices in a timely manner. Moreover, if we do not adequately address problems associated with our devices, we</w:t>
      </w:r>
      <w:r>
        <w:rPr>
          <w:spacing w:val="-47"/>
        </w:rPr>
        <w:t> </w:t>
      </w:r>
      <w:r>
        <w:rPr/>
        <w:t>may face additional regulatory enforcement action, including FDA warning letters, product seizure, injunctions,</w:t>
      </w:r>
      <w:r>
        <w:rPr>
          <w:spacing w:val="1"/>
        </w:rPr>
        <w:t> </w:t>
      </w:r>
      <w:r>
        <w:rPr/>
        <w:t>administrative</w:t>
      </w:r>
      <w:r>
        <w:rPr>
          <w:spacing w:val="-2"/>
        </w:rPr>
        <w:t> </w:t>
      </w:r>
      <w:r>
        <w:rPr/>
        <w:t>penalties</w:t>
      </w:r>
      <w:r>
        <w:rPr>
          <w:spacing w:val="-1"/>
        </w:rPr>
        <w:t> </w:t>
      </w:r>
      <w:r>
        <w:rPr/>
        <w:t>or civil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fines.</w:t>
      </w:r>
    </w:p>
    <w:p>
      <w:pPr>
        <w:pStyle w:val="BodyText"/>
        <w:spacing w:line="249" w:lineRule="auto" w:before="183"/>
        <w:ind w:right="180"/>
      </w:pPr>
      <w:r>
        <w:rPr/>
        <w:t>Companies are required to maintain certain records of recalls and corrections, even if they are not reportable to</w:t>
      </w:r>
      <w:r>
        <w:rPr>
          <w:spacing w:val="1"/>
        </w:rPr>
        <w:t> </w:t>
      </w:r>
      <w:r>
        <w:rPr/>
        <w:t>the FDA. We may initiate voluntary withdrawals or corrections for our products in the future that we determine do</w:t>
      </w:r>
      <w:r>
        <w:rPr>
          <w:spacing w:val="1"/>
        </w:rPr>
        <w:t> </w:t>
      </w:r>
      <w:r>
        <w:rPr/>
        <w:t>not</w:t>
      </w:r>
      <w:r>
        <w:rPr>
          <w:spacing w:val="-4"/>
        </w:rPr>
        <w:t> </w:t>
      </w:r>
      <w:r>
        <w:rPr/>
        <w:t>require</w:t>
      </w:r>
      <w:r>
        <w:rPr>
          <w:spacing w:val="-3"/>
        </w:rPr>
        <w:t> </w:t>
      </w:r>
      <w:r>
        <w:rPr/>
        <w:t>notification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FDA.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FDA</w:t>
      </w:r>
      <w:r>
        <w:rPr>
          <w:spacing w:val="-3"/>
        </w:rPr>
        <w:t> </w:t>
      </w:r>
      <w:r>
        <w:rPr/>
        <w:t>disagrees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determinations,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could</w:t>
      </w:r>
      <w:r>
        <w:rPr>
          <w:spacing w:val="-2"/>
        </w:rPr>
        <w:t> </w:t>
      </w:r>
      <w:r>
        <w:rPr/>
        <w:t>require</w:t>
      </w:r>
      <w:r>
        <w:rPr>
          <w:spacing w:val="-3"/>
        </w:rPr>
        <w:t> </w:t>
      </w:r>
      <w:r>
        <w:rPr/>
        <w:t>us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report</w:t>
      </w:r>
      <w:r>
        <w:rPr>
          <w:spacing w:val="-3"/>
        </w:rPr>
        <w:t> </w:t>
      </w:r>
      <w:r>
        <w:rPr/>
        <w:t>those</w:t>
      </w:r>
      <w:r>
        <w:rPr>
          <w:spacing w:val="-47"/>
        </w:rPr>
        <w:t> </w:t>
      </w:r>
      <w:r>
        <w:rPr/>
        <w:t>actions as recalls and we may be subject to enforcement action. A future recall announcement could harm our</w:t>
      </w:r>
      <w:r>
        <w:rPr>
          <w:spacing w:val="1"/>
        </w:rPr>
        <w:t> </w:t>
      </w:r>
      <w:r>
        <w:rPr/>
        <w:t>reputation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customers,</w:t>
      </w:r>
      <w:r>
        <w:rPr>
          <w:spacing w:val="-4"/>
        </w:rPr>
        <w:t> </w:t>
      </w:r>
      <w:r>
        <w:rPr/>
        <w:t>potentially</w:t>
      </w:r>
      <w:r>
        <w:rPr>
          <w:spacing w:val="-3"/>
        </w:rPr>
        <w:t> </w:t>
      </w:r>
      <w:r>
        <w:rPr/>
        <w:t>lead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product</w:t>
      </w:r>
      <w:r>
        <w:rPr>
          <w:spacing w:val="-4"/>
        </w:rPr>
        <w:t> </w:t>
      </w:r>
      <w:r>
        <w:rPr/>
        <w:t>liability</w:t>
      </w:r>
      <w:r>
        <w:rPr>
          <w:spacing w:val="-4"/>
        </w:rPr>
        <w:t> </w:t>
      </w:r>
      <w:r>
        <w:rPr/>
        <w:t>claims</w:t>
      </w:r>
      <w:r>
        <w:rPr>
          <w:spacing w:val="-4"/>
        </w:rPr>
        <w:t> </w:t>
      </w:r>
      <w:r>
        <w:rPr/>
        <w:t>against</w:t>
      </w:r>
      <w:r>
        <w:rPr>
          <w:spacing w:val="-4"/>
        </w:rPr>
        <w:t> </w:t>
      </w:r>
      <w:r>
        <w:rPr/>
        <w:t>us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negatively</w:t>
      </w:r>
      <w:r>
        <w:rPr>
          <w:spacing w:val="-3"/>
        </w:rPr>
        <w:t> </w:t>
      </w:r>
      <w:r>
        <w:rPr/>
        <w:t>affect</w:t>
      </w:r>
      <w:r>
        <w:rPr>
          <w:spacing w:val="-5"/>
        </w:rPr>
        <w:t> </w:t>
      </w:r>
      <w:r>
        <w:rPr/>
        <w:t>our</w:t>
      </w:r>
      <w:r>
        <w:rPr>
          <w:spacing w:val="-3"/>
        </w:rPr>
        <w:t> </w:t>
      </w:r>
      <w:r>
        <w:rPr/>
        <w:t>sales.</w:t>
      </w:r>
      <w:r>
        <w:rPr>
          <w:spacing w:val="-4"/>
        </w:rPr>
        <w:t> </w:t>
      </w:r>
      <w:r>
        <w:rPr/>
        <w:t>Any</w:t>
      </w:r>
      <w:r>
        <w:rPr>
          <w:spacing w:val="1"/>
        </w:rPr>
        <w:t> </w:t>
      </w:r>
      <w:r>
        <w:rPr/>
        <w:t>corrective action, whether voluntary or involuntary, as well as defending ourselves in a lawsuit, will require the</w:t>
      </w:r>
      <w:r>
        <w:rPr>
          <w:spacing w:val="1"/>
        </w:rPr>
        <w:t> </w:t>
      </w:r>
      <w:r>
        <w:rPr/>
        <w:t>dedication of our time and capital, will distract management from operating our business and may harm our</w:t>
      </w:r>
      <w:r>
        <w:rPr>
          <w:spacing w:val="1"/>
        </w:rPr>
        <w:t> </w:t>
      </w:r>
      <w:r>
        <w:rPr/>
        <w:t>reputation</w:t>
      </w:r>
      <w:r>
        <w:rPr>
          <w:spacing w:val="-1"/>
        </w:rPr>
        <w:t> </w:t>
      </w:r>
      <w:r>
        <w:rPr/>
        <w:t>and financial</w:t>
      </w:r>
      <w:r>
        <w:rPr>
          <w:spacing w:val="-1"/>
        </w:rPr>
        <w:t> </w:t>
      </w:r>
      <w:r>
        <w:rPr/>
        <w:t>results.</w:t>
      </w:r>
    </w:p>
    <w:p>
      <w:pPr>
        <w:pStyle w:val="Heading3"/>
        <w:spacing w:line="249" w:lineRule="auto" w:before="183"/>
      </w:pPr>
      <w:r>
        <w:rPr>
          <w:i/>
        </w:rPr>
        <w:t>Our</w:t>
      </w:r>
      <w:r>
        <w:rPr>
          <w:i/>
          <w:spacing w:val="-4"/>
        </w:rPr>
        <w:t> </w:t>
      </w:r>
      <w:r>
        <w:rPr>
          <w:i/>
        </w:rPr>
        <w:t>products</w:t>
      </w:r>
      <w:r>
        <w:rPr>
          <w:i/>
          <w:spacing w:val="-4"/>
        </w:rPr>
        <w:t> </w:t>
      </w:r>
      <w:r>
        <w:rPr>
          <w:i/>
        </w:rPr>
        <w:t>must</w:t>
      </w:r>
      <w:r>
        <w:rPr>
          <w:i/>
          <w:spacing w:val="-4"/>
        </w:rPr>
        <w:t> </w:t>
      </w:r>
      <w:r>
        <w:rPr>
          <w:i/>
        </w:rPr>
        <w:t>be</w:t>
      </w:r>
      <w:r>
        <w:rPr>
          <w:i/>
          <w:spacing w:val="-3"/>
        </w:rPr>
        <w:t> </w:t>
      </w:r>
      <w:r>
        <w:rPr>
          <w:i/>
        </w:rPr>
        <w:t>manufactured</w:t>
      </w:r>
      <w:r>
        <w:rPr>
          <w:i/>
          <w:spacing w:val="-3"/>
        </w:rPr>
        <w:t> </w:t>
      </w:r>
      <w:r>
        <w:rPr>
          <w:i/>
        </w:rPr>
        <w:t>in</w:t>
      </w:r>
      <w:r>
        <w:rPr>
          <w:i/>
          <w:spacing w:val="-4"/>
        </w:rPr>
        <w:t> </w:t>
      </w:r>
      <w:r>
        <w:rPr>
          <w:i/>
        </w:rPr>
        <w:t>accordance</w:t>
      </w:r>
      <w:r>
        <w:rPr>
          <w:i/>
          <w:spacing w:val="-4"/>
        </w:rPr>
        <w:t> </w:t>
      </w:r>
      <w:r>
        <w:rPr>
          <w:i/>
        </w:rPr>
        <w:t>with</w:t>
      </w:r>
      <w:r>
        <w:rPr>
          <w:i/>
          <w:spacing w:val="-3"/>
        </w:rPr>
        <w:t> </w:t>
      </w:r>
      <w:r>
        <w:rPr>
          <w:i/>
        </w:rPr>
        <w:t>federal</w:t>
      </w:r>
      <w:r>
        <w:rPr>
          <w:i/>
          <w:spacing w:val="-4"/>
        </w:rPr>
        <w:t> </w:t>
      </w:r>
      <w:r>
        <w:rPr>
          <w:i/>
        </w:rPr>
        <w:t>and</w:t>
      </w:r>
      <w:r>
        <w:rPr>
          <w:i/>
          <w:spacing w:val="-3"/>
        </w:rPr>
        <w:t> </w:t>
      </w:r>
      <w:r>
        <w:rPr>
          <w:i/>
        </w:rPr>
        <w:t>state</w:t>
      </w:r>
      <w:r>
        <w:rPr>
          <w:i/>
          <w:spacing w:val="-4"/>
        </w:rPr>
        <w:t> </w:t>
      </w:r>
      <w:r>
        <w:rPr>
          <w:i/>
        </w:rPr>
        <w:t>regulations,</w:t>
      </w:r>
      <w:r>
        <w:rPr>
          <w:i/>
          <w:spacing w:val="-2"/>
        </w:rPr>
        <w:t> </w:t>
      </w:r>
      <w:r>
        <w:rPr>
          <w:i/>
        </w:rPr>
        <w:t>and</w:t>
      </w:r>
      <w:r>
        <w:rPr>
          <w:i/>
          <w:spacing w:val="-3"/>
        </w:rPr>
        <w:t> </w:t>
      </w:r>
      <w:r>
        <w:rPr>
          <w:i/>
        </w:rPr>
        <w:t>we</w:t>
      </w:r>
      <w:r>
        <w:rPr>
          <w:i/>
          <w:spacing w:val="-4"/>
        </w:rPr>
        <w:t> </w:t>
      </w:r>
      <w:r>
        <w:rPr>
          <w:i/>
        </w:rPr>
        <w:t>could</w:t>
      </w:r>
      <w:r>
        <w:rPr>
          <w:i/>
          <w:spacing w:val="-3"/>
        </w:rPr>
        <w:t> </w:t>
      </w:r>
      <w:r>
        <w:rPr>
          <w:i/>
        </w:rPr>
        <w:t>be</w:t>
      </w:r>
      <w:r>
        <w:rPr>
          <w:i/>
          <w:spacing w:val="-4"/>
        </w:rPr>
        <w:t> </w:t>
      </w:r>
      <w:r>
        <w:rPr>
          <w:i/>
        </w:rPr>
        <w:t>forced</w:t>
      </w:r>
      <w:r>
        <w:rPr>
          <w:i/>
          <w:spacing w:val="-2"/>
        </w:rPr>
        <w:t> </w:t>
      </w:r>
      <w:r>
        <w:rPr>
          <w:i/>
        </w:rPr>
        <w:t>to</w:t>
      </w:r>
      <w:r>
        <w:rPr>
          <w:i/>
          <w:spacing w:val="1"/>
        </w:rPr>
        <w:t> </w:t>
      </w:r>
      <w:r>
        <w:rPr/>
        <w:t>recall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devices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terminate</w:t>
      </w:r>
      <w:r>
        <w:rPr>
          <w:spacing w:val="-2"/>
        </w:rPr>
        <w:t> </w:t>
      </w:r>
      <w:r>
        <w:rPr/>
        <w:t>production</w:t>
      </w:r>
      <w:r>
        <w:rPr>
          <w:spacing w:val="-2"/>
        </w:rPr>
        <w:t> </w:t>
      </w:r>
      <w:r>
        <w:rPr/>
        <w:t>if</w:t>
      </w:r>
      <w:r>
        <w:rPr>
          <w:spacing w:val="-1"/>
        </w:rPr>
        <w:t> </w:t>
      </w:r>
      <w:r>
        <w:rPr/>
        <w:t>we</w:t>
      </w:r>
      <w:r>
        <w:rPr>
          <w:spacing w:val="-1"/>
        </w:rPr>
        <w:t> </w:t>
      </w:r>
      <w:r>
        <w:rPr/>
        <w:t>fail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comply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these</w:t>
      </w:r>
      <w:r>
        <w:rPr>
          <w:spacing w:val="-2"/>
        </w:rPr>
        <w:t> </w:t>
      </w:r>
      <w:r>
        <w:rPr/>
        <w:t>regulations.</w:t>
      </w:r>
    </w:p>
    <w:p>
      <w:pPr>
        <w:pStyle w:val="BodyText"/>
        <w:spacing w:line="249" w:lineRule="auto" w:before="185"/>
        <w:ind w:right="223"/>
      </w:pPr>
      <w:r>
        <w:rPr/>
        <w:t>The methods used in, and the facilities used for, the manufacture of our products must comply with the FDA’s</w:t>
      </w:r>
      <w:r>
        <w:rPr>
          <w:spacing w:val="-47"/>
        </w:rPr>
        <w:t> </w:t>
      </w:r>
      <w:r>
        <w:rPr/>
        <w:t>QSR, which is a complex regulatory scheme that covers the procedures and documentation of the design, testing,</w:t>
      </w:r>
      <w:r>
        <w:rPr>
          <w:spacing w:val="1"/>
        </w:rPr>
        <w:t> </w:t>
      </w:r>
      <w:r>
        <w:rPr/>
        <w:t>production, process controls, quality assurance, labeling, packaging, handling, storage, distribution, installation,</w:t>
      </w:r>
      <w:r>
        <w:rPr>
          <w:spacing w:val="1"/>
        </w:rPr>
        <w:t> </w:t>
      </w:r>
      <w:r>
        <w:rPr/>
        <w:t>servicing and shipping of medical devices. Furthermore, we are required to verify that our suppliers maintain</w:t>
      </w:r>
      <w:r>
        <w:rPr>
          <w:spacing w:val="1"/>
        </w:rPr>
        <w:t> </w:t>
      </w:r>
      <w:r>
        <w:rPr/>
        <w:t>facilities,</w:t>
      </w:r>
      <w:r>
        <w:rPr>
          <w:spacing w:val="-4"/>
        </w:rPr>
        <w:t> </w:t>
      </w:r>
      <w:r>
        <w:rPr/>
        <w:t>procedures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operations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comply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our</w:t>
      </w:r>
      <w:r>
        <w:rPr>
          <w:spacing w:val="-4"/>
        </w:rPr>
        <w:t> </w:t>
      </w:r>
      <w:r>
        <w:rPr/>
        <w:t>quality</w:t>
      </w:r>
      <w:r>
        <w:rPr>
          <w:spacing w:val="-3"/>
        </w:rPr>
        <w:t> </w:t>
      </w:r>
      <w:r>
        <w:rPr/>
        <w:t>standards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applicable</w:t>
      </w:r>
      <w:r>
        <w:rPr>
          <w:spacing w:val="-4"/>
        </w:rPr>
        <w:t> </w:t>
      </w:r>
      <w:r>
        <w:rPr/>
        <w:t>regulatory</w:t>
      </w:r>
      <w:r>
        <w:rPr>
          <w:spacing w:val="-4"/>
        </w:rPr>
        <w:t> </w:t>
      </w:r>
      <w:r>
        <w:rPr/>
        <w:t>requirements.</w:t>
      </w:r>
      <w:r>
        <w:rPr>
          <w:spacing w:val="-47"/>
        </w:rPr>
        <w:t> </w:t>
      </w:r>
      <w:r>
        <w:rPr/>
        <w:t>The FDA enforces the QSR through periodic announced or unannounced inspections of medical device</w:t>
      </w:r>
      <w:r>
        <w:rPr>
          <w:spacing w:val="1"/>
        </w:rPr>
        <w:t> </w:t>
      </w:r>
      <w:r>
        <w:rPr/>
        <w:t>manufacturing facilities, which may include the facilities of subcontractors. Our products are also subject to similar</w:t>
      </w:r>
      <w:r>
        <w:rPr>
          <w:spacing w:val="-47"/>
        </w:rPr>
        <w:t> </w:t>
      </w:r>
      <w:r>
        <w:rPr/>
        <w:t>state</w:t>
      </w:r>
      <w:r>
        <w:rPr>
          <w:spacing w:val="-2"/>
        </w:rPr>
        <w:t> </w:t>
      </w:r>
      <w:r>
        <w:rPr/>
        <w:t>regulations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various</w:t>
      </w:r>
      <w:r>
        <w:rPr>
          <w:spacing w:val="-2"/>
        </w:rPr>
        <w:t> </w:t>
      </w:r>
      <w:r>
        <w:rPr/>
        <w:t>laws</w:t>
      </w:r>
      <w:r>
        <w:rPr>
          <w:spacing w:val="-2"/>
        </w:rPr>
        <w:t> </w:t>
      </w:r>
      <w:r>
        <w:rPr/>
        <w:t>and regulations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foreign</w:t>
      </w:r>
      <w:r>
        <w:rPr>
          <w:spacing w:val="-1"/>
        </w:rPr>
        <w:t> </w:t>
      </w:r>
      <w:r>
        <w:rPr/>
        <w:t>countries</w:t>
      </w:r>
      <w:r>
        <w:rPr>
          <w:spacing w:val="-2"/>
        </w:rPr>
        <w:t> </w:t>
      </w:r>
      <w:r>
        <w:rPr/>
        <w:t>governing</w:t>
      </w:r>
      <w:r>
        <w:rPr>
          <w:spacing w:val="-1"/>
        </w:rPr>
        <w:t> </w:t>
      </w:r>
      <w:r>
        <w:rPr/>
        <w:t>manufacturing.</w:t>
      </w:r>
    </w:p>
    <w:p>
      <w:pPr>
        <w:pStyle w:val="BodyText"/>
        <w:spacing w:line="249" w:lineRule="auto" w:before="187"/>
        <w:ind w:right="148"/>
      </w:pPr>
      <w:r>
        <w:rPr/>
        <w:t>We or our third-party manufacturers may not take the necessary steps to comply with applicable regulations,</w:t>
      </w:r>
      <w:r>
        <w:rPr>
          <w:spacing w:val="1"/>
        </w:rPr>
        <w:t> </w:t>
      </w:r>
      <w:r>
        <w:rPr/>
        <w:t>which could cause delays in the delivery of our products. For instance, in 2019 we initiated a voluntary recall for a</w:t>
      </w:r>
      <w:r>
        <w:rPr>
          <w:spacing w:val="1"/>
        </w:rPr>
        <w:t> </w:t>
      </w:r>
      <w:r>
        <w:rPr/>
        <w:t>limited number of lots of our handpiece due to certain issues related to our supply chain and manufacturing</w:t>
      </w:r>
      <w:r>
        <w:rPr>
          <w:spacing w:val="1"/>
        </w:rPr>
        <w:t> </w:t>
      </w:r>
      <w:r>
        <w:rPr/>
        <w:t>processes. We have remedied these issues as we developed our manufacturing processes to scale the production of</w:t>
      </w:r>
      <w:r>
        <w:rPr>
          <w:spacing w:val="1"/>
        </w:rPr>
        <w:t> </w:t>
      </w:r>
      <w:r>
        <w:rPr/>
        <w:t>our handpieces at a higher volume. In addition, failure to comply with applicable FDA requirements or later</w:t>
      </w:r>
      <w:r>
        <w:rPr>
          <w:spacing w:val="1"/>
        </w:rPr>
        <w:t> </w:t>
      </w:r>
      <w:r>
        <w:rPr/>
        <w:t>discovery of previously unknown problems with our products or manufacturing processes could result in, among</w:t>
      </w:r>
      <w:r>
        <w:rPr>
          <w:spacing w:val="1"/>
        </w:rPr>
        <w:t> </w:t>
      </w:r>
      <w:r>
        <w:rPr/>
        <w:t>other things: warning letters or untitled letters; fines, injunctions or civil penalties; suspension or withdrawal of</w:t>
      </w:r>
      <w:r>
        <w:rPr>
          <w:spacing w:val="1"/>
        </w:rPr>
        <w:t> </w:t>
      </w:r>
      <w:r>
        <w:rPr/>
        <w:t>approvals;</w:t>
      </w:r>
      <w:r>
        <w:rPr>
          <w:spacing w:val="-4"/>
        </w:rPr>
        <w:t> </w:t>
      </w:r>
      <w:r>
        <w:rPr/>
        <w:t>seizures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recalls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products;</w:t>
      </w:r>
      <w:r>
        <w:rPr>
          <w:spacing w:val="-4"/>
        </w:rPr>
        <w:t> </w:t>
      </w:r>
      <w:r>
        <w:rPr/>
        <w:t>total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partial</w:t>
      </w:r>
      <w:r>
        <w:rPr>
          <w:spacing w:val="-4"/>
        </w:rPr>
        <w:t> </w:t>
      </w:r>
      <w:r>
        <w:rPr/>
        <w:t>suspension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production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distribution;</w:t>
      </w:r>
      <w:r>
        <w:rPr>
          <w:spacing w:val="-4"/>
        </w:rPr>
        <w:t> </w:t>
      </w:r>
      <w:r>
        <w:rPr/>
        <w:t>administrative</w:t>
      </w:r>
      <w:r>
        <w:rPr>
          <w:spacing w:val="-47"/>
        </w:rPr>
        <w:t> </w:t>
      </w:r>
      <w:r>
        <w:rPr/>
        <w:t>or judicially imposed sanctions; the FDA’s refusal to grant pending or future clearances or approvals for our</w:t>
      </w:r>
      <w:r>
        <w:rPr>
          <w:spacing w:val="1"/>
        </w:rPr>
        <w:t> </w:t>
      </w:r>
      <w:r>
        <w:rPr/>
        <w:t>products; clinical holds; refusal to permit the import or export of our products; and criminal prosecution of us, our</w:t>
      </w:r>
      <w:r>
        <w:rPr>
          <w:spacing w:val="1"/>
        </w:rPr>
        <w:t> </w:t>
      </w:r>
      <w:r>
        <w:rPr/>
        <w:t>suppliers,</w:t>
      </w:r>
      <w:r>
        <w:rPr>
          <w:spacing w:val="-1"/>
        </w:rPr>
        <w:t> </w:t>
      </w:r>
      <w:r>
        <w:rPr/>
        <w:t>or our employees.</w:t>
      </w:r>
    </w:p>
    <w:p>
      <w:pPr>
        <w:pStyle w:val="BodyText"/>
        <w:spacing w:line="249" w:lineRule="auto" w:before="189"/>
      </w:pPr>
      <w:r>
        <w:rPr/>
        <w:t>Any of these actions could significantly and negatively affect supply of our products. If any of these events</w:t>
      </w:r>
      <w:r>
        <w:rPr>
          <w:spacing w:val="1"/>
        </w:rPr>
        <w:t> </w:t>
      </w:r>
      <w:r>
        <w:rPr/>
        <w:t>occurs,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reputation</w:t>
      </w:r>
      <w:r>
        <w:rPr>
          <w:spacing w:val="-3"/>
        </w:rPr>
        <w:t> </w:t>
      </w:r>
      <w:r>
        <w:rPr/>
        <w:t>could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harmed,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could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exposed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product</w:t>
      </w:r>
      <w:r>
        <w:rPr>
          <w:spacing w:val="-3"/>
        </w:rPr>
        <w:t> </w:t>
      </w:r>
      <w:r>
        <w:rPr/>
        <w:t>liability</w:t>
      </w:r>
      <w:r>
        <w:rPr>
          <w:spacing w:val="-3"/>
        </w:rPr>
        <w:t> </w:t>
      </w:r>
      <w:r>
        <w:rPr/>
        <w:t>claims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we</w:t>
      </w:r>
      <w:r>
        <w:rPr>
          <w:spacing w:val="-4"/>
        </w:rPr>
        <w:t> </w:t>
      </w:r>
      <w:r>
        <w:rPr/>
        <w:t>could</w:t>
      </w:r>
      <w:r>
        <w:rPr>
          <w:spacing w:val="-2"/>
        </w:rPr>
        <w:t> </w:t>
      </w:r>
      <w:r>
        <w:rPr/>
        <w:t>lose</w:t>
      </w:r>
      <w:r>
        <w:rPr>
          <w:spacing w:val="-3"/>
        </w:rPr>
        <w:t> </w:t>
      </w:r>
      <w:r>
        <w:rPr/>
        <w:t>customers</w:t>
      </w:r>
      <w:r>
        <w:rPr>
          <w:spacing w:val="-47"/>
        </w:rPr>
        <w:t> </w:t>
      </w:r>
      <w:r>
        <w:rPr/>
        <w:t>and</w:t>
      </w:r>
      <w:r>
        <w:rPr>
          <w:spacing w:val="-1"/>
        </w:rPr>
        <w:t> </w:t>
      </w:r>
      <w:r>
        <w:rPr/>
        <w:t>experience</w:t>
      </w:r>
      <w:r>
        <w:rPr>
          <w:spacing w:val="-1"/>
        </w:rPr>
        <w:t> </w:t>
      </w:r>
      <w:r>
        <w:rPr/>
        <w:t>reduced sales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increased costs.</w:t>
      </w:r>
    </w:p>
    <w:p>
      <w:pPr>
        <w:pStyle w:val="Heading3"/>
        <w:spacing w:line="249" w:lineRule="auto" w:before="179"/>
      </w:pPr>
      <w:r>
        <w:rPr>
          <w:i/>
        </w:rPr>
        <w:t>Our</w:t>
      </w:r>
      <w:r>
        <w:rPr>
          <w:i/>
          <w:spacing w:val="-4"/>
        </w:rPr>
        <w:t> </w:t>
      </w:r>
      <w:r>
        <w:rPr>
          <w:i/>
        </w:rPr>
        <w:t>products,</w:t>
      </w:r>
      <w:r>
        <w:rPr>
          <w:i/>
          <w:spacing w:val="-3"/>
        </w:rPr>
        <w:t> </w:t>
      </w:r>
      <w:r>
        <w:rPr>
          <w:i/>
        </w:rPr>
        <w:t>such</w:t>
      </w:r>
      <w:r>
        <w:rPr>
          <w:i/>
          <w:spacing w:val="-3"/>
        </w:rPr>
        <w:t> </w:t>
      </w:r>
      <w:r>
        <w:rPr>
          <w:i/>
        </w:rPr>
        <w:t>as</w:t>
      </w:r>
      <w:r>
        <w:rPr>
          <w:i/>
          <w:spacing w:val="-4"/>
        </w:rPr>
        <w:t> </w:t>
      </w:r>
      <w:r>
        <w:rPr>
          <w:i/>
        </w:rPr>
        <w:t>our</w:t>
      </w:r>
      <w:r>
        <w:rPr>
          <w:i/>
          <w:spacing w:val="-4"/>
        </w:rPr>
        <w:t> </w:t>
      </w:r>
      <w:r>
        <w:rPr>
          <w:i/>
        </w:rPr>
        <w:t>AquaBeam</w:t>
      </w:r>
      <w:r>
        <w:rPr>
          <w:i/>
          <w:spacing w:val="-3"/>
        </w:rPr>
        <w:t> </w:t>
      </w:r>
      <w:r>
        <w:rPr>
          <w:i/>
        </w:rPr>
        <w:t>Robotic</w:t>
      </w:r>
      <w:r>
        <w:rPr>
          <w:i/>
          <w:spacing w:val="-4"/>
        </w:rPr>
        <w:t> </w:t>
      </w:r>
      <w:r>
        <w:rPr>
          <w:i/>
        </w:rPr>
        <w:t>System,</w:t>
      </w:r>
      <w:r>
        <w:rPr>
          <w:i/>
          <w:spacing w:val="-3"/>
        </w:rPr>
        <w:t> </w:t>
      </w:r>
      <w:r>
        <w:rPr>
          <w:i/>
        </w:rPr>
        <w:t>may</w:t>
      </w:r>
      <w:r>
        <w:rPr>
          <w:i/>
          <w:spacing w:val="-3"/>
        </w:rPr>
        <w:t> </w:t>
      </w:r>
      <w:r>
        <w:rPr>
          <w:i/>
        </w:rPr>
        <w:t>in</w:t>
      </w:r>
      <w:r>
        <w:rPr>
          <w:i/>
          <w:spacing w:val="-4"/>
        </w:rPr>
        <w:t> </w:t>
      </w:r>
      <w:r>
        <w:rPr>
          <w:i/>
        </w:rPr>
        <w:t>the</w:t>
      </w:r>
      <w:r>
        <w:rPr>
          <w:i/>
          <w:spacing w:val="-4"/>
        </w:rPr>
        <w:t> </w:t>
      </w:r>
      <w:r>
        <w:rPr>
          <w:i/>
        </w:rPr>
        <w:t>future</w:t>
      </w:r>
      <w:r>
        <w:rPr>
          <w:i/>
          <w:spacing w:val="-3"/>
        </w:rPr>
        <w:t> </w:t>
      </w:r>
      <w:r>
        <w:rPr>
          <w:i/>
        </w:rPr>
        <w:t>be</w:t>
      </w:r>
      <w:r>
        <w:rPr>
          <w:i/>
          <w:spacing w:val="-4"/>
        </w:rPr>
        <w:t> </w:t>
      </w:r>
      <w:r>
        <w:rPr>
          <w:i/>
        </w:rPr>
        <w:t>subject</w:t>
      </w:r>
      <w:r>
        <w:rPr>
          <w:i/>
          <w:spacing w:val="-4"/>
        </w:rPr>
        <w:t> </w:t>
      </w:r>
      <w:r>
        <w:rPr>
          <w:i/>
        </w:rPr>
        <w:t>to</w:t>
      </w:r>
      <w:r>
        <w:rPr>
          <w:i/>
          <w:spacing w:val="-2"/>
        </w:rPr>
        <w:t> </w:t>
      </w:r>
      <w:r>
        <w:rPr>
          <w:i/>
        </w:rPr>
        <w:t>product</w:t>
      </w:r>
      <w:r>
        <w:rPr>
          <w:i/>
          <w:spacing w:val="-4"/>
        </w:rPr>
        <w:t> </w:t>
      </w:r>
      <w:r>
        <w:rPr>
          <w:i/>
        </w:rPr>
        <w:t>recalls</w:t>
      </w:r>
      <w:r>
        <w:rPr>
          <w:i/>
          <w:spacing w:val="-4"/>
        </w:rPr>
        <w:t> </w:t>
      </w:r>
      <w:r>
        <w:rPr>
          <w:i/>
        </w:rPr>
        <w:t>that</w:t>
      </w:r>
      <w:r>
        <w:rPr>
          <w:i/>
          <w:spacing w:val="-3"/>
        </w:rPr>
        <w:t> </w:t>
      </w:r>
      <w:r>
        <w:rPr>
          <w:i/>
        </w:rPr>
        <w:t>could</w:t>
      </w:r>
      <w:r>
        <w:rPr>
          <w:i/>
          <w:spacing w:val="1"/>
        </w:rPr>
        <w:t> </w:t>
      </w:r>
      <w:r>
        <w:rPr/>
        <w:t>harm</w:t>
      </w:r>
      <w:r>
        <w:rPr>
          <w:spacing w:val="-2"/>
        </w:rPr>
        <w:t> </w:t>
      </w:r>
      <w:r>
        <w:rPr/>
        <w:t>our</w:t>
      </w:r>
      <w:r>
        <w:rPr>
          <w:spacing w:val="-1"/>
        </w:rPr>
        <w:t> </w:t>
      </w:r>
      <w:r>
        <w:rPr/>
        <w:t>reputation, business</w:t>
      </w:r>
      <w:r>
        <w:rPr>
          <w:spacing w:val="-2"/>
        </w:rPr>
        <w:t> </w:t>
      </w:r>
      <w:r>
        <w:rPr/>
        <w:t>and financial</w:t>
      </w:r>
      <w:r>
        <w:rPr>
          <w:spacing w:val="-1"/>
        </w:rPr>
        <w:t> </w:t>
      </w:r>
      <w:r>
        <w:rPr/>
        <w:t>results.</w:t>
      </w:r>
    </w:p>
    <w:p>
      <w:pPr>
        <w:pStyle w:val="BodyText"/>
        <w:spacing w:line="249" w:lineRule="auto" w:before="185"/>
        <w:ind w:right="148"/>
      </w:pPr>
      <w:r>
        <w:rPr/>
        <w:t>Medical devices can experience performance problems in the field that require review and possible corrective</w:t>
      </w:r>
      <w:r>
        <w:rPr>
          <w:spacing w:val="1"/>
        </w:rPr>
        <w:t> </w:t>
      </w:r>
      <w:r>
        <w:rPr/>
        <w:t>action. The occurrence of component failures, manufacturing errors, software errors, design defects or labeling</w:t>
      </w:r>
      <w:r>
        <w:rPr>
          <w:spacing w:val="1"/>
        </w:rPr>
        <w:t> </w:t>
      </w:r>
      <w:r>
        <w:rPr/>
        <w:t>inadequacies affecting a medical device could lead to a government-mandated or voluntary recall by the device</w:t>
      </w:r>
      <w:r>
        <w:rPr>
          <w:spacing w:val="1"/>
        </w:rPr>
        <w:t> </w:t>
      </w:r>
      <w:r>
        <w:rPr/>
        <w:t>manufacturer, in particular when such deficiencies may endanger health. The FDA requires that certain</w:t>
      </w:r>
      <w:r>
        <w:rPr>
          <w:spacing w:val="1"/>
        </w:rPr>
        <w:t> </w:t>
      </w:r>
      <w:r>
        <w:rPr/>
        <w:t>classifications of recalls be reported to the FDA within 10 working days after the recall is initiated. Companies are</w:t>
      </w:r>
      <w:r>
        <w:rPr>
          <w:spacing w:val="1"/>
        </w:rPr>
        <w:t> </w:t>
      </w:r>
      <w:r>
        <w:rPr/>
        <w:t>required to maintain certain records of recalls, even if they are not reportable to the FDA. We may initiate voluntary</w:t>
      </w:r>
      <w:r>
        <w:rPr>
          <w:spacing w:val="-47"/>
        </w:rPr>
        <w:t> </w:t>
      </w:r>
      <w:r>
        <w:rPr/>
        <w:t>recalls involving our AquaBeam Robotic System in the future that we determine do not require notification of the</w:t>
      </w:r>
      <w:r>
        <w:rPr>
          <w:spacing w:val="1"/>
        </w:rPr>
        <w:t> </w:t>
      </w:r>
      <w:r>
        <w:rPr/>
        <w:t>FDA. If the FDA disagrees with our determinations, they could require us to report those actions as recalls. Product</w:t>
      </w:r>
      <w:r>
        <w:rPr>
          <w:spacing w:val="1"/>
        </w:rPr>
        <w:t> </w:t>
      </w:r>
      <w:r>
        <w:rPr/>
        <w:t>recalls</w:t>
      </w:r>
      <w:r>
        <w:rPr>
          <w:spacing w:val="-5"/>
        </w:rPr>
        <w:t> </w:t>
      </w:r>
      <w:r>
        <w:rPr/>
        <w:t>may</w:t>
      </w:r>
      <w:r>
        <w:rPr>
          <w:spacing w:val="-3"/>
        </w:rPr>
        <w:t> </w:t>
      </w:r>
      <w:r>
        <w:rPr/>
        <w:t>divert</w:t>
      </w:r>
      <w:r>
        <w:rPr>
          <w:spacing w:val="-4"/>
        </w:rPr>
        <w:t> </w:t>
      </w:r>
      <w:r>
        <w:rPr/>
        <w:t>management</w:t>
      </w:r>
      <w:r>
        <w:rPr>
          <w:spacing w:val="-4"/>
        </w:rPr>
        <w:t> </w:t>
      </w:r>
      <w:r>
        <w:rPr/>
        <w:t>attention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financial</w:t>
      </w:r>
      <w:r>
        <w:rPr>
          <w:spacing w:val="-4"/>
        </w:rPr>
        <w:t> </w:t>
      </w:r>
      <w:r>
        <w:rPr/>
        <w:t>resources,</w:t>
      </w:r>
      <w:r>
        <w:rPr>
          <w:spacing w:val="-3"/>
        </w:rPr>
        <w:t> </w:t>
      </w:r>
      <w:r>
        <w:rPr/>
        <w:t>expose</w:t>
      </w:r>
      <w:r>
        <w:rPr>
          <w:spacing w:val="-4"/>
        </w:rPr>
        <w:t> </w:t>
      </w:r>
      <w:r>
        <w:rPr/>
        <w:t>us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product</w:t>
      </w:r>
      <w:r>
        <w:rPr>
          <w:spacing w:val="-4"/>
        </w:rPr>
        <w:t> </w:t>
      </w:r>
      <w:r>
        <w:rPr/>
        <w:t>liability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claims,</w:t>
      </w:r>
      <w:r>
        <w:rPr>
          <w:spacing w:val="-3"/>
        </w:rPr>
        <w:t> </w:t>
      </w:r>
      <w:r>
        <w:rPr/>
        <w:t>harm</w:t>
      </w:r>
      <w:r>
        <w:rPr>
          <w:spacing w:val="-47"/>
        </w:rPr>
        <w:t> </w:t>
      </w:r>
      <w:r>
        <w:rPr/>
        <w:t>our</w:t>
      </w:r>
      <w:r>
        <w:rPr>
          <w:spacing w:val="-2"/>
        </w:rPr>
        <w:t> </w:t>
      </w:r>
      <w:r>
        <w:rPr/>
        <w:t>reputation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customers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adversely</w:t>
      </w:r>
      <w:r>
        <w:rPr>
          <w:spacing w:val="-2"/>
        </w:rPr>
        <w:t> </w:t>
      </w:r>
      <w:r>
        <w:rPr/>
        <w:t>impact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business,</w:t>
      </w:r>
      <w:r>
        <w:rPr>
          <w:spacing w:val="-2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condition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results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operations.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Heading3"/>
        <w:spacing w:line="249" w:lineRule="auto" w:before="68"/>
      </w:pPr>
      <w:r>
        <w:rPr>
          <w:i/>
        </w:rPr>
        <w:t>We</w:t>
      </w:r>
      <w:r>
        <w:rPr>
          <w:i/>
          <w:spacing w:val="-4"/>
        </w:rPr>
        <w:t> </w:t>
      </w:r>
      <w:r>
        <w:rPr>
          <w:i/>
        </w:rPr>
        <w:t>may</w:t>
      </w:r>
      <w:r>
        <w:rPr>
          <w:i/>
          <w:spacing w:val="-3"/>
        </w:rPr>
        <w:t> </w:t>
      </w:r>
      <w:r>
        <w:rPr>
          <w:i/>
        </w:rPr>
        <w:t>be</w:t>
      </w:r>
      <w:r>
        <w:rPr>
          <w:i/>
          <w:spacing w:val="-4"/>
        </w:rPr>
        <w:t> </w:t>
      </w:r>
      <w:r>
        <w:rPr>
          <w:i/>
        </w:rPr>
        <w:t>subject</w:t>
      </w:r>
      <w:r>
        <w:rPr>
          <w:i/>
          <w:spacing w:val="-3"/>
        </w:rPr>
        <w:t> </w:t>
      </w:r>
      <w:r>
        <w:rPr>
          <w:i/>
        </w:rPr>
        <w:t>to</w:t>
      </w:r>
      <w:r>
        <w:rPr>
          <w:i/>
          <w:spacing w:val="-3"/>
        </w:rPr>
        <w:t> </w:t>
      </w:r>
      <w:r>
        <w:rPr>
          <w:i/>
        </w:rPr>
        <w:t>regulatory</w:t>
      </w:r>
      <w:r>
        <w:rPr>
          <w:i/>
          <w:spacing w:val="-3"/>
        </w:rPr>
        <w:t> </w:t>
      </w:r>
      <w:r>
        <w:rPr>
          <w:i/>
        </w:rPr>
        <w:t>or</w:t>
      </w:r>
      <w:r>
        <w:rPr>
          <w:i/>
          <w:spacing w:val="-3"/>
        </w:rPr>
        <w:t> </w:t>
      </w:r>
      <w:r>
        <w:rPr>
          <w:i/>
        </w:rPr>
        <w:t>enforcement</w:t>
      </w:r>
      <w:r>
        <w:rPr>
          <w:i/>
          <w:spacing w:val="-4"/>
        </w:rPr>
        <w:t> </w:t>
      </w:r>
      <w:r>
        <w:rPr>
          <w:i/>
        </w:rPr>
        <w:t>actions</w:t>
      </w:r>
      <w:r>
        <w:rPr>
          <w:i/>
          <w:spacing w:val="-3"/>
        </w:rPr>
        <w:t> </w:t>
      </w:r>
      <w:r>
        <w:rPr>
          <w:i/>
        </w:rPr>
        <w:t>if</w:t>
      </w:r>
      <w:r>
        <w:rPr>
          <w:i/>
          <w:spacing w:val="-3"/>
        </w:rPr>
        <w:t> </w:t>
      </w:r>
      <w:r>
        <w:rPr>
          <w:i/>
        </w:rPr>
        <w:t>we</w:t>
      </w:r>
      <w:r>
        <w:rPr>
          <w:i/>
          <w:spacing w:val="-3"/>
        </w:rPr>
        <w:t> </w:t>
      </w:r>
      <w:r>
        <w:rPr>
          <w:i/>
        </w:rPr>
        <w:t>engage</w:t>
      </w:r>
      <w:r>
        <w:rPr>
          <w:i/>
          <w:spacing w:val="-3"/>
        </w:rPr>
        <w:t> </w:t>
      </w:r>
      <w:r>
        <w:rPr>
          <w:i/>
        </w:rPr>
        <w:t>in</w:t>
      </w:r>
      <w:r>
        <w:rPr>
          <w:i/>
          <w:spacing w:val="-4"/>
        </w:rPr>
        <w:t> </w:t>
      </w:r>
      <w:r>
        <w:rPr>
          <w:i/>
        </w:rPr>
        <w:t>improper</w:t>
      </w:r>
      <w:r>
        <w:rPr>
          <w:i/>
          <w:spacing w:val="-3"/>
        </w:rPr>
        <w:t> </w:t>
      </w:r>
      <w:r>
        <w:rPr>
          <w:i/>
        </w:rPr>
        <w:t>marketing</w:t>
      </w:r>
      <w:r>
        <w:rPr>
          <w:i/>
          <w:spacing w:val="-3"/>
        </w:rPr>
        <w:t> </w:t>
      </w:r>
      <w:r>
        <w:rPr>
          <w:i/>
        </w:rPr>
        <w:t>or</w:t>
      </w:r>
      <w:r>
        <w:rPr>
          <w:i/>
          <w:spacing w:val="-3"/>
        </w:rPr>
        <w:t> </w:t>
      </w:r>
      <w:r>
        <w:rPr>
          <w:i/>
        </w:rPr>
        <w:t>promotion</w:t>
      </w:r>
      <w:r>
        <w:rPr>
          <w:i/>
          <w:spacing w:val="-3"/>
        </w:rPr>
        <w:t> </w:t>
      </w:r>
      <w:r>
        <w:rPr>
          <w:i/>
        </w:rPr>
        <w:t>of</w:t>
      </w:r>
      <w:r>
        <w:rPr>
          <w:i/>
          <w:spacing w:val="-3"/>
        </w:rPr>
        <w:t> </w:t>
      </w:r>
      <w:r>
        <w:rPr>
          <w:i/>
        </w:rPr>
        <w:t>our</w:t>
      </w:r>
      <w:r>
        <w:rPr>
          <w:i/>
          <w:spacing w:val="1"/>
        </w:rPr>
        <w:t> </w:t>
      </w:r>
      <w:r>
        <w:rPr/>
        <w:t>AquaBeam</w:t>
      </w:r>
      <w:r>
        <w:rPr>
          <w:spacing w:val="-2"/>
        </w:rPr>
        <w:t> </w:t>
      </w:r>
      <w:r>
        <w:rPr/>
        <w:t>Robotic</w:t>
      </w:r>
      <w:r>
        <w:rPr>
          <w:spacing w:val="-1"/>
        </w:rPr>
        <w:t> </w:t>
      </w:r>
      <w:r>
        <w:rPr/>
        <w:t>System.</w:t>
      </w:r>
    </w:p>
    <w:p>
      <w:pPr>
        <w:pStyle w:val="BodyText"/>
        <w:spacing w:line="249" w:lineRule="auto" w:before="185"/>
        <w:ind w:right="180"/>
      </w:pPr>
      <w:r>
        <w:rPr/>
        <w:t>Our educational and promotional activities and training methods must comply with FDA and other applicable</w:t>
      </w:r>
      <w:r>
        <w:rPr>
          <w:spacing w:val="1"/>
        </w:rPr>
        <w:t> </w:t>
      </w:r>
      <w:r>
        <w:rPr/>
        <w:t>laws,</w:t>
      </w:r>
      <w:r>
        <w:rPr>
          <w:spacing w:val="-2"/>
        </w:rPr>
        <w:t> </w:t>
      </w:r>
      <w:r>
        <w:rPr/>
        <w:t>including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prohibition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promotion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medical</w:t>
      </w:r>
      <w:r>
        <w:rPr>
          <w:spacing w:val="-3"/>
        </w:rPr>
        <w:t> </w:t>
      </w:r>
      <w:r>
        <w:rPr/>
        <w:t>device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use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/>
        <w:t>been</w:t>
      </w:r>
      <w:r>
        <w:rPr>
          <w:spacing w:val="-2"/>
        </w:rPr>
        <w:t> </w:t>
      </w:r>
      <w:r>
        <w:rPr/>
        <w:t>cleared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approved</w:t>
      </w:r>
      <w:r>
        <w:rPr>
          <w:spacing w:val="-47"/>
        </w:rPr>
        <w:t> </w:t>
      </w:r>
      <w:r>
        <w:rPr/>
        <w:t>by the FDA. Use of a device outside of its cleared or approved indications is known as “off-label” use. Physicians</w:t>
      </w:r>
      <w:r>
        <w:rPr>
          <w:spacing w:val="1"/>
        </w:rPr>
        <w:t> </w:t>
      </w:r>
      <w:r>
        <w:rPr/>
        <w:t>may use our AquaBeam Robotic System off-label in their professional medical judgment, as the FDA does not</w:t>
      </w:r>
      <w:r>
        <w:rPr>
          <w:spacing w:val="1"/>
        </w:rPr>
        <w:t> </w:t>
      </w:r>
      <w:r>
        <w:rPr/>
        <w:t>restrict or regulate a physician’s choice of treatment within the practice of medicine. However, if the FDA</w:t>
      </w:r>
      <w:r>
        <w:rPr>
          <w:spacing w:val="1"/>
        </w:rPr>
        <w:t> </w:t>
      </w:r>
      <w:r>
        <w:rPr/>
        <w:t>determines that our educational and promotional activities or training constitutes promotion of an off-label use, it</w:t>
      </w:r>
      <w:r>
        <w:rPr>
          <w:spacing w:val="1"/>
        </w:rPr>
        <w:t> </w:t>
      </w:r>
      <w:r>
        <w:rPr/>
        <w:t>could request that we modify our training or promotional materials or subject us to regulatory or enforcement</w:t>
      </w:r>
      <w:r>
        <w:rPr>
          <w:spacing w:val="1"/>
        </w:rPr>
        <w:t> </w:t>
      </w:r>
      <w:r>
        <w:rPr/>
        <w:t>actions, including the issuance of warning letters, untitled letters, fines, penalties, injunctions, or seizures, which</w:t>
      </w:r>
      <w:r>
        <w:rPr>
          <w:spacing w:val="1"/>
        </w:rPr>
        <w:t> </w:t>
      </w:r>
      <w:r>
        <w:rPr/>
        <w:t>could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an adverse</w:t>
      </w:r>
      <w:r>
        <w:rPr>
          <w:spacing w:val="-2"/>
        </w:rPr>
        <w:t> </w:t>
      </w:r>
      <w:r>
        <w:rPr/>
        <w:t>impact</w:t>
      </w:r>
      <w:r>
        <w:rPr>
          <w:spacing w:val="-1"/>
        </w:rPr>
        <w:t> </w:t>
      </w:r>
      <w:r>
        <w:rPr/>
        <w:t>on our</w:t>
      </w:r>
      <w:r>
        <w:rPr>
          <w:spacing w:val="-1"/>
        </w:rPr>
        <w:t> </w:t>
      </w:r>
      <w:r>
        <w:rPr/>
        <w:t>reputation and financial</w:t>
      </w:r>
      <w:r>
        <w:rPr>
          <w:spacing w:val="-2"/>
        </w:rPr>
        <w:t> </w:t>
      </w:r>
      <w:r>
        <w:rPr/>
        <w:t>results.</w:t>
      </w:r>
    </w:p>
    <w:p>
      <w:pPr>
        <w:pStyle w:val="BodyText"/>
        <w:spacing w:line="249" w:lineRule="auto" w:before="188"/>
        <w:ind w:right="229"/>
      </w:pPr>
      <w:r>
        <w:rPr/>
        <w:t>It is also possible that other federal, state or foreign enforcement authorities might take action if they consider</w:t>
      </w:r>
      <w:r>
        <w:rPr>
          <w:spacing w:val="1"/>
        </w:rPr>
        <w:t> </w:t>
      </w:r>
      <w:r>
        <w:rPr/>
        <w:t>our educational and promotional activities or training methods to constitute promotion of an off-label use, which</w:t>
      </w:r>
      <w:r>
        <w:rPr>
          <w:spacing w:val="1"/>
        </w:rPr>
        <w:t> </w:t>
      </w:r>
      <w:r>
        <w:rPr/>
        <w:t>could result in significant fines or penalties under other statutory authorities, such as laws prohibiting false claims</w:t>
      </w:r>
      <w:r>
        <w:rPr>
          <w:spacing w:val="1"/>
        </w:rPr>
        <w:t> </w:t>
      </w:r>
      <w:r>
        <w:rPr/>
        <w:t>for reimbursement. In that event, our reputation could be damaged, and adoption of the products could be impaired.</w:t>
      </w:r>
      <w:r>
        <w:rPr>
          <w:spacing w:val="-47"/>
        </w:rPr>
        <w:t> </w:t>
      </w:r>
      <w:r>
        <w:rPr/>
        <w:t>Although our policy is to refrain from statements that could be considered off-label promotion of our AquaBeam</w:t>
      </w:r>
      <w:r>
        <w:rPr>
          <w:spacing w:val="1"/>
        </w:rPr>
        <w:t> </w:t>
      </w:r>
      <w:r>
        <w:rPr/>
        <w:t>Robotic System, the FDA or another regulatory agency could disagree and conclude that we have engaged in off-</w:t>
      </w:r>
      <w:r>
        <w:rPr>
          <w:spacing w:val="1"/>
        </w:rPr>
        <w:t> </w:t>
      </w:r>
      <w:r>
        <w:rPr/>
        <w:t>label promotion. It is also possible that other federal, state or foreign enforcement authorities might take action,</w:t>
      </w:r>
      <w:r>
        <w:rPr>
          <w:spacing w:val="1"/>
        </w:rPr>
        <w:t> </w:t>
      </w:r>
      <w:r>
        <w:rPr/>
        <w:t>including, but not limited to, through a whistleblower action under the federal civil False Claims Act, or FCA, if</w:t>
      </w:r>
      <w:r>
        <w:rPr>
          <w:spacing w:val="1"/>
        </w:rPr>
        <w:t> </w:t>
      </w:r>
      <w:r>
        <w:rPr/>
        <w:t>they consider our business activities constitute promotion of an off-label use, which could result in significant</w:t>
      </w:r>
      <w:r>
        <w:rPr>
          <w:spacing w:val="1"/>
        </w:rPr>
        <w:t> </w:t>
      </w:r>
      <w:r>
        <w:rPr/>
        <w:t>penalties, including, but not limited to, criminal, civil or administrative penalties, treble damages, fines,</w:t>
      </w:r>
      <w:r>
        <w:rPr>
          <w:spacing w:val="1"/>
        </w:rPr>
        <w:t> </w:t>
      </w:r>
      <w:r>
        <w:rPr/>
        <w:t>disgorgement, exclusion from participation in government healthcare programs, additional reporting requirements</w:t>
      </w:r>
      <w:r>
        <w:rPr>
          <w:spacing w:val="1"/>
        </w:rPr>
        <w:t> </w:t>
      </w:r>
      <w:r>
        <w:rPr/>
        <w:t>and</w:t>
      </w:r>
      <w:r>
        <w:rPr>
          <w:spacing w:val="-3"/>
        </w:rPr>
        <w:t> </w:t>
      </w:r>
      <w:r>
        <w:rPr/>
        <w:t>oversight</w:t>
      </w:r>
      <w:r>
        <w:rPr>
          <w:spacing w:val="-4"/>
        </w:rPr>
        <w:t> </w:t>
      </w:r>
      <w:r>
        <w:rPr/>
        <w:t>if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become</w:t>
      </w:r>
      <w:r>
        <w:rPr>
          <w:spacing w:val="-4"/>
        </w:rPr>
        <w:t> </w:t>
      </w:r>
      <w:r>
        <w:rPr/>
        <w:t>subject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corporate</w:t>
      </w:r>
      <w:r>
        <w:rPr>
          <w:spacing w:val="-4"/>
        </w:rPr>
        <w:t> </w:t>
      </w:r>
      <w:r>
        <w:rPr/>
        <w:t>integrity</w:t>
      </w:r>
      <w:r>
        <w:rPr>
          <w:spacing w:val="-3"/>
        </w:rPr>
        <w:t> </w:t>
      </w:r>
      <w:r>
        <w:rPr/>
        <w:t>agreement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similar</w:t>
      </w:r>
      <w:r>
        <w:rPr>
          <w:spacing w:val="-3"/>
        </w:rPr>
        <w:t> </w:t>
      </w:r>
      <w:r>
        <w:rPr/>
        <w:t>agreement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resolve</w:t>
      </w:r>
      <w:r>
        <w:rPr>
          <w:spacing w:val="-4"/>
        </w:rPr>
        <w:t> </w:t>
      </w:r>
      <w:r>
        <w:rPr/>
        <w:t>allegations</w:t>
      </w:r>
      <w:r>
        <w:rPr>
          <w:spacing w:val="-4"/>
        </w:rPr>
        <w:t> </w:t>
      </w:r>
      <w:r>
        <w:rPr/>
        <w:t>of</w:t>
      </w:r>
      <w:r>
        <w:rPr>
          <w:spacing w:val="1"/>
        </w:rPr>
        <w:t> </w:t>
      </w:r>
      <w:r>
        <w:rPr/>
        <w:t>non-compliance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these</w:t>
      </w:r>
      <w:r>
        <w:rPr>
          <w:spacing w:val="-1"/>
        </w:rPr>
        <w:t> </w:t>
      </w:r>
      <w:r>
        <w:rPr/>
        <w:t>laws,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curtailment</w:t>
      </w:r>
      <w:r>
        <w:rPr>
          <w:spacing w:val="-2"/>
        </w:rPr>
        <w:t> </w:t>
      </w:r>
      <w:r>
        <w:rPr/>
        <w:t>or restructuring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our operations.</w:t>
      </w:r>
    </w:p>
    <w:p>
      <w:pPr>
        <w:pStyle w:val="BodyText"/>
        <w:spacing w:line="249" w:lineRule="auto"/>
        <w:ind w:right="269"/>
      </w:pPr>
      <w:r>
        <w:rPr/>
        <w:t>In addition, physicians may misuse our products or use improper techniques if they are not adequately trained,</w:t>
      </w:r>
      <w:r>
        <w:rPr>
          <w:spacing w:val="-47"/>
        </w:rPr>
        <w:t> </w:t>
      </w:r>
      <w:r>
        <w:rPr/>
        <w:t>potentially leading to injury and an increased risk of product liability. If our devices are misused or used with</w:t>
      </w:r>
      <w:r>
        <w:rPr>
          <w:spacing w:val="1"/>
        </w:rPr>
        <w:t> </w:t>
      </w:r>
      <w:r>
        <w:rPr/>
        <w:t>improper</w:t>
      </w:r>
      <w:r>
        <w:rPr>
          <w:spacing w:val="-4"/>
        </w:rPr>
        <w:t> </w:t>
      </w:r>
      <w:r>
        <w:rPr/>
        <w:t>technique,</w:t>
      </w:r>
      <w:r>
        <w:rPr>
          <w:spacing w:val="-3"/>
        </w:rPr>
        <w:t> </w:t>
      </w:r>
      <w:r>
        <w:rPr/>
        <w:t>we</w:t>
      </w:r>
      <w:r>
        <w:rPr>
          <w:spacing w:val="-4"/>
        </w:rPr>
        <w:t> </w:t>
      </w:r>
      <w:r>
        <w:rPr/>
        <w:t>may</w:t>
      </w:r>
      <w:r>
        <w:rPr>
          <w:spacing w:val="-3"/>
        </w:rPr>
        <w:t> </w:t>
      </w:r>
      <w:r>
        <w:rPr/>
        <w:t>become</w:t>
      </w:r>
      <w:r>
        <w:rPr>
          <w:spacing w:val="-4"/>
        </w:rPr>
        <w:t> </w:t>
      </w:r>
      <w:r>
        <w:rPr/>
        <w:t>subject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costly</w:t>
      </w:r>
      <w:r>
        <w:rPr>
          <w:spacing w:val="-3"/>
        </w:rPr>
        <w:t> </w:t>
      </w:r>
      <w:r>
        <w:rPr/>
        <w:t>litigation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our</w:t>
      </w:r>
      <w:r>
        <w:rPr>
          <w:spacing w:val="-3"/>
        </w:rPr>
        <w:t> </w:t>
      </w:r>
      <w:r>
        <w:rPr/>
        <w:t>customers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patients.</w:t>
      </w:r>
      <w:r>
        <w:rPr>
          <w:spacing w:val="-3"/>
        </w:rPr>
        <w:t> </w:t>
      </w:r>
      <w:r>
        <w:rPr/>
        <w:t>Product</w:t>
      </w:r>
      <w:r>
        <w:rPr>
          <w:spacing w:val="-4"/>
        </w:rPr>
        <w:t> </w:t>
      </w:r>
      <w:r>
        <w:rPr/>
        <w:t>liability</w:t>
      </w:r>
      <w:r>
        <w:rPr>
          <w:spacing w:val="-47"/>
        </w:rPr>
        <w:t> </w:t>
      </w:r>
      <w:r>
        <w:rPr/>
        <w:t>claims are expensive to defend and could divert our management’s attention, result in substantial damage awards</w:t>
      </w:r>
      <w:r>
        <w:rPr>
          <w:spacing w:val="1"/>
        </w:rPr>
        <w:t> </w:t>
      </w:r>
      <w:r>
        <w:rPr/>
        <w:t>against</w:t>
      </w:r>
      <w:r>
        <w:rPr>
          <w:spacing w:val="-2"/>
        </w:rPr>
        <w:t> </w:t>
      </w:r>
      <w:r>
        <w:rPr/>
        <w:t>us, and harm</w:t>
      </w:r>
      <w:r>
        <w:rPr>
          <w:spacing w:val="-1"/>
        </w:rPr>
        <w:t> </w:t>
      </w:r>
      <w:r>
        <w:rPr/>
        <w:t>our reputation.</w:t>
      </w:r>
    </w:p>
    <w:p>
      <w:pPr>
        <w:pStyle w:val="BodyText"/>
        <w:spacing w:line="249" w:lineRule="auto" w:before="184"/>
        <w:ind w:right="212"/>
      </w:pPr>
      <w:r>
        <w:rPr/>
        <w:t>Product</w:t>
      </w:r>
      <w:r>
        <w:rPr>
          <w:spacing w:val="-4"/>
        </w:rPr>
        <w:t> </w:t>
      </w:r>
      <w:r>
        <w:rPr/>
        <w:t>liability</w:t>
      </w:r>
      <w:r>
        <w:rPr>
          <w:spacing w:val="-3"/>
        </w:rPr>
        <w:t> </w:t>
      </w:r>
      <w:r>
        <w:rPr/>
        <w:t>claims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expensive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defend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could</w:t>
      </w:r>
      <w:r>
        <w:rPr>
          <w:spacing w:val="-3"/>
        </w:rPr>
        <w:t> </w:t>
      </w:r>
      <w:r>
        <w:rPr/>
        <w:t>divert</w:t>
      </w:r>
      <w:r>
        <w:rPr>
          <w:spacing w:val="-4"/>
        </w:rPr>
        <w:t> </w:t>
      </w:r>
      <w:r>
        <w:rPr/>
        <w:t>our</w:t>
      </w:r>
      <w:r>
        <w:rPr>
          <w:spacing w:val="-3"/>
        </w:rPr>
        <w:t> </w:t>
      </w:r>
      <w:r>
        <w:rPr/>
        <w:t>management’s</w:t>
      </w:r>
      <w:r>
        <w:rPr>
          <w:spacing w:val="-4"/>
        </w:rPr>
        <w:t> </w:t>
      </w:r>
      <w:r>
        <w:rPr/>
        <w:t>attention,</w:t>
      </w:r>
      <w:r>
        <w:rPr>
          <w:spacing w:val="-3"/>
        </w:rPr>
        <w:t> </w:t>
      </w:r>
      <w:r>
        <w:rPr/>
        <w:t>result</w:t>
      </w:r>
      <w:r>
        <w:rPr>
          <w:spacing w:val="-4"/>
        </w:rPr>
        <w:t> </w:t>
      </w:r>
      <w:r>
        <w:rPr/>
        <w:t>in</w:t>
      </w:r>
      <w:r>
        <w:rPr>
          <w:spacing w:val="-47"/>
        </w:rPr>
        <w:t> </w:t>
      </w:r>
      <w:r>
        <w:rPr/>
        <w:t>substantial</w:t>
      </w:r>
      <w:r>
        <w:rPr>
          <w:spacing w:val="-2"/>
        </w:rPr>
        <w:t> </w:t>
      </w:r>
      <w:r>
        <w:rPr/>
        <w:t>damage</w:t>
      </w:r>
      <w:r>
        <w:rPr>
          <w:spacing w:val="-1"/>
        </w:rPr>
        <w:t> </w:t>
      </w:r>
      <w:r>
        <w:rPr/>
        <w:t>awards</w:t>
      </w:r>
      <w:r>
        <w:rPr>
          <w:spacing w:val="-1"/>
        </w:rPr>
        <w:t> </w:t>
      </w:r>
      <w:r>
        <w:rPr/>
        <w:t>against</w:t>
      </w:r>
      <w:r>
        <w:rPr>
          <w:spacing w:val="-2"/>
        </w:rPr>
        <w:t> </w:t>
      </w:r>
      <w:r>
        <w:rPr/>
        <w:t>us, and harm</w:t>
      </w:r>
      <w:r>
        <w:rPr>
          <w:spacing w:val="-2"/>
        </w:rPr>
        <w:t> </w:t>
      </w:r>
      <w:r>
        <w:rPr/>
        <w:t>our reputation.</w:t>
      </w:r>
    </w:p>
    <w:p>
      <w:pPr>
        <w:pStyle w:val="Heading3"/>
        <w:spacing w:line="249" w:lineRule="auto" w:before="179"/>
        <w:ind w:right="180"/>
      </w:pPr>
      <w:r>
        <w:rPr>
          <w:i/>
        </w:rPr>
        <w:t>Legislative</w:t>
      </w:r>
      <w:r>
        <w:rPr>
          <w:i/>
          <w:spacing w:val="-4"/>
        </w:rPr>
        <w:t> </w:t>
      </w:r>
      <w:r>
        <w:rPr>
          <w:i/>
        </w:rPr>
        <w:t>or</w:t>
      </w:r>
      <w:r>
        <w:rPr>
          <w:i/>
          <w:spacing w:val="-4"/>
        </w:rPr>
        <w:t> </w:t>
      </w:r>
      <w:r>
        <w:rPr>
          <w:i/>
        </w:rPr>
        <w:t>regulatory</w:t>
      </w:r>
      <w:r>
        <w:rPr>
          <w:i/>
          <w:spacing w:val="-4"/>
        </w:rPr>
        <w:t> </w:t>
      </w:r>
      <w:r>
        <w:rPr>
          <w:i/>
        </w:rPr>
        <w:t>reforms</w:t>
      </w:r>
      <w:r>
        <w:rPr>
          <w:i/>
          <w:spacing w:val="-3"/>
        </w:rPr>
        <w:t> </w:t>
      </w:r>
      <w:r>
        <w:rPr>
          <w:i/>
        </w:rPr>
        <w:t>may</w:t>
      </w:r>
      <w:r>
        <w:rPr>
          <w:i/>
          <w:spacing w:val="-4"/>
        </w:rPr>
        <w:t> </w:t>
      </w:r>
      <w:r>
        <w:rPr>
          <w:i/>
        </w:rPr>
        <w:t>make</w:t>
      </w:r>
      <w:r>
        <w:rPr>
          <w:i/>
          <w:spacing w:val="-4"/>
        </w:rPr>
        <w:t> </w:t>
      </w:r>
      <w:r>
        <w:rPr>
          <w:i/>
        </w:rPr>
        <w:t>it</w:t>
      </w:r>
      <w:r>
        <w:rPr>
          <w:i/>
          <w:spacing w:val="-3"/>
        </w:rPr>
        <w:t> </w:t>
      </w:r>
      <w:r>
        <w:rPr>
          <w:i/>
        </w:rPr>
        <w:t>more</w:t>
      </w:r>
      <w:r>
        <w:rPr>
          <w:i/>
          <w:spacing w:val="-4"/>
        </w:rPr>
        <w:t> </w:t>
      </w:r>
      <w:r>
        <w:rPr>
          <w:i/>
        </w:rPr>
        <w:t>difficult</w:t>
      </w:r>
      <w:r>
        <w:rPr>
          <w:i/>
          <w:spacing w:val="-4"/>
        </w:rPr>
        <w:t> </w:t>
      </w:r>
      <w:r>
        <w:rPr>
          <w:i/>
        </w:rPr>
        <w:t>and</w:t>
      </w:r>
      <w:r>
        <w:rPr>
          <w:i/>
          <w:spacing w:val="-2"/>
        </w:rPr>
        <w:t> </w:t>
      </w:r>
      <w:r>
        <w:rPr>
          <w:i/>
        </w:rPr>
        <w:t>costly</w:t>
      </w:r>
      <w:r>
        <w:rPr>
          <w:i/>
          <w:spacing w:val="-4"/>
        </w:rPr>
        <w:t> </w:t>
      </w:r>
      <w:r>
        <w:rPr>
          <w:i/>
        </w:rPr>
        <w:t>for</w:t>
      </w:r>
      <w:r>
        <w:rPr>
          <w:i/>
          <w:spacing w:val="-4"/>
        </w:rPr>
        <w:t> </w:t>
      </w:r>
      <w:r>
        <w:rPr>
          <w:i/>
        </w:rPr>
        <w:t>us</w:t>
      </w:r>
      <w:r>
        <w:rPr>
          <w:i/>
          <w:spacing w:val="-3"/>
        </w:rPr>
        <w:t> </w:t>
      </w:r>
      <w:r>
        <w:rPr>
          <w:i/>
        </w:rPr>
        <w:t>to</w:t>
      </w:r>
      <w:r>
        <w:rPr>
          <w:i/>
          <w:spacing w:val="-3"/>
        </w:rPr>
        <w:t> </w:t>
      </w:r>
      <w:r>
        <w:rPr>
          <w:i/>
        </w:rPr>
        <w:t>obtain</w:t>
      </w:r>
      <w:r>
        <w:rPr>
          <w:i/>
          <w:spacing w:val="-4"/>
        </w:rPr>
        <w:t> </w:t>
      </w:r>
      <w:r>
        <w:rPr>
          <w:i/>
        </w:rPr>
        <w:t>regulatory</w:t>
      </w:r>
      <w:r>
        <w:rPr>
          <w:i/>
          <w:spacing w:val="-4"/>
        </w:rPr>
        <w:t> </w:t>
      </w:r>
      <w:r>
        <w:rPr>
          <w:i/>
        </w:rPr>
        <w:t>clearance</w:t>
      </w:r>
      <w:r>
        <w:rPr>
          <w:i/>
          <w:spacing w:val="-3"/>
        </w:rPr>
        <w:t> </w:t>
      </w:r>
      <w:r>
        <w:rPr>
          <w:i/>
        </w:rPr>
        <w:t>or</w:t>
      </w:r>
      <w:r>
        <w:rPr>
          <w:i/>
          <w:spacing w:val="1"/>
        </w:rPr>
        <w:t> </w:t>
      </w:r>
      <w:r>
        <w:rPr/>
        <w:t>approval of any future products and to manufacture, market and distribute our products after clearance or</w:t>
      </w:r>
      <w:r>
        <w:rPr>
          <w:spacing w:val="1"/>
        </w:rPr>
        <w:t> </w:t>
      </w:r>
      <w:r>
        <w:rPr/>
        <w:t>approval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obtained.</w:t>
      </w:r>
    </w:p>
    <w:p>
      <w:pPr>
        <w:pStyle w:val="BodyText"/>
        <w:spacing w:line="249" w:lineRule="auto" w:before="185"/>
        <w:ind w:right="140"/>
      </w:pPr>
      <w:r>
        <w:rPr/>
        <w:t>From</w:t>
      </w:r>
      <w:r>
        <w:rPr>
          <w:spacing w:val="-4"/>
        </w:rPr>
        <w:t> </w:t>
      </w:r>
      <w:r>
        <w:rPr/>
        <w:t>time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time,</w:t>
      </w:r>
      <w:r>
        <w:rPr>
          <w:spacing w:val="-3"/>
        </w:rPr>
        <w:t> </w:t>
      </w:r>
      <w:r>
        <w:rPr/>
        <w:t>legislation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drafted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introduced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Congress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could</w:t>
      </w:r>
      <w:r>
        <w:rPr>
          <w:spacing w:val="-3"/>
        </w:rPr>
        <w:t> </w:t>
      </w:r>
      <w:r>
        <w:rPr/>
        <w:t>significantly</w:t>
      </w:r>
      <w:r>
        <w:rPr>
          <w:spacing w:val="-3"/>
        </w:rPr>
        <w:t> </w:t>
      </w:r>
      <w:r>
        <w:rPr/>
        <w:t>change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statutory</w:t>
      </w:r>
      <w:r>
        <w:rPr>
          <w:spacing w:val="-47"/>
        </w:rPr>
        <w:t> </w:t>
      </w:r>
      <w:r>
        <w:rPr/>
        <w:t>provisions governing the regulatory approval, manufacture and marketing of regulated products or the</w:t>
      </w:r>
      <w:r>
        <w:rPr>
          <w:spacing w:val="1"/>
        </w:rPr>
        <w:t> </w:t>
      </w:r>
      <w:r>
        <w:rPr/>
        <w:t>reimbursement thereof. In addition, the FDA may change its clearance and approval policies, adopt additional</w:t>
      </w:r>
      <w:r>
        <w:rPr>
          <w:spacing w:val="1"/>
        </w:rPr>
        <w:t> </w:t>
      </w:r>
      <w:r>
        <w:rPr/>
        <w:t>regulations or revise existing regulations, or take other actions, which may prevent or delay approval or clearance of</w:t>
      </w:r>
      <w:r>
        <w:rPr>
          <w:spacing w:val="-47"/>
        </w:rPr>
        <w:t> </w:t>
      </w:r>
      <w:r>
        <w:rPr/>
        <w:t>our future products under development or impact our ability to modify our currently cleared products on a timely</w:t>
      </w:r>
      <w:r>
        <w:rPr>
          <w:spacing w:val="1"/>
        </w:rPr>
        <w:t> </w:t>
      </w:r>
      <w:r>
        <w:rPr/>
        <w:t>basis. Any new regulations or revisions or reinterpretations of existing regulations may impose additional costs or</w:t>
      </w:r>
      <w:r>
        <w:rPr>
          <w:spacing w:val="1"/>
        </w:rPr>
        <w:t> </w:t>
      </w:r>
      <w:r>
        <w:rPr/>
        <w:t>lengthen review times of planned or future products. It is impossible to predict whether legislative changes will be</w:t>
      </w:r>
      <w:r>
        <w:rPr>
          <w:spacing w:val="1"/>
        </w:rPr>
        <w:t> </w:t>
      </w:r>
      <w:r>
        <w:rPr/>
        <w:t>enacted or FDA regulations, guidance or interpretations changed, and what the impact of such changes, if any, may</w:t>
      </w:r>
      <w:r>
        <w:rPr>
          <w:spacing w:val="1"/>
        </w:rPr>
        <w:t> </w:t>
      </w:r>
      <w:r>
        <w:rPr/>
        <w:t>be.</w:t>
      </w:r>
    </w:p>
    <w:p>
      <w:pPr>
        <w:pStyle w:val="BodyText"/>
        <w:spacing w:line="249" w:lineRule="auto" w:before="188"/>
        <w:ind w:right="148"/>
      </w:pPr>
      <w:r>
        <w:rPr/>
        <w:t>Over the last several years, the FDA has proposed reforms to its 510(k) clearance process, and such proposals</w:t>
      </w:r>
      <w:r>
        <w:rPr>
          <w:spacing w:val="1"/>
        </w:rPr>
        <w:t> </w:t>
      </w:r>
      <w:r>
        <w:rPr/>
        <w:t>could</w:t>
      </w:r>
      <w:r>
        <w:rPr>
          <w:spacing w:val="-3"/>
        </w:rPr>
        <w:t> </w:t>
      </w:r>
      <w:r>
        <w:rPr/>
        <w:t>include</w:t>
      </w:r>
      <w:r>
        <w:rPr>
          <w:spacing w:val="-3"/>
        </w:rPr>
        <w:t> </w:t>
      </w:r>
      <w:r>
        <w:rPr/>
        <w:t>increased</w:t>
      </w:r>
      <w:r>
        <w:rPr>
          <w:spacing w:val="-2"/>
        </w:rPr>
        <w:t> </w:t>
      </w:r>
      <w:r>
        <w:rPr/>
        <w:t>requirements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clinical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longer</w:t>
      </w:r>
      <w:r>
        <w:rPr>
          <w:spacing w:val="-2"/>
        </w:rPr>
        <w:t> </w:t>
      </w:r>
      <w:r>
        <w:rPr/>
        <w:t>review</w:t>
      </w:r>
      <w:r>
        <w:rPr>
          <w:spacing w:val="-3"/>
        </w:rPr>
        <w:t> </w:t>
      </w:r>
      <w:r>
        <w:rPr/>
        <w:t>period,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could</w:t>
      </w:r>
      <w:r>
        <w:rPr>
          <w:spacing w:val="-2"/>
        </w:rPr>
        <w:t> </w:t>
      </w:r>
      <w:r>
        <w:rPr/>
        <w:t>make</w:t>
      </w:r>
      <w:r>
        <w:rPr>
          <w:spacing w:val="-4"/>
        </w:rPr>
        <w:t> </w:t>
      </w:r>
      <w:r>
        <w:rPr/>
        <w:t>it</w:t>
      </w:r>
      <w:r>
        <w:rPr>
          <w:spacing w:val="-3"/>
        </w:rPr>
        <w:t> </w:t>
      </w:r>
      <w:r>
        <w:rPr/>
        <w:t>more</w:t>
      </w:r>
      <w:r>
        <w:rPr>
          <w:spacing w:val="-3"/>
        </w:rPr>
        <w:t> </w:t>
      </w:r>
      <w:r>
        <w:rPr/>
        <w:t>difficult</w:t>
      </w:r>
      <w:r>
        <w:rPr>
          <w:spacing w:val="-3"/>
        </w:rPr>
        <w:t> </w:t>
      </w:r>
      <w:r>
        <w:rPr/>
        <w:t>for</w:t>
      </w:r>
      <w:r>
        <w:rPr>
          <w:spacing w:val="-47"/>
        </w:rPr>
        <w:t> </w:t>
      </w:r>
      <w:r>
        <w:rPr/>
        <w:t>manufacturers to utilize the 510(k) clearance process for their products. For example, in November 2018, FDA</w:t>
      </w:r>
      <w:r>
        <w:rPr>
          <w:spacing w:val="1"/>
        </w:rPr>
        <w:t> </w:t>
      </w:r>
      <w:r>
        <w:rPr/>
        <w:t>officials announced forthcoming steps that the FDA intended to take to modernize the premarket notification</w:t>
      </w:r>
      <w:r>
        <w:rPr>
          <w:spacing w:val="1"/>
        </w:rPr>
        <w:t> </w:t>
      </w:r>
      <w:r>
        <w:rPr/>
        <w:t>pathway</w:t>
      </w:r>
      <w:r>
        <w:rPr>
          <w:spacing w:val="-2"/>
        </w:rPr>
        <w:t> </w:t>
      </w:r>
      <w:r>
        <w:rPr/>
        <w:t>under</w:t>
      </w:r>
      <w:r>
        <w:rPr>
          <w:spacing w:val="-2"/>
        </w:rPr>
        <w:t> </w:t>
      </w:r>
      <w:r>
        <w:rPr/>
        <w:t>Section</w:t>
      </w:r>
      <w:r>
        <w:rPr>
          <w:spacing w:val="-1"/>
        </w:rPr>
        <w:t> </w:t>
      </w:r>
      <w:r>
        <w:rPr/>
        <w:t>510(k)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FDCA.</w:t>
      </w:r>
      <w:r>
        <w:rPr>
          <w:spacing w:val="-2"/>
        </w:rPr>
        <w:t> </w:t>
      </w:r>
      <w:r>
        <w:rPr/>
        <w:t>Among</w:t>
      </w:r>
      <w:r>
        <w:rPr>
          <w:spacing w:val="-1"/>
        </w:rPr>
        <w:t> </w:t>
      </w:r>
      <w:r>
        <w:rPr/>
        <w:t>other</w:t>
      </w:r>
      <w:r>
        <w:rPr>
          <w:spacing w:val="-2"/>
        </w:rPr>
        <w:t> </w:t>
      </w:r>
      <w:r>
        <w:rPr/>
        <w:t>things,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FDA</w:t>
      </w:r>
      <w:r>
        <w:rPr>
          <w:spacing w:val="-2"/>
        </w:rPr>
        <w:t> </w:t>
      </w:r>
      <w:r>
        <w:rPr/>
        <w:t>announced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planned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develop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  <w:ind w:right="140" w:firstLine="0"/>
      </w:pPr>
      <w:r>
        <w:rPr/>
        <w:t>proposals to drive manufacturers utilizing the 510(k) pathway toward the use of newer predicates. These proposals</w:t>
      </w:r>
      <w:r>
        <w:rPr>
          <w:spacing w:val="1"/>
        </w:rPr>
        <w:t> </w:t>
      </w:r>
      <w:r>
        <w:rPr/>
        <w:t>included plans to potentially sunset certain older devices that were used as predicates under the 510(k) clearance</w:t>
      </w:r>
      <w:r>
        <w:rPr>
          <w:spacing w:val="1"/>
        </w:rPr>
        <w:t> </w:t>
      </w:r>
      <w:r>
        <w:rPr/>
        <w:t>pathway, and to potentially publish a list of devices that have been cleared on the basis of demonstrated substantial</w:t>
      </w:r>
      <w:r>
        <w:rPr>
          <w:spacing w:val="1"/>
        </w:rPr>
        <w:t> </w:t>
      </w:r>
      <w:r>
        <w:rPr/>
        <w:t>equivalence to</w:t>
      </w:r>
      <w:r>
        <w:rPr>
          <w:spacing w:val="1"/>
        </w:rPr>
        <w:t> </w:t>
      </w:r>
      <w:r>
        <w:rPr/>
        <w:t>predicate</w:t>
      </w:r>
      <w:r>
        <w:rPr>
          <w:spacing w:val="1"/>
        </w:rPr>
        <w:t> </w:t>
      </w:r>
      <w:r>
        <w:rPr/>
        <w:t>devices that</w:t>
      </w:r>
      <w:r>
        <w:rPr>
          <w:spacing w:val="1"/>
        </w:rPr>
        <w:t> </w:t>
      </w:r>
      <w:r>
        <w:rPr/>
        <w:t>are more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10</w:t>
      </w:r>
      <w:r>
        <w:rPr>
          <w:spacing w:val="2"/>
        </w:rPr>
        <w:t> </w:t>
      </w:r>
      <w:r>
        <w:rPr/>
        <w:t>years old.</w:t>
      </w:r>
      <w:r>
        <w:rPr>
          <w:spacing w:val="2"/>
        </w:rPr>
        <w:t> </w:t>
      </w:r>
      <w:r>
        <w:rPr/>
        <w:t>The FDA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announced</w:t>
      </w:r>
      <w:r>
        <w:rPr>
          <w:spacing w:val="2"/>
        </w:rPr>
        <w:t> </w:t>
      </w:r>
      <w:r>
        <w:rPr/>
        <w:t>that it</w:t>
      </w:r>
      <w:r>
        <w:rPr>
          <w:spacing w:val="1"/>
        </w:rPr>
        <w:t> </w:t>
      </w:r>
      <w:r>
        <w:rPr/>
        <w:t>intended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finalize guidance to establish a premarket review pathway for “manufacturers of certain well-understood device</w:t>
      </w:r>
      <w:r>
        <w:rPr>
          <w:spacing w:val="1"/>
        </w:rPr>
        <w:t> </w:t>
      </w:r>
      <w:r>
        <w:rPr/>
        <w:t>types” as an alternative to the 510(k) clearance pathway and that such premarket review pathway would allow</w:t>
      </w:r>
      <w:r>
        <w:rPr>
          <w:spacing w:val="1"/>
        </w:rPr>
        <w:t> </w:t>
      </w:r>
      <w:r>
        <w:rPr/>
        <w:t>manufacturers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rely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objective</w:t>
      </w:r>
      <w:r>
        <w:rPr>
          <w:spacing w:val="-4"/>
        </w:rPr>
        <w:t> </w:t>
      </w:r>
      <w:r>
        <w:rPr/>
        <w:t>safety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performance</w:t>
      </w:r>
      <w:r>
        <w:rPr>
          <w:spacing w:val="-5"/>
        </w:rPr>
        <w:t> </w:t>
      </w:r>
      <w:r>
        <w:rPr/>
        <w:t>criteria</w:t>
      </w:r>
      <w:r>
        <w:rPr>
          <w:spacing w:val="-4"/>
        </w:rPr>
        <w:t> </w:t>
      </w:r>
      <w:r>
        <w:rPr/>
        <w:t>recognized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FDA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demonstrate</w:t>
      </w:r>
      <w:r>
        <w:rPr>
          <w:spacing w:val="-4"/>
        </w:rPr>
        <w:t> </w:t>
      </w:r>
      <w:r>
        <w:rPr/>
        <w:t>substantial</w:t>
      </w:r>
      <w:r>
        <w:rPr>
          <w:spacing w:val="-47"/>
        </w:rPr>
        <w:t> </w:t>
      </w:r>
      <w:r>
        <w:rPr/>
        <w:t>equivalence,</w:t>
      </w:r>
      <w:r>
        <w:rPr>
          <w:spacing w:val="-3"/>
        </w:rPr>
        <w:t> </w:t>
      </w:r>
      <w:r>
        <w:rPr/>
        <w:t>obviating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need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manufacturers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compare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safety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performance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their</w:t>
      </w:r>
      <w:r>
        <w:rPr>
          <w:spacing w:val="-2"/>
        </w:rPr>
        <w:t> </w:t>
      </w:r>
      <w:r>
        <w:rPr/>
        <w:t>medical</w:t>
      </w:r>
      <w:r>
        <w:rPr>
          <w:spacing w:val="-4"/>
        </w:rPr>
        <w:t> </w:t>
      </w:r>
      <w:r>
        <w:rPr/>
        <w:t>devices</w:t>
      </w:r>
      <w:r>
        <w:rPr>
          <w:spacing w:val="-4"/>
        </w:rPr>
        <w:t> </w:t>
      </w:r>
      <w:r>
        <w:rPr/>
        <w:t>to</w:t>
      </w:r>
      <w:r>
        <w:rPr>
          <w:spacing w:val="-47"/>
        </w:rPr>
        <w:t> </w:t>
      </w:r>
      <w:r>
        <w:rPr/>
        <w:t>specific</w:t>
      </w:r>
      <w:r>
        <w:rPr>
          <w:spacing w:val="-2"/>
        </w:rPr>
        <w:t> </w:t>
      </w:r>
      <w:r>
        <w:rPr/>
        <w:t>predicate</w:t>
      </w:r>
      <w:r>
        <w:rPr>
          <w:spacing w:val="-1"/>
        </w:rPr>
        <w:t> </w:t>
      </w:r>
      <w:r>
        <w:rPr/>
        <w:t>devices</w:t>
      </w:r>
      <w:r>
        <w:rPr>
          <w:spacing w:val="-1"/>
        </w:rPr>
        <w:t> </w:t>
      </w:r>
      <w:r>
        <w:rPr/>
        <w:t>in the</w:t>
      </w:r>
      <w:r>
        <w:rPr>
          <w:spacing w:val="-2"/>
        </w:rPr>
        <w:t> </w:t>
      </w:r>
      <w:r>
        <w:rPr/>
        <w:t>clearance</w:t>
      </w:r>
      <w:r>
        <w:rPr>
          <w:spacing w:val="-1"/>
        </w:rPr>
        <w:t> </w:t>
      </w:r>
      <w:r>
        <w:rPr/>
        <w:t>process.</w:t>
      </w:r>
    </w:p>
    <w:p>
      <w:pPr>
        <w:pStyle w:val="BodyText"/>
        <w:spacing w:line="249" w:lineRule="auto" w:before="187"/>
        <w:ind w:right="123"/>
      </w:pPr>
      <w:r>
        <w:rPr/>
        <w:t>More recently, in September 2019, the FDA issued revised final guidance describing an optional “safety and</w:t>
      </w:r>
      <w:r>
        <w:rPr>
          <w:spacing w:val="1"/>
        </w:rPr>
        <w:t> </w:t>
      </w:r>
      <w:r>
        <w:rPr/>
        <w:t>performance based” premarket review pathway for manufacturers of “certain, well-understood device types” to</w:t>
      </w:r>
      <w:r>
        <w:rPr>
          <w:spacing w:val="1"/>
        </w:rPr>
        <w:t> </w:t>
      </w:r>
      <w:r>
        <w:rPr/>
        <w:t>demonstrate substantial equivalence under the 510(k) clearance pathway by showing that such device meets</w:t>
      </w:r>
      <w:r>
        <w:rPr>
          <w:spacing w:val="1"/>
        </w:rPr>
        <w:t> </w:t>
      </w:r>
      <w:r>
        <w:rPr/>
        <w:t>objective safety and performance criteria established by the FDA, thereby obviating the need for manufacturers to</w:t>
      </w:r>
      <w:r>
        <w:rPr>
          <w:spacing w:val="1"/>
        </w:rPr>
        <w:t> </w:t>
      </w:r>
      <w:r>
        <w:rPr/>
        <w:t>compare the safety and performance of their medical devices to specific predicate devices in the clearance process.</w:t>
      </w:r>
      <w:r>
        <w:rPr>
          <w:spacing w:val="1"/>
        </w:rPr>
        <w:t> </w:t>
      </w:r>
      <w:r>
        <w:rPr/>
        <w:t>The FDA maintains a list device types appropriate for the “safety and performance based” pathway and continues to</w:t>
      </w:r>
      <w:r>
        <w:rPr>
          <w:spacing w:val="-47"/>
        </w:rPr>
        <w:t> </w:t>
      </w:r>
      <w:r>
        <w:rPr/>
        <w:t>develop product-specific guidance documents that identify the performance criteria for each such device type, as</w:t>
      </w:r>
      <w:r>
        <w:rPr>
          <w:spacing w:val="1"/>
        </w:rPr>
        <w:t> </w:t>
      </w:r>
      <w:r>
        <w:rPr/>
        <w:t>well as recommended testing methods, where feasible. The FDA may establish performance criteria for classes of</w:t>
      </w:r>
      <w:r>
        <w:rPr>
          <w:spacing w:val="1"/>
        </w:rPr>
        <w:t> </w:t>
      </w:r>
      <w:r>
        <w:rPr/>
        <w:t>devices similar to ours, and it is unclear the extent to which such performance standards, if established, could impact</w:t>
      </w:r>
      <w:r>
        <w:rPr>
          <w:spacing w:val="-47"/>
        </w:rPr>
        <w:t> </w:t>
      </w:r>
      <w:r>
        <w:rPr/>
        <w:t>our</w:t>
      </w:r>
      <w:r>
        <w:rPr>
          <w:spacing w:val="-4"/>
        </w:rPr>
        <w:t> </w:t>
      </w: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obtain</w:t>
      </w:r>
      <w:r>
        <w:rPr>
          <w:spacing w:val="-3"/>
        </w:rPr>
        <w:t> </w:t>
      </w:r>
      <w:r>
        <w:rPr/>
        <w:t>marketing</w:t>
      </w:r>
      <w:r>
        <w:rPr>
          <w:spacing w:val="-4"/>
        </w:rPr>
        <w:t> </w:t>
      </w:r>
      <w:r>
        <w:rPr/>
        <w:t>authorization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otherwise</w:t>
      </w:r>
      <w:r>
        <w:rPr>
          <w:spacing w:val="-4"/>
        </w:rPr>
        <w:t> </w:t>
      </w:r>
      <w:r>
        <w:rPr/>
        <w:t>create</w:t>
      </w:r>
      <w:r>
        <w:rPr>
          <w:spacing w:val="-4"/>
        </w:rPr>
        <w:t> </w:t>
      </w:r>
      <w:r>
        <w:rPr/>
        <w:t>competition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may</w:t>
      </w:r>
      <w:r>
        <w:rPr>
          <w:spacing w:val="-4"/>
        </w:rPr>
        <w:t> </w:t>
      </w:r>
      <w:r>
        <w:rPr/>
        <w:t>negatively</w:t>
      </w:r>
      <w:r>
        <w:rPr>
          <w:spacing w:val="-3"/>
        </w:rPr>
        <w:t> </w:t>
      </w:r>
      <w:r>
        <w:rPr/>
        <w:t>affect</w:t>
      </w:r>
      <w:r>
        <w:rPr>
          <w:spacing w:val="-4"/>
        </w:rPr>
        <w:t> </w:t>
      </w:r>
      <w:r>
        <w:rPr/>
        <w:t>our</w:t>
      </w:r>
      <w:r>
        <w:rPr>
          <w:spacing w:val="-4"/>
        </w:rPr>
        <w:t> </w:t>
      </w:r>
      <w:r>
        <w:rPr/>
        <w:t>business.</w:t>
      </w:r>
    </w:p>
    <w:p>
      <w:pPr>
        <w:pStyle w:val="BodyText"/>
        <w:spacing w:line="249" w:lineRule="auto" w:before="188"/>
        <w:ind w:right="267"/>
      </w:pPr>
      <w:r>
        <w:rPr/>
        <w:t>In addition, FDA regulations and guidance are often revised or reinterpreted by the FDA in ways that may</w:t>
      </w:r>
      <w:r>
        <w:rPr>
          <w:spacing w:val="1"/>
        </w:rPr>
        <w:t> </w:t>
      </w:r>
      <w:r>
        <w:rPr/>
        <w:t>significantly affect our business and our products. Any new statutes, regulations or revisions or reinterpretations of</w:t>
      </w:r>
      <w:r>
        <w:rPr>
          <w:spacing w:val="-47"/>
        </w:rPr>
        <w:t> </w:t>
      </w:r>
      <w:r>
        <w:rPr/>
        <w:t>existing regulations may impose additional costs or lengthen review times of any future products or make it more</w:t>
      </w:r>
      <w:r>
        <w:rPr>
          <w:spacing w:val="1"/>
        </w:rPr>
        <w:t> </w:t>
      </w:r>
      <w:r>
        <w:rPr/>
        <w:t>difficult to obtain clearance or approval for, manufacture, market or distribute our products. We cannot determine</w:t>
      </w:r>
      <w:r>
        <w:rPr>
          <w:spacing w:val="1"/>
        </w:rPr>
        <w:t> </w:t>
      </w:r>
      <w:r>
        <w:rPr/>
        <w:t>what effect changes in regulations, statutes, legal interpretation or policies, when and if promulgated, enacted or</w:t>
      </w:r>
      <w:r>
        <w:rPr>
          <w:spacing w:val="1"/>
        </w:rPr>
        <w:t> </w:t>
      </w:r>
      <w:r>
        <w:rPr/>
        <w:t>adopted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our</w:t>
      </w:r>
      <w:r>
        <w:rPr>
          <w:spacing w:val="-3"/>
        </w:rPr>
        <w:t> </w:t>
      </w:r>
      <w:r>
        <w:rPr/>
        <w:t>business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future.</w:t>
      </w:r>
      <w:r>
        <w:rPr>
          <w:spacing w:val="-3"/>
        </w:rPr>
        <w:t> </w:t>
      </w:r>
      <w:r>
        <w:rPr/>
        <w:t>Such</w:t>
      </w:r>
      <w:r>
        <w:rPr>
          <w:spacing w:val="-2"/>
        </w:rPr>
        <w:t> </w:t>
      </w:r>
      <w:r>
        <w:rPr/>
        <w:t>changes</w:t>
      </w:r>
      <w:r>
        <w:rPr>
          <w:spacing w:val="-3"/>
        </w:rPr>
        <w:t> </w:t>
      </w:r>
      <w:r>
        <w:rPr/>
        <w:t>could,</w:t>
      </w:r>
      <w:r>
        <w:rPr>
          <w:spacing w:val="-2"/>
        </w:rPr>
        <w:t> </w:t>
      </w:r>
      <w:r>
        <w:rPr/>
        <w:t>among</w:t>
      </w:r>
      <w:r>
        <w:rPr>
          <w:spacing w:val="-3"/>
        </w:rPr>
        <w:t> </w:t>
      </w:r>
      <w:r>
        <w:rPr/>
        <w:t>other</w:t>
      </w:r>
      <w:r>
        <w:rPr>
          <w:spacing w:val="-2"/>
        </w:rPr>
        <w:t> </w:t>
      </w:r>
      <w:r>
        <w:rPr/>
        <w:t>things,</w:t>
      </w:r>
      <w:r>
        <w:rPr>
          <w:spacing w:val="-2"/>
        </w:rPr>
        <w:t> </w:t>
      </w:r>
      <w:r>
        <w:rPr/>
        <w:t>require</w:t>
      </w:r>
      <w:r>
        <w:rPr>
          <w:spacing w:val="-3"/>
        </w:rPr>
        <w:t> </w:t>
      </w:r>
      <w:r>
        <w:rPr/>
        <w:t>additional</w:t>
      </w:r>
      <w:r>
        <w:rPr>
          <w:spacing w:val="-4"/>
        </w:rPr>
        <w:t> </w:t>
      </w:r>
      <w:r>
        <w:rPr/>
        <w:t>testing</w:t>
      </w:r>
      <w:r>
        <w:rPr>
          <w:spacing w:val="-47"/>
        </w:rPr>
        <w:t> </w:t>
      </w:r>
      <w:r>
        <w:rPr/>
        <w:t>prior to obtaining clearance or approval; changes to manufacturing methods; recall, replacement or discontinuance</w:t>
      </w:r>
      <w:r>
        <w:rPr>
          <w:spacing w:val="-47"/>
        </w:rPr>
        <w:t> </w:t>
      </w:r>
      <w:r>
        <w:rPr/>
        <w:t>of</w:t>
      </w:r>
      <w:r>
        <w:rPr>
          <w:spacing w:val="-1"/>
        </w:rPr>
        <w:t> </w:t>
      </w:r>
      <w:r>
        <w:rPr/>
        <w:t>our products;</w:t>
      </w:r>
      <w:r>
        <w:rPr>
          <w:spacing w:val="-1"/>
        </w:rPr>
        <w:t> </w:t>
      </w:r>
      <w:r>
        <w:rPr/>
        <w:t>or additional</w:t>
      </w:r>
      <w:r>
        <w:rPr>
          <w:spacing w:val="-1"/>
        </w:rPr>
        <w:t> </w:t>
      </w:r>
      <w:r>
        <w:rPr/>
        <w:t>record keeping.</w:t>
      </w:r>
    </w:p>
    <w:p>
      <w:pPr>
        <w:pStyle w:val="BodyText"/>
        <w:spacing w:line="249" w:lineRule="auto" w:before="187"/>
        <w:ind w:right="139"/>
      </w:pPr>
      <w:r>
        <w:rPr/>
        <w:t>The</w:t>
      </w:r>
      <w:r>
        <w:rPr>
          <w:spacing w:val="-4"/>
        </w:rPr>
        <w:t> </w:t>
      </w:r>
      <w:r>
        <w:rPr/>
        <w:t>FDA’s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regulatory</w:t>
      </w:r>
      <w:r>
        <w:rPr>
          <w:spacing w:val="-3"/>
        </w:rPr>
        <w:t> </w:t>
      </w:r>
      <w:r>
        <w:rPr/>
        <w:t>authorities’</w:t>
      </w:r>
      <w:r>
        <w:rPr>
          <w:spacing w:val="-3"/>
        </w:rPr>
        <w:t> </w:t>
      </w:r>
      <w:r>
        <w:rPr/>
        <w:t>policies</w:t>
      </w:r>
      <w:r>
        <w:rPr>
          <w:spacing w:val="-4"/>
        </w:rPr>
        <w:t> </w:t>
      </w:r>
      <w:r>
        <w:rPr/>
        <w:t>may</w:t>
      </w:r>
      <w:r>
        <w:rPr>
          <w:spacing w:val="-3"/>
        </w:rPr>
        <w:t> </w:t>
      </w:r>
      <w:r>
        <w:rPr/>
        <w:t>change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additional</w:t>
      </w:r>
      <w:r>
        <w:rPr>
          <w:spacing w:val="-4"/>
        </w:rPr>
        <w:t> </w:t>
      </w:r>
      <w:r>
        <w:rPr/>
        <w:t>government</w:t>
      </w:r>
      <w:r>
        <w:rPr>
          <w:spacing w:val="-4"/>
        </w:rPr>
        <w:t> </w:t>
      </w:r>
      <w:r>
        <w:rPr/>
        <w:t>regulations</w:t>
      </w:r>
      <w:r>
        <w:rPr>
          <w:spacing w:val="-4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47"/>
        </w:rPr>
        <w:t> </w:t>
      </w:r>
      <w:r>
        <w:rPr/>
        <w:t>promulgated</w:t>
      </w:r>
      <w:r>
        <w:rPr>
          <w:spacing w:val="1"/>
        </w:rPr>
        <w:t> </w:t>
      </w:r>
      <w:r>
        <w:rPr/>
        <w:t>that could</w:t>
      </w:r>
      <w:r>
        <w:rPr>
          <w:spacing w:val="2"/>
        </w:rPr>
        <w:t> </w:t>
      </w:r>
      <w:r>
        <w:rPr/>
        <w:t>prevent,</w:t>
      </w:r>
      <w:r>
        <w:rPr>
          <w:spacing w:val="1"/>
        </w:rPr>
        <w:t> </w:t>
      </w:r>
      <w:r>
        <w:rPr/>
        <w:t>limit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delay</w:t>
      </w:r>
      <w:r>
        <w:rPr>
          <w:spacing w:val="2"/>
        </w:rPr>
        <w:t> </w:t>
      </w:r>
      <w:r>
        <w:rPr/>
        <w:t>regulatory</w:t>
      </w:r>
      <w:r>
        <w:rPr>
          <w:spacing w:val="1"/>
        </w:rPr>
        <w:t> </w:t>
      </w:r>
      <w:r>
        <w:rPr/>
        <w:t>clearance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approval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our</w:t>
      </w:r>
      <w:r>
        <w:rPr>
          <w:spacing w:val="1"/>
        </w:rPr>
        <w:t> </w:t>
      </w:r>
      <w:r>
        <w:rPr/>
        <w:t>product</w:t>
      </w:r>
      <w:r>
        <w:rPr>
          <w:spacing w:val="1"/>
        </w:rPr>
        <w:t> </w:t>
      </w:r>
      <w:r>
        <w:rPr/>
        <w:t>candidates.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cannot predict the likelihood, nature or extent of government regulation that may arise from future legislation or</w:t>
      </w:r>
      <w:r>
        <w:rPr>
          <w:spacing w:val="1"/>
        </w:rPr>
        <w:t> </w:t>
      </w:r>
      <w:r>
        <w:rPr/>
        <w:t>administrative action, either in the United States or abroad. If we are slow or unable to adapt to changes in existing</w:t>
      </w:r>
      <w:r>
        <w:rPr>
          <w:spacing w:val="1"/>
        </w:rPr>
        <w:t> </w:t>
      </w:r>
      <w:r>
        <w:rPr/>
        <w:t>requirements or the adoption of new requirements or policies, or if we are not able to maintain regulatory</w:t>
      </w:r>
      <w:r>
        <w:rPr>
          <w:spacing w:val="1"/>
        </w:rPr>
        <w:t> </w:t>
      </w:r>
      <w:r>
        <w:rPr/>
        <w:t>compliance,</w:t>
      </w:r>
      <w:r>
        <w:rPr>
          <w:spacing w:val="-2"/>
        </w:rPr>
        <w:t> </w:t>
      </w:r>
      <w:r>
        <w:rPr/>
        <w:t>we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subject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enforcement</w:t>
      </w:r>
      <w:r>
        <w:rPr>
          <w:spacing w:val="-2"/>
        </w:rPr>
        <w:t> </w:t>
      </w:r>
      <w:r>
        <w:rPr/>
        <w:t>action,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we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achieve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sustain</w:t>
      </w:r>
      <w:r>
        <w:rPr>
          <w:spacing w:val="-1"/>
        </w:rPr>
        <w:t> </w:t>
      </w:r>
      <w:r>
        <w:rPr/>
        <w:t>profitability.</w:t>
      </w:r>
    </w:p>
    <w:p>
      <w:pPr>
        <w:pStyle w:val="BodyText"/>
        <w:spacing w:line="249" w:lineRule="auto" w:before="185"/>
        <w:ind w:right="240"/>
      </w:pPr>
      <w:r>
        <w:rPr/>
        <w:t>Clinical trials may be necessary to support future product submissions to the FDA. The clinical trial process is</w:t>
      </w:r>
      <w:r>
        <w:rPr>
          <w:spacing w:val="1"/>
        </w:rPr>
        <w:t> </w:t>
      </w:r>
      <w:r>
        <w:rPr/>
        <w:t>lengthy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expensive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uncertain</w:t>
      </w:r>
      <w:r>
        <w:rPr>
          <w:spacing w:val="-3"/>
        </w:rPr>
        <w:t> </w:t>
      </w:r>
      <w:r>
        <w:rPr/>
        <w:t>outcomes,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often</w:t>
      </w:r>
      <w:r>
        <w:rPr>
          <w:spacing w:val="-2"/>
        </w:rPr>
        <w:t> </w:t>
      </w:r>
      <w:r>
        <w:rPr/>
        <w:t>requires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enrollment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large</w:t>
      </w:r>
      <w:r>
        <w:rPr>
          <w:spacing w:val="-3"/>
        </w:rPr>
        <w:t> </w:t>
      </w:r>
      <w:r>
        <w:rPr/>
        <w:t>numbers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patients,</w:t>
      </w:r>
      <w:r>
        <w:rPr>
          <w:spacing w:val="-2"/>
        </w:rPr>
        <w:t> </w:t>
      </w:r>
      <w:r>
        <w:rPr/>
        <w:t>and</w:t>
      </w:r>
      <w:r>
        <w:rPr>
          <w:spacing w:val="-47"/>
        </w:rPr>
        <w:t> </w:t>
      </w:r>
      <w:r>
        <w:rPr/>
        <w:t>suitable patients may be difficult to identify and recruit. Delays or failures in our clinical trials will prevent us from</w:t>
      </w:r>
      <w:r>
        <w:rPr>
          <w:spacing w:val="-47"/>
        </w:rPr>
        <w:t> </w:t>
      </w:r>
      <w:r>
        <w:rPr/>
        <w:t>commercializing any modified or new products and will adversely affect our business, operating results and</w:t>
      </w:r>
      <w:r>
        <w:rPr>
          <w:spacing w:val="1"/>
        </w:rPr>
        <w:t> </w:t>
      </w:r>
      <w:r>
        <w:rPr/>
        <w:t>prospects.</w:t>
      </w:r>
    </w:p>
    <w:p>
      <w:pPr>
        <w:pStyle w:val="BodyText"/>
        <w:spacing w:line="249" w:lineRule="auto" w:before="184"/>
        <w:ind w:right="196"/>
      </w:pPr>
      <w:r>
        <w:rPr/>
        <w:t>Initiating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completing</w:t>
      </w:r>
      <w:r>
        <w:rPr>
          <w:spacing w:val="-3"/>
        </w:rPr>
        <w:t> </w:t>
      </w:r>
      <w:r>
        <w:rPr/>
        <w:t>clinical</w:t>
      </w:r>
      <w:r>
        <w:rPr>
          <w:spacing w:val="-5"/>
        </w:rPr>
        <w:t> </w:t>
      </w:r>
      <w:r>
        <w:rPr/>
        <w:t>trials</w:t>
      </w:r>
      <w:r>
        <w:rPr>
          <w:spacing w:val="-4"/>
        </w:rPr>
        <w:t> </w:t>
      </w:r>
      <w:r>
        <w:rPr/>
        <w:t>necessary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support</w:t>
      </w:r>
      <w:r>
        <w:rPr>
          <w:spacing w:val="-5"/>
        </w:rPr>
        <w:t> </w:t>
      </w:r>
      <w:r>
        <w:rPr/>
        <w:t>any</w:t>
      </w:r>
      <w:r>
        <w:rPr>
          <w:spacing w:val="-3"/>
        </w:rPr>
        <w:t> </w:t>
      </w:r>
      <w:r>
        <w:rPr/>
        <w:t>future</w:t>
      </w:r>
      <w:r>
        <w:rPr>
          <w:spacing w:val="-5"/>
        </w:rPr>
        <w:t> </w:t>
      </w:r>
      <w:r>
        <w:rPr/>
        <w:t>PMA</w:t>
      </w:r>
      <w:r>
        <w:rPr>
          <w:spacing w:val="-4"/>
        </w:rPr>
        <w:t> </w:t>
      </w:r>
      <w:r>
        <w:rPr/>
        <w:t>applications,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additional</w:t>
      </w:r>
      <w:r>
        <w:rPr>
          <w:spacing w:val="-5"/>
        </w:rPr>
        <w:t> </w:t>
      </w:r>
      <w:r>
        <w:rPr/>
        <w:t>safety</w:t>
      </w:r>
      <w:r>
        <w:rPr>
          <w:spacing w:val="-47"/>
        </w:rPr>
        <w:t> </w:t>
      </w:r>
      <w:r>
        <w:rPr/>
        <w:t>and efficacy data beyond that typically required for a 510(k) clearance, for our possible future product candidates,</w:t>
      </w:r>
      <w:r>
        <w:rPr>
          <w:spacing w:val="1"/>
        </w:rPr>
        <w:t> </w:t>
      </w:r>
      <w:r>
        <w:rPr/>
        <w:t>will be time-consuming and expensive and the outcome uncertain. Moreover, the results of early clinical trials are</w:t>
      </w:r>
      <w:r>
        <w:rPr>
          <w:spacing w:val="1"/>
        </w:rPr>
        <w:t> </w:t>
      </w:r>
      <w:r>
        <w:rPr/>
        <w:t>not necessarily predictive of future results, and any product we advance into clinical trials may not have favorable</w:t>
      </w:r>
      <w:r>
        <w:rPr>
          <w:spacing w:val="1"/>
        </w:rPr>
        <w:t> </w:t>
      </w:r>
      <w:r>
        <w:rPr/>
        <w:t>results in later clinical trials. The results of preclinical studies and clinical trials of our products conducted to date</w:t>
      </w:r>
      <w:r>
        <w:rPr>
          <w:spacing w:val="1"/>
        </w:rPr>
        <w:t> </w:t>
      </w:r>
      <w:r>
        <w:rPr/>
        <w:t>and ongoing or future studies and trials of our current, planned or future products may not be predictive of the</w:t>
      </w:r>
      <w:r>
        <w:rPr>
          <w:spacing w:val="1"/>
        </w:rPr>
        <w:t> </w:t>
      </w:r>
      <w:r>
        <w:rPr/>
        <w:t>results of later clinical trials, and interim results of a clinical trial do not necessarily predict final results. Our</w:t>
      </w:r>
      <w:r>
        <w:rPr>
          <w:spacing w:val="1"/>
        </w:rPr>
        <w:t> </w:t>
      </w:r>
      <w:r>
        <w:rPr/>
        <w:t>interpretation of data and results from our clinical trials do not ensure that we will achieve similar results in future</w:t>
      </w:r>
      <w:r>
        <w:rPr>
          <w:spacing w:val="1"/>
        </w:rPr>
        <w:t> </w:t>
      </w:r>
      <w:r>
        <w:rPr/>
        <w:t>clinical trials. In addition, preclinical and clinical data are often susceptible to various interpretations and analyses,</w:t>
      </w:r>
      <w:r>
        <w:rPr>
          <w:spacing w:val="1"/>
        </w:rPr>
        <w:t> </w:t>
      </w:r>
      <w:r>
        <w:rPr/>
        <w:t>and many companies that have believed their products performed satisfactorily in preclinical studies and earlier</w:t>
      </w:r>
      <w:r>
        <w:rPr>
          <w:spacing w:val="1"/>
        </w:rPr>
        <w:t> </w:t>
      </w:r>
      <w:r>
        <w:rPr/>
        <w:t>clinical trials have nonetheless failed to replicate results in later clinical trials. Products in later stages of clinical</w:t>
      </w:r>
      <w:r>
        <w:rPr>
          <w:spacing w:val="1"/>
        </w:rPr>
        <w:t> </w:t>
      </w:r>
      <w:r>
        <w:rPr/>
        <w:t>trials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fail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show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desired</w:t>
      </w:r>
      <w:r>
        <w:rPr>
          <w:spacing w:val="-2"/>
        </w:rPr>
        <w:t> </w:t>
      </w:r>
      <w:r>
        <w:rPr/>
        <w:t>safety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efficacy</w:t>
      </w:r>
      <w:r>
        <w:rPr>
          <w:spacing w:val="-2"/>
        </w:rPr>
        <w:t> </w:t>
      </w:r>
      <w:r>
        <w:rPr/>
        <w:t>despite</w:t>
      </w:r>
      <w:r>
        <w:rPr>
          <w:spacing w:val="-3"/>
        </w:rPr>
        <w:t> </w:t>
      </w:r>
      <w:r>
        <w:rPr/>
        <w:t>having</w:t>
      </w:r>
      <w:r>
        <w:rPr>
          <w:spacing w:val="-2"/>
        </w:rPr>
        <w:t> </w:t>
      </w:r>
      <w:r>
        <w:rPr/>
        <w:t>progressed</w:t>
      </w:r>
      <w:r>
        <w:rPr>
          <w:spacing w:val="-2"/>
        </w:rPr>
        <w:t> </w:t>
      </w:r>
      <w:r>
        <w:rPr/>
        <w:t>through</w:t>
      </w:r>
      <w:r>
        <w:rPr>
          <w:spacing w:val="-2"/>
        </w:rPr>
        <w:t> </w:t>
      </w:r>
      <w:r>
        <w:rPr/>
        <w:t>nonclinical</w:t>
      </w:r>
      <w:r>
        <w:rPr>
          <w:spacing w:val="-3"/>
        </w:rPr>
        <w:t> </w:t>
      </w:r>
      <w:r>
        <w:rPr/>
        <w:t>studies</w:t>
      </w:r>
      <w:r>
        <w:rPr>
          <w:spacing w:val="-3"/>
        </w:rPr>
        <w:t> </w:t>
      </w:r>
      <w:r>
        <w:rPr/>
        <w:t>and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  <w:ind w:right="129" w:firstLine="0"/>
      </w:pPr>
      <w:r>
        <w:rPr/>
        <w:t>earlier clinical trials. Failure can occur at any stage of clinical testing. Our clinical studies may produce negative or</w:t>
      </w:r>
      <w:r>
        <w:rPr>
          <w:spacing w:val="1"/>
        </w:rPr>
        <w:t> </w:t>
      </w:r>
      <w:r>
        <w:rPr/>
        <w:t>inconclusive</w:t>
      </w:r>
      <w:r>
        <w:rPr>
          <w:spacing w:val="-4"/>
        </w:rPr>
        <w:t> </w:t>
      </w:r>
      <w:r>
        <w:rPr/>
        <w:t>results,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we</w:t>
      </w:r>
      <w:r>
        <w:rPr>
          <w:spacing w:val="-4"/>
        </w:rPr>
        <w:t> </w:t>
      </w:r>
      <w:r>
        <w:rPr/>
        <w:t>may</w:t>
      </w:r>
      <w:r>
        <w:rPr>
          <w:spacing w:val="-3"/>
        </w:rPr>
        <w:t> </w:t>
      </w:r>
      <w:r>
        <w:rPr/>
        <w:t>decide,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regulators</w:t>
      </w:r>
      <w:r>
        <w:rPr>
          <w:spacing w:val="-4"/>
        </w:rPr>
        <w:t> </w:t>
      </w:r>
      <w:r>
        <w:rPr/>
        <w:t>may</w:t>
      </w:r>
      <w:r>
        <w:rPr>
          <w:spacing w:val="-2"/>
        </w:rPr>
        <w:t> </w:t>
      </w:r>
      <w:r>
        <w:rPr/>
        <w:t>require</w:t>
      </w:r>
      <w:r>
        <w:rPr>
          <w:spacing w:val="-4"/>
        </w:rPr>
        <w:t> </w:t>
      </w:r>
      <w:r>
        <w:rPr/>
        <w:t>us,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conduct</w:t>
      </w:r>
      <w:r>
        <w:rPr>
          <w:spacing w:val="-4"/>
        </w:rPr>
        <w:t> </w:t>
      </w:r>
      <w:r>
        <w:rPr/>
        <w:t>additional</w:t>
      </w:r>
      <w:r>
        <w:rPr>
          <w:spacing w:val="-4"/>
        </w:rPr>
        <w:t> </w:t>
      </w:r>
      <w:r>
        <w:rPr/>
        <w:t>clinical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non-clinical</w:t>
      </w:r>
      <w:r>
        <w:rPr>
          <w:spacing w:val="-47"/>
        </w:rPr>
        <w:t> </w:t>
      </w:r>
      <w:r>
        <w:rPr/>
        <w:t>testing</w:t>
      </w:r>
      <w:r>
        <w:rPr>
          <w:spacing w:val="-1"/>
        </w:rPr>
        <w:t> </w:t>
      </w:r>
      <w:r>
        <w:rPr/>
        <w:t>in addition to those</w:t>
      </w:r>
      <w:r>
        <w:rPr>
          <w:spacing w:val="-1"/>
        </w:rPr>
        <w:t> </w:t>
      </w:r>
      <w:r>
        <w:rPr/>
        <w:t>we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planned.</w:t>
      </w:r>
    </w:p>
    <w:p>
      <w:pPr>
        <w:pStyle w:val="BodyText"/>
        <w:spacing w:before="182"/>
        <w:ind w:left="460" w:firstLine="0"/>
      </w:pPr>
      <w:r>
        <w:rPr/>
        <w:t>The</w:t>
      </w:r>
      <w:r>
        <w:rPr>
          <w:spacing w:val="-4"/>
        </w:rPr>
        <w:t> </w:t>
      </w:r>
      <w:r>
        <w:rPr/>
        <w:t>initiation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completion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/>
        <w:t>clinical</w:t>
      </w:r>
      <w:r>
        <w:rPr>
          <w:spacing w:val="-4"/>
        </w:rPr>
        <w:t> </w:t>
      </w:r>
      <w:r>
        <w:rPr/>
        <w:t>studies</w:t>
      </w:r>
      <w:r>
        <w:rPr>
          <w:spacing w:val="-4"/>
        </w:rPr>
        <w:t> </w:t>
      </w:r>
      <w:r>
        <w:rPr/>
        <w:t>may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prevented,</w:t>
      </w:r>
      <w:r>
        <w:rPr>
          <w:spacing w:val="-3"/>
        </w:rPr>
        <w:t> </w:t>
      </w:r>
      <w:r>
        <w:rPr/>
        <w:t>delayed,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halted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numerous</w:t>
      </w:r>
      <w:r>
        <w:rPr>
          <w:spacing w:val="-4"/>
        </w:rPr>
        <w:t> </w:t>
      </w:r>
      <w:r>
        <w:rPr/>
        <w:t>reasons.</w:t>
      </w:r>
    </w:p>
    <w:p>
      <w:pPr>
        <w:pStyle w:val="BodyText"/>
        <w:spacing w:line="249" w:lineRule="auto" w:before="10"/>
        <w:ind w:firstLine="0"/>
      </w:pPr>
      <w:r>
        <w:rPr/>
        <w:t>We</w:t>
      </w:r>
      <w:r>
        <w:rPr>
          <w:spacing w:val="-4"/>
        </w:rPr>
        <w:t> </w:t>
      </w:r>
      <w:r>
        <w:rPr/>
        <w:t>may</w:t>
      </w:r>
      <w:r>
        <w:rPr>
          <w:spacing w:val="-2"/>
        </w:rPr>
        <w:t> </w:t>
      </w:r>
      <w:r>
        <w:rPr/>
        <w:t>experience</w:t>
      </w:r>
      <w:r>
        <w:rPr>
          <w:spacing w:val="-3"/>
        </w:rPr>
        <w:t> </w:t>
      </w:r>
      <w:r>
        <w:rPr/>
        <w:t>delays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ongoing</w:t>
      </w:r>
      <w:r>
        <w:rPr>
          <w:spacing w:val="-2"/>
        </w:rPr>
        <w:t> </w:t>
      </w:r>
      <w:r>
        <w:rPr/>
        <w:t>clinical</w:t>
      </w:r>
      <w:r>
        <w:rPr>
          <w:spacing w:val="-4"/>
        </w:rPr>
        <w:t> </w:t>
      </w:r>
      <w:r>
        <w:rPr/>
        <w:t>trials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reasons,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could</w:t>
      </w:r>
      <w:r>
        <w:rPr>
          <w:spacing w:val="-2"/>
        </w:rPr>
        <w:t> </w:t>
      </w:r>
      <w:r>
        <w:rPr/>
        <w:t>adversely</w:t>
      </w:r>
      <w:r>
        <w:rPr>
          <w:spacing w:val="-2"/>
        </w:rPr>
        <w:t> </w:t>
      </w:r>
      <w:r>
        <w:rPr/>
        <w:t>affect</w:t>
      </w:r>
      <w:r>
        <w:rPr>
          <w:spacing w:val="-3"/>
        </w:rPr>
        <w:t> </w:t>
      </w:r>
      <w:r>
        <w:rPr/>
        <w:t>the</w:t>
      </w:r>
      <w:r>
        <w:rPr>
          <w:spacing w:val="-47"/>
        </w:rPr>
        <w:t> </w:t>
      </w:r>
      <w:r>
        <w:rPr/>
        <w:t>costs,</w:t>
      </w:r>
      <w:r>
        <w:rPr>
          <w:spacing w:val="-1"/>
        </w:rPr>
        <w:t> </w:t>
      </w:r>
      <w:r>
        <w:rPr/>
        <w:t>timing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successful</w:t>
      </w:r>
      <w:r>
        <w:rPr>
          <w:spacing w:val="-1"/>
        </w:rPr>
        <w:t> </w:t>
      </w:r>
      <w:r>
        <w:rPr/>
        <w:t>completion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our</w:t>
      </w:r>
      <w:r>
        <w:rPr>
          <w:spacing w:val="-2"/>
        </w:rPr>
        <w:t> </w:t>
      </w:r>
      <w:r>
        <w:rPr/>
        <w:t>clinical</w:t>
      </w:r>
      <w:r>
        <w:rPr>
          <w:spacing w:val="-1"/>
        </w:rPr>
        <w:t> </w:t>
      </w:r>
      <w:r>
        <w:rPr/>
        <w:t>trials,</w:t>
      </w:r>
      <w:r>
        <w:rPr>
          <w:spacing w:val="-1"/>
        </w:rPr>
        <w:t> </w:t>
      </w:r>
      <w:r>
        <w:rPr/>
        <w:t>including</w:t>
      </w:r>
      <w:r>
        <w:rPr>
          <w:spacing w:val="-1"/>
        </w:rPr>
        <w:t> </w:t>
      </w:r>
      <w:r>
        <w:rPr/>
        <w:t>related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following:</w:t>
      </w:r>
    </w:p>
    <w:p>
      <w:pPr>
        <w:pStyle w:val="ListParagraph"/>
        <w:numPr>
          <w:ilvl w:val="0"/>
          <w:numId w:val="7"/>
        </w:numPr>
        <w:tabs>
          <w:tab w:pos="820" w:val="left" w:leader="none"/>
        </w:tabs>
        <w:spacing w:line="249" w:lineRule="auto" w:before="182" w:after="0"/>
        <w:ind w:left="820" w:right="269" w:hanging="360"/>
        <w:jc w:val="both"/>
        <w:rPr>
          <w:sz w:val="20"/>
        </w:rPr>
      </w:pPr>
      <w:r>
        <w:rPr>
          <w:sz w:val="20"/>
        </w:rPr>
        <w:t>we</w:t>
      </w:r>
      <w:r>
        <w:rPr>
          <w:spacing w:val="-4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required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submit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investigational</w:t>
      </w:r>
      <w:r>
        <w:rPr>
          <w:spacing w:val="-4"/>
          <w:sz w:val="20"/>
        </w:rPr>
        <w:t> </w:t>
      </w:r>
      <w:r>
        <w:rPr>
          <w:sz w:val="20"/>
        </w:rPr>
        <w:t>device</w:t>
      </w:r>
      <w:r>
        <w:rPr>
          <w:spacing w:val="-3"/>
          <w:sz w:val="20"/>
        </w:rPr>
        <w:t> </w:t>
      </w:r>
      <w:r>
        <w:rPr>
          <w:sz w:val="20"/>
        </w:rPr>
        <w:t>exemption</w:t>
      </w:r>
      <w:r>
        <w:rPr>
          <w:spacing w:val="-3"/>
          <w:sz w:val="20"/>
        </w:rPr>
        <w:t> </w:t>
      </w:r>
      <w:r>
        <w:rPr>
          <w:sz w:val="20"/>
        </w:rPr>
        <w:t>application,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IDE,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FDA,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47"/>
          <w:sz w:val="20"/>
        </w:rPr>
        <w:t> </w:t>
      </w:r>
      <w:r>
        <w:rPr>
          <w:sz w:val="20"/>
        </w:rPr>
        <w:t>must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4"/>
          <w:sz w:val="20"/>
        </w:rPr>
        <w:t> </w:t>
      </w:r>
      <w:r>
        <w:rPr>
          <w:sz w:val="20"/>
        </w:rPr>
        <w:t>effective</w:t>
      </w:r>
      <w:r>
        <w:rPr>
          <w:spacing w:val="-4"/>
          <w:sz w:val="20"/>
        </w:rPr>
        <w:t> </w:t>
      </w:r>
      <w:r>
        <w:rPr>
          <w:sz w:val="20"/>
        </w:rPr>
        <w:t>prior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commencing</w:t>
      </w:r>
      <w:r>
        <w:rPr>
          <w:spacing w:val="-3"/>
          <w:sz w:val="20"/>
        </w:rPr>
        <w:t> </w:t>
      </w:r>
      <w:r>
        <w:rPr>
          <w:sz w:val="20"/>
        </w:rPr>
        <w:t>certain</w:t>
      </w:r>
      <w:r>
        <w:rPr>
          <w:spacing w:val="-3"/>
          <w:sz w:val="20"/>
        </w:rPr>
        <w:t> </w:t>
      </w:r>
      <w:r>
        <w:rPr>
          <w:sz w:val="20"/>
        </w:rPr>
        <w:t>human</w:t>
      </w:r>
      <w:r>
        <w:rPr>
          <w:spacing w:val="-3"/>
          <w:sz w:val="20"/>
        </w:rPr>
        <w:t> </w:t>
      </w:r>
      <w:r>
        <w:rPr>
          <w:sz w:val="20"/>
        </w:rPr>
        <w:t>clinical</w:t>
      </w:r>
      <w:r>
        <w:rPr>
          <w:spacing w:val="-4"/>
          <w:sz w:val="20"/>
        </w:rPr>
        <w:t> </w:t>
      </w:r>
      <w:r>
        <w:rPr>
          <w:sz w:val="20"/>
        </w:rPr>
        <w:t>trials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medical</w:t>
      </w:r>
      <w:r>
        <w:rPr>
          <w:spacing w:val="-4"/>
          <w:sz w:val="20"/>
        </w:rPr>
        <w:t> </w:t>
      </w:r>
      <w:r>
        <w:rPr>
          <w:sz w:val="20"/>
        </w:rPr>
        <w:t>devices,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FDA</w:t>
      </w:r>
      <w:r>
        <w:rPr>
          <w:spacing w:val="-48"/>
          <w:sz w:val="20"/>
        </w:rPr>
        <w:t> </w:t>
      </w:r>
      <w:r>
        <w:rPr>
          <w:sz w:val="20"/>
        </w:rPr>
        <w:t>may</w:t>
      </w:r>
      <w:r>
        <w:rPr>
          <w:spacing w:val="-1"/>
          <w:sz w:val="20"/>
        </w:rPr>
        <w:t> </w:t>
      </w:r>
      <w:r>
        <w:rPr>
          <w:sz w:val="20"/>
        </w:rPr>
        <w:t>reject</w:t>
      </w:r>
      <w:r>
        <w:rPr>
          <w:spacing w:val="-1"/>
          <w:sz w:val="20"/>
        </w:rPr>
        <w:t> </w:t>
      </w:r>
      <w:r>
        <w:rPr>
          <w:sz w:val="20"/>
        </w:rPr>
        <w:t>our</w:t>
      </w:r>
      <w:r>
        <w:rPr>
          <w:spacing w:val="-1"/>
          <w:sz w:val="20"/>
        </w:rPr>
        <w:t> </w:t>
      </w:r>
      <w:r>
        <w:rPr>
          <w:sz w:val="20"/>
        </w:rPr>
        <w:t>IDE</w:t>
      </w:r>
      <w:r>
        <w:rPr>
          <w:spacing w:val="-1"/>
          <w:sz w:val="20"/>
        </w:rPr>
        <w:t> </w:t>
      </w:r>
      <w:r>
        <w:rPr>
          <w:sz w:val="20"/>
        </w:rPr>
        <w:t>and notify</w:t>
      </w:r>
      <w:r>
        <w:rPr>
          <w:spacing w:val="-1"/>
          <w:sz w:val="20"/>
        </w:rPr>
        <w:t> </w:t>
      </w:r>
      <w:r>
        <w:rPr>
          <w:sz w:val="20"/>
        </w:rPr>
        <w:t>us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we</w:t>
      </w:r>
      <w:r>
        <w:rPr>
          <w:spacing w:val="-1"/>
          <w:sz w:val="20"/>
        </w:rPr>
        <w:t> </w:t>
      </w:r>
      <w:r>
        <w:rPr>
          <w:sz w:val="20"/>
        </w:rPr>
        <w:t>may not</w:t>
      </w:r>
      <w:r>
        <w:rPr>
          <w:spacing w:val="-2"/>
          <w:sz w:val="20"/>
        </w:rPr>
        <w:t> </w:t>
      </w:r>
      <w:r>
        <w:rPr>
          <w:sz w:val="20"/>
        </w:rPr>
        <w:t>begin clinical</w:t>
      </w:r>
      <w:r>
        <w:rPr>
          <w:spacing w:val="-2"/>
          <w:sz w:val="20"/>
        </w:rPr>
        <w:t> </w:t>
      </w:r>
      <w:r>
        <w:rPr>
          <w:sz w:val="20"/>
        </w:rPr>
        <w:t>trials;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9" w:lineRule="auto" w:before="182" w:after="0"/>
        <w:ind w:left="820" w:right="1172" w:hanging="360"/>
        <w:jc w:val="left"/>
        <w:rPr>
          <w:sz w:val="20"/>
        </w:rPr>
      </w:pPr>
      <w:r>
        <w:rPr>
          <w:sz w:val="20"/>
        </w:rPr>
        <w:t>regulators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2"/>
          <w:sz w:val="20"/>
        </w:rPr>
        <w:t> </w:t>
      </w:r>
      <w:r>
        <w:rPr>
          <w:sz w:val="20"/>
        </w:rPr>
        <w:t>comparable</w:t>
      </w:r>
      <w:r>
        <w:rPr>
          <w:spacing w:val="-4"/>
          <w:sz w:val="20"/>
        </w:rPr>
        <w:t> </w:t>
      </w:r>
      <w:r>
        <w:rPr>
          <w:sz w:val="20"/>
        </w:rPr>
        <w:t>foreign</w:t>
      </w:r>
      <w:r>
        <w:rPr>
          <w:spacing w:val="-3"/>
          <w:sz w:val="20"/>
        </w:rPr>
        <w:t> </w:t>
      </w:r>
      <w:r>
        <w:rPr>
          <w:sz w:val="20"/>
        </w:rPr>
        <w:t>regulatory</w:t>
      </w:r>
      <w:r>
        <w:rPr>
          <w:spacing w:val="-2"/>
          <w:sz w:val="20"/>
        </w:rPr>
        <w:t> </w:t>
      </w:r>
      <w:r>
        <w:rPr>
          <w:sz w:val="20"/>
        </w:rPr>
        <w:t>authorities</w:t>
      </w:r>
      <w:r>
        <w:rPr>
          <w:spacing w:val="-4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disagree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design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47"/>
          <w:sz w:val="20"/>
        </w:rPr>
        <w:t> </w:t>
      </w:r>
      <w:r>
        <w:rPr>
          <w:sz w:val="20"/>
        </w:rPr>
        <w:t>implementation</w:t>
      </w:r>
      <w:r>
        <w:rPr>
          <w:spacing w:val="-1"/>
          <w:sz w:val="20"/>
        </w:rPr>
        <w:t> </w:t>
      </w:r>
      <w:r>
        <w:rPr>
          <w:sz w:val="20"/>
        </w:rPr>
        <w:t>of our clinical</w:t>
      </w:r>
      <w:r>
        <w:rPr>
          <w:spacing w:val="-1"/>
          <w:sz w:val="20"/>
        </w:rPr>
        <w:t> </w:t>
      </w:r>
      <w:r>
        <w:rPr>
          <w:sz w:val="20"/>
        </w:rPr>
        <w:t>trials;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9" w:lineRule="auto" w:before="182" w:after="0"/>
        <w:ind w:left="820" w:right="211" w:hanging="360"/>
        <w:jc w:val="left"/>
        <w:rPr>
          <w:sz w:val="20"/>
        </w:rPr>
      </w:pPr>
      <w:r>
        <w:rPr>
          <w:sz w:val="20"/>
        </w:rPr>
        <w:t>regulators</w:t>
      </w:r>
      <w:r>
        <w:rPr>
          <w:spacing w:val="-4"/>
          <w:sz w:val="20"/>
        </w:rPr>
        <w:t> </w:t>
      </w:r>
      <w:r>
        <w:rPr>
          <w:sz w:val="20"/>
        </w:rPr>
        <w:t>and/or</w:t>
      </w:r>
      <w:r>
        <w:rPr>
          <w:spacing w:val="-2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Institutional</w:t>
      </w:r>
      <w:r>
        <w:rPr>
          <w:spacing w:val="-3"/>
          <w:sz w:val="20"/>
        </w:rPr>
        <w:t> </w:t>
      </w:r>
      <w:r>
        <w:rPr>
          <w:sz w:val="20"/>
        </w:rPr>
        <w:t>Review</w:t>
      </w:r>
      <w:r>
        <w:rPr>
          <w:spacing w:val="-3"/>
          <w:sz w:val="20"/>
        </w:rPr>
        <w:t> </w:t>
      </w:r>
      <w:r>
        <w:rPr>
          <w:sz w:val="20"/>
        </w:rPr>
        <w:t>Board,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IRB,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reviewing</w:t>
      </w:r>
      <w:r>
        <w:rPr>
          <w:spacing w:val="-2"/>
          <w:sz w:val="20"/>
        </w:rPr>
        <w:t> </w:t>
      </w:r>
      <w:r>
        <w:rPr>
          <w:sz w:val="20"/>
        </w:rPr>
        <w:t>bodies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authorize</w:t>
      </w:r>
      <w:r>
        <w:rPr>
          <w:spacing w:val="-4"/>
          <w:sz w:val="20"/>
        </w:rPr>
        <w:t> </w:t>
      </w:r>
      <w:r>
        <w:rPr>
          <w:sz w:val="20"/>
        </w:rPr>
        <w:t>us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7"/>
          <w:sz w:val="20"/>
        </w:rPr>
        <w:t> </w:t>
      </w:r>
      <w:r>
        <w:rPr>
          <w:sz w:val="20"/>
        </w:rPr>
        <w:t>our investigators to commence a clinical trial, or to conduct or continue a clinical trial at a prospective or</w:t>
      </w:r>
      <w:r>
        <w:rPr>
          <w:spacing w:val="1"/>
          <w:sz w:val="20"/>
        </w:rPr>
        <w:t> </w:t>
      </w:r>
      <w:r>
        <w:rPr>
          <w:sz w:val="20"/>
        </w:rPr>
        <w:t>specific</w:t>
      </w:r>
      <w:r>
        <w:rPr>
          <w:spacing w:val="-2"/>
          <w:sz w:val="20"/>
        </w:rPr>
        <w:t> </w:t>
      </w:r>
      <w:r>
        <w:rPr>
          <w:sz w:val="20"/>
        </w:rPr>
        <w:t>trial</w:t>
      </w:r>
      <w:r>
        <w:rPr>
          <w:spacing w:val="-1"/>
          <w:sz w:val="20"/>
        </w:rPr>
        <w:t> </w:t>
      </w:r>
      <w:r>
        <w:rPr>
          <w:sz w:val="20"/>
        </w:rPr>
        <w:t>site;</w:t>
      </w:r>
    </w:p>
    <w:p>
      <w:pPr>
        <w:pStyle w:val="ListParagraph"/>
        <w:numPr>
          <w:ilvl w:val="0"/>
          <w:numId w:val="7"/>
        </w:numPr>
        <w:tabs>
          <w:tab w:pos="820" w:val="left" w:leader="none"/>
        </w:tabs>
        <w:spacing w:line="249" w:lineRule="auto" w:before="182" w:after="0"/>
        <w:ind w:left="820" w:right="596" w:hanging="360"/>
        <w:jc w:val="both"/>
        <w:rPr>
          <w:sz w:val="20"/>
        </w:rPr>
      </w:pPr>
      <w:r>
        <w:rPr>
          <w:sz w:val="20"/>
        </w:rPr>
        <w:t>we may not reach agreement on acceptable terms with prospective contract research organizations, or</w:t>
      </w:r>
      <w:r>
        <w:rPr>
          <w:spacing w:val="-47"/>
          <w:sz w:val="20"/>
        </w:rPr>
        <w:t> </w:t>
      </w:r>
      <w:r>
        <w:rPr>
          <w:sz w:val="20"/>
        </w:rPr>
        <w:t>CROs,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clinical</w:t>
      </w:r>
      <w:r>
        <w:rPr>
          <w:spacing w:val="-4"/>
          <w:sz w:val="20"/>
        </w:rPr>
        <w:t> </w:t>
      </w:r>
      <w:r>
        <w:rPr>
          <w:sz w:val="20"/>
        </w:rPr>
        <w:t>trial</w:t>
      </w:r>
      <w:r>
        <w:rPr>
          <w:spacing w:val="-3"/>
          <w:sz w:val="20"/>
        </w:rPr>
        <w:t> </w:t>
      </w:r>
      <w:r>
        <w:rPr>
          <w:sz w:val="20"/>
        </w:rPr>
        <w:t>sites,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terms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can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subject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extensive</w:t>
      </w:r>
      <w:r>
        <w:rPr>
          <w:spacing w:val="-4"/>
          <w:sz w:val="20"/>
        </w:rPr>
        <w:t> </w:t>
      </w:r>
      <w:r>
        <w:rPr>
          <w:sz w:val="20"/>
        </w:rPr>
        <w:t>negotiation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vary</w:t>
      </w:r>
      <w:r>
        <w:rPr>
          <w:spacing w:val="-47"/>
          <w:sz w:val="20"/>
        </w:rPr>
        <w:t> </w:t>
      </w:r>
      <w:r>
        <w:rPr>
          <w:sz w:val="20"/>
        </w:rPr>
        <w:t>significantly</w:t>
      </w:r>
      <w:r>
        <w:rPr>
          <w:spacing w:val="-1"/>
          <w:sz w:val="20"/>
        </w:rPr>
        <w:t> </w:t>
      </w:r>
      <w:r>
        <w:rPr>
          <w:sz w:val="20"/>
        </w:rPr>
        <w:t>among different</w:t>
      </w:r>
      <w:r>
        <w:rPr>
          <w:spacing w:val="-1"/>
          <w:sz w:val="20"/>
        </w:rPr>
        <w:t> </w:t>
      </w:r>
      <w:r>
        <w:rPr>
          <w:sz w:val="20"/>
        </w:rPr>
        <w:t>CROs</w:t>
      </w:r>
      <w:r>
        <w:rPr>
          <w:spacing w:val="-2"/>
          <w:sz w:val="20"/>
        </w:rPr>
        <w:t> </w:t>
      </w:r>
      <w:r>
        <w:rPr>
          <w:sz w:val="20"/>
        </w:rPr>
        <w:t>and trial</w:t>
      </w:r>
      <w:r>
        <w:rPr>
          <w:spacing w:val="-1"/>
          <w:sz w:val="20"/>
        </w:rPr>
        <w:t> </w:t>
      </w:r>
      <w:r>
        <w:rPr>
          <w:sz w:val="20"/>
        </w:rPr>
        <w:t>sites;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9" w:lineRule="auto" w:before="183" w:after="0"/>
        <w:ind w:left="820" w:right="296" w:hanging="360"/>
        <w:jc w:val="left"/>
        <w:rPr>
          <w:sz w:val="20"/>
        </w:rPr>
      </w:pPr>
      <w:r>
        <w:rPr>
          <w:sz w:val="20"/>
        </w:rPr>
        <w:t>clinical</w:t>
      </w:r>
      <w:r>
        <w:rPr>
          <w:spacing w:val="-4"/>
          <w:sz w:val="20"/>
        </w:rPr>
        <w:t> </w:t>
      </w:r>
      <w:r>
        <w:rPr>
          <w:sz w:val="20"/>
        </w:rPr>
        <w:t>trials</w:t>
      </w:r>
      <w:r>
        <w:rPr>
          <w:spacing w:val="-4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produce</w:t>
      </w:r>
      <w:r>
        <w:rPr>
          <w:spacing w:val="-3"/>
          <w:sz w:val="20"/>
        </w:rPr>
        <w:t> </w:t>
      </w:r>
      <w:r>
        <w:rPr>
          <w:sz w:val="20"/>
        </w:rPr>
        <w:t>negative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inconclusive</w:t>
      </w:r>
      <w:r>
        <w:rPr>
          <w:spacing w:val="-4"/>
          <w:sz w:val="20"/>
        </w:rPr>
        <w:t> </w:t>
      </w:r>
      <w:r>
        <w:rPr>
          <w:sz w:val="20"/>
        </w:rPr>
        <w:t>results,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we</w:t>
      </w:r>
      <w:r>
        <w:rPr>
          <w:spacing w:val="-4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decide,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regulators</w:t>
      </w:r>
      <w:r>
        <w:rPr>
          <w:spacing w:val="-4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require</w:t>
      </w:r>
      <w:r>
        <w:rPr>
          <w:spacing w:val="-47"/>
          <w:sz w:val="20"/>
        </w:rPr>
        <w:t> </w:t>
      </w:r>
      <w:r>
        <w:rPr>
          <w:sz w:val="20"/>
        </w:rPr>
        <w:t>us,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conduct</w:t>
      </w:r>
      <w:r>
        <w:rPr>
          <w:spacing w:val="-1"/>
          <w:sz w:val="20"/>
        </w:rPr>
        <w:t> </w:t>
      </w:r>
      <w:r>
        <w:rPr>
          <w:sz w:val="20"/>
        </w:rPr>
        <w:t>additional</w:t>
      </w:r>
      <w:r>
        <w:rPr>
          <w:spacing w:val="-2"/>
          <w:sz w:val="20"/>
        </w:rPr>
        <w:t> </w:t>
      </w:r>
      <w:r>
        <w:rPr>
          <w:sz w:val="20"/>
        </w:rPr>
        <w:t>clinical</w:t>
      </w:r>
      <w:r>
        <w:rPr>
          <w:spacing w:val="-2"/>
          <w:sz w:val="20"/>
        </w:rPr>
        <w:t> </w:t>
      </w:r>
      <w:r>
        <w:rPr>
          <w:sz w:val="20"/>
        </w:rPr>
        <w:t>trials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abandon product</w:t>
      </w:r>
      <w:r>
        <w:rPr>
          <w:spacing w:val="-2"/>
          <w:sz w:val="20"/>
        </w:rPr>
        <w:t> </w:t>
      </w:r>
      <w:r>
        <w:rPr>
          <w:sz w:val="20"/>
        </w:rPr>
        <w:t>development</w:t>
      </w:r>
      <w:r>
        <w:rPr>
          <w:spacing w:val="-2"/>
          <w:sz w:val="20"/>
        </w:rPr>
        <w:t> </w:t>
      </w:r>
      <w:r>
        <w:rPr>
          <w:sz w:val="20"/>
        </w:rPr>
        <w:t>programs;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9" w:lineRule="auto" w:before="181" w:after="0"/>
        <w:ind w:left="820" w:right="147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number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subjects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patients</w:t>
      </w:r>
      <w:r>
        <w:rPr>
          <w:spacing w:val="-3"/>
          <w:sz w:val="20"/>
        </w:rPr>
        <w:t> </w:t>
      </w:r>
      <w:r>
        <w:rPr>
          <w:sz w:val="20"/>
        </w:rPr>
        <w:t>required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clinical</w:t>
      </w:r>
      <w:r>
        <w:rPr>
          <w:spacing w:val="-3"/>
          <w:sz w:val="20"/>
        </w:rPr>
        <w:t> </w:t>
      </w:r>
      <w:r>
        <w:rPr>
          <w:sz w:val="20"/>
        </w:rPr>
        <w:t>trials</w:t>
      </w:r>
      <w:r>
        <w:rPr>
          <w:spacing w:val="-4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larger</w:t>
      </w:r>
      <w:r>
        <w:rPr>
          <w:spacing w:val="-3"/>
          <w:sz w:val="20"/>
        </w:rPr>
        <w:t> </w:t>
      </w:r>
      <w:r>
        <w:rPr>
          <w:sz w:val="20"/>
        </w:rPr>
        <w:t>than</w:t>
      </w:r>
      <w:r>
        <w:rPr>
          <w:spacing w:val="-3"/>
          <w:sz w:val="20"/>
        </w:rPr>
        <w:t> </w:t>
      </w:r>
      <w:r>
        <w:rPr>
          <w:sz w:val="20"/>
        </w:rPr>
        <w:t>we</w:t>
      </w:r>
      <w:r>
        <w:rPr>
          <w:spacing w:val="-3"/>
          <w:sz w:val="20"/>
        </w:rPr>
        <w:t> </w:t>
      </w:r>
      <w:r>
        <w:rPr>
          <w:sz w:val="20"/>
        </w:rPr>
        <w:t>anticipate,</w:t>
      </w:r>
      <w:r>
        <w:rPr>
          <w:spacing w:val="-3"/>
          <w:sz w:val="20"/>
        </w:rPr>
        <w:t> </w:t>
      </w:r>
      <w:r>
        <w:rPr>
          <w:sz w:val="20"/>
        </w:rPr>
        <w:t>enrollment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7"/>
          <w:sz w:val="20"/>
        </w:rPr>
        <w:t> </w:t>
      </w:r>
      <w:r>
        <w:rPr>
          <w:sz w:val="20"/>
        </w:rPr>
        <w:t>these clinical trials may be insufficient or slower than we anticipate, and the number of clinical trials being</w:t>
      </w:r>
      <w:r>
        <w:rPr>
          <w:spacing w:val="1"/>
          <w:sz w:val="20"/>
        </w:rPr>
        <w:t> </w:t>
      </w:r>
      <w:r>
        <w:rPr>
          <w:sz w:val="20"/>
        </w:rPr>
        <w:t>conducted at any given time may be high and result in fewer available patients for any given clinical trial,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patients</w:t>
      </w:r>
      <w:r>
        <w:rPr>
          <w:spacing w:val="-2"/>
          <w:sz w:val="20"/>
        </w:rPr>
        <w:t> </w:t>
      </w:r>
      <w:r>
        <w:rPr>
          <w:sz w:val="20"/>
        </w:rPr>
        <w:t>may drop</w:t>
      </w:r>
      <w:r>
        <w:rPr>
          <w:spacing w:val="-1"/>
          <w:sz w:val="20"/>
        </w:rPr>
        <w:t> </w:t>
      </w:r>
      <w:r>
        <w:rPr>
          <w:sz w:val="20"/>
        </w:rPr>
        <w:t>out</w:t>
      </w:r>
      <w:r>
        <w:rPr>
          <w:spacing w:val="-2"/>
          <w:sz w:val="20"/>
        </w:rPr>
        <w:t> </w:t>
      </w:r>
      <w:r>
        <w:rPr>
          <w:sz w:val="20"/>
        </w:rPr>
        <w:t>of these</w:t>
      </w:r>
      <w:r>
        <w:rPr>
          <w:spacing w:val="-2"/>
          <w:sz w:val="20"/>
        </w:rPr>
        <w:t> </w:t>
      </w:r>
      <w:r>
        <w:rPr>
          <w:sz w:val="20"/>
        </w:rPr>
        <w:t>clinical</w:t>
      </w:r>
      <w:r>
        <w:rPr>
          <w:spacing w:val="-1"/>
          <w:sz w:val="20"/>
        </w:rPr>
        <w:t> </w:t>
      </w:r>
      <w:r>
        <w:rPr>
          <w:sz w:val="20"/>
        </w:rPr>
        <w:t>trials</w:t>
      </w:r>
      <w:r>
        <w:rPr>
          <w:spacing w:val="-2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higher</w:t>
      </w:r>
      <w:r>
        <w:rPr>
          <w:spacing w:val="-1"/>
          <w:sz w:val="20"/>
        </w:rPr>
        <w:t> </w:t>
      </w:r>
      <w:r>
        <w:rPr>
          <w:sz w:val="20"/>
        </w:rPr>
        <w:t>rate</w:t>
      </w:r>
      <w:r>
        <w:rPr>
          <w:spacing w:val="-2"/>
          <w:sz w:val="20"/>
        </w:rPr>
        <w:t> </w:t>
      </w:r>
      <w:r>
        <w:rPr>
          <w:sz w:val="20"/>
        </w:rPr>
        <w:t>than we</w:t>
      </w:r>
      <w:r>
        <w:rPr>
          <w:spacing w:val="-2"/>
          <w:sz w:val="20"/>
        </w:rPr>
        <w:t> </w:t>
      </w:r>
      <w:r>
        <w:rPr>
          <w:sz w:val="20"/>
        </w:rPr>
        <w:t>anticipate;</w:t>
      </w:r>
    </w:p>
    <w:p>
      <w:pPr>
        <w:pStyle w:val="ListParagraph"/>
        <w:numPr>
          <w:ilvl w:val="0"/>
          <w:numId w:val="7"/>
        </w:numPr>
        <w:tabs>
          <w:tab w:pos="820" w:val="left" w:leader="none"/>
        </w:tabs>
        <w:spacing w:line="249" w:lineRule="auto" w:before="184" w:after="0"/>
        <w:ind w:left="820" w:right="551" w:hanging="360"/>
        <w:jc w:val="both"/>
        <w:rPr>
          <w:sz w:val="20"/>
        </w:rPr>
      </w:pPr>
      <w:r>
        <w:rPr>
          <w:sz w:val="20"/>
        </w:rPr>
        <w:t>our third-party contractors, including those manufacturing products or conducting clinical trials on our</w:t>
      </w:r>
      <w:r>
        <w:rPr>
          <w:spacing w:val="-47"/>
          <w:sz w:val="20"/>
        </w:rPr>
        <w:t> </w:t>
      </w:r>
      <w:r>
        <w:rPr>
          <w:sz w:val="20"/>
        </w:rPr>
        <w:t>behalf,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fail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comply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regulatory</w:t>
      </w:r>
      <w:r>
        <w:rPr>
          <w:spacing w:val="-2"/>
          <w:sz w:val="20"/>
        </w:rPr>
        <w:t> </w:t>
      </w:r>
      <w:r>
        <w:rPr>
          <w:sz w:val="20"/>
        </w:rPr>
        <w:t>requirements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meet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3"/>
          <w:sz w:val="20"/>
        </w:rPr>
        <w:t> </w:t>
      </w:r>
      <w:r>
        <w:rPr>
          <w:sz w:val="20"/>
        </w:rPr>
        <w:t>contractual</w:t>
      </w:r>
      <w:r>
        <w:rPr>
          <w:spacing w:val="-3"/>
          <w:sz w:val="20"/>
        </w:rPr>
        <w:t> </w:t>
      </w:r>
      <w:r>
        <w:rPr>
          <w:sz w:val="20"/>
        </w:rPr>
        <w:t>obligations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us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8"/>
          <w:sz w:val="20"/>
        </w:rPr>
        <w:t> </w:t>
      </w:r>
      <w:r>
        <w:rPr>
          <w:sz w:val="20"/>
        </w:rPr>
        <w:t>timely</w:t>
      </w:r>
      <w:r>
        <w:rPr>
          <w:spacing w:val="-1"/>
          <w:sz w:val="20"/>
        </w:rPr>
        <w:t> </w:t>
      </w:r>
      <w:r>
        <w:rPr>
          <w:sz w:val="20"/>
        </w:rPr>
        <w:t>manner, or at</w:t>
      </w:r>
      <w:r>
        <w:rPr>
          <w:spacing w:val="-1"/>
          <w:sz w:val="20"/>
        </w:rPr>
        <w:t> </w:t>
      </w:r>
      <w:r>
        <w:rPr>
          <w:sz w:val="20"/>
        </w:rPr>
        <w:t>all;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9" w:lineRule="auto" w:before="182" w:after="0"/>
        <w:ind w:left="820" w:right="739" w:hanging="360"/>
        <w:jc w:val="left"/>
        <w:rPr>
          <w:sz w:val="20"/>
        </w:rPr>
      </w:pPr>
      <w:r>
        <w:rPr>
          <w:sz w:val="20"/>
        </w:rPr>
        <w:t>we</w:t>
      </w:r>
      <w:r>
        <w:rPr>
          <w:spacing w:val="-4"/>
          <w:sz w:val="20"/>
        </w:rPr>
        <w:t> </w:t>
      </w:r>
      <w:r>
        <w:rPr>
          <w:sz w:val="20"/>
        </w:rPr>
        <w:t>might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suspend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terminate</w:t>
      </w:r>
      <w:r>
        <w:rPr>
          <w:spacing w:val="-4"/>
          <w:sz w:val="20"/>
        </w:rPr>
        <w:t> </w:t>
      </w:r>
      <w:r>
        <w:rPr>
          <w:sz w:val="20"/>
        </w:rPr>
        <w:t>clinical</w:t>
      </w:r>
      <w:r>
        <w:rPr>
          <w:spacing w:val="-3"/>
          <w:sz w:val="20"/>
        </w:rPr>
        <w:t> </w:t>
      </w:r>
      <w:r>
        <w:rPr>
          <w:sz w:val="20"/>
        </w:rPr>
        <w:t>trials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various</w:t>
      </w:r>
      <w:r>
        <w:rPr>
          <w:spacing w:val="-3"/>
          <w:sz w:val="20"/>
        </w:rPr>
        <w:t> </w:t>
      </w:r>
      <w:r>
        <w:rPr>
          <w:sz w:val="20"/>
        </w:rPr>
        <w:t>reasons,</w:t>
      </w:r>
      <w:r>
        <w:rPr>
          <w:spacing w:val="-2"/>
          <w:sz w:val="20"/>
        </w:rPr>
        <w:t> </w:t>
      </w:r>
      <w:r>
        <w:rPr>
          <w:sz w:val="20"/>
        </w:rPr>
        <w:t>including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finding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7"/>
          <w:sz w:val="20"/>
        </w:rPr>
        <w:t> </w:t>
      </w:r>
      <w:r>
        <w:rPr>
          <w:sz w:val="20"/>
        </w:rPr>
        <w:t>subjects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1"/>
          <w:sz w:val="20"/>
        </w:rPr>
        <w:t> </w:t>
      </w:r>
      <w:r>
        <w:rPr>
          <w:sz w:val="20"/>
        </w:rPr>
        <w:t>being exposed</w:t>
      </w:r>
      <w:r>
        <w:rPr>
          <w:spacing w:val="-1"/>
          <w:sz w:val="20"/>
        </w:rPr>
        <w:t> </w:t>
      </w:r>
      <w:r>
        <w:rPr>
          <w:sz w:val="20"/>
        </w:rPr>
        <w:t>to unacceptable</w:t>
      </w:r>
      <w:r>
        <w:rPr>
          <w:spacing w:val="-1"/>
          <w:sz w:val="20"/>
        </w:rPr>
        <w:t> </w:t>
      </w:r>
      <w:r>
        <w:rPr>
          <w:sz w:val="20"/>
        </w:rPr>
        <w:t>health</w:t>
      </w:r>
      <w:r>
        <w:rPr>
          <w:spacing w:val="-1"/>
          <w:sz w:val="20"/>
        </w:rPr>
        <w:t> </w:t>
      </w:r>
      <w:r>
        <w:rPr>
          <w:sz w:val="20"/>
        </w:rPr>
        <w:t>risks;</w:t>
      </w:r>
    </w:p>
    <w:p>
      <w:pPr>
        <w:pStyle w:val="ListParagraph"/>
        <w:numPr>
          <w:ilvl w:val="0"/>
          <w:numId w:val="7"/>
        </w:numPr>
        <w:tabs>
          <w:tab w:pos="820" w:val="left" w:leader="none"/>
        </w:tabs>
        <w:spacing w:line="249" w:lineRule="auto" w:before="182" w:after="0"/>
        <w:ind w:left="820" w:right="224" w:hanging="360"/>
        <w:jc w:val="both"/>
        <w:rPr>
          <w:sz w:val="20"/>
        </w:rPr>
      </w:pPr>
      <w:r>
        <w:rPr>
          <w:sz w:val="20"/>
        </w:rPr>
        <w:t>we</w:t>
      </w:r>
      <w:r>
        <w:rPr>
          <w:spacing w:val="-4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amend</w:t>
      </w:r>
      <w:r>
        <w:rPr>
          <w:spacing w:val="-3"/>
          <w:sz w:val="20"/>
        </w:rPr>
        <w:t> </w:t>
      </w:r>
      <w:r>
        <w:rPr>
          <w:sz w:val="20"/>
        </w:rPr>
        <w:t>clinical</w:t>
      </w:r>
      <w:r>
        <w:rPr>
          <w:spacing w:val="-3"/>
          <w:sz w:val="20"/>
        </w:rPr>
        <w:t> </w:t>
      </w:r>
      <w:r>
        <w:rPr>
          <w:sz w:val="20"/>
        </w:rPr>
        <w:t>trial</w:t>
      </w:r>
      <w:r>
        <w:rPr>
          <w:spacing w:val="-4"/>
          <w:sz w:val="20"/>
        </w:rPr>
        <w:t> </w:t>
      </w:r>
      <w:r>
        <w:rPr>
          <w:sz w:val="20"/>
        </w:rPr>
        <w:t>protocols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conduct</w:t>
      </w:r>
      <w:r>
        <w:rPr>
          <w:spacing w:val="-3"/>
          <w:sz w:val="20"/>
        </w:rPr>
        <w:t> </w:t>
      </w:r>
      <w:r>
        <w:rPr>
          <w:sz w:val="20"/>
        </w:rPr>
        <w:t>additional</w:t>
      </w:r>
      <w:r>
        <w:rPr>
          <w:spacing w:val="-4"/>
          <w:sz w:val="20"/>
        </w:rPr>
        <w:t> </w:t>
      </w:r>
      <w:r>
        <w:rPr>
          <w:sz w:val="20"/>
        </w:rPr>
        <w:t>studies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reflect</w:t>
      </w:r>
      <w:r>
        <w:rPr>
          <w:spacing w:val="-4"/>
          <w:sz w:val="20"/>
        </w:rPr>
        <w:t> </w:t>
      </w:r>
      <w:r>
        <w:rPr>
          <w:sz w:val="20"/>
        </w:rPr>
        <w:t>changes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regulatory</w:t>
      </w:r>
      <w:r>
        <w:rPr>
          <w:spacing w:val="-48"/>
          <w:sz w:val="20"/>
        </w:rPr>
        <w:t> </w:t>
      </w:r>
      <w:r>
        <w:rPr>
          <w:sz w:val="20"/>
        </w:rPr>
        <w:t>requirements or guidance, which we may be required to submit to an IRB and/or regulatory authorities for</w:t>
      </w:r>
      <w:r>
        <w:rPr>
          <w:spacing w:val="-47"/>
          <w:sz w:val="20"/>
        </w:rPr>
        <w:t> </w:t>
      </w:r>
      <w:r>
        <w:rPr>
          <w:sz w:val="20"/>
        </w:rPr>
        <w:t>re-examination;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9" w:lineRule="auto" w:before="182" w:after="0"/>
        <w:ind w:left="820" w:right="329" w:hanging="360"/>
        <w:jc w:val="left"/>
        <w:rPr>
          <w:sz w:val="20"/>
        </w:rPr>
      </w:pPr>
      <w:r>
        <w:rPr>
          <w:sz w:val="20"/>
        </w:rPr>
        <w:t>regulators, IRBs, or other parties may require or recommend that we or our investigators suspend or</w:t>
      </w:r>
      <w:r>
        <w:rPr>
          <w:spacing w:val="1"/>
          <w:sz w:val="20"/>
        </w:rPr>
        <w:t> </w:t>
      </w:r>
      <w:r>
        <w:rPr>
          <w:sz w:val="20"/>
        </w:rPr>
        <w:t>terminate</w:t>
      </w:r>
      <w:r>
        <w:rPr>
          <w:spacing w:val="-5"/>
          <w:sz w:val="20"/>
        </w:rPr>
        <w:t> </w:t>
      </w:r>
      <w:r>
        <w:rPr>
          <w:sz w:val="20"/>
        </w:rPr>
        <w:t>clinical</w:t>
      </w:r>
      <w:r>
        <w:rPr>
          <w:spacing w:val="-5"/>
          <w:sz w:val="20"/>
        </w:rPr>
        <w:t> </w:t>
      </w:r>
      <w:r>
        <w:rPr>
          <w:sz w:val="20"/>
        </w:rPr>
        <w:t>research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various</w:t>
      </w:r>
      <w:r>
        <w:rPr>
          <w:spacing w:val="-5"/>
          <w:sz w:val="20"/>
        </w:rPr>
        <w:t> </w:t>
      </w:r>
      <w:r>
        <w:rPr>
          <w:sz w:val="20"/>
        </w:rPr>
        <w:t>reasons,</w:t>
      </w:r>
      <w:r>
        <w:rPr>
          <w:spacing w:val="-4"/>
          <w:sz w:val="20"/>
        </w:rPr>
        <w:t> </w:t>
      </w:r>
      <w:r>
        <w:rPr>
          <w:sz w:val="20"/>
        </w:rPr>
        <w:t>including</w:t>
      </w:r>
      <w:r>
        <w:rPr>
          <w:spacing w:val="-3"/>
          <w:sz w:val="20"/>
        </w:rPr>
        <w:t> </w:t>
      </w:r>
      <w:r>
        <w:rPr>
          <w:sz w:val="20"/>
        </w:rPr>
        <w:t>safety</w:t>
      </w:r>
      <w:r>
        <w:rPr>
          <w:spacing w:val="-4"/>
          <w:sz w:val="20"/>
        </w:rPr>
        <w:t> </w:t>
      </w:r>
      <w:r>
        <w:rPr>
          <w:sz w:val="20"/>
        </w:rPr>
        <w:t>signals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noncompliance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regulatory</w:t>
      </w:r>
      <w:r>
        <w:rPr>
          <w:spacing w:val="-47"/>
          <w:sz w:val="20"/>
        </w:rPr>
        <w:t> </w:t>
      </w:r>
      <w:r>
        <w:rPr>
          <w:sz w:val="20"/>
        </w:rPr>
        <w:t>requirements;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0" w:lineRule="auto" w:before="183" w:after="0"/>
        <w:ind w:left="820" w:right="0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cost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clinical</w:t>
      </w:r>
      <w:r>
        <w:rPr>
          <w:spacing w:val="-4"/>
          <w:sz w:val="20"/>
        </w:rPr>
        <w:t> </w:t>
      </w:r>
      <w:r>
        <w:rPr>
          <w:sz w:val="20"/>
        </w:rPr>
        <w:t>trials</w:t>
      </w:r>
      <w:r>
        <w:rPr>
          <w:spacing w:val="-4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greater</w:t>
      </w:r>
      <w:r>
        <w:rPr>
          <w:spacing w:val="-3"/>
          <w:sz w:val="20"/>
        </w:rPr>
        <w:t> </w:t>
      </w:r>
      <w:r>
        <w:rPr>
          <w:sz w:val="20"/>
        </w:rPr>
        <w:t>than</w:t>
      </w:r>
      <w:r>
        <w:rPr>
          <w:spacing w:val="-2"/>
          <w:sz w:val="20"/>
        </w:rPr>
        <w:t> </w:t>
      </w:r>
      <w:r>
        <w:rPr>
          <w:sz w:val="20"/>
        </w:rPr>
        <w:t>we</w:t>
      </w:r>
      <w:r>
        <w:rPr>
          <w:spacing w:val="-4"/>
          <w:sz w:val="20"/>
        </w:rPr>
        <w:t> </w:t>
      </w:r>
      <w:r>
        <w:rPr>
          <w:sz w:val="20"/>
        </w:rPr>
        <w:t>anticipate;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clinical</w:t>
      </w:r>
      <w:r>
        <w:rPr>
          <w:spacing w:val="-4"/>
          <w:sz w:val="20"/>
        </w:rPr>
        <w:t> </w:t>
      </w:r>
      <w:r>
        <w:rPr>
          <w:sz w:val="20"/>
        </w:rPr>
        <w:t>sites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adhere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clinical</w:t>
      </w:r>
      <w:r>
        <w:rPr>
          <w:spacing w:val="-3"/>
          <w:sz w:val="20"/>
        </w:rPr>
        <w:t> </w:t>
      </w:r>
      <w:r>
        <w:rPr>
          <w:sz w:val="20"/>
        </w:rPr>
        <w:t>protocol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drop</w:t>
      </w:r>
      <w:r>
        <w:rPr>
          <w:spacing w:val="-2"/>
          <w:sz w:val="20"/>
        </w:rPr>
        <w:t> </w:t>
      </w:r>
      <w:r>
        <w:rPr>
          <w:sz w:val="20"/>
        </w:rPr>
        <w:t>out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clinical</w:t>
      </w:r>
      <w:r>
        <w:rPr>
          <w:spacing w:val="-3"/>
          <w:sz w:val="20"/>
        </w:rPr>
        <w:t> </w:t>
      </w:r>
      <w:r>
        <w:rPr>
          <w:sz w:val="20"/>
        </w:rPr>
        <w:t>trial;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we</w:t>
      </w:r>
      <w:r>
        <w:rPr>
          <w:spacing w:val="-4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unable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recruit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sufficient</w:t>
      </w:r>
      <w:r>
        <w:rPr>
          <w:spacing w:val="-3"/>
          <w:sz w:val="20"/>
        </w:rPr>
        <w:t> </w:t>
      </w:r>
      <w:r>
        <w:rPr>
          <w:sz w:val="20"/>
        </w:rPr>
        <w:t>number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clinical</w:t>
      </w:r>
      <w:r>
        <w:rPr>
          <w:spacing w:val="-3"/>
          <w:sz w:val="20"/>
        </w:rPr>
        <w:t> </w:t>
      </w:r>
      <w:r>
        <w:rPr>
          <w:sz w:val="20"/>
        </w:rPr>
        <w:t>trial</w:t>
      </w:r>
      <w:r>
        <w:rPr>
          <w:spacing w:val="-3"/>
          <w:sz w:val="20"/>
        </w:rPr>
        <w:t> </w:t>
      </w:r>
      <w:r>
        <w:rPr>
          <w:sz w:val="20"/>
        </w:rPr>
        <w:t>sites;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9" w:lineRule="auto" w:before="190" w:after="0"/>
        <w:ind w:left="820" w:right="307" w:hanging="360"/>
        <w:jc w:val="left"/>
        <w:rPr>
          <w:sz w:val="20"/>
        </w:rPr>
      </w:pPr>
      <w:r>
        <w:rPr>
          <w:sz w:val="20"/>
        </w:rPr>
        <w:t>regulators, IRBs, or other reviewing bodies may fail to approve or subsequently find fault with our</w:t>
      </w:r>
      <w:r>
        <w:rPr>
          <w:spacing w:val="1"/>
          <w:sz w:val="20"/>
        </w:rPr>
        <w:t> </w:t>
      </w:r>
      <w:r>
        <w:rPr>
          <w:sz w:val="20"/>
        </w:rPr>
        <w:t>manufacturing</w:t>
      </w:r>
      <w:r>
        <w:rPr>
          <w:spacing w:val="-4"/>
          <w:sz w:val="20"/>
        </w:rPr>
        <w:t> </w:t>
      </w:r>
      <w:r>
        <w:rPr>
          <w:sz w:val="20"/>
        </w:rPr>
        <w:t>processes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facilities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third-party</w:t>
      </w:r>
      <w:r>
        <w:rPr>
          <w:spacing w:val="-3"/>
          <w:sz w:val="20"/>
        </w:rPr>
        <w:t> </w:t>
      </w:r>
      <w:r>
        <w:rPr>
          <w:sz w:val="20"/>
        </w:rPr>
        <w:t>manufacturers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we</w:t>
      </w:r>
      <w:r>
        <w:rPr>
          <w:spacing w:val="-5"/>
          <w:sz w:val="20"/>
        </w:rPr>
        <w:t> </w:t>
      </w:r>
      <w:r>
        <w:rPr>
          <w:sz w:val="20"/>
        </w:rPr>
        <w:t>enter</w:t>
      </w:r>
      <w:r>
        <w:rPr>
          <w:spacing w:val="-3"/>
          <w:sz w:val="20"/>
        </w:rPr>
        <w:t> </w:t>
      </w:r>
      <w:r>
        <w:rPr>
          <w:sz w:val="20"/>
        </w:rPr>
        <w:t>into</w:t>
      </w:r>
      <w:r>
        <w:rPr>
          <w:spacing w:val="-3"/>
          <w:sz w:val="20"/>
        </w:rPr>
        <w:t> </w:t>
      </w:r>
      <w:r>
        <w:rPr>
          <w:sz w:val="20"/>
        </w:rPr>
        <w:t>agreement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7"/>
          <w:sz w:val="20"/>
        </w:rPr>
        <w:t> </w:t>
      </w:r>
      <w:r>
        <w:rPr>
          <w:sz w:val="20"/>
        </w:rPr>
        <w:t>clinical and commercial supplies, the supply of devices or other materials necessary to conduct clinical</w:t>
      </w:r>
      <w:r>
        <w:rPr>
          <w:spacing w:val="1"/>
          <w:sz w:val="20"/>
        </w:rPr>
        <w:t> </w:t>
      </w:r>
      <w:r>
        <w:rPr>
          <w:sz w:val="20"/>
        </w:rPr>
        <w:t>trials may be insufficient, inadequate or not available at an acceptable cost, or we may experience</w:t>
      </w:r>
      <w:r>
        <w:rPr>
          <w:spacing w:val="1"/>
          <w:sz w:val="20"/>
        </w:rPr>
        <w:t> </w:t>
      </w:r>
      <w:r>
        <w:rPr>
          <w:sz w:val="20"/>
        </w:rPr>
        <w:t>interruptions</w:t>
      </w:r>
      <w:r>
        <w:rPr>
          <w:spacing w:val="-2"/>
          <w:sz w:val="20"/>
        </w:rPr>
        <w:t> </w:t>
      </w:r>
      <w:r>
        <w:rPr>
          <w:sz w:val="20"/>
        </w:rPr>
        <w:t>in supply;</w:t>
      </w:r>
    </w:p>
    <w:p>
      <w:pPr>
        <w:spacing w:after="0" w:line="249" w:lineRule="auto"/>
        <w:jc w:val="left"/>
        <w:rPr>
          <w:sz w:val="20"/>
        </w:rPr>
        <w:sectPr>
          <w:pgSz w:w="12240" w:h="15840"/>
          <w:pgMar w:header="0" w:footer="741" w:top="1320" w:bottom="940" w:left="1340" w:right="1320"/>
        </w:sectPr>
      </w:pP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9" w:lineRule="auto" w:before="72" w:after="0"/>
        <w:ind w:left="820" w:right="595" w:hanging="360"/>
        <w:jc w:val="left"/>
        <w:rPr>
          <w:sz w:val="20"/>
        </w:rPr>
      </w:pPr>
      <w:r>
        <w:rPr>
          <w:sz w:val="20"/>
        </w:rPr>
        <w:t>approval</w:t>
      </w:r>
      <w:r>
        <w:rPr>
          <w:spacing w:val="-4"/>
          <w:sz w:val="20"/>
        </w:rPr>
        <w:t> </w:t>
      </w:r>
      <w:r>
        <w:rPr>
          <w:sz w:val="20"/>
        </w:rPr>
        <w:t>policies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regulations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FDA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applicable</w:t>
      </w:r>
      <w:r>
        <w:rPr>
          <w:spacing w:val="-3"/>
          <w:sz w:val="20"/>
        </w:rPr>
        <w:t> </w:t>
      </w:r>
      <w:r>
        <w:rPr>
          <w:sz w:val="20"/>
        </w:rPr>
        <w:t>foreign</w:t>
      </w:r>
      <w:r>
        <w:rPr>
          <w:spacing w:val="-3"/>
          <w:sz w:val="20"/>
        </w:rPr>
        <w:t> </w:t>
      </w:r>
      <w:r>
        <w:rPr>
          <w:sz w:val="20"/>
        </w:rPr>
        <w:t>regulatory</w:t>
      </w:r>
      <w:r>
        <w:rPr>
          <w:spacing w:val="-2"/>
          <w:sz w:val="20"/>
        </w:rPr>
        <w:t> </w:t>
      </w:r>
      <w:r>
        <w:rPr>
          <w:sz w:val="20"/>
        </w:rPr>
        <w:t>agencies</w:t>
      </w:r>
      <w:r>
        <w:rPr>
          <w:spacing w:val="-4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change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7"/>
          <w:sz w:val="20"/>
        </w:rPr>
        <w:t> </w:t>
      </w:r>
      <w:r>
        <w:rPr>
          <w:sz w:val="20"/>
        </w:rPr>
        <w:t>manner</w:t>
      </w:r>
      <w:r>
        <w:rPr>
          <w:spacing w:val="-1"/>
          <w:sz w:val="20"/>
        </w:rPr>
        <w:t> </w:t>
      </w:r>
      <w:r>
        <w:rPr>
          <w:sz w:val="20"/>
        </w:rPr>
        <w:t>rendering our</w:t>
      </w:r>
      <w:r>
        <w:rPr>
          <w:spacing w:val="-1"/>
          <w:sz w:val="20"/>
        </w:rPr>
        <w:t> </w:t>
      </w:r>
      <w:r>
        <w:rPr>
          <w:sz w:val="20"/>
        </w:rPr>
        <w:t>clinical</w:t>
      </w:r>
      <w:r>
        <w:rPr>
          <w:spacing w:val="-1"/>
          <w:sz w:val="20"/>
        </w:rPr>
        <w:t> </w:t>
      </w:r>
      <w:r>
        <w:rPr>
          <w:sz w:val="20"/>
        </w:rPr>
        <w:t>data</w:t>
      </w:r>
      <w:r>
        <w:rPr>
          <w:spacing w:val="-1"/>
          <w:sz w:val="20"/>
        </w:rPr>
        <w:t> </w:t>
      </w:r>
      <w:r>
        <w:rPr>
          <w:sz w:val="20"/>
        </w:rPr>
        <w:t>insufficient</w:t>
      </w:r>
      <w:r>
        <w:rPr>
          <w:spacing w:val="-2"/>
          <w:sz w:val="20"/>
        </w:rPr>
        <w:t> </w:t>
      </w:r>
      <w:r>
        <w:rPr>
          <w:sz w:val="20"/>
        </w:rPr>
        <w:t>for approval;</w:t>
      </w:r>
      <w:r>
        <w:rPr>
          <w:spacing w:val="-1"/>
          <w:sz w:val="20"/>
        </w:rPr>
        <w:t> </w:t>
      </w:r>
      <w:r>
        <w:rPr>
          <w:sz w:val="20"/>
        </w:rPr>
        <w:t>and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420" w:lineRule="exact" w:before="32" w:after="0"/>
        <w:ind w:left="460" w:right="377" w:firstLine="0"/>
        <w:jc w:val="left"/>
        <w:rPr>
          <w:sz w:val="20"/>
        </w:rPr>
      </w:pPr>
      <w:r>
        <w:rPr>
          <w:sz w:val="20"/>
        </w:rPr>
        <w:t>our</w:t>
      </w:r>
      <w:r>
        <w:rPr>
          <w:spacing w:val="3"/>
          <w:sz w:val="20"/>
        </w:rPr>
        <w:t> </w:t>
      </w:r>
      <w:r>
        <w:rPr>
          <w:sz w:val="20"/>
        </w:rPr>
        <w:t>current</w:t>
      </w:r>
      <w:r>
        <w:rPr>
          <w:spacing w:val="3"/>
          <w:sz w:val="20"/>
        </w:rPr>
        <w:t> </w:t>
      </w:r>
      <w:r>
        <w:rPr>
          <w:sz w:val="20"/>
        </w:rPr>
        <w:t>or</w:t>
      </w:r>
      <w:r>
        <w:rPr>
          <w:spacing w:val="4"/>
          <w:sz w:val="20"/>
        </w:rPr>
        <w:t> </w:t>
      </w:r>
      <w:r>
        <w:rPr>
          <w:sz w:val="20"/>
        </w:rPr>
        <w:t>future</w:t>
      </w:r>
      <w:r>
        <w:rPr>
          <w:spacing w:val="3"/>
          <w:sz w:val="20"/>
        </w:rPr>
        <w:t> </w:t>
      </w:r>
      <w:r>
        <w:rPr>
          <w:sz w:val="20"/>
        </w:rPr>
        <w:t>products</w:t>
      </w:r>
      <w:r>
        <w:rPr>
          <w:spacing w:val="2"/>
          <w:sz w:val="20"/>
        </w:rPr>
        <w:t> </w:t>
      </w:r>
      <w:r>
        <w:rPr>
          <w:sz w:val="20"/>
        </w:rPr>
        <w:t>may</w:t>
      </w:r>
      <w:r>
        <w:rPr>
          <w:spacing w:val="4"/>
          <w:sz w:val="20"/>
        </w:rPr>
        <w:t> </w:t>
      </w:r>
      <w:r>
        <w:rPr>
          <w:sz w:val="20"/>
        </w:rPr>
        <w:t>have</w:t>
      </w:r>
      <w:r>
        <w:rPr>
          <w:spacing w:val="3"/>
          <w:sz w:val="20"/>
        </w:rPr>
        <w:t> </w:t>
      </w:r>
      <w:r>
        <w:rPr>
          <w:sz w:val="20"/>
        </w:rPr>
        <w:t>undesirable</w:t>
      </w:r>
      <w:r>
        <w:rPr>
          <w:spacing w:val="3"/>
          <w:sz w:val="20"/>
        </w:rPr>
        <w:t> </w:t>
      </w:r>
      <w:r>
        <w:rPr>
          <w:sz w:val="20"/>
        </w:rPr>
        <w:t>side</w:t>
      </w:r>
      <w:r>
        <w:rPr>
          <w:spacing w:val="2"/>
          <w:sz w:val="20"/>
        </w:rPr>
        <w:t> </w:t>
      </w:r>
      <w:r>
        <w:rPr>
          <w:sz w:val="20"/>
        </w:rPr>
        <w:t>effects</w:t>
      </w:r>
      <w:r>
        <w:rPr>
          <w:spacing w:val="3"/>
          <w:sz w:val="20"/>
        </w:rPr>
        <w:t> </w:t>
      </w:r>
      <w:r>
        <w:rPr>
          <w:sz w:val="20"/>
        </w:rPr>
        <w:t>or</w:t>
      </w:r>
      <w:r>
        <w:rPr>
          <w:spacing w:val="4"/>
          <w:sz w:val="20"/>
        </w:rPr>
        <w:t> </w:t>
      </w:r>
      <w:r>
        <w:rPr>
          <w:sz w:val="20"/>
        </w:rPr>
        <w:t>other</w:t>
      </w:r>
      <w:r>
        <w:rPr>
          <w:spacing w:val="4"/>
          <w:sz w:val="20"/>
        </w:rPr>
        <w:t> </w:t>
      </w:r>
      <w:r>
        <w:rPr>
          <w:sz w:val="20"/>
        </w:rPr>
        <w:t>unexpected</w:t>
      </w:r>
      <w:r>
        <w:rPr>
          <w:spacing w:val="3"/>
          <w:sz w:val="20"/>
        </w:rPr>
        <w:t> </w:t>
      </w:r>
      <w:r>
        <w:rPr>
          <w:sz w:val="20"/>
        </w:rPr>
        <w:t>characteristics.</w:t>
      </w:r>
      <w:r>
        <w:rPr>
          <w:spacing w:val="1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these</w:t>
      </w:r>
      <w:r>
        <w:rPr>
          <w:spacing w:val="-4"/>
          <w:sz w:val="20"/>
        </w:rPr>
        <w:t> </w:t>
      </w:r>
      <w:r>
        <w:rPr>
          <w:sz w:val="20"/>
        </w:rPr>
        <w:t>occurrences</w:t>
      </w:r>
      <w:r>
        <w:rPr>
          <w:spacing w:val="-4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significantly</w:t>
      </w:r>
      <w:r>
        <w:rPr>
          <w:spacing w:val="-3"/>
          <w:sz w:val="20"/>
        </w:rPr>
        <w:t> </w:t>
      </w:r>
      <w:r>
        <w:rPr>
          <w:sz w:val="20"/>
        </w:rPr>
        <w:t>harm</w:t>
      </w:r>
      <w:r>
        <w:rPr>
          <w:spacing w:val="-4"/>
          <w:sz w:val="20"/>
        </w:rPr>
        <w:t> </w:t>
      </w: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business,</w:t>
      </w:r>
      <w:r>
        <w:rPr>
          <w:spacing w:val="-3"/>
          <w:sz w:val="20"/>
        </w:rPr>
        <w:t> </w:t>
      </w:r>
      <w:r>
        <w:rPr>
          <w:sz w:val="20"/>
        </w:rPr>
        <w:t>financial</w:t>
      </w:r>
      <w:r>
        <w:rPr>
          <w:spacing w:val="-4"/>
          <w:sz w:val="20"/>
        </w:rPr>
        <w:t> </w:t>
      </w:r>
      <w:r>
        <w:rPr>
          <w:sz w:val="20"/>
        </w:rPr>
        <w:t>condition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prospects.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addition,</w:t>
      </w:r>
    </w:p>
    <w:p>
      <w:pPr>
        <w:pStyle w:val="BodyText"/>
        <w:spacing w:line="199" w:lineRule="exact" w:before="0"/>
        <w:ind w:firstLine="0"/>
      </w:pPr>
      <w:r>
        <w:rPr/>
        <w:t>many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factors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cause,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lead</w:t>
      </w:r>
      <w:r>
        <w:rPr>
          <w:spacing w:val="-2"/>
        </w:rPr>
        <w:t> </w:t>
      </w:r>
      <w:r>
        <w:rPr/>
        <w:t>to,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delay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commencement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completion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clinical</w:t>
      </w:r>
      <w:r>
        <w:rPr>
          <w:spacing w:val="-4"/>
        </w:rPr>
        <w:t> </w:t>
      </w:r>
      <w:r>
        <w:rPr/>
        <w:t>trials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also</w:t>
      </w:r>
    </w:p>
    <w:p>
      <w:pPr>
        <w:pStyle w:val="BodyText"/>
        <w:spacing w:before="10"/>
        <w:ind w:firstLine="0"/>
      </w:pPr>
      <w:r>
        <w:rPr/>
        <w:t>ultimately</w:t>
      </w:r>
      <w:r>
        <w:rPr>
          <w:spacing w:val="-3"/>
        </w:rPr>
        <w:t> </w:t>
      </w:r>
      <w:r>
        <w:rPr/>
        <w:t>lead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denial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regulatory</w:t>
      </w:r>
      <w:r>
        <w:rPr>
          <w:spacing w:val="-3"/>
        </w:rPr>
        <w:t> </w:t>
      </w:r>
      <w:r>
        <w:rPr/>
        <w:t>approval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our</w:t>
      </w:r>
      <w:r>
        <w:rPr>
          <w:spacing w:val="-3"/>
        </w:rPr>
        <w:t> </w:t>
      </w:r>
      <w:r>
        <w:rPr/>
        <w:t>product</w:t>
      </w:r>
      <w:r>
        <w:rPr>
          <w:spacing w:val="-3"/>
        </w:rPr>
        <w:t> </w:t>
      </w:r>
      <w:r>
        <w:rPr/>
        <w:t>candidates.</w:t>
      </w:r>
    </w:p>
    <w:p>
      <w:pPr>
        <w:pStyle w:val="BodyText"/>
        <w:spacing w:line="249" w:lineRule="auto"/>
        <w:ind w:right="135"/>
      </w:pPr>
      <w:r>
        <w:rPr/>
        <w:t>Clinical trials must be conducted in accordance with the laws and regulations of the FDA and other applicable</w:t>
      </w:r>
      <w:r>
        <w:rPr>
          <w:spacing w:val="1"/>
        </w:rPr>
        <w:t> </w:t>
      </w:r>
      <w:r>
        <w:rPr/>
        <w:t>regulatory authorities’ legal requirements, regulations or guidelines, and are subject to oversight by these</w:t>
      </w:r>
      <w:r>
        <w:rPr>
          <w:spacing w:val="1"/>
        </w:rPr>
        <w:t> </w:t>
      </w:r>
      <w:r>
        <w:rPr/>
        <w:t>governmental agencies and IRBs at the medical institutions where the clinical trials are conducted. Conducting</w:t>
      </w:r>
      <w:r>
        <w:rPr>
          <w:spacing w:val="1"/>
        </w:rPr>
        <w:t> </w:t>
      </w:r>
      <w:r>
        <w:rPr/>
        <w:t>successful clinical studies will require the enrollment of large numbers of patients, and suitable patients may be</w:t>
      </w:r>
      <w:r>
        <w:rPr>
          <w:spacing w:val="1"/>
        </w:rPr>
        <w:t> </w:t>
      </w:r>
      <w:r>
        <w:rPr/>
        <w:t>difficult to identify and recruit. Patient enrollment in clinical trials and completion of patient participation and</w:t>
      </w:r>
      <w:r>
        <w:rPr>
          <w:spacing w:val="1"/>
        </w:rPr>
        <w:t> </w:t>
      </w:r>
      <w:r>
        <w:rPr/>
        <w:t>follow-up depends on many factors, including the size of the patient population, the nature of the trial protocol, the</w:t>
      </w:r>
      <w:r>
        <w:rPr>
          <w:spacing w:val="1"/>
        </w:rPr>
        <w:t> </w:t>
      </w:r>
      <w:r>
        <w:rPr/>
        <w:t>attractiveness of, or the discomforts and risks associated with, the treatments received by enrolled subjects, the</w:t>
      </w:r>
      <w:r>
        <w:rPr>
          <w:spacing w:val="1"/>
        </w:rPr>
        <w:t> </w:t>
      </w:r>
      <w:r>
        <w:rPr/>
        <w:t>availability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appropriate</w:t>
      </w:r>
      <w:r>
        <w:rPr>
          <w:spacing w:val="-5"/>
        </w:rPr>
        <w:t> </w:t>
      </w:r>
      <w:r>
        <w:rPr/>
        <w:t>clinical</w:t>
      </w:r>
      <w:r>
        <w:rPr>
          <w:spacing w:val="-4"/>
        </w:rPr>
        <w:t> </w:t>
      </w:r>
      <w:r>
        <w:rPr/>
        <w:t>trial</w:t>
      </w:r>
      <w:r>
        <w:rPr>
          <w:spacing w:val="-4"/>
        </w:rPr>
        <w:t> </w:t>
      </w:r>
      <w:r>
        <w:rPr/>
        <w:t>investigators,</w:t>
      </w:r>
      <w:r>
        <w:rPr>
          <w:spacing w:val="-4"/>
        </w:rPr>
        <w:t> </w:t>
      </w:r>
      <w:r>
        <w:rPr/>
        <w:t>support</w:t>
      </w:r>
      <w:r>
        <w:rPr>
          <w:spacing w:val="-4"/>
        </w:rPr>
        <w:t> </w:t>
      </w:r>
      <w:r>
        <w:rPr/>
        <w:t>staff,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proximity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patients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clinical</w:t>
      </w:r>
      <w:r>
        <w:rPr>
          <w:spacing w:val="-5"/>
        </w:rPr>
        <w:t> </w:t>
      </w:r>
      <w:r>
        <w:rPr/>
        <w:t>sites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able</w:t>
      </w:r>
      <w:r>
        <w:rPr>
          <w:spacing w:val="1"/>
        </w:rPr>
        <w:t> </w:t>
      </w:r>
      <w:r>
        <w:rPr/>
        <w:t>to comply with the eligibility and exclusion criteria for participation in the clinical trial and patient compliance. For</w:t>
      </w:r>
      <w:r>
        <w:rPr>
          <w:spacing w:val="1"/>
        </w:rPr>
        <w:t> </w:t>
      </w:r>
      <w:r>
        <w:rPr/>
        <w:t>example, patients may be discouraged from enrolling in our clinical trials if the trial protocol requires them to</w:t>
      </w:r>
      <w:r>
        <w:rPr>
          <w:spacing w:val="1"/>
        </w:rPr>
        <w:t> </w:t>
      </w:r>
      <w:r>
        <w:rPr/>
        <w:t>undergo extensive post-treatment procedures or follow-up to assess the safety and effectiveness of our products or if</w:t>
      </w:r>
      <w:r>
        <w:rPr>
          <w:spacing w:val="-47"/>
        </w:rPr>
        <w:t> </w:t>
      </w:r>
      <w:r>
        <w:rPr/>
        <w:t>they determine that the treatments received under the trial protocols are not attractive or involve unacceptable risks</w:t>
      </w:r>
      <w:r>
        <w:rPr>
          <w:spacing w:val="1"/>
        </w:rPr>
        <w:t> </w:t>
      </w:r>
      <w:r>
        <w:rPr/>
        <w:t>or</w:t>
      </w:r>
      <w:r>
        <w:rPr>
          <w:spacing w:val="-1"/>
        </w:rPr>
        <w:t> </w:t>
      </w:r>
      <w:r>
        <w:rPr/>
        <w:t>discomforts.</w:t>
      </w:r>
    </w:p>
    <w:p>
      <w:pPr>
        <w:pStyle w:val="BodyText"/>
        <w:spacing w:line="249" w:lineRule="auto" w:before="191"/>
        <w:ind w:right="148"/>
      </w:pPr>
      <w:r>
        <w:rPr/>
        <w:t>We depend on our collaborators and on medical institutions and CROs to conduct our clinical trials in</w:t>
      </w:r>
      <w:r>
        <w:rPr>
          <w:spacing w:val="1"/>
        </w:rPr>
        <w:t> </w:t>
      </w:r>
      <w:r>
        <w:rPr/>
        <w:t>compliance with good clinical practice, or GCP, requirements. To the extent our collaborators or the CROs fail to</w:t>
      </w:r>
      <w:r>
        <w:rPr>
          <w:spacing w:val="1"/>
        </w:rPr>
        <w:t> </w:t>
      </w:r>
      <w:r>
        <w:rPr/>
        <w:t>enroll participants for our clinical trials, fail to conduct the study to GCP standards or are delayed for a significant</w:t>
      </w:r>
      <w:r>
        <w:rPr>
          <w:spacing w:val="1"/>
        </w:rPr>
        <w:t> </w:t>
      </w:r>
      <w:r>
        <w:rPr/>
        <w:t>time in the execution of trials, including achieving full enrollment, we may be affected by increased costs, program</w:t>
      </w:r>
      <w:r>
        <w:rPr>
          <w:spacing w:val="1"/>
        </w:rPr>
        <w:t> </w:t>
      </w:r>
      <w:r>
        <w:rPr/>
        <w:t>delays or both. In addition, clinical trials that are conducted in countries outside the United States may subject us to</w:t>
      </w:r>
      <w:r>
        <w:rPr>
          <w:spacing w:val="1"/>
        </w:rPr>
        <w:t> </w:t>
      </w:r>
      <w:r>
        <w:rPr/>
        <w:t>further delays and expenses as a result of increased shipment costs, additional regulatory requirements and the</w:t>
      </w:r>
      <w:r>
        <w:rPr>
          <w:spacing w:val="1"/>
        </w:rPr>
        <w:t> </w:t>
      </w:r>
      <w:r>
        <w:rPr/>
        <w:t>engagement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non-U.S.</w:t>
      </w:r>
      <w:r>
        <w:rPr>
          <w:spacing w:val="-3"/>
        </w:rPr>
        <w:t> </w:t>
      </w:r>
      <w:r>
        <w:rPr/>
        <w:t>CROs,</w:t>
      </w:r>
      <w:r>
        <w:rPr>
          <w:spacing w:val="-2"/>
        </w:rPr>
        <w:t> </w:t>
      </w:r>
      <w:r>
        <w:rPr/>
        <w:t>as</w:t>
      </w:r>
      <w:r>
        <w:rPr>
          <w:spacing w:val="-4"/>
        </w:rPr>
        <w:t> </w:t>
      </w:r>
      <w:r>
        <w:rPr/>
        <w:t>well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expose</w:t>
      </w:r>
      <w:r>
        <w:rPr>
          <w:spacing w:val="-4"/>
        </w:rPr>
        <w:t> </w:t>
      </w:r>
      <w:r>
        <w:rPr/>
        <w:t>us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risks</w:t>
      </w:r>
      <w:r>
        <w:rPr>
          <w:spacing w:val="-4"/>
        </w:rPr>
        <w:t> </w:t>
      </w:r>
      <w:r>
        <w:rPr/>
        <w:t>associated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clinical</w:t>
      </w:r>
      <w:r>
        <w:rPr>
          <w:spacing w:val="-4"/>
        </w:rPr>
        <w:t> </w:t>
      </w:r>
      <w:r>
        <w:rPr/>
        <w:t>investigators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unknown</w:t>
      </w:r>
      <w:r>
        <w:rPr>
          <w:spacing w:val="-47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FDA,</w:t>
      </w:r>
      <w:r>
        <w:rPr>
          <w:spacing w:val="-1"/>
        </w:rPr>
        <w:t> </w:t>
      </w:r>
      <w:r>
        <w:rPr/>
        <w:t>and different</w:t>
      </w:r>
      <w:r>
        <w:rPr>
          <w:spacing w:val="-2"/>
        </w:rPr>
        <w:t> </w:t>
      </w:r>
      <w:r>
        <w:rPr/>
        <w:t>standards</w:t>
      </w:r>
      <w:r>
        <w:rPr>
          <w:spacing w:val="-1"/>
        </w:rPr>
        <w:t> </w:t>
      </w:r>
      <w:r>
        <w:rPr/>
        <w:t>of diagnosis,</w:t>
      </w:r>
      <w:r>
        <w:rPr>
          <w:spacing w:val="-1"/>
        </w:rPr>
        <w:t> </w:t>
      </w:r>
      <w:r>
        <w:rPr/>
        <w:t>screening and</w:t>
      </w:r>
      <w:r>
        <w:rPr>
          <w:spacing w:val="-1"/>
        </w:rPr>
        <w:t> </w:t>
      </w:r>
      <w:r>
        <w:rPr/>
        <w:t>medical</w:t>
      </w:r>
      <w:r>
        <w:rPr>
          <w:spacing w:val="-1"/>
        </w:rPr>
        <w:t> </w:t>
      </w:r>
      <w:r>
        <w:rPr/>
        <w:t>care.</w:t>
      </w:r>
    </w:p>
    <w:p>
      <w:pPr>
        <w:pStyle w:val="BodyText"/>
        <w:spacing w:line="249" w:lineRule="auto" w:before="186"/>
        <w:ind w:right="135"/>
      </w:pPr>
      <w:r>
        <w:rPr/>
        <w:t>Development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sufficient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appropriate</w:t>
      </w:r>
      <w:r>
        <w:rPr>
          <w:spacing w:val="-4"/>
        </w:rPr>
        <w:t> </w:t>
      </w:r>
      <w:r>
        <w:rPr/>
        <w:t>clinical</w:t>
      </w:r>
      <w:r>
        <w:rPr>
          <w:spacing w:val="-4"/>
        </w:rPr>
        <w:t> </w:t>
      </w:r>
      <w:r>
        <w:rPr/>
        <w:t>protocols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demonstrate</w:t>
      </w:r>
      <w:r>
        <w:rPr>
          <w:spacing w:val="-4"/>
        </w:rPr>
        <w:t> </w:t>
      </w:r>
      <w:r>
        <w:rPr/>
        <w:t>safety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efficacy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required</w:t>
      </w:r>
      <w:r>
        <w:rPr>
          <w:spacing w:val="-3"/>
        </w:rPr>
        <w:t> </w:t>
      </w:r>
      <w:r>
        <w:rPr/>
        <w:t>and</w:t>
      </w:r>
      <w:r>
        <w:rPr>
          <w:spacing w:val="-47"/>
        </w:rPr>
        <w:t> </w:t>
      </w:r>
      <w:r>
        <w:rPr/>
        <w:t>we may not adequately develop such protocols to support clearance and approval. Further, the FDA may require us</w:t>
      </w:r>
      <w:r>
        <w:rPr>
          <w:spacing w:val="1"/>
        </w:rPr>
        <w:t> </w:t>
      </w:r>
      <w:r>
        <w:rPr/>
        <w:t>to submit data on a greater number of patients than we originally anticipated and/or for a longer follow-up period or</w:t>
      </w:r>
      <w:r>
        <w:rPr>
          <w:spacing w:val="1"/>
        </w:rPr>
        <w:t> </w:t>
      </w:r>
      <w:r>
        <w:rPr/>
        <w:t>change the data collection requirements or data analysis applicable to our clinical trials. Delays in patient enrollment</w:t>
      </w:r>
      <w:r>
        <w:rPr>
          <w:spacing w:val="-47"/>
        </w:rPr>
        <w:t> </w:t>
      </w:r>
      <w:r>
        <w:rPr/>
        <w:t>or failure of patients to continue to participate in a clinical trial may cause an increase in costs and delays in the</w:t>
      </w:r>
      <w:r>
        <w:rPr>
          <w:spacing w:val="1"/>
        </w:rPr>
        <w:t> </w:t>
      </w:r>
      <w:r>
        <w:rPr/>
        <w:t>approval and attempted commercialization of our products or result in the failure of the clinical trial. In addition,</w:t>
      </w:r>
      <w:r>
        <w:rPr>
          <w:spacing w:val="1"/>
        </w:rPr>
        <w:t> </w:t>
      </w:r>
      <w:r>
        <w:rPr/>
        <w:t>despite considerable time and expense invested in our clinical trials, the FDA may not consider our data adequate to</w:t>
      </w:r>
      <w:r>
        <w:rPr>
          <w:spacing w:val="-47"/>
        </w:rPr>
        <w:t> </w:t>
      </w:r>
      <w:r>
        <w:rPr/>
        <w:t>demonstrate safety and efficacy. Such increased costs and delays or failures could adversely affect our business,</w:t>
      </w:r>
      <w:r>
        <w:rPr>
          <w:spacing w:val="1"/>
        </w:rPr>
        <w:t> </w:t>
      </w:r>
      <w:r>
        <w:rPr/>
        <w:t>operating</w:t>
      </w:r>
      <w:r>
        <w:rPr>
          <w:spacing w:val="-1"/>
        </w:rPr>
        <w:t> </w:t>
      </w:r>
      <w:r>
        <w:rPr/>
        <w:t>results</w:t>
      </w:r>
      <w:r>
        <w:rPr>
          <w:spacing w:val="-1"/>
        </w:rPr>
        <w:t> </w:t>
      </w:r>
      <w:r>
        <w:rPr/>
        <w:t>and prospects.</w:t>
      </w:r>
    </w:p>
    <w:p>
      <w:pPr>
        <w:pStyle w:val="Heading3"/>
        <w:spacing w:line="249" w:lineRule="auto" w:before="184"/>
        <w:ind w:right="129"/>
      </w:pPr>
      <w:r>
        <w:rPr>
          <w:i/>
        </w:rPr>
        <w:t>If</w:t>
      </w:r>
      <w:r>
        <w:rPr>
          <w:i/>
          <w:spacing w:val="-3"/>
        </w:rPr>
        <w:t> </w:t>
      </w:r>
      <w:r>
        <w:rPr>
          <w:i/>
        </w:rPr>
        <w:t>the</w:t>
      </w:r>
      <w:r>
        <w:rPr>
          <w:i/>
          <w:spacing w:val="-4"/>
        </w:rPr>
        <w:t> </w:t>
      </w:r>
      <w:r>
        <w:rPr>
          <w:i/>
        </w:rPr>
        <w:t>third</w:t>
      </w:r>
      <w:r>
        <w:rPr>
          <w:i/>
          <w:spacing w:val="-3"/>
        </w:rPr>
        <w:t> </w:t>
      </w:r>
      <w:r>
        <w:rPr>
          <w:i/>
        </w:rPr>
        <w:t>parties</w:t>
      </w:r>
      <w:r>
        <w:rPr>
          <w:i/>
          <w:spacing w:val="-4"/>
        </w:rPr>
        <w:t> </w:t>
      </w:r>
      <w:r>
        <w:rPr>
          <w:i/>
        </w:rPr>
        <w:t>on</w:t>
      </w:r>
      <w:r>
        <w:rPr>
          <w:i/>
          <w:spacing w:val="-4"/>
        </w:rPr>
        <w:t> </w:t>
      </w:r>
      <w:r>
        <w:rPr>
          <w:i/>
        </w:rPr>
        <w:t>which</w:t>
      </w:r>
      <w:r>
        <w:rPr>
          <w:i/>
          <w:spacing w:val="-3"/>
        </w:rPr>
        <w:t> </w:t>
      </w:r>
      <w:r>
        <w:rPr>
          <w:i/>
        </w:rPr>
        <w:t>we</w:t>
      </w:r>
      <w:r>
        <w:rPr>
          <w:i/>
          <w:spacing w:val="-4"/>
        </w:rPr>
        <w:t> </w:t>
      </w:r>
      <w:r>
        <w:rPr>
          <w:i/>
        </w:rPr>
        <w:t>rely</w:t>
      </w:r>
      <w:r>
        <w:rPr>
          <w:i/>
          <w:spacing w:val="-4"/>
        </w:rPr>
        <w:t> </w:t>
      </w:r>
      <w:r>
        <w:rPr>
          <w:i/>
        </w:rPr>
        <w:t>to</w:t>
      </w:r>
      <w:r>
        <w:rPr>
          <w:i/>
          <w:spacing w:val="-3"/>
        </w:rPr>
        <w:t> </w:t>
      </w:r>
      <w:r>
        <w:rPr>
          <w:i/>
        </w:rPr>
        <w:t>conduct</w:t>
      </w:r>
      <w:r>
        <w:rPr>
          <w:i/>
          <w:spacing w:val="-4"/>
        </w:rPr>
        <w:t> </w:t>
      </w:r>
      <w:r>
        <w:rPr>
          <w:i/>
        </w:rPr>
        <w:t>our</w:t>
      </w:r>
      <w:r>
        <w:rPr>
          <w:i/>
          <w:spacing w:val="-3"/>
        </w:rPr>
        <w:t> </w:t>
      </w:r>
      <w:r>
        <w:rPr>
          <w:i/>
        </w:rPr>
        <w:t>clinical</w:t>
      </w:r>
      <w:r>
        <w:rPr>
          <w:i/>
          <w:spacing w:val="-4"/>
        </w:rPr>
        <w:t> </w:t>
      </w:r>
      <w:r>
        <w:rPr>
          <w:i/>
        </w:rPr>
        <w:t>trials</w:t>
      </w:r>
      <w:r>
        <w:rPr>
          <w:i/>
          <w:spacing w:val="-4"/>
        </w:rPr>
        <w:t> </w:t>
      </w:r>
      <w:r>
        <w:rPr>
          <w:i/>
        </w:rPr>
        <w:t>and</w:t>
      </w:r>
      <w:r>
        <w:rPr>
          <w:i/>
          <w:spacing w:val="-3"/>
        </w:rPr>
        <w:t> </w:t>
      </w:r>
      <w:r>
        <w:rPr>
          <w:i/>
        </w:rPr>
        <w:t>to</w:t>
      </w:r>
      <w:r>
        <w:rPr>
          <w:i/>
          <w:spacing w:val="-3"/>
        </w:rPr>
        <w:t> </w:t>
      </w:r>
      <w:r>
        <w:rPr>
          <w:i/>
        </w:rPr>
        <w:t>assist</w:t>
      </w:r>
      <w:r>
        <w:rPr>
          <w:i/>
          <w:spacing w:val="-3"/>
        </w:rPr>
        <w:t> </w:t>
      </w:r>
      <w:r>
        <w:rPr>
          <w:i/>
        </w:rPr>
        <w:t>us</w:t>
      </w:r>
      <w:r>
        <w:rPr>
          <w:i/>
          <w:spacing w:val="-4"/>
        </w:rPr>
        <w:t> </w:t>
      </w:r>
      <w:r>
        <w:rPr>
          <w:i/>
        </w:rPr>
        <w:t>with</w:t>
      </w:r>
      <w:r>
        <w:rPr>
          <w:i/>
          <w:spacing w:val="-4"/>
        </w:rPr>
        <w:t> </w:t>
      </w:r>
      <w:r>
        <w:rPr>
          <w:i/>
        </w:rPr>
        <w:t>pre-clinical</w:t>
      </w:r>
      <w:r>
        <w:rPr>
          <w:i/>
          <w:spacing w:val="-4"/>
        </w:rPr>
        <w:t> </w:t>
      </w:r>
      <w:r>
        <w:rPr>
          <w:i/>
        </w:rPr>
        <w:t>development</w:t>
      </w:r>
      <w:r>
        <w:rPr>
          <w:i/>
          <w:spacing w:val="-4"/>
        </w:rPr>
        <w:t> </w:t>
      </w:r>
      <w:r>
        <w:rPr>
          <w:i/>
        </w:rPr>
        <w:t>do</w:t>
      </w:r>
      <w:r>
        <w:rPr>
          <w:i/>
          <w:spacing w:val="1"/>
        </w:rPr>
        <w:t> </w:t>
      </w:r>
      <w:r>
        <w:rPr/>
        <w:t>not perform as required or expected, we may not be able to obtain regulatory clearance or approval for or</w:t>
      </w:r>
      <w:r>
        <w:rPr>
          <w:spacing w:val="1"/>
        </w:rPr>
        <w:t> </w:t>
      </w:r>
      <w:r>
        <w:rPr/>
        <w:t>commercialize</w:t>
      </w:r>
      <w:r>
        <w:rPr>
          <w:spacing w:val="-2"/>
        </w:rPr>
        <w:t> </w:t>
      </w:r>
      <w:r>
        <w:rPr/>
        <w:t>our</w:t>
      </w:r>
      <w:r>
        <w:rPr>
          <w:spacing w:val="-1"/>
        </w:rPr>
        <w:t> </w:t>
      </w:r>
      <w:r>
        <w:rPr/>
        <w:t>products.</w:t>
      </w:r>
    </w:p>
    <w:p>
      <w:pPr>
        <w:pStyle w:val="BodyText"/>
        <w:spacing w:line="249" w:lineRule="auto" w:before="186"/>
        <w:ind w:right="136"/>
      </w:pPr>
      <w:r>
        <w:rPr/>
        <w:t>We may not have the ability to independently conduct our pre-clinical and clinical trials for our future products</w:t>
      </w:r>
      <w:r>
        <w:rPr>
          <w:spacing w:val="1"/>
        </w:rPr>
        <w:t> </w:t>
      </w:r>
      <w:r>
        <w:rPr/>
        <w:t>and</w:t>
      </w:r>
      <w:r>
        <w:rPr>
          <w:spacing w:val="-4"/>
        </w:rPr>
        <w:t> </w:t>
      </w:r>
      <w:r>
        <w:rPr/>
        <w:t>we</w:t>
      </w:r>
      <w:r>
        <w:rPr>
          <w:spacing w:val="-4"/>
        </w:rPr>
        <w:t> </w:t>
      </w:r>
      <w:r>
        <w:rPr/>
        <w:t>may</w:t>
      </w:r>
      <w:r>
        <w:rPr>
          <w:spacing w:val="-3"/>
        </w:rPr>
        <w:t> </w:t>
      </w:r>
      <w:r>
        <w:rPr/>
        <w:t>need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rely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third</w:t>
      </w:r>
      <w:r>
        <w:rPr>
          <w:spacing w:val="-3"/>
        </w:rPr>
        <w:t> </w:t>
      </w:r>
      <w:r>
        <w:rPr/>
        <w:t>parties,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CROs,</w:t>
      </w:r>
      <w:r>
        <w:rPr>
          <w:spacing w:val="-3"/>
        </w:rPr>
        <w:t> </w:t>
      </w:r>
      <w:r>
        <w:rPr/>
        <w:t>medical</w:t>
      </w:r>
      <w:r>
        <w:rPr>
          <w:spacing w:val="-5"/>
        </w:rPr>
        <w:t> </w:t>
      </w:r>
      <w:r>
        <w:rPr/>
        <w:t>institutions,</w:t>
      </w:r>
      <w:r>
        <w:rPr>
          <w:spacing w:val="-3"/>
        </w:rPr>
        <w:t> </w:t>
      </w:r>
      <w:r>
        <w:rPr/>
        <w:t>collaborators,</w:t>
      </w:r>
      <w:r>
        <w:rPr>
          <w:spacing w:val="-3"/>
        </w:rPr>
        <w:t> </w:t>
      </w:r>
      <w:r>
        <w:rPr/>
        <w:t>clinical</w:t>
      </w:r>
      <w:r>
        <w:rPr>
          <w:spacing w:val="-4"/>
        </w:rPr>
        <w:t> </w:t>
      </w:r>
      <w:r>
        <w:rPr/>
        <w:t>investigators</w:t>
      </w:r>
      <w:r>
        <w:rPr>
          <w:spacing w:val="-4"/>
        </w:rPr>
        <w:t> </w:t>
      </w:r>
      <w:r>
        <w:rPr/>
        <w:t>and</w:t>
      </w:r>
      <w:r>
        <w:rPr>
          <w:spacing w:val="1"/>
        </w:rPr>
        <w:t> </w:t>
      </w:r>
      <w:r>
        <w:rPr/>
        <w:t>contract laboratories to conduct such trials. Nevertheless, we are responsible for ensuring that each of our studies is</w:t>
      </w:r>
      <w:r>
        <w:rPr>
          <w:spacing w:val="1"/>
        </w:rPr>
        <w:t> </w:t>
      </w:r>
      <w:r>
        <w:rPr/>
        <w:t>conducted in</w:t>
      </w:r>
      <w:r>
        <w:rPr>
          <w:spacing w:val="1"/>
        </w:rPr>
        <w:t> </w:t>
      </w:r>
      <w:r>
        <w:rPr/>
        <w:t>accordance with applicable protocol,</w:t>
      </w:r>
      <w:r>
        <w:rPr>
          <w:spacing w:val="1"/>
        </w:rPr>
        <w:t> </w:t>
      </w:r>
      <w:r>
        <w:rPr/>
        <w:t>legal and regulatory</w:t>
      </w:r>
      <w:r>
        <w:rPr>
          <w:spacing w:val="1"/>
        </w:rPr>
        <w:t> </w:t>
      </w:r>
      <w:r>
        <w:rPr/>
        <w:t>requirements and</w:t>
      </w:r>
      <w:r>
        <w:rPr>
          <w:spacing w:val="1"/>
        </w:rPr>
        <w:t> </w:t>
      </w:r>
      <w:r>
        <w:rPr/>
        <w:t>scientific</w:t>
      </w:r>
      <w:r>
        <w:rPr>
          <w:spacing w:val="-1"/>
        </w:rPr>
        <w:t> </w:t>
      </w:r>
      <w:r>
        <w:rPr/>
        <w:t>standards,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our reliance on third parties does not relieve us of our regulatory responsibilities. We and these third parties are</w:t>
      </w:r>
      <w:r>
        <w:rPr>
          <w:spacing w:val="1"/>
        </w:rPr>
        <w:t> </w:t>
      </w:r>
      <w:r>
        <w:rPr/>
        <w:t>required to comply with GCP requirements, which are regulations and guidelines enforced by the FDA and</w:t>
      </w:r>
      <w:r>
        <w:rPr>
          <w:spacing w:val="1"/>
        </w:rPr>
        <w:t> </w:t>
      </w:r>
      <w:r>
        <w:rPr/>
        <w:t>comparable foreign regulatory authorities for products in clinical development. Regulatory authorities enforce these</w:t>
      </w:r>
      <w:r>
        <w:rPr>
          <w:spacing w:val="1"/>
        </w:rPr>
        <w:t> </w:t>
      </w:r>
      <w:r>
        <w:rPr/>
        <w:t>GCP</w:t>
      </w:r>
      <w:r>
        <w:rPr>
          <w:spacing w:val="-3"/>
        </w:rPr>
        <w:t> </w:t>
      </w:r>
      <w:r>
        <w:rPr/>
        <w:t>requirements</w:t>
      </w:r>
      <w:r>
        <w:rPr>
          <w:spacing w:val="-2"/>
        </w:rPr>
        <w:t> </w:t>
      </w:r>
      <w:r>
        <w:rPr/>
        <w:t>through</w:t>
      </w:r>
      <w:r>
        <w:rPr>
          <w:spacing w:val="-1"/>
        </w:rPr>
        <w:t> </w:t>
      </w:r>
      <w:r>
        <w:rPr/>
        <w:t>periodic</w:t>
      </w:r>
      <w:r>
        <w:rPr>
          <w:spacing w:val="-2"/>
        </w:rPr>
        <w:t> </w:t>
      </w:r>
      <w:r>
        <w:rPr/>
        <w:t>inspections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trial</w:t>
      </w:r>
      <w:r>
        <w:rPr>
          <w:spacing w:val="-2"/>
        </w:rPr>
        <w:t> </w:t>
      </w:r>
      <w:r>
        <w:rPr/>
        <w:t>sponsors,</w:t>
      </w:r>
      <w:r>
        <w:rPr>
          <w:spacing w:val="-1"/>
        </w:rPr>
        <w:t> </w:t>
      </w:r>
      <w:r>
        <w:rPr/>
        <w:t>principal</w:t>
      </w:r>
      <w:r>
        <w:rPr>
          <w:spacing w:val="-2"/>
        </w:rPr>
        <w:t> </w:t>
      </w:r>
      <w:r>
        <w:rPr/>
        <w:t>investigators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trial</w:t>
      </w:r>
      <w:r>
        <w:rPr>
          <w:spacing w:val="-2"/>
        </w:rPr>
        <w:t> </w:t>
      </w:r>
      <w:r>
        <w:rPr/>
        <w:t>sites.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  <w:ind w:right="212"/>
      </w:pPr>
      <w:r>
        <w:rPr/>
        <w:t>If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these</w:t>
      </w:r>
      <w:r>
        <w:rPr>
          <w:spacing w:val="-3"/>
        </w:rPr>
        <w:t> </w:t>
      </w:r>
      <w:r>
        <w:rPr/>
        <w:t>third</w:t>
      </w:r>
      <w:r>
        <w:rPr>
          <w:spacing w:val="-3"/>
        </w:rPr>
        <w:t> </w:t>
      </w:r>
      <w:r>
        <w:rPr/>
        <w:t>parties</w:t>
      </w:r>
      <w:r>
        <w:rPr>
          <w:spacing w:val="-3"/>
        </w:rPr>
        <w:t> </w:t>
      </w:r>
      <w:r>
        <w:rPr/>
        <w:t>fail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comply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applicable</w:t>
      </w:r>
      <w:r>
        <w:rPr>
          <w:spacing w:val="-3"/>
        </w:rPr>
        <w:t> </w:t>
      </w:r>
      <w:r>
        <w:rPr/>
        <w:t>GCP</w:t>
      </w:r>
      <w:r>
        <w:rPr>
          <w:spacing w:val="-4"/>
        </w:rPr>
        <w:t> </w:t>
      </w:r>
      <w:r>
        <w:rPr/>
        <w:t>regulations,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clinical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generated</w:t>
      </w:r>
      <w:r>
        <w:rPr>
          <w:spacing w:val="-3"/>
        </w:rPr>
        <w:t> </w:t>
      </w:r>
      <w:r>
        <w:rPr/>
        <w:t>in</w:t>
      </w:r>
      <w:r>
        <w:rPr>
          <w:spacing w:val="-47"/>
        </w:rPr>
        <w:t> </w:t>
      </w:r>
      <w:r>
        <w:rPr/>
        <w:t>our clinical trials may be deemed unreliable and the FDA or comparable foreign regulatory authorities may require</w:t>
      </w:r>
      <w:r>
        <w:rPr>
          <w:spacing w:val="-47"/>
        </w:rPr>
        <w:t> </w:t>
      </w:r>
      <w:r>
        <w:rPr/>
        <w:t>us to perform additional clinical trials before clearing or approving our marketing applications. We cannot assure</w:t>
      </w:r>
      <w:r>
        <w:rPr>
          <w:spacing w:val="1"/>
        </w:rPr>
        <w:t> </w:t>
      </w:r>
      <w:r>
        <w:rPr/>
        <w:t>you that, upon inspection, such regulatory authorities will determine that any of our future clinical trials complies</w:t>
      </w:r>
      <w:r>
        <w:rPr>
          <w:spacing w:val="1"/>
        </w:rPr>
        <w:t> </w:t>
      </w:r>
      <w:r>
        <w:rPr/>
        <w:t>with the GCP regulations. To the extent our collaborators or the CROs fail to enroll participants for our clinical</w:t>
      </w:r>
      <w:r>
        <w:rPr>
          <w:spacing w:val="1"/>
        </w:rPr>
        <w:t> </w:t>
      </w:r>
      <w:r>
        <w:rPr/>
        <w:t>trials, fail to conduct the study to GCP standards or are delayed for a significant time in the execution of trials,</w:t>
      </w:r>
      <w:r>
        <w:rPr>
          <w:spacing w:val="1"/>
        </w:rPr>
        <w:t> </w:t>
      </w:r>
      <w:r>
        <w:rPr/>
        <w:t>including</w:t>
      </w:r>
      <w:r>
        <w:rPr>
          <w:spacing w:val="-2"/>
        </w:rPr>
        <w:t> </w:t>
      </w:r>
      <w:r>
        <w:rPr/>
        <w:t>achieving</w:t>
      </w:r>
      <w:r>
        <w:rPr>
          <w:spacing w:val="-1"/>
        </w:rPr>
        <w:t> </w:t>
      </w:r>
      <w:r>
        <w:rPr/>
        <w:t>full</w:t>
      </w:r>
      <w:r>
        <w:rPr>
          <w:spacing w:val="-3"/>
        </w:rPr>
        <w:t> </w:t>
      </w:r>
      <w:r>
        <w:rPr/>
        <w:t>enrollment,</w:t>
      </w:r>
      <w:r>
        <w:rPr>
          <w:spacing w:val="-1"/>
        </w:rPr>
        <w:t> </w:t>
      </w:r>
      <w:r>
        <w:rPr/>
        <w:t>including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account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outbreak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infectious</w:t>
      </w:r>
      <w:r>
        <w:rPr>
          <w:spacing w:val="-2"/>
        </w:rPr>
        <w:t> </w:t>
      </w:r>
      <w:r>
        <w:rPr/>
        <w:t>disease,</w:t>
      </w:r>
      <w:r>
        <w:rPr>
          <w:spacing w:val="-1"/>
        </w:rPr>
        <w:t> </w:t>
      </w:r>
      <w:r>
        <w:rPr/>
        <w:t>such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the</w:t>
      </w:r>
    </w:p>
    <w:p>
      <w:pPr>
        <w:pStyle w:val="BodyText"/>
        <w:spacing w:line="249" w:lineRule="auto" w:before="5"/>
        <w:ind w:right="212" w:firstLine="0"/>
      </w:pPr>
      <w:r>
        <w:rPr/>
        <w:t>COVID-19</w:t>
      </w:r>
      <w:r>
        <w:rPr>
          <w:spacing w:val="-3"/>
        </w:rPr>
        <w:t> </w:t>
      </w:r>
      <w:r>
        <w:rPr/>
        <w:t>pandemic,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otherwise,</w:t>
      </w:r>
      <w:r>
        <w:rPr>
          <w:spacing w:val="-3"/>
        </w:rPr>
        <w:t> </w:t>
      </w:r>
      <w:r>
        <w:rPr/>
        <w:t>we</w:t>
      </w:r>
      <w:r>
        <w:rPr>
          <w:spacing w:val="-4"/>
        </w:rPr>
        <w:t> </w:t>
      </w:r>
      <w:r>
        <w:rPr/>
        <w:t>may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affected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increased</w:t>
      </w:r>
      <w:r>
        <w:rPr>
          <w:spacing w:val="-3"/>
        </w:rPr>
        <w:t> </w:t>
      </w:r>
      <w:r>
        <w:rPr/>
        <w:t>costs,</w:t>
      </w:r>
      <w:r>
        <w:rPr>
          <w:spacing w:val="-2"/>
        </w:rPr>
        <w:t> </w:t>
      </w:r>
      <w:r>
        <w:rPr/>
        <w:t>program</w:t>
      </w:r>
      <w:r>
        <w:rPr>
          <w:spacing w:val="-4"/>
        </w:rPr>
        <w:t> </w:t>
      </w:r>
      <w:r>
        <w:rPr/>
        <w:t>delays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both,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/>
        <w:t>resulting</w:t>
      </w:r>
      <w:r>
        <w:rPr>
          <w:spacing w:val="-47"/>
        </w:rPr>
        <w:t> </w:t>
      </w:r>
      <w:r>
        <w:rPr/>
        <w:t>data</w:t>
      </w:r>
      <w:r>
        <w:rPr>
          <w:spacing w:val="-3"/>
        </w:rPr>
        <w:t> </w:t>
      </w:r>
      <w:r>
        <w:rPr/>
        <w:t>may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unreliable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unusable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regulatory</w:t>
      </w:r>
      <w:r>
        <w:rPr>
          <w:spacing w:val="-2"/>
        </w:rPr>
        <w:t> </w:t>
      </w:r>
      <w:r>
        <w:rPr/>
        <w:t>purposes,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we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subject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enforcement</w:t>
      </w:r>
      <w:r>
        <w:rPr>
          <w:spacing w:val="-2"/>
        </w:rPr>
        <w:t> </w:t>
      </w:r>
      <w:r>
        <w:rPr/>
        <w:t>action.</w:t>
      </w:r>
    </w:p>
    <w:p>
      <w:pPr>
        <w:pStyle w:val="BodyText"/>
        <w:spacing w:line="249" w:lineRule="auto" w:before="182"/>
        <w:ind w:right="212"/>
      </w:pPr>
      <w:r>
        <w:rPr/>
        <w:t>If these third parties do not successfully carry out their contractual duties or regulatory obligations or meet</w:t>
      </w:r>
      <w:r>
        <w:rPr>
          <w:spacing w:val="1"/>
        </w:rPr>
        <w:t> </w:t>
      </w:r>
      <w:r>
        <w:rPr/>
        <w:t>expected deadlines, if these third parties need to be replaced, or if the quality or accuracy of the data they obtain is</w:t>
      </w:r>
      <w:r>
        <w:rPr>
          <w:spacing w:val="1"/>
        </w:rPr>
        <w:t> </w:t>
      </w:r>
      <w:r>
        <w:rPr/>
        <w:t>compromised due to the failure to adhere to our clinical protocols or regulatory requirements or for other reasons,</w:t>
      </w:r>
      <w:r>
        <w:rPr>
          <w:spacing w:val="1"/>
        </w:rPr>
        <w:t> </w:t>
      </w:r>
      <w:r>
        <w:rPr/>
        <w:t>our</w:t>
      </w:r>
      <w:r>
        <w:rPr>
          <w:spacing w:val="-4"/>
        </w:rPr>
        <w:t> </w:t>
      </w:r>
      <w:r>
        <w:rPr/>
        <w:t>pre-clinical</w:t>
      </w:r>
      <w:r>
        <w:rPr>
          <w:spacing w:val="-4"/>
        </w:rPr>
        <w:t> </w:t>
      </w:r>
      <w:r>
        <w:rPr/>
        <w:t>development</w:t>
      </w:r>
      <w:r>
        <w:rPr>
          <w:spacing w:val="-4"/>
        </w:rPr>
        <w:t> </w:t>
      </w:r>
      <w:r>
        <w:rPr/>
        <w:t>activities</w:t>
      </w:r>
      <w:r>
        <w:rPr>
          <w:spacing w:val="-5"/>
        </w:rPr>
        <w:t> </w:t>
      </w:r>
      <w:r>
        <w:rPr/>
        <w:t>or</w:t>
      </w:r>
      <w:r>
        <w:rPr>
          <w:spacing w:val="-3"/>
        </w:rPr>
        <w:t> </w:t>
      </w:r>
      <w:r>
        <w:rPr/>
        <w:t>clinical</w:t>
      </w:r>
      <w:r>
        <w:rPr>
          <w:spacing w:val="-4"/>
        </w:rPr>
        <w:t> </w:t>
      </w:r>
      <w:r>
        <w:rPr/>
        <w:t>trials</w:t>
      </w:r>
      <w:r>
        <w:rPr>
          <w:spacing w:val="-4"/>
        </w:rPr>
        <w:t> </w:t>
      </w:r>
      <w:r>
        <w:rPr/>
        <w:t>may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extended,</w:t>
      </w:r>
      <w:r>
        <w:rPr>
          <w:spacing w:val="-3"/>
        </w:rPr>
        <w:t> </w:t>
      </w:r>
      <w:r>
        <w:rPr/>
        <w:t>delayed,</w:t>
      </w:r>
      <w:r>
        <w:rPr>
          <w:spacing w:val="-4"/>
        </w:rPr>
        <w:t> </w:t>
      </w:r>
      <w:r>
        <w:rPr/>
        <w:t>suspended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terminated,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we</w:t>
      </w:r>
      <w:r>
        <w:rPr>
          <w:spacing w:val="-47"/>
        </w:rPr>
        <w:t> </w:t>
      </w:r>
      <w:r>
        <w:rPr/>
        <w:t>may not be able to obtain regulatory approval for, or successfully commercialize, our products on a timely basis, if</w:t>
      </w:r>
      <w:r>
        <w:rPr>
          <w:spacing w:val="1"/>
        </w:rPr>
        <w:t> </w:t>
      </w:r>
      <w:r>
        <w:rPr/>
        <w:t>at</w:t>
      </w:r>
      <w:r>
        <w:rPr>
          <w:spacing w:val="-2"/>
        </w:rPr>
        <w:t> </w:t>
      </w:r>
      <w:r>
        <w:rPr/>
        <w:t>all,</w:t>
      </w:r>
      <w:r>
        <w:rPr>
          <w:spacing w:val="-1"/>
        </w:rPr>
        <w:t> </w:t>
      </w:r>
      <w:r>
        <w:rPr/>
        <w:t>and our</w:t>
      </w:r>
      <w:r>
        <w:rPr>
          <w:spacing w:val="-1"/>
        </w:rPr>
        <w:t> </w:t>
      </w:r>
      <w:r>
        <w:rPr/>
        <w:t>business, operating</w:t>
      </w:r>
      <w:r>
        <w:rPr>
          <w:spacing w:val="-1"/>
        </w:rPr>
        <w:t> </w:t>
      </w:r>
      <w:r>
        <w:rPr/>
        <w:t>results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prospects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adversely</w:t>
      </w:r>
      <w:r>
        <w:rPr>
          <w:spacing w:val="-1"/>
        </w:rPr>
        <w:t> </w:t>
      </w:r>
      <w:r>
        <w:rPr/>
        <w:t>affected.</w:t>
      </w:r>
    </w:p>
    <w:p>
      <w:pPr>
        <w:pStyle w:val="Heading3"/>
        <w:spacing w:line="249" w:lineRule="auto" w:before="182"/>
        <w:ind w:right="180"/>
      </w:pPr>
      <w:r>
        <w:rPr>
          <w:i/>
        </w:rPr>
        <w:t>Changes in funding or disruptions at the FDA and other government agencies caused by funding shortages or</w:t>
      </w:r>
      <w:r>
        <w:rPr>
          <w:i/>
          <w:spacing w:val="1"/>
        </w:rPr>
        <w:t> </w:t>
      </w:r>
      <w:r>
        <w:rPr/>
        <w:t>global health concerns could hinder their ability to hire and retain key leadership and other personnel, or</w:t>
      </w:r>
      <w:r>
        <w:rPr>
          <w:spacing w:val="1"/>
        </w:rPr>
        <w:t> </w:t>
      </w:r>
      <w:r>
        <w:rPr/>
        <w:t>otherwise prevent new or modified products from being developed, approved or commercialized in a timely</w:t>
      </w:r>
      <w:r>
        <w:rPr>
          <w:spacing w:val="1"/>
        </w:rPr>
        <w:t> </w:t>
      </w:r>
      <w:r>
        <w:rPr/>
        <w:t>manner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all,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otherwise</w:t>
      </w:r>
      <w:r>
        <w:rPr>
          <w:spacing w:val="-4"/>
        </w:rPr>
        <w:t> </w:t>
      </w:r>
      <w:r>
        <w:rPr/>
        <w:t>prevent</w:t>
      </w:r>
      <w:r>
        <w:rPr>
          <w:spacing w:val="-4"/>
        </w:rPr>
        <w:t> </w:t>
      </w:r>
      <w:r>
        <w:rPr/>
        <w:t>those</w:t>
      </w:r>
      <w:r>
        <w:rPr>
          <w:spacing w:val="-4"/>
        </w:rPr>
        <w:t> </w:t>
      </w:r>
      <w:r>
        <w:rPr/>
        <w:t>agencies</w:t>
      </w:r>
      <w:r>
        <w:rPr>
          <w:spacing w:val="-5"/>
        </w:rPr>
        <w:t> </w:t>
      </w:r>
      <w:r>
        <w:rPr/>
        <w:t>from</w:t>
      </w:r>
      <w:r>
        <w:rPr>
          <w:spacing w:val="-4"/>
        </w:rPr>
        <w:t> </w:t>
      </w:r>
      <w:r>
        <w:rPr/>
        <w:t>performing</w:t>
      </w:r>
      <w:r>
        <w:rPr>
          <w:spacing w:val="-3"/>
        </w:rPr>
        <w:t> </w:t>
      </w:r>
      <w:r>
        <w:rPr/>
        <w:t>normal</w:t>
      </w:r>
      <w:r>
        <w:rPr>
          <w:spacing w:val="-4"/>
        </w:rPr>
        <w:t> </w:t>
      </w:r>
      <w:r>
        <w:rPr/>
        <w:t>business</w:t>
      </w:r>
      <w:r>
        <w:rPr>
          <w:spacing w:val="-4"/>
        </w:rPr>
        <w:t> </w:t>
      </w:r>
      <w:r>
        <w:rPr/>
        <w:t>functions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which</w:t>
      </w:r>
      <w:r>
        <w:rPr>
          <w:spacing w:val="-4"/>
        </w:rPr>
        <w:t> </w:t>
      </w:r>
      <w:r>
        <w:rPr/>
        <w:t>the</w:t>
      </w:r>
      <w:r>
        <w:rPr>
          <w:spacing w:val="1"/>
        </w:rPr>
        <w:t> </w:t>
      </w:r>
      <w:r>
        <w:rPr/>
        <w:t>operation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our</w:t>
      </w:r>
      <w:r>
        <w:rPr>
          <w:spacing w:val="-1"/>
        </w:rPr>
        <w:t> </w:t>
      </w:r>
      <w:r>
        <w:rPr/>
        <w:t>business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rely, which</w:t>
      </w:r>
      <w:r>
        <w:rPr>
          <w:spacing w:val="-2"/>
        </w:rPr>
        <w:t> </w:t>
      </w:r>
      <w:r>
        <w:rPr/>
        <w:t>could</w:t>
      </w:r>
      <w:r>
        <w:rPr>
          <w:spacing w:val="-1"/>
        </w:rPr>
        <w:t> </w:t>
      </w:r>
      <w:r>
        <w:rPr/>
        <w:t>negatively</w:t>
      </w:r>
      <w:r>
        <w:rPr>
          <w:spacing w:val="-1"/>
        </w:rPr>
        <w:t> </w:t>
      </w:r>
      <w:r>
        <w:rPr/>
        <w:t>impact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business.</w:t>
      </w:r>
    </w:p>
    <w:p>
      <w:pPr>
        <w:pStyle w:val="BodyText"/>
        <w:spacing w:line="249" w:lineRule="auto" w:before="187"/>
        <w:ind w:right="180"/>
      </w:pPr>
      <w:r>
        <w:rPr/>
        <w:t>The ability of the FDA to review and approve new products can be affected by a variety of factors, including</w:t>
      </w:r>
      <w:r>
        <w:rPr>
          <w:spacing w:val="1"/>
        </w:rPr>
        <w:t> </w:t>
      </w:r>
      <w:r>
        <w:rPr/>
        <w:t>government</w:t>
      </w:r>
      <w:r>
        <w:rPr>
          <w:spacing w:val="-4"/>
        </w:rPr>
        <w:t> </w:t>
      </w:r>
      <w:r>
        <w:rPr/>
        <w:t>budget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funding</w:t>
      </w:r>
      <w:r>
        <w:rPr>
          <w:spacing w:val="-2"/>
        </w:rPr>
        <w:t> </w:t>
      </w:r>
      <w:r>
        <w:rPr/>
        <w:t>levels,</w:t>
      </w:r>
      <w:r>
        <w:rPr>
          <w:spacing w:val="-2"/>
        </w:rPr>
        <w:t> </w:t>
      </w:r>
      <w:r>
        <w:rPr/>
        <w:t>ability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hire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retain</w:t>
      </w:r>
      <w:r>
        <w:rPr>
          <w:spacing w:val="-2"/>
        </w:rPr>
        <w:t> </w:t>
      </w:r>
      <w:r>
        <w:rPr/>
        <w:t>key</w:t>
      </w:r>
      <w:r>
        <w:rPr>
          <w:spacing w:val="-2"/>
        </w:rPr>
        <w:t> </w:t>
      </w:r>
      <w:r>
        <w:rPr/>
        <w:t>personnel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accept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payment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user</w:t>
      </w:r>
      <w:r>
        <w:rPr>
          <w:spacing w:val="-2"/>
        </w:rPr>
        <w:t> </w:t>
      </w:r>
      <w:r>
        <w:rPr/>
        <w:t>fees,</w:t>
      </w:r>
      <w:r>
        <w:rPr>
          <w:spacing w:val="-47"/>
        </w:rPr>
        <w:t> </w:t>
      </w:r>
      <w:r>
        <w:rPr/>
        <w:t>and statutory, regulatory, and policy changes, and other events that may otherwise affect the FDA’s ability to</w:t>
      </w:r>
      <w:r>
        <w:rPr>
          <w:spacing w:val="1"/>
        </w:rPr>
        <w:t> </w:t>
      </w:r>
      <w:r>
        <w:rPr/>
        <w:t>perform routine functions. Average review times at the agency have fluctuated in recent years as a result. In</w:t>
      </w:r>
      <w:r>
        <w:rPr>
          <w:spacing w:val="1"/>
        </w:rPr>
        <w:t> </w:t>
      </w:r>
      <w:r>
        <w:rPr/>
        <w:t>addition,</w:t>
      </w:r>
      <w:r>
        <w:rPr>
          <w:spacing w:val="-3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funding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</w:t>
      </w:r>
      <w:r>
        <w:rPr/>
        <w:t>government</w:t>
      </w:r>
      <w:r>
        <w:rPr>
          <w:spacing w:val="-4"/>
        </w:rPr>
        <w:t> </w:t>
      </w:r>
      <w:r>
        <w:rPr/>
        <w:t>agencies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operations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rely,</w:t>
      </w:r>
      <w:r>
        <w:rPr>
          <w:spacing w:val="-2"/>
        </w:rPr>
        <w:t> </w:t>
      </w:r>
      <w:r>
        <w:rPr/>
        <w:t>including</w:t>
      </w:r>
      <w:r>
        <w:rPr>
          <w:spacing w:val="-2"/>
        </w:rPr>
        <w:t> </w:t>
      </w:r>
      <w:r>
        <w:rPr/>
        <w:t>those</w:t>
      </w:r>
      <w:r>
        <w:rPr>
          <w:spacing w:val="-4"/>
        </w:rPr>
        <w:t> </w:t>
      </w:r>
      <w:r>
        <w:rPr/>
        <w:t>that</w:t>
      </w:r>
      <w:r>
        <w:rPr>
          <w:spacing w:val="-47"/>
        </w:rPr>
        <w:t> </w:t>
      </w:r>
      <w:r>
        <w:rPr/>
        <w:t>fund research and development activities is subject to the political process, which is inherently fluid and</w:t>
      </w:r>
      <w:r>
        <w:rPr>
          <w:spacing w:val="1"/>
        </w:rPr>
        <w:t> </w:t>
      </w:r>
      <w:r>
        <w:rPr/>
        <w:t>unpredictable.</w:t>
      </w:r>
    </w:p>
    <w:p>
      <w:pPr>
        <w:pStyle w:val="BodyText"/>
        <w:spacing w:line="249" w:lineRule="auto" w:before="186"/>
        <w:ind w:right="212"/>
      </w:pPr>
      <w:r>
        <w:rPr/>
        <w:t>Disruptions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FDA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</w:t>
      </w:r>
      <w:r>
        <w:rPr/>
        <w:t>agencies</w:t>
      </w:r>
      <w:r>
        <w:rPr>
          <w:spacing w:val="-4"/>
        </w:rPr>
        <w:t> </w:t>
      </w:r>
      <w:r>
        <w:rPr/>
        <w:t>may</w:t>
      </w:r>
      <w:r>
        <w:rPr>
          <w:spacing w:val="-2"/>
        </w:rPr>
        <w:t> </w:t>
      </w:r>
      <w:r>
        <w:rPr/>
        <w:t>also</w:t>
      </w:r>
      <w:r>
        <w:rPr>
          <w:spacing w:val="-2"/>
        </w:rPr>
        <w:t> </w:t>
      </w:r>
      <w:r>
        <w:rPr/>
        <w:t>slow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time</w:t>
      </w:r>
      <w:r>
        <w:rPr>
          <w:spacing w:val="-3"/>
        </w:rPr>
        <w:t> </w:t>
      </w:r>
      <w:r>
        <w:rPr/>
        <w:t>necessary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new</w:t>
      </w:r>
      <w:r>
        <w:rPr>
          <w:spacing w:val="-3"/>
        </w:rPr>
        <w:t> </w:t>
      </w:r>
      <w:r>
        <w:rPr/>
        <w:t>product</w:t>
      </w:r>
      <w:r>
        <w:rPr>
          <w:spacing w:val="-4"/>
        </w:rPr>
        <w:t> </w:t>
      </w:r>
      <w:r>
        <w:rPr/>
        <w:t>applications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47"/>
        </w:rPr>
        <w:t> </w:t>
      </w:r>
      <w:r>
        <w:rPr/>
        <w:t>reviewed and/or approved by necessary government agencies, which would adversely affect our business. For</w:t>
      </w:r>
      <w:r>
        <w:rPr>
          <w:spacing w:val="1"/>
        </w:rPr>
        <w:t> </w:t>
      </w:r>
      <w:r>
        <w:rPr/>
        <w:t>example, over the last several years, including for 35 days beginning on December 22, 2018, the U.S. government</w:t>
      </w:r>
      <w:r>
        <w:rPr>
          <w:spacing w:val="1"/>
        </w:rPr>
        <w:t> </w:t>
      </w:r>
      <w:r>
        <w:rPr/>
        <w:t>has shut down several times and certain regulatory agencies, such as the FDA, have had to furlough critical FDA</w:t>
      </w:r>
      <w:r>
        <w:rPr>
          <w:spacing w:val="1"/>
        </w:rPr>
        <w:t> </w:t>
      </w:r>
      <w:r>
        <w:rPr/>
        <w:t>employees</w:t>
      </w:r>
      <w:r>
        <w:rPr>
          <w:spacing w:val="-2"/>
        </w:rPr>
        <w:t> </w:t>
      </w:r>
      <w:r>
        <w:rPr/>
        <w:t>and stop critical</w:t>
      </w:r>
      <w:r>
        <w:rPr>
          <w:spacing w:val="-1"/>
        </w:rPr>
        <w:t> </w:t>
      </w:r>
      <w:r>
        <w:rPr/>
        <w:t>activities.</w:t>
      </w:r>
    </w:p>
    <w:p>
      <w:pPr>
        <w:pStyle w:val="BodyText"/>
        <w:spacing w:line="249" w:lineRule="auto" w:before="184"/>
        <w:ind w:right="165"/>
      </w:pPr>
      <w:r>
        <w:rPr/>
        <w:t>Separately, in response to the COVID-19 pandemic, on March 10, 2020, the FDA announced its intention to</w:t>
      </w:r>
      <w:r>
        <w:rPr>
          <w:spacing w:val="1"/>
        </w:rPr>
        <w:t> </w:t>
      </w:r>
      <w:r>
        <w:rPr/>
        <w:t>postpone inspections of foreign manufacturing facilities and products, and on March 18, 2020, the FDA temporarily</w:t>
      </w:r>
      <w:r>
        <w:rPr>
          <w:spacing w:val="-47"/>
        </w:rPr>
        <w:t> </w:t>
      </w:r>
      <w:r>
        <w:rPr/>
        <w:t>postponed routine surveillance inspections of domestic manufacturing facilities. Subsequently, on July 10, 2020, the</w:t>
      </w:r>
      <w:r>
        <w:rPr>
          <w:spacing w:val="-47"/>
        </w:rPr>
        <w:t> </w:t>
      </w:r>
      <w:r>
        <w:rPr/>
        <w:t>FDA announced its intention to resume certain on-site inspections of domestic manufacturing facilities subject to a</w:t>
      </w:r>
      <w:r>
        <w:rPr>
          <w:spacing w:val="1"/>
        </w:rPr>
        <w:t> </w:t>
      </w:r>
      <w:r>
        <w:rPr/>
        <w:t>risk-based</w:t>
      </w:r>
      <w:r>
        <w:rPr>
          <w:spacing w:val="-4"/>
        </w:rPr>
        <w:t> </w:t>
      </w:r>
      <w:r>
        <w:rPr/>
        <w:t>prioritization</w:t>
      </w:r>
      <w:r>
        <w:rPr>
          <w:spacing w:val="-4"/>
        </w:rPr>
        <w:t> </w:t>
      </w:r>
      <w:r>
        <w:rPr/>
        <w:t>system.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FDA</w:t>
      </w:r>
      <w:r>
        <w:rPr>
          <w:spacing w:val="-4"/>
        </w:rPr>
        <w:t> </w:t>
      </w:r>
      <w:r>
        <w:rPr/>
        <w:t>intends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use</w:t>
      </w:r>
      <w:r>
        <w:rPr>
          <w:spacing w:val="-5"/>
        </w:rPr>
        <w:t> </w:t>
      </w:r>
      <w:r>
        <w:rPr/>
        <w:t>this</w:t>
      </w:r>
      <w:r>
        <w:rPr>
          <w:spacing w:val="-4"/>
        </w:rPr>
        <w:t> </w:t>
      </w:r>
      <w:r>
        <w:rPr/>
        <w:t>risk-based</w:t>
      </w:r>
      <w:r>
        <w:rPr>
          <w:spacing w:val="-4"/>
        </w:rPr>
        <w:t> </w:t>
      </w:r>
      <w:r>
        <w:rPr/>
        <w:t>assessment</w:t>
      </w:r>
      <w:r>
        <w:rPr>
          <w:spacing w:val="-4"/>
        </w:rPr>
        <w:t> </w:t>
      </w:r>
      <w:r>
        <w:rPr/>
        <w:t>system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identify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categories</w:t>
      </w:r>
      <w:r>
        <w:rPr>
          <w:spacing w:val="1"/>
        </w:rPr>
        <w:t> </w:t>
      </w:r>
      <w:r>
        <w:rPr/>
        <w:t>of regulatory activity that can occur within a given geographic area, ranging from mission critical inspections to</w:t>
      </w:r>
      <w:r>
        <w:rPr>
          <w:spacing w:val="1"/>
        </w:rPr>
        <w:t> </w:t>
      </w:r>
      <w:r>
        <w:rPr/>
        <w:t>resumption of all regulatory activities. Other regulatory authorities may adopt similar restrictions or other policy</w:t>
      </w:r>
      <w:r>
        <w:rPr>
          <w:spacing w:val="1"/>
        </w:rPr>
        <w:t> </w:t>
      </w:r>
      <w:r>
        <w:rPr/>
        <w:t>measures in response to the COVID-19 pandemic. If a prolonged government shutdown occurs, or if global health</w:t>
      </w:r>
      <w:r>
        <w:rPr>
          <w:spacing w:val="1"/>
        </w:rPr>
        <w:t> </w:t>
      </w:r>
      <w:r>
        <w:rPr/>
        <w:t>concerns continue to prevent the FDA or other regulatory authorities from conducting business as usual or</w:t>
      </w:r>
      <w:r>
        <w:rPr>
          <w:spacing w:val="1"/>
        </w:rPr>
        <w:t> </w:t>
      </w:r>
      <w:r>
        <w:rPr/>
        <w:t>conducting inspections, reviews or other regulatory activities, it could significantly impact the ability of the FDA to</w:t>
      </w:r>
      <w:r>
        <w:rPr>
          <w:spacing w:val="1"/>
        </w:rPr>
        <w:t> </w:t>
      </w:r>
      <w:r>
        <w:rPr/>
        <w:t>timely</w:t>
      </w:r>
      <w:r>
        <w:rPr>
          <w:spacing w:val="-3"/>
        </w:rPr>
        <w:t> </w:t>
      </w:r>
      <w:r>
        <w:rPr/>
        <w:t>review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process</w:t>
      </w:r>
      <w:r>
        <w:rPr>
          <w:spacing w:val="-4"/>
        </w:rPr>
        <w:t> </w:t>
      </w:r>
      <w:r>
        <w:rPr/>
        <w:t>our</w:t>
      </w:r>
      <w:r>
        <w:rPr>
          <w:spacing w:val="-2"/>
        </w:rPr>
        <w:t> </w:t>
      </w:r>
      <w:r>
        <w:rPr/>
        <w:t>regulatory</w:t>
      </w:r>
      <w:r>
        <w:rPr>
          <w:spacing w:val="-2"/>
        </w:rPr>
        <w:t> </w:t>
      </w:r>
      <w:r>
        <w:rPr/>
        <w:t>submissions,</w:t>
      </w:r>
      <w:r>
        <w:rPr>
          <w:spacing w:val="-3"/>
        </w:rPr>
        <w:t> </w:t>
      </w:r>
      <w:r>
        <w:rPr/>
        <w:t>which</w:t>
      </w:r>
      <w:r>
        <w:rPr>
          <w:spacing w:val="-2"/>
        </w:rPr>
        <w:t> </w:t>
      </w:r>
      <w:r>
        <w:rPr/>
        <w:t>could</w:t>
      </w:r>
      <w:r>
        <w:rPr>
          <w:spacing w:val="-2"/>
        </w:rPr>
        <w:t> </w:t>
      </w:r>
      <w:r>
        <w:rPr/>
        <w:t>have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material</w:t>
      </w:r>
      <w:r>
        <w:rPr>
          <w:spacing w:val="-3"/>
        </w:rPr>
        <w:t> </w:t>
      </w:r>
      <w:r>
        <w:rPr/>
        <w:t>adverse</w:t>
      </w:r>
      <w:r>
        <w:rPr>
          <w:spacing w:val="-4"/>
        </w:rPr>
        <w:t> </w:t>
      </w:r>
      <w:r>
        <w:rPr/>
        <w:t>effect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business.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Heading3"/>
        <w:spacing w:line="249" w:lineRule="auto" w:before="68"/>
      </w:pPr>
      <w:r>
        <w:rPr>
          <w:i/>
        </w:rPr>
        <w:t>Our</w:t>
      </w:r>
      <w:r>
        <w:rPr>
          <w:i/>
          <w:spacing w:val="-5"/>
        </w:rPr>
        <w:t> </w:t>
      </w:r>
      <w:r>
        <w:rPr>
          <w:i/>
        </w:rPr>
        <w:t>employees,</w:t>
      </w:r>
      <w:r>
        <w:rPr>
          <w:i/>
          <w:spacing w:val="-5"/>
        </w:rPr>
        <w:t> </w:t>
      </w:r>
      <w:r>
        <w:rPr>
          <w:i/>
        </w:rPr>
        <w:t>collaborators,</w:t>
      </w:r>
      <w:r>
        <w:rPr>
          <w:i/>
          <w:spacing w:val="-4"/>
        </w:rPr>
        <w:t> </w:t>
      </w:r>
      <w:r>
        <w:rPr>
          <w:i/>
        </w:rPr>
        <w:t>independent</w:t>
      </w:r>
      <w:r>
        <w:rPr>
          <w:i/>
          <w:spacing w:val="-5"/>
        </w:rPr>
        <w:t> </w:t>
      </w:r>
      <w:r>
        <w:rPr>
          <w:i/>
        </w:rPr>
        <w:t>contractors</w:t>
      </w:r>
      <w:r>
        <w:rPr>
          <w:i/>
          <w:spacing w:val="-5"/>
        </w:rPr>
        <w:t> </w:t>
      </w:r>
      <w:r>
        <w:rPr>
          <w:i/>
        </w:rPr>
        <w:t>and</w:t>
      </w:r>
      <w:r>
        <w:rPr>
          <w:i/>
          <w:spacing w:val="-4"/>
        </w:rPr>
        <w:t> </w:t>
      </w:r>
      <w:r>
        <w:rPr>
          <w:i/>
        </w:rPr>
        <w:t>consultants</w:t>
      </w:r>
      <w:r>
        <w:rPr>
          <w:i/>
          <w:spacing w:val="-5"/>
        </w:rPr>
        <w:t> </w:t>
      </w:r>
      <w:r>
        <w:rPr>
          <w:i/>
        </w:rPr>
        <w:t>may</w:t>
      </w:r>
      <w:r>
        <w:rPr>
          <w:i/>
          <w:spacing w:val="-5"/>
        </w:rPr>
        <w:t> </w:t>
      </w:r>
      <w:r>
        <w:rPr>
          <w:i/>
        </w:rPr>
        <w:t>engage</w:t>
      </w:r>
      <w:r>
        <w:rPr>
          <w:i/>
          <w:spacing w:val="-5"/>
        </w:rPr>
        <w:t> </w:t>
      </w:r>
      <w:r>
        <w:rPr>
          <w:i/>
        </w:rPr>
        <w:t>in</w:t>
      </w:r>
      <w:r>
        <w:rPr>
          <w:i/>
          <w:spacing w:val="-5"/>
        </w:rPr>
        <w:t> </w:t>
      </w:r>
      <w:r>
        <w:rPr>
          <w:i/>
        </w:rPr>
        <w:t>misconduct</w:t>
      </w:r>
      <w:r>
        <w:rPr>
          <w:i/>
          <w:spacing w:val="-5"/>
        </w:rPr>
        <w:t> </w:t>
      </w:r>
      <w:r>
        <w:rPr>
          <w:i/>
        </w:rPr>
        <w:t>or</w:t>
      </w:r>
      <w:r>
        <w:rPr>
          <w:i/>
          <w:spacing w:val="-5"/>
        </w:rPr>
        <w:t> </w:t>
      </w:r>
      <w:r>
        <w:rPr>
          <w:i/>
        </w:rPr>
        <w:t>other</w:t>
      </w:r>
      <w:r>
        <w:rPr>
          <w:i/>
          <w:spacing w:val="1"/>
        </w:rPr>
        <w:t> </w:t>
      </w:r>
      <w:r>
        <w:rPr/>
        <w:t>improper</w:t>
      </w:r>
      <w:r>
        <w:rPr>
          <w:spacing w:val="-3"/>
        </w:rPr>
        <w:t> </w:t>
      </w:r>
      <w:r>
        <w:rPr/>
        <w:t>activities,</w:t>
      </w:r>
      <w:r>
        <w:rPr>
          <w:spacing w:val="-1"/>
        </w:rPr>
        <w:t> </w:t>
      </w:r>
      <w:r>
        <w:rPr/>
        <w:t>including</w:t>
      </w:r>
      <w:r>
        <w:rPr>
          <w:spacing w:val="-2"/>
        </w:rPr>
        <w:t> </w:t>
      </w:r>
      <w:r>
        <w:rPr/>
        <w:t>noncompliance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regulatory</w:t>
      </w:r>
      <w:r>
        <w:rPr>
          <w:spacing w:val="-2"/>
        </w:rPr>
        <w:t> </w:t>
      </w:r>
      <w:r>
        <w:rPr/>
        <w:t>standards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requirements.</w:t>
      </w:r>
    </w:p>
    <w:p>
      <w:pPr>
        <w:pStyle w:val="BodyText"/>
        <w:spacing w:line="249" w:lineRule="auto" w:before="185"/>
        <w:ind w:right="148"/>
      </w:pPr>
      <w:r>
        <w:rPr/>
        <w:t>We are exposed to the risk that our employees, collaborators, independent contractors and consultants may</w:t>
      </w:r>
      <w:r>
        <w:rPr>
          <w:spacing w:val="1"/>
        </w:rPr>
        <w:t> </w:t>
      </w:r>
      <w:r>
        <w:rPr/>
        <w:t>engage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fraudulent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illegal</w:t>
      </w:r>
      <w:r>
        <w:rPr>
          <w:spacing w:val="-3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respect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business.</w:t>
      </w:r>
      <w:r>
        <w:rPr>
          <w:spacing w:val="-3"/>
        </w:rPr>
        <w:t> </w:t>
      </w:r>
      <w:r>
        <w:rPr/>
        <w:t>Misconduct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these</w:t>
      </w:r>
      <w:r>
        <w:rPr>
          <w:spacing w:val="-4"/>
        </w:rPr>
        <w:t> </w:t>
      </w:r>
      <w:r>
        <w:rPr/>
        <w:t>persons</w:t>
      </w:r>
      <w:r>
        <w:rPr>
          <w:spacing w:val="-3"/>
        </w:rPr>
        <w:t> </w:t>
      </w:r>
      <w:r>
        <w:rPr/>
        <w:t>could</w:t>
      </w:r>
      <w:r>
        <w:rPr>
          <w:spacing w:val="-3"/>
        </w:rPr>
        <w:t> </w:t>
      </w:r>
      <w:r>
        <w:rPr/>
        <w:t>include</w:t>
      </w:r>
      <w:r>
        <w:rPr>
          <w:spacing w:val="-47"/>
        </w:rPr>
        <w:t> </w:t>
      </w:r>
      <w:r>
        <w:rPr/>
        <w:t>intentional,</w:t>
      </w:r>
      <w:r>
        <w:rPr>
          <w:spacing w:val="-1"/>
        </w:rPr>
        <w:t> </w:t>
      </w:r>
      <w:r>
        <w:rPr/>
        <w:t>reckless</w:t>
      </w:r>
      <w:r>
        <w:rPr>
          <w:spacing w:val="-2"/>
        </w:rPr>
        <w:t> </w:t>
      </w:r>
      <w:r>
        <w:rPr/>
        <w:t>and/or negligent</w:t>
      </w:r>
      <w:r>
        <w:rPr>
          <w:spacing w:val="-2"/>
        </w:rPr>
        <w:t> </w:t>
      </w:r>
      <w:r>
        <w:rPr/>
        <w:t>conduct</w:t>
      </w:r>
      <w:r>
        <w:rPr>
          <w:spacing w:val="-2"/>
        </w:rPr>
        <w:t> </w:t>
      </w:r>
      <w:r>
        <w:rPr/>
        <w:t>or unauthorized</w:t>
      </w:r>
      <w:r>
        <w:rPr>
          <w:spacing w:val="-1"/>
        </w:rPr>
        <w:t> </w:t>
      </w:r>
      <w:r>
        <w:rPr/>
        <w:t>activity that</w:t>
      </w:r>
      <w:r>
        <w:rPr>
          <w:spacing w:val="-2"/>
        </w:rPr>
        <w:t> </w:t>
      </w:r>
      <w:r>
        <w:rPr/>
        <w:t>violates: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9" w:lineRule="auto" w:before="183" w:after="0"/>
        <w:ind w:left="820" w:right="206" w:hanging="360"/>
        <w:jc w:val="left"/>
        <w:rPr>
          <w:sz w:val="20"/>
        </w:rPr>
      </w:pPr>
      <w:r>
        <w:rPr>
          <w:sz w:val="20"/>
        </w:rPr>
        <w:t>FDA</w:t>
      </w:r>
      <w:r>
        <w:rPr>
          <w:spacing w:val="-5"/>
          <w:sz w:val="20"/>
        </w:rPr>
        <w:t> </w:t>
      </w:r>
      <w:r>
        <w:rPr>
          <w:sz w:val="20"/>
        </w:rPr>
        <w:t>requirements,</w:t>
      </w:r>
      <w:r>
        <w:rPr>
          <w:spacing w:val="-3"/>
          <w:sz w:val="20"/>
        </w:rPr>
        <w:t> </w:t>
      </w:r>
      <w:r>
        <w:rPr>
          <w:sz w:val="20"/>
        </w:rPr>
        <w:t>including</w:t>
      </w:r>
      <w:r>
        <w:rPr>
          <w:spacing w:val="-3"/>
          <w:sz w:val="20"/>
        </w:rPr>
        <w:t> </w:t>
      </w:r>
      <w:r>
        <w:rPr>
          <w:sz w:val="20"/>
        </w:rPr>
        <w:t>those</w:t>
      </w:r>
      <w:r>
        <w:rPr>
          <w:spacing w:val="-4"/>
          <w:sz w:val="20"/>
        </w:rPr>
        <w:t> </w:t>
      </w:r>
      <w:r>
        <w:rPr>
          <w:sz w:val="20"/>
        </w:rPr>
        <w:t>laws</w:t>
      </w:r>
      <w:r>
        <w:rPr>
          <w:spacing w:val="-4"/>
          <w:sz w:val="20"/>
        </w:rPr>
        <w:t> </w:t>
      </w:r>
      <w:r>
        <w:rPr>
          <w:sz w:val="20"/>
        </w:rPr>
        <w:t>requiring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reporting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true,</w:t>
      </w:r>
      <w:r>
        <w:rPr>
          <w:spacing w:val="-3"/>
          <w:sz w:val="20"/>
        </w:rPr>
        <w:t> </w:t>
      </w:r>
      <w:r>
        <w:rPr>
          <w:sz w:val="20"/>
        </w:rPr>
        <w:t>complete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accurate</w:t>
      </w:r>
      <w:r>
        <w:rPr>
          <w:spacing w:val="-4"/>
          <w:sz w:val="20"/>
        </w:rPr>
        <w:t> </w:t>
      </w:r>
      <w:r>
        <w:rPr>
          <w:sz w:val="20"/>
        </w:rPr>
        <w:t>information</w:t>
      </w:r>
      <w:r>
        <w:rPr>
          <w:spacing w:val="-47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FDA</w:t>
      </w:r>
      <w:r>
        <w:rPr>
          <w:spacing w:val="-1"/>
          <w:sz w:val="20"/>
        </w:rPr>
        <w:t> </w:t>
      </w:r>
      <w:r>
        <w:rPr>
          <w:sz w:val="20"/>
        </w:rPr>
        <w:t>authorities;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0" w:lineRule="auto" w:before="181" w:after="0"/>
        <w:ind w:left="820" w:right="0" w:hanging="360"/>
        <w:jc w:val="left"/>
        <w:rPr>
          <w:sz w:val="20"/>
        </w:rPr>
      </w:pPr>
      <w:r>
        <w:rPr>
          <w:sz w:val="20"/>
        </w:rPr>
        <w:t>manufacturing</w:t>
      </w:r>
      <w:r>
        <w:rPr>
          <w:spacing w:val="-11"/>
          <w:sz w:val="20"/>
        </w:rPr>
        <w:t> </w:t>
      </w:r>
      <w:r>
        <w:rPr>
          <w:sz w:val="20"/>
        </w:rPr>
        <w:t>standards;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federal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state</w:t>
      </w:r>
      <w:r>
        <w:rPr>
          <w:spacing w:val="-4"/>
          <w:sz w:val="20"/>
        </w:rPr>
        <w:t> </w:t>
      </w:r>
      <w:r>
        <w:rPr>
          <w:sz w:val="20"/>
        </w:rPr>
        <w:t>healthcare</w:t>
      </w:r>
      <w:r>
        <w:rPr>
          <w:spacing w:val="-3"/>
          <w:sz w:val="20"/>
        </w:rPr>
        <w:t> </w:t>
      </w:r>
      <w:r>
        <w:rPr>
          <w:sz w:val="20"/>
        </w:rPr>
        <w:t>fraud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abuse</w:t>
      </w:r>
      <w:r>
        <w:rPr>
          <w:spacing w:val="-4"/>
          <w:sz w:val="20"/>
        </w:rPr>
        <w:t> </w:t>
      </w:r>
      <w:r>
        <w:rPr>
          <w:sz w:val="20"/>
        </w:rPr>
        <w:t>laws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regulations;</w:t>
      </w:r>
      <w:r>
        <w:rPr>
          <w:spacing w:val="-3"/>
          <w:sz w:val="20"/>
        </w:rPr>
        <w:t> </w:t>
      </w:r>
      <w:r>
        <w:rPr>
          <w:sz w:val="20"/>
        </w:rPr>
        <w:t>or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laws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require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true,</w:t>
      </w:r>
      <w:r>
        <w:rPr>
          <w:spacing w:val="-2"/>
          <w:sz w:val="20"/>
        </w:rPr>
        <w:t> </w:t>
      </w:r>
      <w:r>
        <w:rPr>
          <w:sz w:val="20"/>
        </w:rPr>
        <w:t>complete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accurate</w:t>
      </w:r>
      <w:r>
        <w:rPr>
          <w:spacing w:val="-4"/>
          <w:sz w:val="20"/>
        </w:rPr>
        <w:t> </w:t>
      </w:r>
      <w:r>
        <w:rPr>
          <w:sz w:val="20"/>
        </w:rPr>
        <w:t>reporting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financial</w:t>
      </w:r>
      <w:r>
        <w:rPr>
          <w:spacing w:val="-4"/>
          <w:sz w:val="20"/>
        </w:rPr>
        <w:t> </w:t>
      </w:r>
      <w:r>
        <w:rPr>
          <w:sz w:val="20"/>
        </w:rPr>
        <w:t>information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data.</w:t>
      </w:r>
    </w:p>
    <w:p>
      <w:pPr>
        <w:pStyle w:val="BodyText"/>
        <w:spacing w:line="249" w:lineRule="auto"/>
        <w:ind w:right="127"/>
      </w:pPr>
      <w:r>
        <w:rPr/>
        <w:t>In</w:t>
      </w:r>
      <w:r>
        <w:rPr>
          <w:spacing w:val="-4"/>
        </w:rPr>
        <w:t> </w:t>
      </w:r>
      <w:r>
        <w:rPr/>
        <w:t>particular,</w:t>
      </w:r>
      <w:r>
        <w:rPr>
          <w:spacing w:val="-3"/>
        </w:rPr>
        <w:t> </w:t>
      </w:r>
      <w:r>
        <w:rPr/>
        <w:t>sales,</w:t>
      </w:r>
      <w:r>
        <w:rPr>
          <w:spacing w:val="-3"/>
        </w:rPr>
        <w:t> </w:t>
      </w:r>
      <w:r>
        <w:rPr/>
        <w:t>marketing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business</w:t>
      </w:r>
      <w:r>
        <w:rPr>
          <w:spacing w:val="-4"/>
        </w:rPr>
        <w:t> </w:t>
      </w:r>
      <w:r>
        <w:rPr/>
        <w:t>arrangements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healthcare</w:t>
      </w:r>
      <w:r>
        <w:rPr>
          <w:spacing w:val="-5"/>
        </w:rPr>
        <w:t> </w:t>
      </w:r>
      <w:r>
        <w:rPr/>
        <w:t>industry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subject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extensive</w:t>
      </w:r>
      <w:r>
        <w:rPr>
          <w:spacing w:val="-5"/>
        </w:rPr>
        <w:t> </w:t>
      </w:r>
      <w:r>
        <w:rPr/>
        <w:t>laws</w:t>
      </w:r>
      <w:r>
        <w:rPr>
          <w:spacing w:val="1"/>
        </w:rPr>
        <w:t> </w:t>
      </w:r>
      <w:r>
        <w:rPr/>
        <w:t>and regulations intended to prevent fraud, kickbacks, self-dealing and other abusive practices. These laws and</w:t>
      </w:r>
      <w:r>
        <w:rPr>
          <w:spacing w:val="1"/>
        </w:rPr>
        <w:t> </w:t>
      </w:r>
      <w:r>
        <w:rPr/>
        <w:t>regulations may restrict or prohibit a wide range of pricing, discounting, marketing and promotion, sales</w:t>
      </w:r>
      <w:r>
        <w:rPr>
          <w:spacing w:val="1"/>
        </w:rPr>
        <w:t> </w:t>
      </w:r>
      <w:r>
        <w:rPr/>
        <w:t>commission, customer incentive programs and other business arrangements. Misconduct by these parties could also</w:t>
      </w:r>
      <w:r>
        <w:rPr>
          <w:spacing w:val="1"/>
        </w:rPr>
        <w:t> </w:t>
      </w:r>
      <w:r>
        <w:rPr/>
        <w:t>involve</w:t>
      </w:r>
      <w:r>
        <w:rPr>
          <w:spacing w:val="-5"/>
        </w:rPr>
        <w:t> </w:t>
      </w:r>
      <w:r>
        <w:rPr/>
        <w:t>individually</w:t>
      </w:r>
      <w:r>
        <w:rPr>
          <w:spacing w:val="-4"/>
        </w:rPr>
        <w:t> </w:t>
      </w:r>
      <w:r>
        <w:rPr/>
        <w:t>identifiable</w:t>
      </w:r>
      <w:r>
        <w:rPr>
          <w:spacing w:val="-5"/>
        </w:rPr>
        <w:t> </w:t>
      </w:r>
      <w:r>
        <w:rPr/>
        <w:t>information,</w:t>
      </w:r>
      <w:r>
        <w:rPr>
          <w:spacing w:val="-4"/>
        </w:rPr>
        <w:t> </w:t>
      </w:r>
      <w:r>
        <w:rPr/>
        <w:t>including,</w:t>
      </w:r>
      <w:r>
        <w:rPr>
          <w:spacing w:val="-3"/>
        </w:rPr>
        <w:t> </w:t>
      </w:r>
      <w:r>
        <w:rPr/>
        <w:t>without</w:t>
      </w:r>
      <w:r>
        <w:rPr>
          <w:spacing w:val="-5"/>
        </w:rPr>
        <w:t> </w:t>
      </w:r>
      <w:r>
        <w:rPr/>
        <w:t>limitation,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improper</w:t>
      </w:r>
      <w:r>
        <w:rPr>
          <w:spacing w:val="-3"/>
        </w:rPr>
        <w:t> </w:t>
      </w:r>
      <w:r>
        <w:rPr/>
        <w:t>use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obtained</w:t>
      </w:r>
      <w:r>
        <w:rPr>
          <w:spacing w:val="-47"/>
        </w:rPr>
        <w:t> </w:t>
      </w:r>
      <w:r>
        <w:rPr/>
        <w:t>in the course of clinical trials, which could result in regulatory sanctions and serious harm to our reputation. Any</w:t>
      </w:r>
      <w:r>
        <w:rPr>
          <w:spacing w:val="1"/>
        </w:rPr>
        <w:t> </w:t>
      </w:r>
      <w:r>
        <w:rPr/>
        <w:t>incidents or any other conduct that leads to an employee, contractor, or other agent, or our company, receiving an</w:t>
      </w:r>
      <w:r>
        <w:rPr>
          <w:spacing w:val="1"/>
        </w:rPr>
        <w:t> </w:t>
      </w:r>
      <w:r>
        <w:rPr/>
        <w:t>FDA debarment or exclusion by OIG could result in penalties, a loss of business from third parties, and severe</w:t>
      </w:r>
      <w:r>
        <w:rPr>
          <w:spacing w:val="1"/>
        </w:rPr>
        <w:t> </w:t>
      </w:r>
      <w:r>
        <w:rPr/>
        <w:t>reputational</w:t>
      </w:r>
      <w:r>
        <w:rPr>
          <w:spacing w:val="-2"/>
        </w:rPr>
        <w:t> </w:t>
      </w:r>
      <w:r>
        <w:rPr/>
        <w:t>harm.</w:t>
      </w:r>
    </w:p>
    <w:p>
      <w:pPr>
        <w:pStyle w:val="BodyText"/>
        <w:spacing w:line="249" w:lineRule="auto" w:before="188"/>
        <w:ind w:right="140"/>
      </w:pPr>
      <w:r>
        <w:rPr/>
        <w:t>It is not always possible to identify and deter misconduct by our employees and other agents, and the</w:t>
      </w:r>
      <w:r>
        <w:rPr>
          <w:spacing w:val="1"/>
        </w:rPr>
        <w:t> </w:t>
      </w:r>
      <w:r>
        <w:rPr/>
        <w:t>precautions we take to detect and prevent this activity may not be effective in controlling unknown or unmanaged</w:t>
      </w:r>
      <w:r>
        <w:rPr>
          <w:spacing w:val="1"/>
        </w:rPr>
        <w:t> </w:t>
      </w:r>
      <w:r>
        <w:rPr/>
        <w:t>risks or losses or in protecting us from governmental investigations or other actions or lawsuits stemming from a</w:t>
      </w:r>
      <w:r>
        <w:rPr>
          <w:spacing w:val="1"/>
        </w:rPr>
        <w:t> </w:t>
      </w:r>
      <w:r>
        <w:rPr/>
        <w:t>failure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compliance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such</w:t>
      </w:r>
      <w:r>
        <w:rPr>
          <w:spacing w:val="-2"/>
        </w:rPr>
        <w:t> </w:t>
      </w:r>
      <w:r>
        <w:rPr/>
        <w:t>laws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regulations.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any</w:t>
      </w:r>
      <w:r>
        <w:rPr>
          <w:spacing w:val="-3"/>
        </w:rPr>
        <w:t> </w:t>
      </w:r>
      <w:r>
        <w:rPr/>
        <w:t>such</w:t>
      </w:r>
      <w:r>
        <w:rPr>
          <w:spacing w:val="-2"/>
        </w:rPr>
        <w:t> </w:t>
      </w:r>
      <w:r>
        <w:rPr/>
        <w:t>actions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instituted</w:t>
      </w:r>
      <w:r>
        <w:rPr>
          <w:spacing w:val="-2"/>
        </w:rPr>
        <w:t> </w:t>
      </w:r>
      <w:r>
        <w:rPr/>
        <w:t>against</w:t>
      </w:r>
      <w:r>
        <w:rPr>
          <w:spacing w:val="-4"/>
        </w:rPr>
        <w:t> </w:t>
      </w:r>
      <w:r>
        <w:rPr/>
        <w:t>us,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we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not</w:t>
      </w:r>
      <w:r>
        <w:rPr>
          <w:spacing w:val="-47"/>
        </w:rPr>
        <w:t> </w:t>
      </w:r>
      <w:r>
        <w:rPr/>
        <w:t>successful in defending ourselves or asserting our rights, those actions could have a significant impact on our</w:t>
      </w:r>
      <w:r>
        <w:rPr>
          <w:spacing w:val="1"/>
        </w:rPr>
        <w:t> </w:t>
      </w:r>
      <w:r>
        <w:rPr/>
        <w:t>business, including the imposition of civil, criminal and administrative penalties, treble damages, monetary fines,</w:t>
      </w:r>
      <w:r>
        <w:rPr>
          <w:spacing w:val="1"/>
        </w:rPr>
        <w:t> </w:t>
      </w:r>
      <w:r>
        <w:rPr/>
        <w:t>disgorgement, imprisonment, possible exclusion from participation in Medicare, Medicaid and other federal</w:t>
      </w:r>
      <w:r>
        <w:rPr>
          <w:spacing w:val="1"/>
        </w:rPr>
        <w:t> </w:t>
      </w:r>
      <w:r>
        <w:rPr/>
        <w:t>healthcare programs, contractual damages, reputational harm, diminished profits and future earnings, additional</w:t>
      </w:r>
      <w:r>
        <w:rPr>
          <w:spacing w:val="1"/>
        </w:rPr>
        <w:t> </w:t>
      </w:r>
      <w:r>
        <w:rPr/>
        <w:t>reporting</w:t>
      </w:r>
      <w:r>
        <w:rPr>
          <w:spacing w:val="1"/>
        </w:rPr>
        <w:t> </w:t>
      </w:r>
      <w:r>
        <w:rPr/>
        <w:t>requirements</w:t>
      </w:r>
      <w:r>
        <w:rPr>
          <w:spacing w:val="1"/>
        </w:rPr>
        <w:t> </w:t>
      </w:r>
      <w:r>
        <w:rPr/>
        <w:t>and</w:t>
      </w:r>
      <w:r>
        <w:rPr>
          <w:spacing w:val="2"/>
        </w:rPr>
        <w:t> </w:t>
      </w:r>
      <w:r>
        <w:rPr/>
        <w:t>oversight if</w:t>
      </w:r>
      <w:r>
        <w:rPr>
          <w:spacing w:val="2"/>
        </w:rPr>
        <w:t> </w:t>
      </w:r>
      <w:r>
        <w:rPr/>
        <w:t>we</w:t>
      </w:r>
      <w:r>
        <w:rPr>
          <w:spacing w:val="1"/>
        </w:rPr>
        <w:t> </w:t>
      </w:r>
      <w:r>
        <w:rPr/>
        <w:t>become</w:t>
      </w:r>
      <w:r>
        <w:rPr>
          <w:spacing w:val="1"/>
        </w:rPr>
        <w:t> </w:t>
      </w:r>
      <w:r>
        <w:rPr/>
        <w:t>subject to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corporate integrity</w:t>
      </w:r>
      <w:r>
        <w:rPr>
          <w:spacing w:val="2"/>
        </w:rPr>
        <w:t> </w:t>
      </w:r>
      <w:r>
        <w:rPr/>
        <w:t>agreement</w:t>
      </w:r>
      <w:r>
        <w:rPr>
          <w:spacing w:val="1"/>
        </w:rPr>
        <w:t> </w:t>
      </w:r>
      <w:r>
        <w:rPr/>
        <w:t>or</w:t>
      </w:r>
      <w:r>
        <w:rPr>
          <w:spacing w:val="2"/>
        </w:rPr>
        <w:t> </w:t>
      </w:r>
      <w:r>
        <w:rPr/>
        <w:t>similar</w:t>
      </w:r>
      <w:r>
        <w:rPr>
          <w:spacing w:val="1"/>
        </w:rPr>
        <w:t> </w:t>
      </w:r>
      <w:r>
        <w:rPr/>
        <w:t>agreement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resolve</w:t>
      </w:r>
      <w:r>
        <w:rPr>
          <w:spacing w:val="-2"/>
        </w:rPr>
        <w:t> </w:t>
      </w:r>
      <w:r>
        <w:rPr/>
        <w:t>allegations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non-compliance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these</w:t>
      </w:r>
      <w:r>
        <w:rPr>
          <w:spacing w:val="-2"/>
        </w:rPr>
        <w:t> </w:t>
      </w:r>
      <w:r>
        <w:rPr/>
        <w:t>laws,</w:t>
      </w:r>
      <w:r>
        <w:rPr>
          <w:spacing w:val="-1"/>
        </w:rPr>
        <w:t> </w:t>
      </w:r>
      <w:r>
        <w:rPr/>
        <w:t>and curtailment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our</w:t>
      </w:r>
      <w:r>
        <w:rPr>
          <w:spacing w:val="-1"/>
        </w:rPr>
        <w:t> </w:t>
      </w:r>
      <w:r>
        <w:rPr/>
        <w:t>operations.</w:t>
      </w:r>
    </w:p>
    <w:p>
      <w:pPr>
        <w:pStyle w:val="Heading3"/>
        <w:spacing w:before="185"/>
        <w:rPr>
          <w:i/>
        </w:rPr>
      </w:pPr>
      <w:r>
        <w:rPr>
          <w:i/>
        </w:rPr>
        <w:t>We</w:t>
      </w:r>
      <w:r>
        <w:rPr>
          <w:i/>
          <w:spacing w:val="-5"/>
        </w:rPr>
        <w:t> </w:t>
      </w:r>
      <w:r>
        <w:rPr>
          <w:i/>
        </w:rPr>
        <w:t>must</w:t>
      </w:r>
      <w:r>
        <w:rPr>
          <w:i/>
          <w:spacing w:val="-5"/>
        </w:rPr>
        <w:t> </w:t>
      </w:r>
      <w:r>
        <w:rPr>
          <w:i/>
        </w:rPr>
        <w:t>comply</w:t>
      </w:r>
      <w:r>
        <w:rPr>
          <w:i/>
          <w:spacing w:val="-4"/>
        </w:rPr>
        <w:t> </w:t>
      </w:r>
      <w:r>
        <w:rPr>
          <w:i/>
        </w:rPr>
        <w:t>with</w:t>
      </w:r>
      <w:r>
        <w:rPr>
          <w:i/>
          <w:spacing w:val="-5"/>
        </w:rPr>
        <w:t> </w:t>
      </w:r>
      <w:r>
        <w:rPr>
          <w:i/>
        </w:rPr>
        <w:t>environmental</w:t>
      </w:r>
      <w:r>
        <w:rPr>
          <w:i/>
          <w:spacing w:val="-4"/>
        </w:rPr>
        <w:t> </w:t>
      </w:r>
      <w:r>
        <w:rPr>
          <w:i/>
        </w:rPr>
        <w:t>and</w:t>
      </w:r>
      <w:r>
        <w:rPr>
          <w:i/>
          <w:spacing w:val="-4"/>
        </w:rPr>
        <w:t> </w:t>
      </w:r>
      <w:r>
        <w:rPr>
          <w:i/>
        </w:rPr>
        <w:t>occupational</w:t>
      </w:r>
      <w:r>
        <w:rPr>
          <w:i/>
          <w:spacing w:val="-4"/>
        </w:rPr>
        <w:t> </w:t>
      </w:r>
      <w:r>
        <w:rPr>
          <w:i/>
        </w:rPr>
        <w:t>safety</w:t>
      </w:r>
      <w:r>
        <w:rPr>
          <w:i/>
          <w:spacing w:val="-5"/>
        </w:rPr>
        <w:t> </w:t>
      </w:r>
      <w:r>
        <w:rPr>
          <w:i/>
        </w:rPr>
        <w:t>laws.</w:t>
      </w:r>
    </w:p>
    <w:p>
      <w:pPr>
        <w:pStyle w:val="BodyText"/>
        <w:spacing w:line="249" w:lineRule="auto" w:before="193"/>
        <w:ind w:right="148"/>
      </w:pPr>
      <w:r>
        <w:rPr/>
        <w:t>Our research and development programs as well as our manufacturing operations involve the controlled use of</w:t>
      </w:r>
      <w:r>
        <w:rPr>
          <w:spacing w:val="1"/>
        </w:rPr>
        <w:t> </w:t>
      </w:r>
      <w:r>
        <w:rPr/>
        <w:t>hazardous materials. Accordingly, we are subject to federal, state and local laws, as well as the laws of foreign</w:t>
      </w:r>
      <w:r>
        <w:rPr>
          <w:spacing w:val="1"/>
        </w:rPr>
        <w:t> </w:t>
      </w:r>
      <w:r>
        <w:rPr/>
        <w:t>countries, governing the use, handling and disposal of these materials. In the event of an accident or failure to</w:t>
      </w:r>
      <w:r>
        <w:rPr>
          <w:spacing w:val="1"/>
        </w:rPr>
        <w:t> </w:t>
      </w:r>
      <w:r>
        <w:rPr/>
        <w:t>comply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environmental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occupational</w:t>
      </w:r>
      <w:r>
        <w:rPr>
          <w:spacing w:val="-4"/>
        </w:rPr>
        <w:t> </w:t>
      </w:r>
      <w:r>
        <w:rPr/>
        <w:t>safety</w:t>
      </w:r>
      <w:r>
        <w:rPr>
          <w:spacing w:val="-3"/>
        </w:rPr>
        <w:t> </w:t>
      </w:r>
      <w:r>
        <w:rPr/>
        <w:t>laws,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could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held</w:t>
      </w:r>
      <w:r>
        <w:rPr>
          <w:spacing w:val="-2"/>
        </w:rPr>
        <w:t> </w:t>
      </w:r>
      <w:r>
        <w:rPr/>
        <w:t>liable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resulting</w:t>
      </w:r>
      <w:r>
        <w:rPr>
          <w:spacing w:val="-3"/>
        </w:rPr>
        <w:t> </w:t>
      </w:r>
      <w:r>
        <w:rPr/>
        <w:t>damages,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such</w:t>
      </w:r>
      <w:r>
        <w:rPr>
          <w:spacing w:val="-47"/>
        </w:rPr>
        <w:t> </w:t>
      </w:r>
      <w:r>
        <w:rPr/>
        <w:t>liability</w:t>
      </w:r>
      <w:r>
        <w:rPr>
          <w:spacing w:val="-1"/>
        </w:rPr>
        <w:t> </w:t>
      </w:r>
      <w:r>
        <w:rPr/>
        <w:t>could exceed our insurance</w:t>
      </w:r>
      <w:r>
        <w:rPr>
          <w:spacing w:val="-1"/>
        </w:rPr>
        <w:t> </w:t>
      </w:r>
      <w:r>
        <w:rPr/>
        <w:t>coverage.</w:t>
      </w:r>
    </w:p>
    <w:p>
      <w:pPr>
        <w:pStyle w:val="Heading2"/>
        <w:spacing w:before="181"/>
      </w:pPr>
      <w:r>
        <w:rPr/>
        <w:t>Risks</w:t>
      </w:r>
      <w:r>
        <w:rPr>
          <w:spacing w:val="-5"/>
        </w:rPr>
        <w:t> </w:t>
      </w:r>
      <w:r>
        <w:rPr/>
        <w:t>Related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Our</w:t>
      </w:r>
      <w:r>
        <w:rPr>
          <w:spacing w:val="-5"/>
        </w:rPr>
        <w:t> </w:t>
      </w:r>
      <w:r>
        <w:rPr/>
        <w:t>Intellectual</w:t>
      </w:r>
      <w:r>
        <w:rPr>
          <w:spacing w:val="-5"/>
        </w:rPr>
        <w:t> </w:t>
      </w:r>
      <w:r>
        <w:rPr/>
        <w:t>Property</w:t>
      </w:r>
    </w:p>
    <w:p>
      <w:pPr>
        <w:pStyle w:val="Heading3"/>
        <w:spacing w:line="249" w:lineRule="auto" w:before="190"/>
        <w:ind w:right="180"/>
      </w:pPr>
      <w:r>
        <w:rPr>
          <w:i/>
        </w:rPr>
        <w:t>We</w:t>
      </w:r>
      <w:r>
        <w:rPr>
          <w:i/>
          <w:spacing w:val="-4"/>
        </w:rPr>
        <w:t> </w:t>
      </w:r>
      <w:r>
        <w:rPr>
          <w:i/>
        </w:rPr>
        <w:t>have</w:t>
      </w:r>
      <w:r>
        <w:rPr>
          <w:i/>
          <w:spacing w:val="-4"/>
        </w:rPr>
        <w:t> </w:t>
      </w:r>
      <w:r>
        <w:rPr>
          <w:i/>
        </w:rPr>
        <w:t>to</w:t>
      </w:r>
      <w:r>
        <w:rPr>
          <w:i/>
          <w:spacing w:val="-2"/>
        </w:rPr>
        <w:t> </w:t>
      </w:r>
      <w:r>
        <w:rPr>
          <w:i/>
        </w:rPr>
        <w:t>obtain,</w:t>
      </w:r>
      <w:r>
        <w:rPr>
          <w:i/>
          <w:spacing w:val="-3"/>
        </w:rPr>
        <w:t> </w:t>
      </w:r>
      <w:r>
        <w:rPr>
          <w:i/>
        </w:rPr>
        <w:t>maintain</w:t>
      </w:r>
      <w:r>
        <w:rPr>
          <w:i/>
          <w:spacing w:val="-4"/>
        </w:rPr>
        <w:t> </w:t>
      </w:r>
      <w:r>
        <w:rPr>
          <w:i/>
        </w:rPr>
        <w:t>and</w:t>
      </w:r>
      <w:r>
        <w:rPr>
          <w:i/>
          <w:spacing w:val="-2"/>
        </w:rPr>
        <w:t> </w:t>
      </w:r>
      <w:r>
        <w:rPr>
          <w:i/>
        </w:rPr>
        <w:t>protect</w:t>
      </w:r>
      <w:r>
        <w:rPr>
          <w:i/>
          <w:spacing w:val="-4"/>
        </w:rPr>
        <w:t> </w:t>
      </w:r>
      <w:r>
        <w:rPr>
          <w:i/>
        </w:rPr>
        <w:t>our</w:t>
      </w:r>
      <w:r>
        <w:rPr>
          <w:i/>
          <w:spacing w:val="-3"/>
        </w:rPr>
        <w:t> </w:t>
      </w:r>
      <w:r>
        <w:rPr>
          <w:i/>
        </w:rPr>
        <w:t>intellectual</w:t>
      </w:r>
      <w:r>
        <w:rPr>
          <w:i/>
          <w:spacing w:val="-4"/>
        </w:rPr>
        <w:t> </w:t>
      </w:r>
      <w:r>
        <w:rPr>
          <w:i/>
        </w:rPr>
        <w:t>property</w:t>
      </w:r>
      <w:r>
        <w:rPr>
          <w:i/>
          <w:spacing w:val="-4"/>
        </w:rPr>
        <w:t> </w:t>
      </w:r>
      <w:r>
        <w:rPr>
          <w:i/>
        </w:rPr>
        <w:t>and</w:t>
      </w:r>
      <w:r>
        <w:rPr>
          <w:i/>
          <w:spacing w:val="-2"/>
        </w:rPr>
        <w:t> </w:t>
      </w:r>
      <w:r>
        <w:rPr>
          <w:i/>
        </w:rPr>
        <w:t>failure</w:t>
      </w:r>
      <w:r>
        <w:rPr>
          <w:i/>
          <w:spacing w:val="-4"/>
        </w:rPr>
        <w:t> </w:t>
      </w:r>
      <w:r>
        <w:rPr>
          <w:i/>
        </w:rPr>
        <w:t>to</w:t>
      </w:r>
      <w:r>
        <w:rPr>
          <w:i/>
          <w:spacing w:val="-2"/>
        </w:rPr>
        <w:t> </w:t>
      </w:r>
      <w:r>
        <w:rPr>
          <w:i/>
        </w:rPr>
        <w:t>do</w:t>
      </w:r>
      <w:r>
        <w:rPr>
          <w:i/>
          <w:spacing w:val="-3"/>
        </w:rPr>
        <w:t> </w:t>
      </w:r>
      <w:r>
        <w:rPr>
          <w:i/>
        </w:rPr>
        <w:t>so</w:t>
      </w:r>
      <w:r>
        <w:rPr>
          <w:i/>
          <w:spacing w:val="-3"/>
        </w:rPr>
        <w:t> </w:t>
      </w:r>
      <w:r>
        <w:rPr>
          <w:i/>
        </w:rPr>
        <w:t>may</w:t>
      </w:r>
      <w:r>
        <w:rPr>
          <w:i/>
          <w:spacing w:val="-3"/>
        </w:rPr>
        <w:t> </w:t>
      </w:r>
      <w:r>
        <w:rPr>
          <w:i/>
        </w:rPr>
        <w:t>adversely</w:t>
      </w:r>
      <w:r>
        <w:rPr>
          <w:i/>
          <w:spacing w:val="-4"/>
        </w:rPr>
        <w:t> </w:t>
      </w:r>
      <w:r>
        <w:rPr>
          <w:i/>
        </w:rPr>
        <w:t>impact</w:t>
      </w:r>
      <w:r>
        <w:rPr>
          <w:i/>
          <w:spacing w:val="-4"/>
        </w:rPr>
        <w:t> </w:t>
      </w:r>
      <w:r>
        <w:rPr>
          <w:i/>
        </w:rPr>
        <w:t>our</w:t>
      </w:r>
      <w:r>
        <w:rPr>
          <w:i/>
          <w:spacing w:val="1"/>
        </w:rPr>
        <w:t> </w:t>
      </w:r>
      <w:r>
        <w:rPr/>
        <w:t>competitive</w:t>
      </w:r>
      <w:r>
        <w:rPr>
          <w:spacing w:val="-2"/>
        </w:rPr>
        <w:t> </w:t>
      </w:r>
      <w:r>
        <w:rPr/>
        <w:t>position.</w:t>
      </w:r>
    </w:p>
    <w:p>
      <w:pPr>
        <w:pStyle w:val="BodyText"/>
        <w:spacing w:line="249" w:lineRule="auto" w:before="185"/>
        <w:ind w:right="148"/>
      </w:pPr>
      <w:r>
        <w:rPr/>
        <w:t>Our</w:t>
      </w:r>
      <w:r>
        <w:rPr>
          <w:spacing w:val="-3"/>
        </w:rPr>
        <w:t> </w:t>
      </w:r>
      <w:r>
        <w:rPr/>
        <w:t>commercial</w:t>
      </w:r>
      <w:r>
        <w:rPr>
          <w:spacing w:val="-4"/>
        </w:rPr>
        <w:t> </w:t>
      </w:r>
      <w:r>
        <w:rPr/>
        <w:t>success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compete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depend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ability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obtain,</w:t>
      </w:r>
      <w:r>
        <w:rPr>
          <w:spacing w:val="-3"/>
        </w:rPr>
        <w:t> </w:t>
      </w:r>
      <w:r>
        <w:rPr/>
        <w:t>maintain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enforce</w:t>
      </w:r>
      <w:r>
        <w:rPr>
          <w:spacing w:val="-47"/>
        </w:rPr>
        <w:t> </w:t>
      </w:r>
      <w:r>
        <w:rPr/>
        <w:t>issued patents, trademark and other intellectual property rights and proprietary technology in the United States and</w:t>
      </w:r>
      <w:r>
        <w:rPr>
          <w:spacing w:val="1"/>
        </w:rPr>
        <w:t> </w:t>
      </w:r>
      <w:r>
        <w:rPr/>
        <w:t>elsewhere. If we cannot adequately obtain, maintain and enforce our intellectual property rights and proprietary</w:t>
      </w:r>
      <w:r>
        <w:rPr>
          <w:spacing w:val="1"/>
        </w:rPr>
        <w:t> </w:t>
      </w:r>
      <w:r>
        <w:rPr/>
        <w:t>technology, competitors may be able to use our technologies or the goodwill we have acquired in the marketplace</w:t>
      </w:r>
      <w:r>
        <w:rPr>
          <w:spacing w:val="1"/>
        </w:rPr>
        <w:t> </w:t>
      </w:r>
      <w:r>
        <w:rPr/>
        <w:t>and erode or negate any competitive advantage we may have and our ability to compete, which could harm our</w:t>
      </w:r>
      <w:r>
        <w:rPr>
          <w:spacing w:val="1"/>
        </w:rPr>
        <w:t> </w:t>
      </w:r>
      <w:r>
        <w:rPr/>
        <w:t>business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ability</w:t>
      </w:r>
      <w:r>
        <w:rPr>
          <w:spacing w:val="-1"/>
        </w:rPr>
        <w:t> </w:t>
      </w:r>
      <w:r>
        <w:rPr/>
        <w:t>to achieve</w:t>
      </w:r>
      <w:r>
        <w:rPr>
          <w:spacing w:val="-2"/>
        </w:rPr>
        <w:t> </w:t>
      </w:r>
      <w:r>
        <w:rPr/>
        <w:t>profitability</w:t>
      </w:r>
      <w:r>
        <w:rPr>
          <w:spacing w:val="-1"/>
        </w:rPr>
        <w:t> </w:t>
      </w:r>
      <w:r>
        <w:rPr/>
        <w:t>and/or cause</w:t>
      </w:r>
      <w:r>
        <w:rPr>
          <w:spacing w:val="-2"/>
        </w:rPr>
        <w:t> </w:t>
      </w:r>
      <w:r>
        <w:rPr/>
        <w:t>us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incur significant</w:t>
      </w:r>
      <w:r>
        <w:rPr>
          <w:spacing w:val="-2"/>
        </w:rPr>
        <w:t> </w:t>
      </w:r>
      <w:r>
        <w:rPr/>
        <w:t>expenses.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  <w:ind w:right="129"/>
      </w:pPr>
      <w:r>
        <w:rPr/>
        <w:t>We rely on a combination of contractual provisions, confidentiality procedures and patent, trade secret,</w:t>
      </w:r>
      <w:r>
        <w:rPr>
          <w:spacing w:val="1"/>
        </w:rPr>
        <w:t> </w:t>
      </w:r>
      <w:r>
        <w:rPr/>
        <w:t>copyright and trademark laws to protect our proprietary technology, products, services, brands, trade secrets, know-</w:t>
      </w:r>
      <w:r>
        <w:rPr>
          <w:spacing w:val="1"/>
        </w:rPr>
        <w:t> </w:t>
      </w:r>
      <w:r>
        <w:rPr/>
        <w:t>how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data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prevent</w:t>
      </w:r>
      <w:r>
        <w:rPr>
          <w:spacing w:val="-3"/>
        </w:rPr>
        <w:t> </w:t>
      </w:r>
      <w:r>
        <w:rPr/>
        <w:t>others</w:t>
      </w:r>
      <w:r>
        <w:rPr>
          <w:spacing w:val="-3"/>
        </w:rPr>
        <w:t> </w:t>
      </w:r>
      <w:r>
        <w:rPr/>
        <w:t>from</w:t>
      </w:r>
      <w:r>
        <w:rPr>
          <w:spacing w:val="-4"/>
        </w:rPr>
        <w:t> </w:t>
      </w:r>
      <w:r>
        <w:rPr/>
        <w:t>duplicating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AquaBeam</w:t>
      </w:r>
      <w:r>
        <w:rPr>
          <w:spacing w:val="-4"/>
        </w:rPr>
        <w:t> </w:t>
      </w:r>
      <w:r>
        <w:rPr/>
        <w:t>Robotic</w:t>
      </w:r>
      <w:r>
        <w:rPr>
          <w:spacing w:val="-3"/>
        </w:rPr>
        <w:t> </w:t>
      </w:r>
      <w:r>
        <w:rPr/>
        <w:t>System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its</w:t>
      </w:r>
      <w:r>
        <w:rPr>
          <w:spacing w:val="-3"/>
        </w:rPr>
        <w:t> </w:t>
      </w:r>
      <w:r>
        <w:rPr/>
        <w:t>disposable</w:t>
      </w:r>
      <w:r>
        <w:rPr>
          <w:spacing w:val="-3"/>
        </w:rPr>
        <w:t> </w:t>
      </w:r>
      <w:r>
        <w:rPr/>
        <w:t>components,</w:t>
      </w:r>
      <w:r>
        <w:rPr>
          <w:spacing w:val="-2"/>
        </w:rPr>
        <w:t> </w:t>
      </w:r>
      <w:r>
        <w:rPr/>
        <w:t>and</w:t>
      </w:r>
      <w:r>
        <w:rPr>
          <w:spacing w:val="-47"/>
        </w:rPr>
        <w:t> </w:t>
      </w:r>
      <w:r>
        <w:rPr/>
        <w:t>our other current and future products, services and technology. However, these legal means afford only limited</w:t>
      </w:r>
      <w:r>
        <w:rPr>
          <w:spacing w:val="1"/>
        </w:rPr>
        <w:t> </w:t>
      </w:r>
      <w:r>
        <w:rPr/>
        <w:t>protection</w:t>
      </w:r>
      <w:r>
        <w:rPr>
          <w:spacing w:val="-1"/>
        </w:rPr>
        <w:t> </w:t>
      </w:r>
      <w:r>
        <w:rPr/>
        <w:t>and may not: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9" w:lineRule="auto" w:before="184" w:after="0"/>
        <w:ind w:left="820" w:right="123" w:hanging="360"/>
        <w:jc w:val="left"/>
        <w:rPr>
          <w:sz w:val="20"/>
        </w:rPr>
      </w:pPr>
      <w:r>
        <w:rPr>
          <w:sz w:val="20"/>
        </w:rPr>
        <w:t>prevent</w:t>
      </w:r>
      <w:r>
        <w:rPr>
          <w:spacing w:val="-4"/>
          <w:sz w:val="20"/>
        </w:rPr>
        <w:t> </w:t>
      </w: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competitors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duplicating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2"/>
          <w:sz w:val="20"/>
        </w:rPr>
        <w:t> </w:t>
      </w:r>
      <w:r>
        <w:rPr>
          <w:sz w:val="20"/>
        </w:rPr>
        <w:t>AquaBeam</w:t>
      </w:r>
      <w:r>
        <w:rPr>
          <w:spacing w:val="-4"/>
          <w:sz w:val="20"/>
        </w:rPr>
        <w:t> </w:t>
      </w:r>
      <w:r>
        <w:rPr>
          <w:sz w:val="20"/>
        </w:rPr>
        <w:t>Robotic</w:t>
      </w:r>
      <w:r>
        <w:rPr>
          <w:spacing w:val="-4"/>
          <w:sz w:val="20"/>
        </w:rPr>
        <w:t> </w:t>
      </w:r>
      <w:r>
        <w:rPr>
          <w:sz w:val="20"/>
        </w:rPr>
        <w:t>System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its</w:t>
      </w:r>
      <w:r>
        <w:rPr>
          <w:spacing w:val="-3"/>
          <w:sz w:val="20"/>
        </w:rPr>
        <w:t> </w:t>
      </w:r>
      <w:r>
        <w:rPr>
          <w:sz w:val="20"/>
        </w:rPr>
        <w:t>disposable</w:t>
      </w:r>
      <w:r>
        <w:rPr>
          <w:spacing w:val="-4"/>
          <w:sz w:val="20"/>
        </w:rPr>
        <w:t> </w:t>
      </w:r>
      <w:r>
        <w:rPr>
          <w:sz w:val="20"/>
        </w:rPr>
        <w:t>components,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our</w:t>
      </w:r>
      <w:r>
        <w:rPr>
          <w:spacing w:val="-1"/>
          <w:sz w:val="20"/>
        </w:rPr>
        <w:t> </w:t>
      </w:r>
      <w:r>
        <w:rPr>
          <w:sz w:val="20"/>
        </w:rPr>
        <w:t>other current</w:t>
      </w:r>
      <w:r>
        <w:rPr>
          <w:spacing w:val="-1"/>
          <w:sz w:val="20"/>
        </w:rPr>
        <w:t> </w:t>
      </w:r>
      <w:r>
        <w:rPr>
          <w:sz w:val="20"/>
        </w:rPr>
        <w:t>and future</w:t>
      </w:r>
      <w:r>
        <w:rPr>
          <w:spacing w:val="-1"/>
          <w:sz w:val="20"/>
        </w:rPr>
        <w:t> </w:t>
      </w:r>
      <w:r>
        <w:rPr>
          <w:sz w:val="20"/>
        </w:rPr>
        <w:t>products;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0" w:lineRule="auto" w:before="181" w:after="0"/>
        <w:ind w:left="820" w:right="0" w:hanging="360"/>
        <w:jc w:val="left"/>
        <w:rPr>
          <w:sz w:val="20"/>
        </w:rPr>
      </w:pPr>
      <w:r>
        <w:rPr>
          <w:sz w:val="20"/>
        </w:rPr>
        <w:t>prevent</w:t>
      </w:r>
      <w:r>
        <w:rPr>
          <w:spacing w:val="-4"/>
          <w:sz w:val="20"/>
        </w:rPr>
        <w:t> </w:t>
      </w:r>
      <w:r>
        <w:rPr>
          <w:sz w:val="20"/>
        </w:rPr>
        <w:t>our</w:t>
      </w:r>
      <w:r>
        <w:rPr>
          <w:spacing w:val="-2"/>
          <w:sz w:val="20"/>
        </w:rPr>
        <w:t> </w:t>
      </w:r>
      <w:r>
        <w:rPr>
          <w:sz w:val="20"/>
        </w:rPr>
        <w:t>competitors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gaining</w:t>
      </w:r>
      <w:r>
        <w:rPr>
          <w:spacing w:val="-2"/>
          <w:sz w:val="20"/>
        </w:rPr>
        <w:t> </w:t>
      </w:r>
      <w:r>
        <w:rPr>
          <w:sz w:val="20"/>
        </w:rPr>
        <w:t>access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2"/>
          <w:sz w:val="20"/>
        </w:rPr>
        <w:t> </w:t>
      </w:r>
      <w:r>
        <w:rPr>
          <w:sz w:val="20"/>
        </w:rPr>
        <w:t>proprietary</w:t>
      </w:r>
      <w:r>
        <w:rPr>
          <w:spacing w:val="-2"/>
          <w:sz w:val="20"/>
        </w:rPr>
        <w:t> </w:t>
      </w:r>
      <w:r>
        <w:rPr>
          <w:sz w:val="20"/>
        </w:rPr>
        <w:t>information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technology;</w:t>
      </w:r>
      <w:r>
        <w:rPr>
          <w:spacing w:val="-3"/>
          <w:sz w:val="20"/>
        </w:rPr>
        <w:t> </w:t>
      </w:r>
      <w:r>
        <w:rPr>
          <w:sz w:val="20"/>
        </w:rPr>
        <w:t>or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permit</w:t>
      </w:r>
      <w:r>
        <w:rPr>
          <w:spacing w:val="-4"/>
          <w:sz w:val="20"/>
        </w:rPr>
        <w:t> </w:t>
      </w:r>
      <w:r>
        <w:rPr>
          <w:sz w:val="20"/>
        </w:rPr>
        <w:t>us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gain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maintain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competitive</w:t>
      </w:r>
      <w:r>
        <w:rPr>
          <w:spacing w:val="-4"/>
          <w:sz w:val="20"/>
        </w:rPr>
        <w:t> </w:t>
      </w:r>
      <w:r>
        <w:rPr>
          <w:sz w:val="20"/>
        </w:rPr>
        <w:t>advantage.</w:t>
      </w:r>
    </w:p>
    <w:p>
      <w:pPr>
        <w:pStyle w:val="BodyText"/>
        <w:spacing w:line="249" w:lineRule="auto"/>
        <w:ind w:right="148"/>
      </w:pPr>
      <w:r>
        <w:rPr/>
        <w:t>Our</w:t>
      </w:r>
      <w:r>
        <w:rPr>
          <w:spacing w:val="-3"/>
        </w:rPr>
        <w:t> </w:t>
      </w:r>
      <w:r>
        <w:rPr/>
        <w:t>success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depend,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part,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preserving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trade</w:t>
      </w:r>
      <w:r>
        <w:rPr>
          <w:spacing w:val="-3"/>
        </w:rPr>
        <w:t> </w:t>
      </w:r>
      <w:r>
        <w:rPr/>
        <w:t>secrets,</w:t>
      </w:r>
      <w:r>
        <w:rPr>
          <w:spacing w:val="-3"/>
        </w:rPr>
        <w:t> </w:t>
      </w:r>
      <w:r>
        <w:rPr/>
        <w:t>maintaining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security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data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know-</w:t>
      </w:r>
      <w:r>
        <w:rPr>
          <w:spacing w:val="-47"/>
        </w:rPr>
        <w:t> </w:t>
      </w:r>
      <w:r>
        <w:rPr/>
        <w:t>how and obtaining, maintaining and enforcing other intellectual property rights. We may not be able to obtain,</w:t>
      </w:r>
      <w:r>
        <w:rPr>
          <w:spacing w:val="1"/>
        </w:rPr>
        <w:t> </w:t>
      </w:r>
      <w:r>
        <w:rPr/>
        <w:t>maintain and/or enforce our intellectual property or other proprietary rights necessary to our business or in a form</w:t>
      </w:r>
      <w:r>
        <w:rPr>
          <w:spacing w:val="1"/>
        </w:rPr>
        <w:t> </w:t>
      </w:r>
      <w:r>
        <w:rPr/>
        <w:t>that</w:t>
      </w:r>
      <w:r>
        <w:rPr>
          <w:spacing w:val="-2"/>
        </w:rPr>
        <w:t> </w:t>
      </w:r>
      <w:r>
        <w:rPr/>
        <w:t>provides</w:t>
      </w:r>
      <w:r>
        <w:rPr>
          <w:spacing w:val="-1"/>
        </w:rPr>
        <w:t> </w:t>
      </w:r>
      <w:r>
        <w:rPr/>
        <w:t>us</w:t>
      </w:r>
      <w:r>
        <w:rPr>
          <w:spacing w:val="-1"/>
        </w:rPr>
        <w:t> </w:t>
      </w:r>
      <w:r>
        <w:rPr/>
        <w:t>with a</w:t>
      </w:r>
      <w:r>
        <w:rPr>
          <w:spacing w:val="-1"/>
        </w:rPr>
        <w:t> </w:t>
      </w:r>
      <w:r>
        <w:rPr/>
        <w:t>competitive</w:t>
      </w:r>
      <w:r>
        <w:rPr>
          <w:spacing w:val="-1"/>
        </w:rPr>
        <w:t> </w:t>
      </w:r>
      <w:r>
        <w:rPr/>
        <w:t>advantage.</w:t>
      </w:r>
    </w:p>
    <w:p>
      <w:pPr>
        <w:pStyle w:val="BodyText"/>
        <w:spacing w:line="249" w:lineRule="auto" w:before="184"/>
        <w:ind w:right="144"/>
      </w:pPr>
      <w:r>
        <w:rPr/>
        <w:t>Failure to obtain, maintain and/or enforce intellectual property rights necessary to our business and failure to</w:t>
      </w:r>
      <w:r>
        <w:rPr>
          <w:spacing w:val="1"/>
        </w:rPr>
        <w:t> </w:t>
      </w:r>
      <w:r>
        <w:rPr/>
        <w:t>protect,</w:t>
      </w:r>
      <w:r>
        <w:rPr>
          <w:spacing w:val="-3"/>
        </w:rPr>
        <w:t> </w:t>
      </w:r>
      <w:r>
        <w:rPr/>
        <w:t>monitor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control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use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intellectual</w:t>
      </w:r>
      <w:r>
        <w:rPr>
          <w:spacing w:val="-4"/>
        </w:rPr>
        <w:t> </w:t>
      </w:r>
      <w:r>
        <w:rPr/>
        <w:t>property</w:t>
      </w:r>
      <w:r>
        <w:rPr>
          <w:spacing w:val="-3"/>
        </w:rPr>
        <w:t> </w:t>
      </w:r>
      <w:r>
        <w:rPr/>
        <w:t>rights</w:t>
      </w:r>
      <w:r>
        <w:rPr>
          <w:spacing w:val="-3"/>
        </w:rPr>
        <w:t> </w:t>
      </w:r>
      <w:r>
        <w:rPr/>
        <w:t>could</w:t>
      </w:r>
      <w:r>
        <w:rPr>
          <w:spacing w:val="-3"/>
        </w:rPr>
        <w:t> </w:t>
      </w:r>
      <w:r>
        <w:rPr/>
        <w:t>negatively</w:t>
      </w:r>
      <w:r>
        <w:rPr>
          <w:spacing w:val="-3"/>
        </w:rPr>
        <w:t> </w:t>
      </w:r>
      <w:r>
        <w:rPr/>
        <w:t>impact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ability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compete</w:t>
      </w:r>
      <w:r>
        <w:rPr>
          <w:spacing w:val="-47"/>
        </w:rPr>
        <w:t> </w:t>
      </w:r>
      <w:r>
        <w:rPr/>
        <w:t>and cause us to incur significant expenses. The intellectual property laws and other statutory and contractual</w:t>
      </w:r>
      <w:r>
        <w:rPr>
          <w:spacing w:val="1"/>
        </w:rPr>
        <w:t> </w:t>
      </w:r>
      <w:r>
        <w:rPr/>
        <w:t>arrangements in the United States and other jurisdictions we depend upon may not provide sufficient protection in</w:t>
      </w:r>
      <w:r>
        <w:rPr>
          <w:spacing w:val="1"/>
        </w:rPr>
        <w:t> </w:t>
      </w:r>
      <w:r>
        <w:rPr/>
        <w:t>the future to</w:t>
      </w:r>
      <w:r>
        <w:rPr>
          <w:spacing w:val="1"/>
        </w:rPr>
        <w:t> </w:t>
      </w:r>
      <w:r>
        <w:rPr/>
        <w:t>prevent the infringement,</w:t>
      </w:r>
      <w:r>
        <w:rPr>
          <w:spacing w:val="1"/>
        </w:rPr>
        <w:t> </w:t>
      </w:r>
      <w:r>
        <w:rPr/>
        <w:t>use,</w:t>
      </w:r>
      <w:r>
        <w:rPr>
          <w:spacing w:val="1"/>
        </w:rPr>
        <w:t> </w:t>
      </w:r>
      <w:r>
        <w:rPr/>
        <w:t>violation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misappropriation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our</w:t>
      </w:r>
      <w:r>
        <w:rPr>
          <w:spacing w:val="1"/>
        </w:rPr>
        <w:t> </w:t>
      </w:r>
      <w:r>
        <w:rPr/>
        <w:t>patents,</w:t>
      </w:r>
      <w:r>
        <w:rPr>
          <w:spacing w:val="1"/>
        </w:rPr>
        <w:t> </w:t>
      </w:r>
      <w:r>
        <w:rPr/>
        <w:t>trademarks,</w:t>
      </w:r>
      <w:r>
        <w:rPr>
          <w:spacing w:val="1"/>
        </w:rPr>
        <w:t> </w:t>
      </w:r>
      <w:r>
        <w:rPr/>
        <w:t>data,</w:t>
      </w:r>
      <w:r>
        <w:rPr>
          <w:spacing w:val="1"/>
        </w:rPr>
        <w:t> </w:t>
      </w:r>
      <w:r>
        <w:rPr/>
        <w:t>technology and other intellectual property rights, products and services, and may not provide an adequate remedy if</w:t>
      </w:r>
      <w:r>
        <w:rPr>
          <w:spacing w:val="1"/>
        </w:rPr>
        <w:t> </w:t>
      </w:r>
      <w:r>
        <w:rPr/>
        <w:t>our</w:t>
      </w:r>
      <w:r>
        <w:rPr>
          <w:spacing w:val="-1"/>
        </w:rPr>
        <w:t> </w:t>
      </w:r>
      <w:r>
        <w:rPr/>
        <w:t>intellectual</w:t>
      </w:r>
      <w:r>
        <w:rPr>
          <w:spacing w:val="-2"/>
        </w:rPr>
        <w:t> </w:t>
      </w:r>
      <w:r>
        <w:rPr/>
        <w:t>property rights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infringed,</w:t>
      </w:r>
      <w:r>
        <w:rPr>
          <w:spacing w:val="-1"/>
        </w:rPr>
        <w:t> </w:t>
      </w:r>
      <w:r>
        <w:rPr/>
        <w:t>misappropriated or</w:t>
      </w:r>
      <w:r>
        <w:rPr>
          <w:spacing w:val="-1"/>
        </w:rPr>
        <w:t> </w:t>
      </w:r>
      <w:r>
        <w:rPr/>
        <w:t>otherwise</w:t>
      </w:r>
      <w:r>
        <w:rPr>
          <w:spacing w:val="-1"/>
        </w:rPr>
        <w:t> </w:t>
      </w:r>
      <w:r>
        <w:rPr/>
        <w:t>violated.</w:t>
      </w:r>
    </w:p>
    <w:p>
      <w:pPr>
        <w:pStyle w:val="BodyText"/>
        <w:spacing w:line="249" w:lineRule="auto" w:before="185"/>
        <w:ind w:right="123"/>
      </w:pPr>
      <w:r>
        <w:rPr/>
        <w:t>We rely in part on our portfolio of issued patents and pending patent applications in the United States and other</w:t>
      </w:r>
      <w:r>
        <w:rPr>
          <w:spacing w:val="1"/>
        </w:rPr>
        <w:t> </w:t>
      </w:r>
      <w:r>
        <w:rPr/>
        <w:t>countries to protect our intellectual property and competitive position. However, our patent applications may not</w:t>
      </w:r>
      <w:r>
        <w:rPr>
          <w:spacing w:val="1"/>
        </w:rPr>
        <w:t> </w:t>
      </w:r>
      <w:r>
        <w:rPr/>
        <w:t>result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issued</w:t>
      </w:r>
      <w:r>
        <w:rPr>
          <w:spacing w:val="-3"/>
        </w:rPr>
        <w:t> </w:t>
      </w:r>
      <w:r>
        <w:rPr/>
        <w:t>patents,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patents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issued</w:t>
      </w:r>
      <w:r>
        <w:rPr>
          <w:spacing w:val="-2"/>
        </w:rPr>
        <w:t> </w:t>
      </w:r>
      <w:r>
        <w:rPr/>
        <w:t>may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provide</w:t>
      </w:r>
      <w:r>
        <w:rPr>
          <w:spacing w:val="-3"/>
        </w:rPr>
        <w:t> </w:t>
      </w:r>
      <w:r>
        <w:rPr/>
        <w:t>meaningful</w:t>
      </w:r>
      <w:r>
        <w:rPr>
          <w:spacing w:val="-4"/>
        </w:rPr>
        <w:t> </w:t>
      </w:r>
      <w:r>
        <w:rPr/>
        <w:t>protection</w:t>
      </w:r>
      <w:r>
        <w:rPr>
          <w:spacing w:val="-3"/>
        </w:rPr>
        <w:t> </w:t>
      </w:r>
      <w:r>
        <w:rPr/>
        <w:t>against</w:t>
      </w:r>
      <w:r>
        <w:rPr>
          <w:spacing w:val="-3"/>
        </w:rPr>
        <w:t> </w:t>
      </w:r>
      <w:r>
        <w:rPr/>
        <w:t>competitors</w:t>
      </w:r>
      <w:r>
        <w:rPr>
          <w:spacing w:val="-4"/>
        </w:rPr>
        <w:t> </w:t>
      </w:r>
      <w:r>
        <w:rPr/>
        <w:t>or</w:t>
      </w:r>
      <w:r>
        <w:rPr>
          <w:spacing w:val="-47"/>
        </w:rPr>
        <w:t> </w:t>
      </w:r>
      <w:r>
        <w:rPr/>
        <w:t>competitive technologies. Further, the examination process may require us to narrow the claims for our pending</w:t>
      </w:r>
      <w:r>
        <w:rPr>
          <w:spacing w:val="1"/>
        </w:rPr>
        <w:t> </w:t>
      </w:r>
      <w:r>
        <w:rPr/>
        <w:t>patent</w:t>
      </w:r>
      <w:r>
        <w:rPr>
          <w:spacing w:val="1"/>
        </w:rPr>
        <w:t> </w:t>
      </w:r>
      <w:r>
        <w:rPr/>
        <w:t>applications,</w:t>
      </w:r>
      <w:r>
        <w:rPr>
          <w:spacing w:val="2"/>
        </w:rPr>
        <w:t> </w:t>
      </w:r>
      <w:r>
        <w:rPr/>
        <w:t>which</w:t>
      </w:r>
      <w:r>
        <w:rPr>
          <w:spacing w:val="3"/>
        </w:rPr>
        <w:t> </w:t>
      </w:r>
      <w:r>
        <w:rPr/>
        <w:t>may</w:t>
      </w:r>
      <w:r>
        <w:rPr>
          <w:spacing w:val="2"/>
        </w:rPr>
        <w:t> </w:t>
      </w:r>
      <w:r>
        <w:rPr/>
        <w:t>limit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scope</w:t>
      </w:r>
      <w:r>
        <w:rPr>
          <w:spacing w:val="1"/>
        </w:rPr>
        <w:t> </w:t>
      </w:r>
      <w:r>
        <w:rPr/>
        <w:t>of</w:t>
      </w:r>
      <w:r>
        <w:rPr>
          <w:spacing w:val="3"/>
        </w:rPr>
        <w:t> </w:t>
      </w:r>
      <w:r>
        <w:rPr/>
        <w:t>patent</w:t>
      </w:r>
      <w:r>
        <w:rPr>
          <w:spacing w:val="1"/>
        </w:rPr>
        <w:t> </w:t>
      </w:r>
      <w:r>
        <w:rPr/>
        <w:t>protection</w:t>
      </w:r>
      <w:r>
        <w:rPr>
          <w:spacing w:val="2"/>
        </w:rPr>
        <w:t> </w:t>
      </w:r>
      <w:r>
        <w:rPr/>
        <w:t>that</w:t>
      </w:r>
      <w:r>
        <w:rPr>
          <w:spacing w:val="2"/>
        </w:rPr>
        <w:t> </w:t>
      </w:r>
      <w:r>
        <w:rPr/>
        <w:t>may</w:t>
      </w:r>
      <w:r>
        <w:rPr>
          <w:spacing w:val="2"/>
        </w:rPr>
        <w:t> </w:t>
      </w:r>
      <w:r>
        <w:rPr/>
        <w:t>be</w:t>
      </w:r>
      <w:r>
        <w:rPr>
          <w:spacing w:val="2"/>
        </w:rPr>
        <w:t> </w:t>
      </w:r>
      <w:r>
        <w:rPr/>
        <w:t>obtained</w:t>
      </w:r>
      <w:r>
        <w:rPr>
          <w:spacing w:val="2"/>
        </w:rPr>
        <w:t> </w:t>
      </w:r>
      <w:r>
        <w:rPr/>
        <w:t>if</w:t>
      </w:r>
      <w:r>
        <w:rPr>
          <w:spacing w:val="2"/>
        </w:rPr>
        <w:t> </w:t>
      </w:r>
      <w:r>
        <w:rPr/>
        <w:t>these</w:t>
      </w:r>
      <w:r>
        <w:rPr>
          <w:spacing w:val="2"/>
        </w:rPr>
        <w:t> </w:t>
      </w:r>
      <w:r>
        <w:rPr/>
        <w:t>applications</w:t>
      </w:r>
      <w:r>
        <w:rPr>
          <w:spacing w:val="1"/>
        </w:rPr>
        <w:t> </w:t>
      </w:r>
      <w:r>
        <w:rPr/>
        <w:t>issue.</w:t>
      </w:r>
      <w:r>
        <w:rPr>
          <w:spacing w:val="1"/>
        </w:rPr>
        <w:t> </w:t>
      </w:r>
      <w:r>
        <w:rPr/>
        <w:t>It is also</w:t>
      </w:r>
      <w:r>
        <w:rPr>
          <w:spacing w:val="2"/>
        </w:rPr>
        <w:t> </w:t>
      </w:r>
      <w:r>
        <w:rPr/>
        <w:t>possible that</w:t>
      </w:r>
      <w:r>
        <w:rPr>
          <w:spacing w:val="1"/>
        </w:rPr>
        <w:t> </w:t>
      </w:r>
      <w:r>
        <w:rPr/>
        <w:t>we will</w:t>
      </w:r>
      <w:r>
        <w:rPr>
          <w:spacing w:val="1"/>
        </w:rPr>
        <w:t> </w:t>
      </w:r>
      <w:r>
        <w:rPr/>
        <w:t>fail to</w:t>
      </w:r>
      <w:r>
        <w:rPr>
          <w:spacing w:val="2"/>
        </w:rPr>
        <w:t> </w:t>
      </w:r>
      <w:r>
        <w:rPr/>
        <w:t>identify</w:t>
      </w:r>
      <w:r>
        <w:rPr>
          <w:spacing w:val="1"/>
        </w:rPr>
        <w:t> </w:t>
      </w:r>
      <w:r>
        <w:rPr/>
        <w:t>patentable</w:t>
      </w:r>
      <w:r>
        <w:rPr>
          <w:spacing w:val="1"/>
        </w:rPr>
        <w:t> </w:t>
      </w:r>
      <w:r>
        <w:rPr/>
        <w:t>aspects of</w:t>
      </w:r>
      <w:r>
        <w:rPr>
          <w:spacing w:val="2"/>
        </w:rPr>
        <w:t> </w:t>
      </w:r>
      <w:r>
        <w:rPr/>
        <w:t>inventions made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 course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our</w:t>
      </w:r>
      <w:r>
        <w:rPr>
          <w:spacing w:val="1"/>
        </w:rPr>
        <w:t> </w:t>
      </w:r>
      <w:r>
        <w:rPr/>
        <w:t>development, manufacture and commercialization activities before it is too late to obtain patent protection on them.</w:t>
      </w:r>
      <w:r>
        <w:rPr>
          <w:spacing w:val="1"/>
        </w:rPr>
        <w:t> </w:t>
      </w:r>
      <w:r>
        <w:rPr/>
        <w:t>If we fail to timely file for a patent in any jurisdiction, we may be precluded from doing so at a later date. Although</w:t>
      </w:r>
      <w:r>
        <w:rPr>
          <w:spacing w:val="1"/>
        </w:rPr>
        <w:t> </w:t>
      </w:r>
      <w:r>
        <w:rPr/>
        <w:t>we enter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non-disclosure and</w:t>
      </w:r>
      <w:r>
        <w:rPr>
          <w:spacing w:val="2"/>
        </w:rPr>
        <w:t> </w:t>
      </w:r>
      <w:r>
        <w:rPr/>
        <w:t>confidentiality</w:t>
      </w:r>
      <w:r>
        <w:rPr>
          <w:spacing w:val="1"/>
        </w:rPr>
        <w:t> </w:t>
      </w:r>
      <w:r>
        <w:rPr/>
        <w:t>agreements with</w:t>
      </w:r>
      <w:r>
        <w:rPr>
          <w:spacing w:val="1"/>
        </w:rPr>
        <w:t> </w:t>
      </w:r>
      <w:r>
        <w:rPr/>
        <w:t>parties who</w:t>
      </w:r>
      <w:r>
        <w:rPr>
          <w:spacing w:val="2"/>
        </w:rPr>
        <w:t> </w:t>
      </w:r>
      <w:r>
        <w:rPr/>
        <w:t>have access to</w:t>
      </w:r>
      <w:r>
        <w:rPr>
          <w:spacing w:val="1"/>
        </w:rPr>
        <w:t> </w:t>
      </w:r>
      <w:r>
        <w:rPr/>
        <w:t>patentable aspects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our research and development output, such as our employees, corporate collaborators, outside scientific</w:t>
      </w:r>
      <w:r>
        <w:rPr>
          <w:spacing w:val="1"/>
        </w:rPr>
        <w:t> </w:t>
      </w:r>
      <w:r>
        <w:rPr/>
        <w:t>collaborators, suppliers, consultants, advisors and other third parties, any of these parties may breach the agreements</w:t>
      </w:r>
      <w:r>
        <w:rPr>
          <w:spacing w:val="-47"/>
        </w:rPr>
        <w:t> </w:t>
      </w:r>
      <w:r>
        <w:rPr/>
        <w:t>and disclose such output before a patent application is filed, thereby jeopardizing our ability to seek patent</w:t>
      </w:r>
      <w:r>
        <w:rPr>
          <w:spacing w:val="1"/>
        </w:rPr>
        <w:t> </w:t>
      </w:r>
      <w:r>
        <w:rPr/>
        <w:t>protection.</w:t>
      </w:r>
      <w:r>
        <w:rPr>
          <w:spacing w:val="2"/>
        </w:rPr>
        <w:t> </w:t>
      </w:r>
      <w:r>
        <w:rPr/>
        <w:t>Furthermore,</w:t>
      </w:r>
      <w:r>
        <w:rPr>
          <w:spacing w:val="3"/>
        </w:rPr>
        <w:t> </w:t>
      </w:r>
      <w:r>
        <w:rPr/>
        <w:t>publications</w:t>
      </w:r>
      <w:r>
        <w:rPr>
          <w:spacing w:val="1"/>
        </w:rPr>
        <w:t> </w:t>
      </w:r>
      <w:r>
        <w:rPr/>
        <w:t>of</w:t>
      </w:r>
      <w:r>
        <w:rPr>
          <w:spacing w:val="3"/>
        </w:rPr>
        <w:t> </w:t>
      </w:r>
      <w:r>
        <w:rPr/>
        <w:t>discoveries</w:t>
      </w:r>
      <w:r>
        <w:rPr>
          <w:spacing w:val="1"/>
        </w:rPr>
        <w:t> </w:t>
      </w:r>
      <w:r>
        <w:rPr/>
        <w:t>in</w:t>
      </w:r>
      <w:r>
        <w:rPr>
          <w:spacing w:val="3"/>
        </w:rPr>
        <w:t> </w:t>
      </w:r>
      <w:r>
        <w:rPr/>
        <w:t>the</w:t>
      </w:r>
      <w:r>
        <w:rPr>
          <w:spacing w:val="1"/>
        </w:rPr>
        <w:t> </w:t>
      </w:r>
      <w:r>
        <w:rPr/>
        <w:t>scientific</w:t>
      </w:r>
      <w:r>
        <w:rPr>
          <w:spacing w:val="2"/>
        </w:rPr>
        <w:t> </w:t>
      </w:r>
      <w:r>
        <w:rPr/>
        <w:t>literature</w:t>
      </w:r>
      <w:r>
        <w:rPr>
          <w:spacing w:val="1"/>
        </w:rPr>
        <w:t> </w:t>
      </w:r>
      <w:r>
        <w:rPr/>
        <w:t>often</w:t>
      </w:r>
      <w:r>
        <w:rPr>
          <w:spacing w:val="3"/>
        </w:rPr>
        <w:t> </w:t>
      </w:r>
      <w:r>
        <w:rPr/>
        <w:t>lag</w:t>
      </w:r>
      <w:r>
        <w:rPr>
          <w:spacing w:val="2"/>
        </w:rPr>
        <w:t> </w:t>
      </w:r>
      <w:r>
        <w:rPr/>
        <w:t>behind</w:t>
      </w:r>
      <w:r>
        <w:rPr>
          <w:spacing w:val="3"/>
        </w:rPr>
        <w:t> </w:t>
      </w:r>
      <w:r>
        <w:rPr/>
        <w:t>the</w:t>
      </w:r>
      <w:r>
        <w:rPr>
          <w:spacing w:val="1"/>
        </w:rPr>
        <w:t> </w:t>
      </w:r>
      <w:r>
        <w:rPr/>
        <w:t>actual</w:t>
      </w:r>
      <w:r>
        <w:rPr>
          <w:spacing w:val="1"/>
        </w:rPr>
        <w:t> </w:t>
      </w:r>
      <w:r>
        <w:rPr/>
        <w:t>discoveries, and patent applications in the United States and other jurisdictions are typically not published until 18</w:t>
      </w:r>
      <w:r>
        <w:rPr>
          <w:spacing w:val="1"/>
        </w:rPr>
        <w:t> </w:t>
      </w:r>
      <w:r>
        <w:rPr/>
        <w:t>months after filing, or in some cases not at all. Therefore, we cannot be certain that we were the first to make the</w:t>
      </w:r>
      <w:r>
        <w:rPr>
          <w:spacing w:val="1"/>
        </w:rPr>
        <w:t> </w:t>
      </w:r>
      <w:r>
        <w:rPr/>
        <w:t>inventions claimed in any of our patents or pending patent applications, or that we were the first to file for patent</w:t>
      </w:r>
      <w:r>
        <w:rPr>
          <w:spacing w:val="1"/>
        </w:rPr>
        <w:t> </w:t>
      </w:r>
      <w:r>
        <w:rPr/>
        <w:t>protection of such inventions. Moreover, should we become a licensee of a third party’s patents or patent</w:t>
      </w:r>
      <w:r>
        <w:rPr>
          <w:spacing w:val="1"/>
        </w:rPr>
        <w:t> </w:t>
      </w:r>
      <w:r>
        <w:rPr/>
        <w:t>applications,</w:t>
      </w:r>
      <w:r>
        <w:rPr>
          <w:spacing w:val="2"/>
        </w:rPr>
        <w:t> </w:t>
      </w:r>
      <w:r>
        <w:rPr/>
        <w:t>depending</w:t>
      </w:r>
      <w:r>
        <w:rPr>
          <w:spacing w:val="2"/>
        </w:rPr>
        <w:t> </w:t>
      </w:r>
      <w:r>
        <w:rPr/>
        <w:t>on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terms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any</w:t>
      </w:r>
      <w:r>
        <w:rPr>
          <w:spacing w:val="3"/>
        </w:rPr>
        <w:t> </w:t>
      </w:r>
      <w:r>
        <w:rPr/>
        <w:t>future</w:t>
      </w:r>
      <w:r>
        <w:rPr>
          <w:spacing w:val="1"/>
        </w:rPr>
        <w:t> </w:t>
      </w:r>
      <w:r>
        <w:rPr/>
        <w:t>in-licenses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/>
        <w:t>which</w:t>
      </w:r>
      <w:r>
        <w:rPr>
          <w:spacing w:val="2"/>
        </w:rPr>
        <w:t> </w:t>
      </w:r>
      <w:r>
        <w:rPr/>
        <w:t>we</w:t>
      </w:r>
      <w:r>
        <w:rPr>
          <w:spacing w:val="2"/>
        </w:rPr>
        <w:t> </w:t>
      </w:r>
      <w:r>
        <w:rPr/>
        <w:t>may</w:t>
      </w:r>
      <w:r>
        <w:rPr>
          <w:spacing w:val="2"/>
        </w:rPr>
        <w:t> </w:t>
      </w:r>
      <w:r>
        <w:rPr/>
        <w:t>become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party,</w:t>
      </w:r>
      <w:r>
        <w:rPr>
          <w:spacing w:val="2"/>
        </w:rPr>
        <w:t> </w:t>
      </w:r>
      <w:r>
        <w:rPr/>
        <w:t>we</w:t>
      </w:r>
      <w:r>
        <w:rPr>
          <w:spacing w:val="1"/>
        </w:rPr>
        <w:t> </w:t>
      </w:r>
      <w:r>
        <w:rPr/>
        <w:t>may</w:t>
      </w:r>
      <w:r>
        <w:rPr>
          <w:spacing w:val="3"/>
        </w:rPr>
        <w:t> </w:t>
      </w:r>
      <w:r>
        <w:rPr/>
        <w:t>not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the right to control the preparation, filing and prosecution of patent applications, or to maintain or enforce the</w:t>
      </w:r>
      <w:r>
        <w:rPr>
          <w:spacing w:val="1"/>
        </w:rPr>
        <w:t> </w:t>
      </w:r>
      <w:r>
        <w:rPr/>
        <w:t>patents, covering technology in-licensed from third parties. Therefore, these patents and patent applications may not</w:t>
      </w:r>
      <w:r>
        <w:rPr>
          <w:spacing w:val="1"/>
        </w:rPr>
        <w:t> </w:t>
      </w:r>
      <w:r>
        <w:rPr/>
        <w:t>be prosecuted, maintained and/or enforced in a manner consistent with the best interests of our business. While we</w:t>
      </w:r>
      <w:r>
        <w:rPr>
          <w:spacing w:val="1"/>
        </w:rPr>
        <w:t> </w:t>
      </w:r>
      <w:r>
        <w:rPr/>
        <w:t>generally apply for patents in those countries where we intend to make, have made, use, import, offer to sell or sell</w:t>
      </w:r>
      <w:r>
        <w:rPr>
          <w:spacing w:val="1"/>
        </w:rPr>
        <w:t> </w:t>
      </w:r>
      <w:r>
        <w:rPr/>
        <w:t>patented products, we may not accurately predict all of the countries where patent protection will ultimately be</w:t>
      </w:r>
      <w:r>
        <w:rPr>
          <w:spacing w:val="1"/>
        </w:rPr>
        <w:t> </w:t>
      </w:r>
      <w:r>
        <w:rPr/>
        <w:t>desirable. Furthermore, the issuance of a patent does not give us the right to practice the patented invention. Third</w:t>
      </w:r>
      <w:r>
        <w:rPr>
          <w:spacing w:val="1"/>
        </w:rPr>
        <w:t> </w:t>
      </w:r>
      <w:r>
        <w:rPr/>
        <w:t>parties may have blocking patents that could prevent us from manufacturing and/or commercializing our own</w:t>
      </w:r>
      <w:r>
        <w:rPr>
          <w:spacing w:val="1"/>
        </w:rPr>
        <w:t> </w:t>
      </w:r>
      <w:r>
        <w:rPr/>
        <w:t>products or services, or otherwise practicing our own technology. Any of these outcomes could impair our ability to</w:t>
      </w:r>
      <w:r>
        <w:rPr>
          <w:spacing w:val="1"/>
        </w:rPr>
        <w:t> </w:t>
      </w:r>
      <w:r>
        <w:rPr/>
        <w:t>prevent</w:t>
      </w:r>
      <w:r>
        <w:rPr>
          <w:spacing w:val="-2"/>
        </w:rPr>
        <w:t> </w:t>
      </w:r>
      <w:r>
        <w:rPr/>
        <w:t>competition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third</w:t>
      </w:r>
      <w:r>
        <w:rPr>
          <w:spacing w:val="-1"/>
        </w:rPr>
        <w:t> </w:t>
      </w:r>
      <w:r>
        <w:rPr/>
        <w:t>parties,</w:t>
      </w:r>
      <w:r>
        <w:rPr>
          <w:spacing w:val="-1"/>
        </w:rPr>
        <w:t> </w:t>
      </w:r>
      <w:r>
        <w:rPr/>
        <w:t>which may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an adverse</w:t>
      </w:r>
      <w:r>
        <w:rPr>
          <w:spacing w:val="-2"/>
        </w:rPr>
        <w:t> </w:t>
      </w:r>
      <w:r>
        <w:rPr/>
        <w:t>impact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our</w:t>
      </w:r>
      <w:r>
        <w:rPr>
          <w:spacing w:val="-1"/>
        </w:rPr>
        <w:t> </w:t>
      </w:r>
      <w:r>
        <w:rPr/>
        <w:t>business.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  <w:ind w:right="167"/>
      </w:pPr>
      <w:r>
        <w:rPr/>
        <w:t>The patent positions of medical device companies, including our patent position, may involve complex legal</w:t>
      </w:r>
      <w:r>
        <w:rPr>
          <w:spacing w:val="1"/>
        </w:rPr>
        <w:t> </w:t>
      </w:r>
      <w:r>
        <w:rPr/>
        <w:t>and factual questions that have been the subject of much litigation in recent years, and, therefore, the scope of any</w:t>
      </w:r>
      <w:r>
        <w:rPr>
          <w:spacing w:val="1"/>
        </w:rPr>
        <w:t> </w:t>
      </w:r>
      <w:r>
        <w:rPr/>
        <w:t>patent claims that we have or may obtain cannot be predicted with certainty. Accordingly, we cannot provide any</w:t>
      </w:r>
      <w:r>
        <w:rPr>
          <w:spacing w:val="1"/>
        </w:rPr>
        <w:t> </w:t>
      </w:r>
      <w:r>
        <w:rPr/>
        <w:t>assurances about which of our patent applications will issue, the breadth of any resulting patent, whether any of the</w:t>
      </w:r>
      <w:r>
        <w:rPr>
          <w:spacing w:val="1"/>
        </w:rPr>
        <w:t> </w:t>
      </w:r>
      <w:r>
        <w:rPr/>
        <w:t>issued patents will be found to be infringed, invalid or unenforceable or will be threatened or challenged by third</w:t>
      </w:r>
      <w:r>
        <w:rPr>
          <w:spacing w:val="1"/>
        </w:rPr>
        <w:t> </w:t>
      </w:r>
      <w:r>
        <w:rPr/>
        <w:t>parties, that any of our issued patents have, or that any of our currently pending or future patent applications that</w:t>
      </w:r>
      <w:r>
        <w:rPr>
          <w:spacing w:val="1"/>
        </w:rPr>
        <w:t> </w:t>
      </w:r>
      <w:r>
        <w:rPr/>
        <w:t>mature into issued patents will include, claims with a scope sufficient to protect our products and services. Our</w:t>
      </w:r>
      <w:r>
        <w:rPr>
          <w:spacing w:val="1"/>
        </w:rPr>
        <w:t> </w:t>
      </w:r>
      <w:r>
        <w:rPr/>
        <w:t>pending and future patent applications may not result in the issuance of patents or, if issued, may not issue in a form</w:t>
      </w:r>
      <w:r>
        <w:rPr>
          <w:spacing w:val="-47"/>
        </w:rPr>
        <w:t> </w:t>
      </w:r>
      <w:r>
        <w:rPr/>
        <w:t>that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advantageous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us.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coverage</w:t>
      </w:r>
      <w:r>
        <w:rPr>
          <w:spacing w:val="-4"/>
        </w:rPr>
        <w:t> </w:t>
      </w:r>
      <w:r>
        <w:rPr/>
        <w:t>claimed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patent</w:t>
      </w:r>
      <w:r>
        <w:rPr>
          <w:spacing w:val="-4"/>
        </w:rPr>
        <w:t> </w:t>
      </w:r>
      <w:r>
        <w:rPr/>
        <w:t>application</w:t>
      </w:r>
      <w:r>
        <w:rPr>
          <w:spacing w:val="-2"/>
        </w:rPr>
        <w:t> </w:t>
      </w:r>
      <w:r>
        <w:rPr/>
        <w:t>can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significantly</w:t>
      </w:r>
      <w:r>
        <w:rPr>
          <w:spacing w:val="-3"/>
        </w:rPr>
        <w:t> </w:t>
      </w:r>
      <w:r>
        <w:rPr/>
        <w:t>reduced</w:t>
      </w:r>
      <w:r>
        <w:rPr>
          <w:spacing w:val="-2"/>
        </w:rPr>
        <w:t> </w:t>
      </w:r>
      <w:r>
        <w:rPr/>
        <w:t>before</w:t>
      </w:r>
      <w:r>
        <w:rPr>
          <w:spacing w:val="-4"/>
        </w:rPr>
        <w:t> </w:t>
      </w:r>
      <w:r>
        <w:rPr/>
        <w:t>the</w:t>
      </w:r>
      <w:r>
        <w:rPr>
          <w:spacing w:val="-47"/>
        </w:rPr>
        <w:t> </w:t>
      </w:r>
      <w:r>
        <w:rPr/>
        <w:t>patent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issued.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scope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patent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also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reinterpreted</w:t>
      </w:r>
      <w:r>
        <w:rPr>
          <w:spacing w:val="-3"/>
        </w:rPr>
        <w:t> </w:t>
      </w:r>
      <w:r>
        <w:rPr/>
        <w:t>after</w:t>
      </w:r>
      <w:r>
        <w:rPr>
          <w:spacing w:val="-2"/>
        </w:rPr>
        <w:t> </w:t>
      </w:r>
      <w:r>
        <w:rPr/>
        <w:t>issuance.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rights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granted</w:t>
      </w:r>
      <w:r>
        <w:rPr>
          <w:spacing w:val="-2"/>
        </w:rPr>
        <w:t> </w:t>
      </w:r>
      <w:r>
        <w:rPr/>
        <w:t>under</w:t>
      </w:r>
      <w:r>
        <w:rPr>
          <w:spacing w:val="1"/>
        </w:rPr>
        <w:t> </w:t>
      </w:r>
      <w:r>
        <w:rPr/>
        <w:t>our future issued patents may not provide us with the proprietary protection or competitive advantages we are</w:t>
      </w:r>
      <w:r>
        <w:rPr>
          <w:spacing w:val="1"/>
        </w:rPr>
        <w:t> </w:t>
      </w:r>
      <w:r>
        <w:rPr/>
        <w:t>seeking. We cannot offer any assurances that the breadth of our granted patents will be sufficient to stop a</w:t>
      </w:r>
      <w:r>
        <w:rPr>
          <w:spacing w:val="1"/>
        </w:rPr>
        <w:t> </w:t>
      </w:r>
      <w:r>
        <w:rPr/>
        <w:t>competitor from developing, manufacturing and commercializing a product or a service in a non-infringing manner</w:t>
      </w:r>
      <w:r>
        <w:rPr>
          <w:spacing w:val="1"/>
        </w:rPr>
        <w:t> </w:t>
      </w:r>
      <w:r>
        <w:rPr/>
        <w:t>that would be competitive with one or more of our products or services, or otherwise provide us with any</w:t>
      </w:r>
      <w:r>
        <w:rPr>
          <w:spacing w:val="1"/>
        </w:rPr>
        <w:t> </w:t>
      </w:r>
      <w:r>
        <w:rPr/>
        <w:t>competitive advantage. Furthermore, any successful challenge to these patents or any other patents owned by or</w:t>
      </w:r>
      <w:r>
        <w:rPr>
          <w:spacing w:val="1"/>
        </w:rPr>
        <w:t> </w:t>
      </w:r>
      <w:r>
        <w:rPr/>
        <w:t>licensed to us after patent issuance could deprive us of rights necessary for our commercial success. Further, there</w:t>
      </w:r>
      <w:r>
        <w:rPr>
          <w:spacing w:val="1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assurance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we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adequate</w:t>
      </w:r>
      <w:r>
        <w:rPr>
          <w:spacing w:val="-1"/>
        </w:rPr>
        <w:t> </w:t>
      </w:r>
      <w:r>
        <w:rPr/>
        <w:t>resources</w:t>
      </w:r>
      <w:r>
        <w:rPr>
          <w:spacing w:val="-2"/>
        </w:rPr>
        <w:t> </w:t>
      </w:r>
      <w:r>
        <w:rPr/>
        <w:t>to enforce</w:t>
      </w:r>
      <w:r>
        <w:rPr>
          <w:spacing w:val="-1"/>
        </w:rPr>
        <w:t> </w:t>
      </w:r>
      <w:r>
        <w:rPr/>
        <w:t>our</w:t>
      </w:r>
      <w:r>
        <w:rPr>
          <w:spacing w:val="-1"/>
        </w:rPr>
        <w:t> </w:t>
      </w:r>
      <w:r>
        <w:rPr/>
        <w:t>patents.</w:t>
      </w:r>
    </w:p>
    <w:p>
      <w:pPr>
        <w:pStyle w:val="BodyText"/>
        <w:spacing w:line="249" w:lineRule="auto" w:before="194"/>
        <w:ind w:right="212"/>
      </w:pPr>
      <w:r>
        <w:rPr/>
        <w:t>Patents have a limited lifespan. In the United States, the natural expiration of a utility patent is generally 20</w:t>
      </w:r>
      <w:r>
        <w:rPr>
          <w:spacing w:val="1"/>
        </w:rPr>
        <w:t> </w:t>
      </w:r>
      <w:r>
        <w:rPr/>
        <w:t>years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earliest</w:t>
      </w:r>
      <w:r>
        <w:rPr>
          <w:spacing w:val="-4"/>
        </w:rPr>
        <w:t> </w:t>
      </w:r>
      <w:r>
        <w:rPr/>
        <w:t>effective</w:t>
      </w:r>
      <w:r>
        <w:rPr>
          <w:spacing w:val="-3"/>
        </w:rPr>
        <w:t> </w:t>
      </w:r>
      <w:r>
        <w:rPr/>
        <w:t>non-provisional</w:t>
      </w:r>
      <w:r>
        <w:rPr>
          <w:spacing w:val="-4"/>
        </w:rPr>
        <w:t> </w:t>
      </w:r>
      <w:r>
        <w:rPr/>
        <w:t>filing</w:t>
      </w:r>
      <w:r>
        <w:rPr>
          <w:spacing w:val="-2"/>
        </w:rPr>
        <w:t> </w:t>
      </w:r>
      <w:r>
        <w:rPr/>
        <w:t>date.</w:t>
      </w:r>
      <w:r>
        <w:rPr>
          <w:spacing w:val="-3"/>
        </w:rPr>
        <w:t> </w:t>
      </w:r>
      <w:r>
        <w:rPr/>
        <w:t>Further,</w:t>
      </w:r>
      <w:r>
        <w:rPr>
          <w:spacing w:val="-2"/>
        </w:rPr>
        <w:t> </w:t>
      </w:r>
      <w:r>
        <w:rPr/>
        <w:t>if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encounter</w:t>
      </w:r>
      <w:r>
        <w:rPr>
          <w:spacing w:val="-3"/>
        </w:rPr>
        <w:t> </w:t>
      </w:r>
      <w:r>
        <w:rPr/>
        <w:t>delays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future</w:t>
      </w:r>
      <w:r>
        <w:rPr>
          <w:spacing w:val="-3"/>
        </w:rPr>
        <w:t> </w:t>
      </w:r>
      <w:r>
        <w:rPr/>
        <w:t>regulatory</w:t>
      </w:r>
      <w:r>
        <w:rPr>
          <w:spacing w:val="-47"/>
        </w:rPr>
        <w:t> </w:t>
      </w:r>
      <w:r>
        <w:rPr/>
        <w:t>approvals, the period of time during which we could market a product or a service under patent protection could be</w:t>
      </w:r>
      <w:r>
        <w:rPr>
          <w:spacing w:val="-47"/>
        </w:rPr>
        <w:t> </w:t>
      </w:r>
      <w:r>
        <w:rPr/>
        <w:t>reduced, and, given the amount of time required for the development, testing and regulatory review of planned or</w:t>
      </w:r>
      <w:r>
        <w:rPr>
          <w:spacing w:val="1"/>
        </w:rPr>
        <w:t> </w:t>
      </w:r>
      <w:r>
        <w:rPr/>
        <w:t>future products or services, patents protecting such products or services might expire before or shortly after such</w:t>
      </w:r>
      <w:r>
        <w:rPr>
          <w:spacing w:val="1"/>
        </w:rPr>
        <w:t> </w:t>
      </w:r>
      <w:r>
        <w:rPr/>
        <w:t>products or services are commercialized. As a result, our patent rights may not provide us with sufficient rights to</w:t>
      </w:r>
      <w:r>
        <w:rPr>
          <w:spacing w:val="1"/>
        </w:rPr>
        <w:t> </w:t>
      </w:r>
      <w:r>
        <w:rPr/>
        <w:t>exclude</w:t>
      </w:r>
      <w:r>
        <w:rPr>
          <w:spacing w:val="-3"/>
        </w:rPr>
        <w:t> </w:t>
      </w:r>
      <w:r>
        <w:rPr/>
        <w:t>others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manufacturing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commercializing</w:t>
      </w:r>
      <w:r>
        <w:rPr>
          <w:spacing w:val="-1"/>
        </w:rPr>
        <w:t> </w:t>
      </w:r>
      <w:r>
        <w:rPr/>
        <w:t>products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similar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identical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ours.</w:t>
      </w:r>
    </w:p>
    <w:p>
      <w:pPr>
        <w:pStyle w:val="BodyText"/>
        <w:spacing w:line="249" w:lineRule="auto" w:before="185"/>
        <w:ind w:right="148"/>
      </w:pPr>
      <w:r>
        <w:rPr/>
        <w:t>If we are unable to obtain, maintain and enforce our issued patent, trademarks and other intellectual property</w:t>
      </w:r>
      <w:r>
        <w:rPr>
          <w:spacing w:val="1"/>
        </w:rPr>
        <w:t> </w:t>
      </w:r>
      <w:r>
        <w:rPr/>
        <w:t>rights related to our products, services or technology, or if the scope of the issued patents, trademarks or other</w:t>
      </w:r>
      <w:r>
        <w:rPr>
          <w:spacing w:val="1"/>
        </w:rPr>
        <w:t> </w:t>
      </w:r>
      <w:r>
        <w:rPr/>
        <w:t>intellectual property right protection is insufficient, our competitors could develop, manufacture and commercialize</w:t>
      </w:r>
      <w:r>
        <w:rPr>
          <w:spacing w:val="-47"/>
        </w:rPr>
        <w:t> </w:t>
      </w:r>
      <w:r>
        <w:rPr/>
        <w:t>products,</w:t>
      </w:r>
      <w:r>
        <w:rPr>
          <w:spacing w:val="-3"/>
        </w:rPr>
        <w:t> </w:t>
      </w:r>
      <w:r>
        <w:rPr/>
        <w:t>services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technology</w:t>
      </w:r>
      <w:r>
        <w:rPr>
          <w:spacing w:val="-3"/>
        </w:rPr>
        <w:t> </w:t>
      </w:r>
      <w:r>
        <w:rPr/>
        <w:t>similar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superior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ours,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our</w:t>
      </w:r>
      <w:r>
        <w:rPr>
          <w:spacing w:val="-3"/>
        </w:rPr>
        <w:t> </w:t>
      </w:r>
      <w:r>
        <w:rPr/>
        <w:t>competitive</w:t>
      </w:r>
      <w:r>
        <w:rPr>
          <w:spacing w:val="-4"/>
        </w:rPr>
        <w:t> </w:t>
      </w:r>
      <w:r>
        <w:rPr/>
        <w:t>position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adversely</w:t>
      </w:r>
      <w:r>
        <w:rPr>
          <w:spacing w:val="-3"/>
        </w:rPr>
        <w:t> </w:t>
      </w:r>
      <w:r>
        <w:rPr/>
        <w:t>affected.</w:t>
      </w:r>
      <w:r>
        <w:rPr>
          <w:spacing w:val="-47"/>
        </w:rPr>
        <w:t> </w:t>
      </w:r>
      <w:r>
        <w:rPr/>
        <w:t>In addition, the patent prosecution process is expensive, time-consuming and complex, and we may not be able to</w:t>
      </w:r>
      <w:r>
        <w:rPr>
          <w:spacing w:val="1"/>
        </w:rPr>
        <w:t> </w:t>
      </w:r>
      <w:r>
        <w:rPr/>
        <w:t>file, prosecute, maintain, enforce or license all necessary or desirable patent applications at a reasonable cost or in a</w:t>
      </w:r>
      <w:r>
        <w:rPr>
          <w:spacing w:val="1"/>
        </w:rPr>
        <w:t> </w:t>
      </w:r>
      <w:r>
        <w:rPr/>
        <w:t>timely</w:t>
      </w:r>
      <w:r>
        <w:rPr>
          <w:spacing w:val="-1"/>
        </w:rPr>
        <w:t> </w:t>
      </w:r>
      <w:r>
        <w:rPr/>
        <w:t>manner.</w:t>
      </w:r>
    </w:p>
    <w:p>
      <w:pPr>
        <w:pStyle w:val="BodyText"/>
        <w:spacing w:line="249" w:lineRule="auto" w:before="186"/>
        <w:ind w:right="201"/>
      </w:pPr>
      <w:r>
        <w:rPr/>
        <w:t>Some of our patents and patent applications may in the future be co-owned with third parties. If we are unable</w:t>
      </w:r>
      <w:r>
        <w:rPr>
          <w:spacing w:val="1"/>
        </w:rPr>
        <w:t> </w:t>
      </w:r>
      <w:r>
        <w:rPr/>
        <w:t>to</w:t>
      </w:r>
      <w:r>
        <w:rPr>
          <w:spacing w:val="-3"/>
        </w:rPr>
        <w:t> </w:t>
      </w:r>
      <w:r>
        <w:rPr/>
        <w:t>obtain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exclusive</w:t>
      </w:r>
      <w:r>
        <w:rPr>
          <w:spacing w:val="-4"/>
        </w:rPr>
        <w:t> </w:t>
      </w:r>
      <w:r>
        <w:rPr/>
        <w:t>license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third-party</w:t>
      </w:r>
      <w:r>
        <w:rPr>
          <w:spacing w:val="-3"/>
        </w:rPr>
        <w:t> </w:t>
      </w:r>
      <w:r>
        <w:rPr/>
        <w:t>co-owners’</w:t>
      </w:r>
      <w:r>
        <w:rPr>
          <w:spacing w:val="-2"/>
        </w:rPr>
        <w:t> </w:t>
      </w:r>
      <w:r>
        <w:rPr/>
        <w:t>interest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patents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patent</w:t>
      </w:r>
      <w:r>
        <w:rPr>
          <w:spacing w:val="-4"/>
        </w:rPr>
        <w:t> </w:t>
      </w:r>
      <w:r>
        <w:rPr/>
        <w:t>applications,</w:t>
      </w:r>
      <w:r>
        <w:rPr>
          <w:spacing w:val="-3"/>
        </w:rPr>
        <w:t> </w:t>
      </w:r>
      <w:r>
        <w:rPr/>
        <w:t>such</w:t>
      </w:r>
      <w:r>
        <w:rPr>
          <w:spacing w:val="-47"/>
        </w:rPr>
        <w:t> </w:t>
      </w:r>
      <w:r>
        <w:rPr/>
        <w:t>co-owners may be able to license their rights to other third parties, including our competitors, and our competitors</w:t>
      </w:r>
      <w:r>
        <w:rPr>
          <w:spacing w:val="1"/>
        </w:rPr>
        <w:t> </w:t>
      </w:r>
      <w:r>
        <w:rPr/>
        <w:t>could market competing products, services and technology. In addition, we may need the cooperation of any such</w:t>
      </w:r>
      <w:r>
        <w:rPr>
          <w:spacing w:val="1"/>
        </w:rPr>
        <w:t> </w:t>
      </w:r>
      <w:r>
        <w:rPr/>
        <w:t>co-owners of our patents in order to enforce such patents against third parties, and such cooperation may not be</w:t>
      </w:r>
      <w:r>
        <w:rPr>
          <w:spacing w:val="1"/>
        </w:rPr>
        <w:t> </w:t>
      </w:r>
      <w:r>
        <w:rPr/>
        <w:t>provided</w:t>
      </w:r>
      <w:r>
        <w:rPr>
          <w:spacing w:val="-1"/>
        </w:rPr>
        <w:t> </w:t>
      </w:r>
      <w:r>
        <w:rPr/>
        <w:t>to us.</w:t>
      </w:r>
    </w:p>
    <w:p>
      <w:pPr>
        <w:pStyle w:val="BodyText"/>
        <w:spacing w:line="249" w:lineRule="auto" w:before="185"/>
        <w:ind w:right="166"/>
      </w:pPr>
      <w:r>
        <w:rPr/>
        <w:t>The U.S. federal government retains certain rights in inventions produced with its financial assistance under the</w:t>
      </w:r>
      <w:r>
        <w:rPr>
          <w:spacing w:val="-47"/>
        </w:rPr>
        <w:t> </w:t>
      </w:r>
      <w:r>
        <w:rPr/>
        <w:t>Bayh-Dole Act. The federal government retains a “nonexclusive, nontransferable, irrevocable, paid-up license” for</w:t>
      </w:r>
      <w:r>
        <w:rPr>
          <w:spacing w:val="1"/>
        </w:rPr>
        <w:t> </w:t>
      </w:r>
      <w:r>
        <w:rPr/>
        <w:t>its</w:t>
      </w:r>
      <w:r>
        <w:rPr>
          <w:spacing w:val="-4"/>
        </w:rPr>
        <w:t> </w:t>
      </w:r>
      <w:r>
        <w:rPr/>
        <w:t>own</w:t>
      </w:r>
      <w:r>
        <w:rPr>
          <w:spacing w:val="-3"/>
        </w:rPr>
        <w:t> </w:t>
      </w:r>
      <w:r>
        <w:rPr/>
        <w:t>benefit.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Bayh-Dole</w:t>
      </w:r>
      <w:r>
        <w:rPr>
          <w:spacing w:val="-4"/>
        </w:rPr>
        <w:t> </w:t>
      </w:r>
      <w:r>
        <w:rPr/>
        <w:t>Act</w:t>
      </w:r>
      <w:r>
        <w:rPr>
          <w:spacing w:val="-3"/>
        </w:rPr>
        <w:t> </w:t>
      </w:r>
      <w:r>
        <w:rPr/>
        <w:t>also</w:t>
      </w:r>
      <w:r>
        <w:rPr>
          <w:spacing w:val="-3"/>
        </w:rPr>
        <w:t> </w:t>
      </w:r>
      <w:r>
        <w:rPr/>
        <w:t>provides</w:t>
      </w:r>
      <w:r>
        <w:rPr>
          <w:spacing w:val="-4"/>
        </w:rPr>
        <w:t> </w:t>
      </w:r>
      <w:r>
        <w:rPr/>
        <w:t>federal</w:t>
      </w:r>
      <w:r>
        <w:rPr>
          <w:spacing w:val="-4"/>
        </w:rPr>
        <w:t> </w:t>
      </w:r>
      <w:r>
        <w:rPr/>
        <w:t>agencies</w:t>
      </w:r>
      <w:r>
        <w:rPr>
          <w:spacing w:val="-4"/>
        </w:rPr>
        <w:t> </w:t>
      </w:r>
      <w:r>
        <w:rPr/>
        <w:t>with</w:t>
      </w:r>
      <w:r>
        <w:rPr>
          <w:spacing w:val="-2"/>
        </w:rPr>
        <w:t> </w:t>
      </w:r>
      <w:r>
        <w:rPr/>
        <w:t>“march-in</w:t>
      </w:r>
      <w:r>
        <w:rPr>
          <w:spacing w:val="-3"/>
        </w:rPr>
        <w:t> </w:t>
      </w:r>
      <w:r>
        <w:rPr/>
        <w:t>rights.”</w:t>
      </w:r>
      <w:r>
        <w:rPr>
          <w:spacing w:val="-4"/>
        </w:rPr>
        <w:t> </w:t>
      </w:r>
      <w:r>
        <w:rPr/>
        <w:t>March-in</w:t>
      </w:r>
      <w:r>
        <w:rPr>
          <w:spacing w:val="-3"/>
        </w:rPr>
        <w:t> </w:t>
      </w:r>
      <w:r>
        <w:rPr/>
        <w:t>rights</w:t>
      </w:r>
      <w:r>
        <w:rPr>
          <w:spacing w:val="-4"/>
        </w:rPr>
        <w:t> </w:t>
      </w:r>
      <w:r>
        <w:rPr/>
        <w:t>allow</w:t>
      </w:r>
      <w:r>
        <w:rPr>
          <w:spacing w:val="-3"/>
        </w:rPr>
        <w:t> </w:t>
      </w:r>
      <w:r>
        <w:rPr/>
        <w:t>the</w:t>
      </w:r>
      <w:r>
        <w:rPr>
          <w:spacing w:val="-47"/>
        </w:rPr>
        <w:t> </w:t>
      </w:r>
      <w:r>
        <w:rPr/>
        <w:t>government, in specified circumstances, to require the patent owner or successors in title to the patent to grant a</w:t>
      </w:r>
      <w:r>
        <w:rPr>
          <w:spacing w:val="1"/>
        </w:rPr>
        <w:t> </w:t>
      </w:r>
      <w:r>
        <w:rPr/>
        <w:t>“nonexclusive, partially exclusive, or exclusive license” to a “responsible applicant or applicants.” If the patent</w:t>
      </w:r>
      <w:r>
        <w:rPr>
          <w:spacing w:val="1"/>
        </w:rPr>
        <w:t> </w:t>
      </w:r>
      <w:r>
        <w:rPr/>
        <w:t>owner refuses to do so, the government may grant the license to itself. We cannot be sure that if we acquire</w:t>
      </w:r>
      <w:r>
        <w:rPr>
          <w:spacing w:val="1"/>
        </w:rPr>
        <w:t> </w:t>
      </w:r>
      <w:r>
        <w:rPr/>
        <w:t>intellectual property rights in the future it will be free from government rights or regulations pursuant to the Bayh-</w:t>
      </w:r>
      <w:r>
        <w:rPr>
          <w:spacing w:val="1"/>
        </w:rPr>
        <w:t> </w:t>
      </w:r>
      <w:r>
        <w:rPr/>
        <w:t>Dole Act. If, in the future, we own, co-own or license in technology that is critical to our business that is developed</w:t>
      </w:r>
      <w:r>
        <w:rPr>
          <w:spacing w:val="1"/>
        </w:rPr>
        <w:t> </w:t>
      </w:r>
      <w:r>
        <w:rPr/>
        <w:t>in whole or in part with federal funds subject to the Bayh-Dole Act, our ability to enforce or otherwise exploit</w:t>
      </w:r>
      <w:r>
        <w:rPr>
          <w:spacing w:val="1"/>
        </w:rPr>
        <w:t> </w:t>
      </w:r>
      <w:r>
        <w:rPr/>
        <w:t>patents covering such technology may be adversely affected. Any of the foregoing could have a material adverse</w:t>
      </w:r>
      <w:r>
        <w:rPr>
          <w:spacing w:val="1"/>
        </w:rPr>
        <w:t> </w:t>
      </w:r>
      <w:r>
        <w:rPr/>
        <w:t>effect</w:t>
      </w:r>
      <w:r>
        <w:rPr>
          <w:spacing w:val="-2"/>
        </w:rPr>
        <w:t> </w:t>
      </w:r>
      <w:r>
        <w:rPr/>
        <w:t>on our business,</w:t>
      </w:r>
      <w:r>
        <w:rPr>
          <w:spacing w:val="-1"/>
        </w:rPr>
        <w:t> </w:t>
      </w:r>
      <w:r>
        <w:rPr/>
        <w:t>financial</w:t>
      </w:r>
      <w:r>
        <w:rPr>
          <w:spacing w:val="-1"/>
        </w:rPr>
        <w:t> </w:t>
      </w:r>
      <w:r>
        <w:rPr/>
        <w:t>condition and</w:t>
      </w:r>
      <w:r>
        <w:rPr>
          <w:spacing w:val="-1"/>
        </w:rPr>
        <w:t> </w:t>
      </w:r>
      <w:r>
        <w:rPr/>
        <w:t>results</w:t>
      </w:r>
      <w:r>
        <w:rPr>
          <w:spacing w:val="-1"/>
        </w:rPr>
        <w:t> </w:t>
      </w:r>
      <w:r>
        <w:rPr/>
        <w:t>of operations.</w:t>
      </w:r>
    </w:p>
    <w:p>
      <w:pPr>
        <w:pStyle w:val="BodyText"/>
        <w:spacing w:line="249" w:lineRule="auto" w:before="189"/>
        <w:ind w:right="147"/>
      </w:pPr>
      <w:r>
        <w:rPr/>
        <w:t>Additionally, while software and other of our proprietary works may be protected under copyright law, we have</w:t>
      </w:r>
      <w:r>
        <w:rPr>
          <w:spacing w:val="-47"/>
        </w:rPr>
        <w:t> </w:t>
      </w:r>
      <w:r>
        <w:rPr/>
        <w:t>chosen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register</w:t>
      </w:r>
      <w:r>
        <w:rPr>
          <w:spacing w:val="-2"/>
        </w:rPr>
        <w:t> </w:t>
      </w:r>
      <w:r>
        <w:rPr/>
        <w:t>any</w:t>
      </w:r>
      <w:r>
        <w:rPr>
          <w:spacing w:val="-3"/>
        </w:rPr>
        <w:t> </w:t>
      </w:r>
      <w:r>
        <w:rPr/>
        <w:t>copyrights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these</w:t>
      </w:r>
      <w:r>
        <w:rPr>
          <w:spacing w:val="-3"/>
        </w:rPr>
        <w:t> </w:t>
      </w:r>
      <w:r>
        <w:rPr/>
        <w:t>works,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instead,</w:t>
      </w:r>
      <w:r>
        <w:rPr>
          <w:spacing w:val="-2"/>
        </w:rPr>
        <w:t> </w:t>
      </w:r>
      <w:r>
        <w:rPr/>
        <w:t>primarily</w:t>
      </w:r>
      <w:r>
        <w:rPr>
          <w:spacing w:val="-2"/>
        </w:rPr>
        <w:t> </w:t>
      </w:r>
      <w:r>
        <w:rPr/>
        <w:t>rely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protecting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software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trade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  <w:ind w:right="180" w:firstLine="0"/>
      </w:pPr>
      <w:r>
        <w:rPr/>
        <w:t>secret.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bring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copyright</w:t>
      </w:r>
      <w:r>
        <w:rPr>
          <w:spacing w:val="-3"/>
        </w:rPr>
        <w:t> </w:t>
      </w:r>
      <w:r>
        <w:rPr/>
        <w:t>infringement</w:t>
      </w:r>
      <w:r>
        <w:rPr>
          <w:spacing w:val="-4"/>
        </w:rPr>
        <w:t> </w:t>
      </w:r>
      <w:r>
        <w:rPr/>
        <w:t>lawsuit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United</w:t>
      </w:r>
      <w:r>
        <w:rPr>
          <w:spacing w:val="-2"/>
        </w:rPr>
        <w:t> </w:t>
      </w:r>
      <w:r>
        <w:rPr/>
        <w:t>States,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copyright</w:t>
      </w:r>
      <w:r>
        <w:rPr>
          <w:spacing w:val="-4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registered.</w:t>
      </w:r>
      <w:r>
        <w:rPr>
          <w:spacing w:val="-47"/>
        </w:rPr>
        <w:t> </w:t>
      </w:r>
      <w:r>
        <w:rPr/>
        <w:t>Accordingly,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remedies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damages</w:t>
      </w:r>
      <w:r>
        <w:rPr>
          <w:spacing w:val="-3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us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unauthorized</w:t>
      </w:r>
      <w:r>
        <w:rPr>
          <w:spacing w:val="-2"/>
        </w:rPr>
        <w:t> </w:t>
      </w:r>
      <w:r>
        <w:rPr/>
        <w:t>use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our</w:t>
      </w:r>
      <w:r>
        <w:rPr>
          <w:spacing w:val="-1"/>
        </w:rPr>
        <w:t> </w:t>
      </w:r>
      <w:r>
        <w:rPr/>
        <w:t>software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limited.</w:t>
      </w:r>
    </w:p>
    <w:p>
      <w:pPr>
        <w:pStyle w:val="Heading3"/>
        <w:spacing w:line="249" w:lineRule="auto" w:before="178"/>
      </w:pPr>
      <w:r>
        <w:rPr>
          <w:i/>
        </w:rPr>
        <w:t>Obtaining and maintaining patent protection depends on compliance with various procedural, document</w:t>
      </w:r>
      <w:r>
        <w:rPr>
          <w:i/>
          <w:spacing w:val="1"/>
        </w:rPr>
        <w:t> </w:t>
      </w:r>
      <w:r>
        <w:rPr/>
        <w:t>submission,</w:t>
      </w:r>
      <w:r>
        <w:rPr>
          <w:spacing w:val="-4"/>
        </w:rPr>
        <w:t> </w:t>
      </w:r>
      <w:r>
        <w:rPr/>
        <w:t>fee</w:t>
      </w:r>
      <w:r>
        <w:rPr>
          <w:spacing w:val="-5"/>
        </w:rPr>
        <w:t> </w:t>
      </w:r>
      <w:r>
        <w:rPr/>
        <w:t>payment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other</w:t>
      </w:r>
      <w:r>
        <w:rPr>
          <w:spacing w:val="-4"/>
        </w:rPr>
        <w:t> </w:t>
      </w:r>
      <w:r>
        <w:rPr/>
        <w:t>requirements</w:t>
      </w:r>
      <w:r>
        <w:rPr>
          <w:spacing w:val="-5"/>
        </w:rPr>
        <w:t> </w:t>
      </w:r>
      <w:r>
        <w:rPr/>
        <w:t>imposed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governmental</w:t>
      </w:r>
      <w:r>
        <w:rPr>
          <w:spacing w:val="-5"/>
        </w:rPr>
        <w:t> </w:t>
      </w:r>
      <w:r>
        <w:rPr/>
        <w:t>patent</w:t>
      </w:r>
      <w:r>
        <w:rPr>
          <w:spacing w:val="-5"/>
        </w:rPr>
        <w:t> </w:t>
      </w:r>
      <w:r>
        <w:rPr/>
        <w:t>agencies,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our</w:t>
      </w:r>
      <w:r>
        <w:rPr>
          <w:spacing w:val="-5"/>
        </w:rPr>
        <w:t> </w:t>
      </w:r>
      <w:r>
        <w:rPr/>
        <w:t>patent</w:t>
      </w:r>
      <w:r>
        <w:rPr>
          <w:spacing w:val="1"/>
        </w:rPr>
        <w:t> </w:t>
      </w:r>
      <w:r>
        <w:rPr/>
        <w:t>protection</w:t>
      </w:r>
      <w:r>
        <w:rPr>
          <w:spacing w:val="-3"/>
        </w:rPr>
        <w:t> </w:t>
      </w:r>
      <w:r>
        <w:rPr/>
        <w:t>could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reduced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eliminated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non-compliance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these</w:t>
      </w:r>
      <w:r>
        <w:rPr>
          <w:spacing w:val="-2"/>
        </w:rPr>
        <w:t> </w:t>
      </w:r>
      <w:r>
        <w:rPr/>
        <w:t>requirements.</w:t>
      </w:r>
    </w:p>
    <w:p>
      <w:pPr>
        <w:pStyle w:val="BodyText"/>
        <w:spacing w:line="249" w:lineRule="auto" w:before="186"/>
        <w:ind w:right="148"/>
      </w:pPr>
      <w:r>
        <w:rPr/>
        <w:t>The U.S. Patent and Trademark Office, or USPTO, and various foreign governmental patent agencies require</w:t>
      </w:r>
      <w:r>
        <w:rPr>
          <w:spacing w:val="1"/>
        </w:rPr>
        <w:t> </w:t>
      </w:r>
      <w:r>
        <w:rPr/>
        <w:t>compliance with a number of procedural, documentary, fee payment and other similar provisions during the patent</w:t>
      </w:r>
      <w:r>
        <w:rPr>
          <w:spacing w:val="1"/>
        </w:rPr>
        <w:t> </w:t>
      </w:r>
      <w:r>
        <w:rPr/>
        <w:t>application</w:t>
      </w:r>
      <w:r>
        <w:rPr>
          <w:spacing w:val="-4"/>
        </w:rPr>
        <w:t> </w:t>
      </w:r>
      <w:r>
        <w:rPr/>
        <w:t>process.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addition,</w:t>
      </w:r>
      <w:r>
        <w:rPr>
          <w:spacing w:val="-3"/>
        </w:rPr>
        <w:t> </w:t>
      </w:r>
      <w:r>
        <w:rPr/>
        <w:t>periodic</w:t>
      </w:r>
      <w:r>
        <w:rPr>
          <w:spacing w:val="-5"/>
        </w:rPr>
        <w:t> </w:t>
      </w:r>
      <w:r>
        <w:rPr/>
        <w:t>maintenance</w:t>
      </w:r>
      <w:r>
        <w:rPr>
          <w:spacing w:val="-4"/>
        </w:rPr>
        <w:t> </w:t>
      </w:r>
      <w:r>
        <w:rPr/>
        <w:t>fees,</w:t>
      </w:r>
      <w:r>
        <w:rPr>
          <w:spacing w:val="-3"/>
        </w:rPr>
        <w:t> </w:t>
      </w:r>
      <w:r>
        <w:rPr/>
        <w:t>renewal</w:t>
      </w:r>
      <w:r>
        <w:rPr>
          <w:spacing w:val="-4"/>
        </w:rPr>
        <w:t> </w:t>
      </w:r>
      <w:r>
        <w:rPr/>
        <w:t>fees,</w:t>
      </w:r>
      <w:r>
        <w:rPr>
          <w:spacing w:val="-3"/>
        </w:rPr>
        <w:t> </w:t>
      </w:r>
      <w:r>
        <w:rPr/>
        <w:t>annuity</w:t>
      </w:r>
      <w:r>
        <w:rPr>
          <w:spacing w:val="-4"/>
        </w:rPr>
        <w:t> </w:t>
      </w:r>
      <w:r>
        <w:rPr/>
        <w:t>fees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various</w:t>
      </w:r>
      <w:r>
        <w:rPr>
          <w:spacing w:val="-4"/>
        </w:rPr>
        <w:t> </w:t>
      </w:r>
      <w:r>
        <w:rPr/>
        <w:t>other</w:t>
      </w:r>
      <w:r>
        <w:rPr>
          <w:spacing w:val="-3"/>
        </w:rPr>
        <w:t> </w:t>
      </w:r>
      <w:r>
        <w:rPr/>
        <w:t>government</w:t>
      </w:r>
      <w:r>
        <w:rPr>
          <w:spacing w:val="-47"/>
        </w:rPr>
        <w:t> </w:t>
      </w:r>
      <w:r>
        <w:rPr/>
        <w:t>fees on issued patents often must be paid to the USPTO and foreign patent agencies over the lifetime of the patent</w:t>
      </w:r>
      <w:r>
        <w:rPr>
          <w:spacing w:val="1"/>
        </w:rPr>
        <w:t> </w:t>
      </w:r>
      <w:r>
        <w:rPr/>
        <w:t>and/or applications and any patent rights we may obtain in the future. While an unintentional lapse of a patent or</w:t>
      </w:r>
      <w:r>
        <w:rPr>
          <w:spacing w:val="1"/>
        </w:rPr>
        <w:t> </w:t>
      </w:r>
      <w:r>
        <w:rPr/>
        <w:t>patent application can in many cases be cured by payment of a late fee or by other means in accordance with the</w:t>
      </w:r>
      <w:r>
        <w:rPr>
          <w:spacing w:val="1"/>
        </w:rPr>
        <w:t> </w:t>
      </w:r>
      <w:r>
        <w:rPr/>
        <w:t>applicable rules, there are situations in which non-compliance can result in abandonment or lapse of the patent or</w:t>
      </w:r>
      <w:r>
        <w:rPr>
          <w:spacing w:val="1"/>
        </w:rPr>
        <w:t> </w:t>
      </w:r>
      <w:r>
        <w:rPr/>
        <w:t>patent application, resulting in partial or complete loss of patent rights in the relevant jurisdiction. Non-compliance</w:t>
      </w:r>
      <w:r>
        <w:rPr>
          <w:spacing w:val="1"/>
        </w:rPr>
        <w:t> </w:t>
      </w:r>
      <w:r>
        <w:rPr/>
        <w:t>events that could result in abandonment or lapse of a patent or patent application include, but are not limited to,</w:t>
      </w:r>
      <w:r>
        <w:rPr>
          <w:spacing w:val="1"/>
        </w:rPr>
        <w:t> </w:t>
      </w:r>
      <w:r>
        <w:rPr/>
        <w:t>failure to respond to official actions within prescribed time limits, non-payment of fees and failure to properly</w:t>
      </w:r>
      <w:r>
        <w:rPr>
          <w:spacing w:val="1"/>
        </w:rPr>
        <w:t> </w:t>
      </w:r>
      <w:r>
        <w:rPr/>
        <w:t>legalize and submit formal documents. If we fail to maintain the patents and patent applications covering our</w:t>
      </w:r>
      <w:r>
        <w:rPr>
          <w:spacing w:val="1"/>
        </w:rPr>
        <w:t> </w:t>
      </w:r>
      <w:r>
        <w:rPr/>
        <w:t>products or services, we may not be able to stop a competitor from marketing products or services that are the same</w:t>
      </w:r>
      <w:r>
        <w:rPr>
          <w:spacing w:val="1"/>
        </w:rPr>
        <w:t> </w:t>
      </w:r>
      <w:r>
        <w:rPr/>
        <w:t>as or similar to our products or services, which would have a material adverse effect on our business, financial</w:t>
      </w:r>
      <w:r>
        <w:rPr>
          <w:spacing w:val="1"/>
        </w:rPr>
        <w:t> </w:t>
      </w:r>
      <w:r>
        <w:rPr/>
        <w:t>condition</w:t>
      </w:r>
      <w:r>
        <w:rPr>
          <w:spacing w:val="-1"/>
        </w:rPr>
        <w:t> </w:t>
      </w:r>
      <w:r>
        <w:rPr/>
        <w:t>and results</w:t>
      </w:r>
      <w:r>
        <w:rPr>
          <w:spacing w:val="-1"/>
        </w:rPr>
        <w:t> </w:t>
      </w:r>
      <w:r>
        <w:rPr/>
        <w:t>of operations.</w:t>
      </w:r>
    </w:p>
    <w:p>
      <w:pPr>
        <w:pStyle w:val="Heading3"/>
        <w:spacing w:line="249" w:lineRule="auto" w:before="188"/>
        <w:ind w:right="212"/>
      </w:pPr>
      <w:r>
        <w:rPr>
          <w:i/>
        </w:rPr>
        <w:t>We may become involved in lawsuits to protect or enforce our patents and other intellectual property rights,</w:t>
      </w:r>
      <w:r>
        <w:rPr>
          <w:i/>
          <w:spacing w:val="1"/>
        </w:rPr>
        <w:t> </w:t>
      </w:r>
      <w:r>
        <w:rPr/>
        <w:t>which</w:t>
      </w:r>
      <w:r>
        <w:rPr>
          <w:spacing w:val="-6"/>
        </w:rPr>
        <w:t> </w:t>
      </w:r>
      <w:r>
        <w:rPr/>
        <w:t>could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expensive,</w:t>
      </w:r>
      <w:r>
        <w:rPr>
          <w:spacing w:val="-4"/>
        </w:rPr>
        <w:t> </w:t>
      </w:r>
      <w:r>
        <w:rPr/>
        <w:t>time-consuming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unsuccessful,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if</w:t>
      </w:r>
      <w:r>
        <w:rPr>
          <w:spacing w:val="-4"/>
        </w:rPr>
        <w:t> </w:t>
      </w:r>
      <w:r>
        <w:rPr/>
        <w:t>unsuccessful,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commercial</w:t>
      </w:r>
      <w:r>
        <w:rPr>
          <w:spacing w:val="-5"/>
        </w:rPr>
        <w:t> </w:t>
      </w:r>
      <w:r>
        <w:rPr/>
        <w:t>value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our</w:t>
      </w:r>
      <w:r>
        <w:rPr>
          <w:spacing w:val="1"/>
        </w:rPr>
        <w:t> </w:t>
      </w:r>
      <w:r>
        <w:rPr/>
        <w:t>products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adversely</w:t>
      </w:r>
      <w:r>
        <w:rPr>
          <w:spacing w:val="-2"/>
        </w:rPr>
        <w:t> </w:t>
      </w:r>
      <w:r>
        <w:rPr/>
        <w:t>affected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our</w:t>
      </w:r>
      <w:r>
        <w:rPr>
          <w:spacing w:val="-2"/>
        </w:rPr>
        <w:t> </w:t>
      </w:r>
      <w:r>
        <w:rPr/>
        <w:t>competitive</w:t>
      </w:r>
      <w:r>
        <w:rPr>
          <w:spacing w:val="-2"/>
        </w:rPr>
        <w:t> </w:t>
      </w:r>
      <w:r>
        <w:rPr/>
        <w:t>position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harmed.</w:t>
      </w:r>
    </w:p>
    <w:p>
      <w:pPr>
        <w:pStyle w:val="BodyText"/>
        <w:spacing w:line="249" w:lineRule="auto" w:before="186"/>
        <w:ind w:right="122"/>
      </w:pPr>
      <w:r>
        <w:rPr/>
        <w:t>Third parties, including our competitors, may currently, or in the future, infringe, misappropriate or otherwise</w:t>
      </w:r>
      <w:r>
        <w:rPr>
          <w:spacing w:val="1"/>
        </w:rPr>
        <w:t> </w:t>
      </w:r>
      <w:r>
        <w:rPr/>
        <w:t>violate our issued patents or other intellectual property rights, and we may file lawsuits or initiate other proceedings</w:t>
      </w:r>
      <w:r>
        <w:rPr>
          <w:spacing w:val="1"/>
        </w:rPr>
        <w:t> </w:t>
      </w:r>
      <w:r>
        <w:rPr/>
        <w:t>to protect or enforce our patents or other intellectual property rights, which could be expensive, time-consuming and</w:t>
      </w:r>
      <w:r>
        <w:rPr>
          <w:spacing w:val="-47"/>
        </w:rPr>
        <w:t> </w:t>
      </w:r>
      <w:r>
        <w:rPr/>
        <w:t>unsuccessful. While we are not aware of any unauthorized use of our intellectual property rights, we do not regularly</w:t>
      </w:r>
      <w:r>
        <w:rPr>
          <w:spacing w:val="-47"/>
        </w:rPr>
        <w:t> </w:t>
      </w:r>
      <w:r>
        <w:rPr/>
        <w:t>conduct monitoring for unauthorized use at this time. In the future, we may, from time to time, seek to analyze our</w:t>
      </w:r>
      <w:r>
        <w:rPr>
          <w:spacing w:val="1"/>
        </w:rPr>
        <w:t> </w:t>
      </w:r>
      <w:r>
        <w:rPr/>
        <w:t>competitors’ products and services, or seek to enforce our rights against potential infringement, misappropriation or</w:t>
      </w:r>
      <w:r>
        <w:rPr>
          <w:spacing w:val="1"/>
        </w:rPr>
        <w:t> </w:t>
      </w:r>
      <w:r>
        <w:rPr/>
        <w:t>violation of our intellectual property rights. The steps we have taken to protect our proprietary rights may not be</w:t>
      </w:r>
      <w:r>
        <w:rPr>
          <w:spacing w:val="1"/>
        </w:rPr>
        <w:t> </w:t>
      </w:r>
      <w:r>
        <w:rPr/>
        <w:t>adequate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enforce</w:t>
      </w:r>
      <w:r>
        <w:rPr>
          <w:spacing w:val="-4"/>
        </w:rPr>
        <w:t> </w:t>
      </w:r>
      <w:r>
        <w:rPr/>
        <w:t>our</w:t>
      </w:r>
      <w:r>
        <w:rPr>
          <w:spacing w:val="-3"/>
        </w:rPr>
        <w:t> </w:t>
      </w:r>
      <w:r>
        <w:rPr/>
        <w:t>rights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against</w:t>
      </w:r>
      <w:r>
        <w:rPr>
          <w:spacing w:val="-4"/>
        </w:rPr>
        <w:t> </w:t>
      </w:r>
      <w:r>
        <w:rPr/>
        <w:t>such</w:t>
      </w:r>
      <w:r>
        <w:rPr>
          <w:spacing w:val="-2"/>
        </w:rPr>
        <w:t> </w:t>
      </w:r>
      <w:r>
        <w:rPr/>
        <w:t>infringement,</w:t>
      </w:r>
      <w:r>
        <w:rPr>
          <w:spacing w:val="-3"/>
        </w:rPr>
        <w:t> </w:t>
      </w:r>
      <w:r>
        <w:rPr/>
        <w:t>misappropriation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violation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intellectual</w:t>
      </w:r>
      <w:r>
        <w:rPr>
          <w:spacing w:val="-4"/>
        </w:rPr>
        <w:t> </w:t>
      </w:r>
      <w:r>
        <w:rPr/>
        <w:t>property</w:t>
      </w:r>
      <w:r>
        <w:rPr>
          <w:spacing w:val="-47"/>
        </w:rPr>
        <w:t> </w:t>
      </w:r>
      <w:r>
        <w:rPr/>
        <w:t>rights. In certain circumstances it may not be practicable or cost-effective for us to enforce our intellectual property</w:t>
      </w:r>
      <w:r>
        <w:rPr>
          <w:spacing w:val="1"/>
        </w:rPr>
        <w:t> </w:t>
      </w:r>
      <w:r>
        <w:rPr/>
        <w:t>rights fully, particularly in certain developing countries or where the initiation of a claim might harm our business</w:t>
      </w:r>
      <w:r>
        <w:rPr>
          <w:spacing w:val="1"/>
        </w:rPr>
        <w:t> </w:t>
      </w:r>
      <w:r>
        <w:rPr/>
        <w:t>relationships.</w:t>
      </w:r>
      <w:r>
        <w:rPr>
          <w:spacing w:val="2"/>
        </w:rPr>
        <w:t> </w:t>
      </w:r>
      <w:r>
        <w:rPr/>
        <w:t>We</w:t>
      </w:r>
      <w:r>
        <w:rPr>
          <w:spacing w:val="1"/>
        </w:rPr>
        <w:t> </w:t>
      </w:r>
      <w:r>
        <w:rPr/>
        <w:t>may</w:t>
      </w:r>
      <w:r>
        <w:rPr>
          <w:spacing w:val="2"/>
        </w:rPr>
        <w:t> </w:t>
      </w:r>
      <w:r>
        <w:rPr/>
        <w:t>also</w:t>
      </w:r>
      <w:r>
        <w:rPr>
          <w:spacing w:val="2"/>
        </w:rPr>
        <w:t> </w:t>
      </w:r>
      <w:r>
        <w:rPr/>
        <w:t>be</w:t>
      </w:r>
      <w:r>
        <w:rPr>
          <w:spacing w:val="1"/>
        </w:rPr>
        <w:t> </w:t>
      </w:r>
      <w:r>
        <w:rPr/>
        <w:t>hindered</w:t>
      </w:r>
      <w:r>
        <w:rPr>
          <w:spacing w:val="2"/>
        </w:rPr>
        <w:t> </w:t>
      </w:r>
      <w:r>
        <w:rPr/>
        <w:t>or</w:t>
      </w:r>
      <w:r>
        <w:rPr>
          <w:spacing w:val="2"/>
        </w:rPr>
        <w:t> </w:t>
      </w:r>
      <w:r>
        <w:rPr/>
        <w:t>prevented</w:t>
      </w:r>
      <w:r>
        <w:rPr>
          <w:spacing w:val="2"/>
        </w:rPr>
        <w:t> </w:t>
      </w:r>
      <w:r>
        <w:rPr/>
        <w:t>from</w:t>
      </w:r>
      <w:r>
        <w:rPr>
          <w:spacing w:val="1"/>
        </w:rPr>
        <w:t> </w:t>
      </w:r>
      <w:r>
        <w:rPr/>
        <w:t>enforcing</w:t>
      </w:r>
      <w:r>
        <w:rPr>
          <w:spacing w:val="2"/>
        </w:rPr>
        <w:t> </w:t>
      </w:r>
      <w:r>
        <w:rPr/>
        <w:t>our</w:t>
      </w:r>
      <w:r>
        <w:rPr>
          <w:spacing w:val="2"/>
        </w:rPr>
        <w:t> </w:t>
      </w:r>
      <w:r>
        <w:rPr/>
        <w:t>rights</w:t>
      </w:r>
      <w:r>
        <w:rPr>
          <w:spacing w:val="1"/>
        </w:rPr>
        <w:t> </w:t>
      </w:r>
      <w:r>
        <w:rPr/>
        <w:t>with</w:t>
      </w:r>
      <w:r>
        <w:rPr>
          <w:spacing w:val="2"/>
        </w:rPr>
        <w:t> </w:t>
      </w:r>
      <w:r>
        <w:rPr/>
        <w:t>respect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government</w:t>
      </w:r>
      <w:r>
        <w:rPr>
          <w:spacing w:val="1"/>
        </w:rPr>
        <w:t> </w:t>
      </w:r>
      <w:r>
        <w:rPr/>
        <w:t>entity</w:t>
      </w:r>
      <w:r>
        <w:rPr>
          <w:spacing w:val="1"/>
        </w:rPr>
        <w:t> </w:t>
      </w:r>
      <w:r>
        <w:rPr/>
        <w:t>or instrumentality because of the doctrine of sovereign immunity. Our ability to enforce our patent or other</w:t>
      </w:r>
      <w:r>
        <w:rPr>
          <w:spacing w:val="1"/>
        </w:rPr>
        <w:t> </w:t>
      </w:r>
      <w:r>
        <w:rPr/>
        <w:t>intellectual property rights depends on our ability to detect infringement. It may be difficult to detect infringers who</w:t>
      </w:r>
      <w:r>
        <w:rPr>
          <w:spacing w:val="1"/>
        </w:rPr>
        <w:t> </w:t>
      </w:r>
      <w:r>
        <w:rPr/>
        <w:t>do not advertise the components or methods that are used in connection with their products and services. Moreover,</w:t>
      </w:r>
      <w:r>
        <w:rPr>
          <w:spacing w:val="1"/>
        </w:rPr>
        <w:t> </w:t>
      </w:r>
      <w:r>
        <w:rPr/>
        <w:t>it may be difficult or impossible to obtain evidence of infringement in a competitor’s or potential competitor’s</w:t>
      </w:r>
      <w:r>
        <w:rPr>
          <w:spacing w:val="1"/>
        </w:rPr>
        <w:t> </w:t>
      </w:r>
      <w:r>
        <w:rPr/>
        <w:t>product or service. Thus, we may not be able to detect unauthorized use of, or take appropriate steps to enforce, our</w:t>
      </w:r>
      <w:r>
        <w:rPr>
          <w:spacing w:val="1"/>
        </w:rPr>
        <w:t> </w:t>
      </w:r>
      <w:r>
        <w:rPr/>
        <w:t>intellectual property rights. Any inability to meaningfully enforce our intellectual property rights could harm our</w:t>
      </w:r>
      <w:r>
        <w:rPr>
          <w:spacing w:val="1"/>
        </w:rPr>
        <w:t> </w:t>
      </w:r>
      <w:r>
        <w:rPr/>
        <w:t>ability</w:t>
      </w:r>
      <w:r>
        <w:rPr>
          <w:spacing w:val="-1"/>
        </w:rPr>
        <w:t> </w:t>
      </w:r>
      <w:r>
        <w:rPr/>
        <w:t>to compete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reduce</w:t>
      </w:r>
      <w:r>
        <w:rPr>
          <w:spacing w:val="-1"/>
        </w:rPr>
        <w:t> </w:t>
      </w:r>
      <w:r>
        <w:rPr/>
        <w:t>demand for our</w:t>
      </w:r>
      <w:r>
        <w:rPr>
          <w:spacing w:val="-1"/>
        </w:rPr>
        <w:t> </w:t>
      </w:r>
      <w:r>
        <w:rPr/>
        <w:t>products</w:t>
      </w:r>
      <w:r>
        <w:rPr>
          <w:spacing w:val="-1"/>
        </w:rPr>
        <w:t> </w:t>
      </w:r>
      <w:r>
        <w:rPr/>
        <w:t>and services.</w:t>
      </w:r>
    </w:p>
    <w:p>
      <w:pPr>
        <w:pStyle w:val="BodyText"/>
        <w:spacing w:line="249" w:lineRule="auto" w:before="194"/>
        <w:ind w:right="148"/>
      </w:pPr>
      <w:r>
        <w:rPr/>
        <w:t>In the future, we may become involved in lawsuits to protect or enforce our intellectual property rights. An</w:t>
      </w:r>
      <w:r>
        <w:rPr>
          <w:spacing w:val="1"/>
        </w:rPr>
        <w:t> </w:t>
      </w:r>
      <w:r>
        <w:rPr/>
        <w:t>adverse result in any litigation proceeding could harm our business. In any lawsuit we bring to enforce our</w:t>
      </w:r>
      <w:r>
        <w:rPr>
          <w:spacing w:val="1"/>
        </w:rPr>
        <w:t> </w:t>
      </w:r>
      <w:r>
        <w:rPr/>
        <w:t>intellectual property rights, a court may refuse to stop the other party from using the technology at issue on grounds</w:t>
      </w:r>
      <w:r>
        <w:rPr>
          <w:spacing w:val="1"/>
        </w:rPr>
        <w:t> </w:t>
      </w:r>
      <w:r>
        <w:rPr/>
        <w:t>that</w:t>
      </w:r>
      <w:r>
        <w:rPr>
          <w:spacing w:val="-4"/>
        </w:rPr>
        <w:t> </w:t>
      </w:r>
      <w:r>
        <w:rPr/>
        <w:t>our</w:t>
      </w:r>
      <w:r>
        <w:rPr>
          <w:spacing w:val="-2"/>
        </w:rPr>
        <w:t> </w:t>
      </w:r>
      <w:r>
        <w:rPr/>
        <w:t>intellectual</w:t>
      </w:r>
      <w:r>
        <w:rPr>
          <w:spacing w:val="-4"/>
        </w:rPr>
        <w:t> </w:t>
      </w:r>
      <w:r>
        <w:rPr/>
        <w:t>property</w:t>
      </w:r>
      <w:r>
        <w:rPr>
          <w:spacing w:val="-2"/>
        </w:rPr>
        <w:t> </w:t>
      </w:r>
      <w:r>
        <w:rPr/>
        <w:t>rights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cover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technology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question.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we</w:t>
      </w:r>
      <w:r>
        <w:rPr>
          <w:spacing w:val="-4"/>
        </w:rPr>
        <w:t> </w:t>
      </w:r>
      <w:r>
        <w:rPr/>
        <w:t>initiate</w:t>
      </w:r>
      <w:r>
        <w:rPr>
          <w:spacing w:val="-3"/>
        </w:rPr>
        <w:t> </w:t>
      </w:r>
      <w:r>
        <w:rPr/>
        <w:t>legal</w:t>
      </w:r>
      <w:r>
        <w:rPr>
          <w:spacing w:val="-3"/>
        </w:rPr>
        <w:t> </w:t>
      </w:r>
      <w:r>
        <w:rPr/>
        <w:t>proceedings</w:t>
      </w:r>
      <w:r>
        <w:rPr>
          <w:spacing w:val="-4"/>
        </w:rPr>
        <w:t> </w:t>
      </w:r>
      <w:r>
        <w:rPr/>
        <w:t>against</w:t>
      </w:r>
      <w:r>
        <w:rPr>
          <w:spacing w:val="-3"/>
        </w:rPr>
        <w:t> </w:t>
      </w:r>
      <w:r>
        <w:rPr/>
        <w:t>a</w:t>
      </w:r>
      <w:r>
        <w:rPr>
          <w:spacing w:val="-47"/>
        </w:rPr>
        <w:t> </w:t>
      </w:r>
      <w:r>
        <w:rPr/>
        <w:t>third party to enforce a patent covering a product or a service, the defendant could counterclaim that such patent is</w:t>
      </w:r>
      <w:r>
        <w:rPr>
          <w:spacing w:val="1"/>
        </w:rPr>
        <w:t> </w:t>
      </w:r>
      <w:r>
        <w:rPr/>
        <w:t>invalid or unenforceable. In patent litigation in the United States, defendant counterclaims alleging invalidity or</w:t>
      </w:r>
      <w:r>
        <w:rPr>
          <w:spacing w:val="1"/>
        </w:rPr>
        <w:t> </w:t>
      </w:r>
      <w:r>
        <w:rPr/>
        <w:t>unenforceability are common, and there are numerous grounds upon which a third party can assert invalidity or</w:t>
      </w:r>
      <w:r>
        <w:rPr>
          <w:spacing w:val="1"/>
        </w:rPr>
        <w:t> </w:t>
      </w:r>
      <w:r>
        <w:rPr/>
        <w:t>unenforceability of a patent. Any claims we assert against perceived infringers could also provoke these parties to</w:t>
      </w:r>
      <w:r>
        <w:rPr>
          <w:spacing w:val="1"/>
        </w:rPr>
        <w:t> </w:t>
      </w:r>
      <w:r>
        <w:rPr/>
        <w:t>assert counterclaims against us alleging that we infringe, misappropriate or otherwise violate their intellectual</w:t>
      </w:r>
      <w:r>
        <w:rPr>
          <w:spacing w:val="1"/>
        </w:rPr>
        <w:t> </w:t>
      </w:r>
      <w:r>
        <w:rPr/>
        <w:t>property</w:t>
      </w:r>
      <w:r>
        <w:rPr>
          <w:spacing w:val="-2"/>
        </w:rPr>
        <w:t> </w:t>
      </w:r>
      <w:r>
        <w:rPr/>
        <w:t>rights.</w:t>
      </w:r>
      <w:r>
        <w:rPr>
          <w:spacing w:val="-1"/>
        </w:rPr>
        <w:t> </w:t>
      </w:r>
      <w:r>
        <w:rPr/>
        <w:t>Grounds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validity</w:t>
      </w:r>
      <w:r>
        <w:rPr>
          <w:spacing w:val="-1"/>
        </w:rPr>
        <w:t> </w:t>
      </w:r>
      <w:r>
        <w:rPr/>
        <w:t>challenge</w:t>
      </w:r>
      <w:r>
        <w:rPr>
          <w:spacing w:val="-2"/>
        </w:rPr>
        <w:t> </w:t>
      </w:r>
      <w:r>
        <w:rPr/>
        <w:t>could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</w:t>
      </w:r>
      <w:r>
        <w:rPr/>
        <w:t>alleged</w:t>
      </w:r>
      <w:r>
        <w:rPr>
          <w:spacing w:val="-1"/>
        </w:rPr>
        <w:t> </w:t>
      </w:r>
      <w:r>
        <w:rPr/>
        <w:t>failure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meet</w:t>
      </w:r>
      <w:r>
        <w:rPr>
          <w:spacing w:val="-2"/>
        </w:rPr>
        <w:t> </w:t>
      </w:r>
      <w:r>
        <w:rPr/>
        <w:t>any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several</w:t>
      </w:r>
      <w:r>
        <w:rPr>
          <w:spacing w:val="-2"/>
        </w:rPr>
        <w:t> </w:t>
      </w:r>
      <w:r>
        <w:rPr/>
        <w:t>statutory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  <w:ind w:firstLine="0"/>
      </w:pPr>
      <w:r>
        <w:rPr/>
        <w:t>requirements,</w:t>
      </w:r>
      <w:r>
        <w:rPr>
          <w:spacing w:val="-4"/>
        </w:rPr>
        <w:t> </w:t>
      </w:r>
      <w:r>
        <w:rPr/>
        <w:t>including</w:t>
      </w:r>
      <w:r>
        <w:rPr>
          <w:spacing w:val="-3"/>
        </w:rPr>
        <w:t> </w:t>
      </w:r>
      <w:r>
        <w:rPr/>
        <w:t>lack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patentable</w:t>
      </w:r>
      <w:r>
        <w:rPr>
          <w:spacing w:val="-4"/>
        </w:rPr>
        <w:t> </w:t>
      </w:r>
      <w:r>
        <w:rPr/>
        <w:t>subject</w:t>
      </w:r>
      <w:r>
        <w:rPr>
          <w:spacing w:val="-4"/>
        </w:rPr>
        <w:t> </w:t>
      </w:r>
      <w:r>
        <w:rPr/>
        <w:t>matter,</w:t>
      </w:r>
      <w:r>
        <w:rPr>
          <w:spacing w:val="-4"/>
        </w:rPr>
        <w:t> </w:t>
      </w:r>
      <w:r>
        <w:rPr/>
        <w:t>novelty,</w:t>
      </w:r>
      <w:r>
        <w:rPr>
          <w:spacing w:val="-3"/>
        </w:rPr>
        <w:t> </w:t>
      </w:r>
      <w:r>
        <w:rPr/>
        <w:t>obviousness,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non-enablement.</w:t>
      </w:r>
      <w:r>
        <w:rPr>
          <w:spacing w:val="-3"/>
        </w:rPr>
        <w:t> </w:t>
      </w:r>
      <w:r>
        <w:rPr/>
        <w:t>Grounds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an</w:t>
      </w:r>
      <w:r>
        <w:rPr>
          <w:spacing w:val="-47"/>
        </w:rPr>
        <w:t> </w:t>
      </w:r>
      <w:r>
        <w:rPr/>
        <w:t>unenforceability assertion could be an allegation that someone connected with prosecution of the patent withheld</w:t>
      </w:r>
      <w:r>
        <w:rPr>
          <w:spacing w:val="1"/>
        </w:rPr>
        <w:t> </w:t>
      </w:r>
      <w:r>
        <w:rPr/>
        <w:t>relevant information from USPTO, or made a misleading statement, during prosecution. Mechanisms for such</w:t>
      </w:r>
      <w:r>
        <w:rPr>
          <w:spacing w:val="1"/>
        </w:rPr>
        <w:t> </w:t>
      </w:r>
      <w:r>
        <w:rPr/>
        <w:t>challenges include re-examination, post-grant review, inter partes review, interference proceedings, derivation</w:t>
      </w:r>
      <w:r>
        <w:rPr>
          <w:spacing w:val="1"/>
        </w:rPr>
        <w:t> </w:t>
      </w:r>
      <w:r>
        <w:rPr/>
        <w:t>proceedings,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equivalent</w:t>
      </w:r>
      <w:r>
        <w:rPr>
          <w:spacing w:val="-2"/>
        </w:rPr>
        <w:t> </w:t>
      </w:r>
      <w:r>
        <w:rPr/>
        <w:t>proceedings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foreign jurisdictions</w:t>
      </w:r>
      <w:r>
        <w:rPr>
          <w:spacing w:val="-2"/>
        </w:rPr>
        <w:t> </w:t>
      </w:r>
      <w:r>
        <w:rPr/>
        <w:t>(e.g.,</w:t>
      </w:r>
      <w:r>
        <w:rPr>
          <w:spacing w:val="-1"/>
        </w:rPr>
        <w:t> </w:t>
      </w:r>
      <w:r>
        <w:rPr/>
        <w:t>opposition</w:t>
      </w:r>
      <w:r>
        <w:rPr>
          <w:spacing w:val="-1"/>
        </w:rPr>
        <w:t> </w:t>
      </w:r>
      <w:r>
        <w:rPr/>
        <w:t>proceedings).</w:t>
      </w:r>
    </w:p>
    <w:p>
      <w:pPr>
        <w:pStyle w:val="BodyText"/>
        <w:spacing w:line="249" w:lineRule="auto" w:before="184"/>
        <w:ind w:right="148"/>
      </w:pPr>
      <w:r>
        <w:rPr/>
        <w:t>Decisions by courts and governmental patent agencies may introduce uncertainty in the enforceability or scope</w:t>
      </w:r>
      <w:r>
        <w:rPr>
          <w:spacing w:val="1"/>
        </w:rPr>
        <w:t> </w:t>
      </w:r>
      <w:r>
        <w:rPr/>
        <w:t>of patents and other intellectual properties owned by us. A court may decide that a patent or other intellectual</w:t>
      </w:r>
      <w:r>
        <w:rPr>
          <w:spacing w:val="1"/>
        </w:rPr>
        <w:t> </w:t>
      </w:r>
      <w:r>
        <w:rPr/>
        <w:t>property right of ours is invalid or unenforceable, in whole or in part, construe the patent’s claims or other</w:t>
      </w:r>
      <w:r>
        <w:rPr>
          <w:spacing w:val="1"/>
        </w:rPr>
        <w:t> </w:t>
      </w:r>
      <w:r>
        <w:rPr/>
        <w:t>intellectual</w:t>
      </w:r>
      <w:r>
        <w:rPr>
          <w:spacing w:val="-3"/>
        </w:rPr>
        <w:t> </w:t>
      </w:r>
      <w:r>
        <w:rPr/>
        <w:t>property</w:t>
      </w:r>
      <w:r>
        <w:rPr>
          <w:spacing w:val="-2"/>
        </w:rPr>
        <w:t> </w:t>
      </w:r>
      <w:r>
        <w:rPr/>
        <w:t>narrowly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refuse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stop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other</w:t>
      </w:r>
      <w:r>
        <w:rPr>
          <w:spacing w:val="-2"/>
        </w:rPr>
        <w:t> </w:t>
      </w:r>
      <w:r>
        <w:rPr/>
        <w:t>party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/>
        <w:t>using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technology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issue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grounds</w:t>
      </w:r>
      <w:r>
        <w:rPr>
          <w:spacing w:val="-3"/>
        </w:rPr>
        <w:t> </w:t>
      </w:r>
      <w:r>
        <w:rPr/>
        <w:t>that</w:t>
      </w:r>
      <w:r>
        <w:rPr>
          <w:spacing w:val="-47"/>
        </w:rPr>
        <w:t> </w:t>
      </w:r>
      <w:r>
        <w:rPr/>
        <w:t>our patents or other intellectual property do not cover the technology in question. An adverse result in any litigation</w:t>
      </w:r>
      <w:r>
        <w:rPr>
          <w:spacing w:val="1"/>
        </w:rPr>
        <w:t> </w:t>
      </w:r>
      <w:r>
        <w:rPr/>
        <w:t>proceeding</w:t>
      </w:r>
      <w:r>
        <w:rPr>
          <w:spacing w:val="-1"/>
        </w:rPr>
        <w:t> </w:t>
      </w:r>
      <w:r>
        <w:rPr/>
        <w:t>could</w:t>
      </w:r>
      <w:r>
        <w:rPr>
          <w:spacing w:val="-1"/>
        </w:rPr>
        <w:t> </w:t>
      </w:r>
      <w:r>
        <w:rPr/>
        <w:t>put</w:t>
      </w:r>
      <w:r>
        <w:rPr>
          <w:spacing w:val="-2"/>
        </w:rPr>
        <w:t> </w:t>
      </w:r>
      <w:r>
        <w:rPr/>
        <w:t>one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more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our patents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risk</w:t>
      </w:r>
      <w:r>
        <w:rPr>
          <w:spacing w:val="-1"/>
        </w:rPr>
        <w:t> </w:t>
      </w:r>
      <w:r>
        <w:rPr/>
        <w:t>of being</w:t>
      </w:r>
      <w:r>
        <w:rPr>
          <w:spacing w:val="-1"/>
        </w:rPr>
        <w:t> </w:t>
      </w:r>
      <w:r>
        <w:rPr/>
        <w:t>invalidated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interpreted narrowly.</w:t>
      </w:r>
    </w:p>
    <w:p>
      <w:pPr>
        <w:pStyle w:val="BodyText"/>
        <w:spacing w:line="249" w:lineRule="auto" w:before="185"/>
        <w:ind w:right="139"/>
      </w:pPr>
      <w:r>
        <w:rPr/>
        <w:t>Furthermore, even if our patents or other intellectual property rights are found to be valid and infringed, a court</w:t>
      </w:r>
      <w:r>
        <w:rPr>
          <w:spacing w:val="1"/>
        </w:rPr>
        <w:t> </w:t>
      </w:r>
      <w:r>
        <w:rPr/>
        <w:t>may refuse to grant injunctive relief against the infringer and instead grant us monetary damages and/or ongoing</w:t>
      </w:r>
      <w:r>
        <w:rPr>
          <w:spacing w:val="1"/>
        </w:rPr>
        <w:t> </w:t>
      </w:r>
      <w:r>
        <w:rPr/>
        <w:t>royalties. Such monetary compensation may be insufficient to adequately offset the damage to our business caused</w:t>
      </w:r>
      <w:r>
        <w:rPr>
          <w:spacing w:val="1"/>
        </w:rPr>
        <w:t> </w:t>
      </w:r>
      <w:r>
        <w:rPr/>
        <w:t>by the infringer’s competition in the market. An adverse result in any litigation or administrative proceeding could</w:t>
      </w:r>
      <w:r>
        <w:rPr>
          <w:spacing w:val="1"/>
        </w:rPr>
        <w:t> </w:t>
      </w:r>
      <w:r>
        <w:rPr/>
        <w:t>put one or more of our patents or other intellectual property rights at risk of being invalidated or interpreted</w:t>
      </w:r>
      <w:r>
        <w:rPr>
          <w:spacing w:val="1"/>
        </w:rPr>
        <w:t> </w:t>
      </w:r>
      <w:r>
        <w:rPr/>
        <w:t>narrowly, which could adversely affect our competitive business position, financial condition and results of</w:t>
      </w:r>
      <w:r>
        <w:rPr>
          <w:spacing w:val="1"/>
        </w:rPr>
        <w:t> </w:t>
      </w:r>
      <w:r>
        <w:rPr/>
        <w:t>operations. Moreover, even if we are successful in any litigation, we may incur significant expense in connection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proceedings,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 amount of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monetary</w:t>
      </w:r>
      <w:r>
        <w:rPr>
          <w:spacing w:val="1"/>
        </w:rPr>
        <w:t> </w:t>
      </w:r>
      <w:r>
        <w:rPr/>
        <w:t>damages may</w:t>
      </w:r>
      <w:r>
        <w:rPr>
          <w:spacing w:val="1"/>
        </w:rPr>
        <w:t> </w:t>
      </w:r>
      <w:r>
        <w:rPr/>
        <w:t>be inadequate to</w:t>
      </w:r>
      <w:r>
        <w:rPr>
          <w:spacing w:val="1"/>
        </w:rPr>
        <w:t> </w:t>
      </w:r>
      <w:r>
        <w:rPr/>
        <w:t>compensate us for</w:t>
      </w:r>
      <w:r>
        <w:rPr>
          <w:spacing w:val="1"/>
        </w:rPr>
        <w:t> </w:t>
      </w:r>
      <w:r>
        <w:rPr/>
        <w:t>damage</w:t>
      </w:r>
      <w:r>
        <w:rPr>
          <w:spacing w:val="1"/>
        </w:rPr>
        <w:t> </w:t>
      </w:r>
      <w:r>
        <w:rPr/>
        <w:t>as a result of the infringement and the proceedings. Even if resolved in our favor, litigation or other legal</w:t>
      </w:r>
      <w:r>
        <w:rPr>
          <w:spacing w:val="1"/>
        </w:rPr>
        <w:t> </w:t>
      </w:r>
      <w:r>
        <w:rPr/>
        <w:t>proceedings relating to intellectual property claims may cause us to incur significant expenses and could distract our</w:t>
      </w:r>
      <w:r>
        <w:rPr>
          <w:spacing w:val="-47"/>
        </w:rPr>
        <w:t> </w:t>
      </w:r>
      <w:r>
        <w:rPr/>
        <w:t>management and other personnel from their normal responsibilities. In addition, there could be public</w:t>
      </w:r>
      <w:r>
        <w:rPr>
          <w:spacing w:val="1"/>
        </w:rPr>
        <w:t> </w:t>
      </w:r>
      <w:r>
        <w:rPr/>
        <w:t>announcements of the results of hearings, motions or other interim proceedings or developments, and if securities</w:t>
      </w:r>
      <w:r>
        <w:rPr>
          <w:spacing w:val="1"/>
        </w:rPr>
        <w:t> </w:t>
      </w:r>
      <w:r>
        <w:rPr/>
        <w:t>analysts or investors perceive these results to be negative, it could have a substantial adverse effect on our common</w:t>
      </w:r>
      <w:r>
        <w:rPr>
          <w:spacing w:val="1"/>
        </w:rPr>
        <w:t> </w:t>
      </w:r>
      <w:r>
        <w:rPr/>
        <w:t>stock price. Such litigation or proceedings could substantially increase our operating losses and reduce the resources</w:t>
      </w:r>
      <w:r>
        <w:rPr>
          <w:spacing w:val="-47"/>
        </w:rPr>
        <w:t> </w:t>
      </w:r>
      <w:r>
        <w:rPr/>
        <w:t>available for development activities or any future sales, marketing or distribution activities. We may not have</w:t>
      </w:r>
      <w:r>
        <w:rPr>
          <w:spacing w:val="1"/>
        </w:rPr>
        <w:t> </w:t>
      </w:r>
      <w:r>
        <w:rPr/>
        <w:t>sufficient financial or other resources to conduct such litigation or proceedings adequately. Some of our competitors</w:t>
      </w:r>
      <w:r>
        <w:rPr>
          <w:spacing w:val="-47"/>
        </w:rPr>
        <w:t> </w:t>
      </w:r>
      <w:r>
        <w:rPr/>
        <w:t>may be able to sustain the costs of such litigation or proceedings more effectively than we can because of their</w:t>
      </w:r>
      <w:r>
        <w:rPr>
          <w:spacing w:val="1"/>
        </w:rPr>
        <w:t> </w:t>
      </w:r>
      <w:r>
        <w:rPr/>
        <w:t>greater financial resources and more mature and developed intellectual property portfolios. Uncertainties resulting</w:t>
      </w:r>
      <w:r>
        <w:rPr>
          <w:spacing w:val="1"/>
        </w:rPr>
        <w:t> </w:t>
      </w:r>
      <w:r>
        <w:rPr/>
        <w:t>from the initiation and continuation of patent litigation or other proceedings could have a material adverse effect on</w:t>
      </w:r>
      <w:r>
        <w:rPr>
          <w:spacing w:val="1"/>
        </w:rPr>
        <w:t> </w:t>
      </w:r>
      <w:r>
        <w:rPr/>
        <w:t>our</w:t>
      </w:r>
      <w:r>
        <w:rPr>
          <w:spacing w:val="-3"/>
        </w:rPr>
        <w:t> </w:t>
      </w:r>
      <w:r>
        <w:rPr/>
        <w:t>ability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compete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marketplace.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foregoing</w:t>
      </w:r>
      <w:r>
        <w:rPr>
          <w:spacing w:val="-2"/>
        </w:rPr>
        <w:t> </w:t>
      </w:r>
      <w:r>
        <w:rPr/>
        <w:t>could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material</w:t>
      </w:r>
      <w:r>
        <w:rPr>
          <w:spacing w:val="-4"/>
        </w:rPr>
        <w:t> </w:t>
      </w:r>
      <w:r>
        <w:rPr/>
        <w:t>adverse</w:t>
      </w:r>
      <w:r>
        <w:rPr>
          <w:spacing w:val="-3"/>
        </w:rPr>
        <w:t> </w:t>
      </w:r>
      <w:r>
        <w:rPr/>
        <w:t>effect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business,</w:t>
      </w:r>
      <w:r>
        <w:rPr>
          <w:spacing w:val="-47"/>
        </w:rPr>
        <w:t> </w:t>
      </w:r>
      <w:r>
        <w:rPr/>
        <w:t>financial</w:t>
      </w:r>
      <w:r>
        <w:rPr>
          <w:spacing w:val="-2"/>
        </w:rPr>
        <w:t> </w:t>
      </w:r>
      <w:r>
        <w:rPr/>
        <w:t>condition or results</w:t>
      </w:r>
      <w:r>
        <w:rPr>
          <w:spacing w:val="-1"/>
        </w:rPr>
        <w:t> </w:t>
      </w:r>
      <w:r>
        <w:rPr/>
        <w:t>of operations.</w:t>
      </w:r>
    </w:p>
    <w:p>
      <w:pPr>
        <w:pStyle w:val="Heading3"/>
        <w:spacing w:line="249" w:lineRule="auto" w:before="194"/>
        <w:ind w:right="180"/>
      </w:pPr>
      <w:r>
        <w:rPr>
          <w:i/>
        </w:rPr>
        <w:t>We</w:t>
      </w:r>
      <w:r>
        <w:rPr>
          <w:i/>
          <w:spacing w:val="-5"/>
        </w:rPr>
        <w:t> </w:t>
      </w:r>
      <w:r>
        <w:rPr>
          <w:i/>
        </w:rPr>
        <w:t>may</w:t>
      </w:r>
      <w:r>
        <w:rPr>
          <w:i/>
          <w:spacing w:val="-4"/>
        </w:rPr>
        <w:t> </w:t>
      </w:r>
      <w:r>
        <w:rPr>
          <w:i/>
        </w:rPr>
        <w:t>be</w:t>
      </w:r>
      <w:r>
        <w:rPr>
          <w:i/>
          <w:spacing w:val="-4"/>
        </w:rPr>
        <w:t> </w:t>
      </w:r>
      <w:r>
        <w:rPr>
          <w:i/>
        </w:rPr>
        <w:t>unsuccessful</w:t>
      </w:r>
      <w:r>
        <w:rPr>
          <w:i/>
          <w:spacing w:val="-5"/>
        </w:rPr>
        <w:t> </w:t>
      </w:r>
      <w:r>
        <w:rPr>
          <w:i/>
        </w:rPr>
        <w:t>in</w:t>
      </w:r>
      <w:r>
        <w:rPr>
          <w:i/>
          <w:spacing w:val="-4"/>
        </w:rPr>
        <w:t> </w:t>
      </w:r>
      <w:r>
        <w:rPr>
          <w:i/>
        </w:rPr>
        <w:t>licensing</w:t>
      </w:r>
      <w:r>
        <w:rPr>
          <w:i/>
          <w:spacing w:val="-3"/>
        </w:rPr>
        <w:t> </w:t>
      </w:r>
      <w:r>
        <w:rPr>
          <w:i/>
        </w:rPr>
        <w:t>or</w:t>
      </w:r>
      <w:r>
        <w:rPr>
          <w:i/>
          <w:spacing w:val="-5"/>
        </w:rPr>
        <w:t> </w:t>
      </w:r>
      <w:r>
        <w:rPr>
          <w:i/>
        </w:rPr>
        <w:t>acquiring</w:t>
      </w:r>
      <w:r>
        <w:rPr>
          <w:i/>
          <w:spacing w:val="-3"/>
        </w:rPr>
        <w:t> </w:t>
      </w:r>
      <w:r>
        <w:rPr>
          <w:i/>
        </w:rPr>
        <w:t>intellectual</w:t>
      </w:r>
      <w:r>
        <w:rPr>
          <w:i/>
          <w:spacing w:val="-4"/>
        </w:rPr>
        <w:t> </w:t>
      </w:r>
      <w:r>
        <w:rPr>
          <w:i/>
        </w:rPr>
        <w:t>property</w:t>
      </w:r>
      <w:r>
        <w:rPr>
          <w:i/>
          <w:spacing w:val="-4"/>
        </w:rPr>
        <w:t> </w:t>
      </w:r>
      <w:r>
        <w:rPr>
          <w:i/>
        </w:rPr>
        <w:t>rights</w:t>
      </w:r>
      <w:r>
        <w:rPr>
          <w:i/>
          <w:spacing w:val="-5"/>
        </w:rPr>
        <w:t> </w:t>
      </w:r>
      <w:r>
        <w:rPr>
          <w:i/>
        </w:rPr>
        <w:t>from</w:t>
      </w:r>
      <w:r>
        <w:rPr>
          <w:i/>
          <w:spacing w:val="-4"/>
        </w:rPr>
        <w:t> </w:t>
      </w:r>
      <w:r>
        <w:rPr>
          <w:i/>
        </w:rPr>
        <w:t>third</w:t>
      </w:r>
      <w:r>
        <w:rPr>
          <w:i/>
          <w:spacing w:val="-3"/>
        </w:rPr>
        <w:t> </w:t>
      </w:r>
      <w:r>
        <w:rPr>
          <w:i/>
        </w:rPr>
        <w:t>parties</w:t>
      </w:r>
      <w:r>
        <w:rPr>
          <w:i/>
          <w:spacing w:val="-5"/>
        </w:rPr>
        <w:t> </w:t>
      </w:r>
      <w:r>
        <w:rPr>
          <w:i/>
        </w:rPr>
        <w:t>that</w:t>
      </w:r>
      <w:r>
        <w:rPr>
          <w:i/>
          <w:spacing w:val="-4"/>
        </w:rPr>
        <w:t> </w:t>
      </w:r>
      <w:r>
        <w:rPr>
          <w:i/>
        </w:rPr>
        <w:t>may</w:t>
      </w:r>
      <w:r>
        <w:rPr>
          <w:i/>
          <w:spacing w:val="-4"/>
        </w:rPr>
        <w:t> </w:t>
      </w:r>
      <w:r>
        <w:rPr>
          <w:i/>
        </w:rPr>
        <w:t>be</w:t>
      </w:r>
      <w:r>
        <w:rPr>
          <w:i/>
          <w:spacing w:val="1"/>
        </w:rPr>
        <w:t> </w:t>
      </w:r>
      <w:r>
        <w:rPr/>
        <w:t>necessary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develop,</w:t>
      </w:r>
      <w:r>
        <w:rPr>
          <w:spacing w:val="-3"/>
        </w:rPr>
        <w:t> </w:t>
      </w:r>
      <w:r>
        <w:rPr/>
        <w:t>manufacture</w:t>
      </w:r>
      <w:r>
        <w:rPr>
          <w:spacing w:val="-4"/>
        </w:rPr>
        <w:t> </w:t>
      </w:r>
      <w:r>
        <w:rPr/>
        <w:t>and/or</w:t>
      </w:r>
      <w:r>
        <w:rPr>
          <w:spacing w:val="-4"/>
        </w:rPr>
        <w:t> </w:t>
      </w:r>
      <w:r>
        <w:rPr/>
        <w:t>commercialize</w:t>
      </w:r>
      <w:r>
        <w:rPr>
          <w:spacing w:val="-4"/>
        </w:rPr>
        <w:t> </w:t>
      </w:r>
      <w:r>
        <w:rPr/>
        <w:t>our</w:t>
      </w:r>
      <w:r>
        <w:rPr>
          <w:spacing w:val="-4"/>
        </w:rPr>
        <w:t> </w:t>
      </w:r>
      <w:r>
        <w:rPr/>
        <w:t>current</w:t>
      </w:r>
      <w:r>
        <w:rPr>
          <w:spacing w:val="-4"/>
        </w:rPr>
        <w:t> </w:t>
      </w:r>
      <w:r>
        <w:rPr/>
        <w:t>and/or</w:t>
      </w:r>
      <w:r>
        <w:rPr>
          <w:spacing w:val="-4"/>
        </w:rPr>
        <w:t> </w:t>
      </w:r>
      <w:r>
        <w:rPr/>
        <w:t>future</w:t>
      </w:r>
      <w:r>
        <w:rPr>
          <w:spacing w:val="-4"/>
        </w:rPr>
        <w:t> </w:t>
      </w:r>
      <w:r>
        <w:rPr/>
        <w:t>products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services.</w:t>
      </w:r>
    </w:p>
    <w:p>
      <w:pPr>
        <w:pStyle w:val="BodyText"/>
        <w:spacing w:line="249" w:lineRule="auto" w:before="184"/>
        <w:ind w:right="130"/>
      </w:pPr>
      <w:r>
        <w:rPr/>
        <w:t>A third party may hold intellectual property rights, including patent rights, that are important or necessary to the</w:t>
      </w:r>
      <w:r>
        <w:rPr>
          <w:spacing w:val="-47"/>
        </w:rPr>
        <w:t> </w:t>
      </w:r>
      <w:r>
        <w:rPr/>
        <w:t>development, manufacture and/or commercialization of our current and/or future products or services, in which case</w:t>
      </w:r>
      <w:r>
        <w:rPr>
          <w:spacing w:val="-47"/>
        </w:rPr>
        <w:t> </w:t>
      </w:r>
      <w:r>
        <w:rPr/>
        <w:t>we would be need to acquire or obtain a license to such intellectual property rights from such third party. A third</w:t>
      </w:r>
      <w:r>
        <w:rPr>
          <w:spacing w:val="1"/>
        </w:rPr>
        <w:t> </w:t>
      </w:r>
      <w:r>
        <w:rPr/>
        <w:t>party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perceive</w:t>
      </w:r>
      <w:r>
        <w:rPr>
          <w:spacing w:val="-3"/>
        </w:rPr>
        <w:t> </w:t>
      </w:r>
      <w:r>
        <w:rPr/>
        <w:t>us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competitor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unwilling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assign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license</w:t>
      </w:r>
      <w:r>
        <w:rPr>
          <w:spacing w:val="-3"/>
        </w:rPr>
        <w:t> </w:t>
      </w:r>
      <w:r>
        <w:rPr/>
        <w:t>its</w:t>
      </w:r>
      <w:r>
        <w:rPr>
          <w:spacing w:val="-3"/>
        </w:rPr>
        <w:t> </w:t>
      </w:r>
      <w:r>
        <w:rPr/>
        <w:t>intellectual</w:t>
      </w:r>
      <w:r>
        <w:rPr>
          <w:spacing w:val="-3"/>
        </w:rPr>
        <w:t> </w:t>
      </w:r>
      <w:r>
        <w:rPr/>
        <w:t>property</w:t>
      </w:r>
      <w:r>
        <w:rPr>
          <w:spacing w:val="-2"/>
        </w:rPr>
        <w:t> </w:t>
      </w:r>
      <w:r>
        <w:rPr/>
        <w:t>rights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us.</w:t>
      </w:r>
      <w:r>
        <w:rPr>
          <w:spacing w:val="-2"/>
        </w:rPr>
        <w:t> </w:t>
      </w:r>
      <w:r>
        <w:rPr/>
        <w:t>In</w:t>
      </w:r>
      <w:r>
        <w:rPr>
          <w:spacing w:val="1"/>
        </w:rPr>
        <w:t> </w:t>
      </w:r>
      <w:r>
        <w:rPr/>
        <w:t>addition, the licensing or acquisition of third party intellectual property rights is a competitive area, and other</w:t>
      </w:r>
      <w:r>
        <w:rPr>
          <w:spacing w:val="1"/>
        </w:rPr>
        <w:t> </w:t>
      </w:r>
      <w:r>
        <w:rPr/>
        <w:t>companies</w:t>
      </w:r>
      <w:r>
        <w:rPr>
          <w:spacing w:val="-4"/>
        </w:rPr>
        <w:t> </w:t>
      </w:r>
      <w:r>
        <w:rPr/>
        <w:t>may</w:t>
      </w:r>
      <w:r>
        <w:rPr>
          <w:spacing w:val="-2"/>
        </w:rPr>
        <w:t> </w:t>
      </w:r>
      <w:r>
        <w:rPr/>
        <w:t>also</w:t>
      </w:r>
      <w:r>
        <w:rPr>
          <w:spacing w:val="-2"/>
        </w:rPr>
        <w:t> </w:t>
      </w:r>
      <w:r>
        <w:rPr/>
        <w:t>pursue</w:t>
      </w:r>
      <w:r>
        <w:rPr>
          <w:spacing w:val="-3"/>
        </w:rPr>
        <w:t> </w:t>
      </w:r>
      <w:r>
        <w:rPr/>
        <w:t>similar</w:t>
      </w:r>
      <w:r>
        <w:rPr>
          <w:spacing w:val="-2"/>
        </w:rPr>
        <w:t> </w:t>
      </w:r>
      <w:r>
        <w:rPr/>
        <w:t>strategies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license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acquire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third</w:t>
      </w:r>
      <w:r>
        <w:rPr>
          <w:spacing w:val="-2"/>
        </w:rPr>
        <w:t> </w:t>
      </w:r>
      <w:r>
        <w:rPr/>
        <w:t>party’s</w:t>
      </w:r>
      <w:r>
        <w:rPr>
          <w:spacing w:val="-3"/>
        </w:rPr>
        <w:t> </w:t>
      </w:r>
      <w:r>
        <w:rPr/>
        <w:t>intellectual</w:t>
      </w:r>
      <w:r>
        <w:rPr>
          <w:spacing w:val="-3"/>
        </w:rPr>
        <w:t> </w:t>
      </w:r>
      <w:r>
        <w:rPr/>
        <w:t>property</w:t>
      </w:r>
      <w:r>
        <w:rPr>
          <w:spacing w:val="-2"/>
        </w:rPr>
        <w:t> </w:t>
      </w:r>
      <w:r>
        <w:rPr/>
        <w:t>rights.</w:t>
      </w:r>
    </w:p>
    <w:p>
      <w:pPr>
        <w:pStyle w:val="BodyText"/>
        <w:spacing w:line="249" w:lineRule="auto" w:before="5"/>
        <w:ind w:right="136" w:firstLine="0"/>
      </w:pPr>
      <w:r>
        <w:rPr/>
        <w:t>Some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these</w:t>
      </w:r>
      <w:r>
        <w:rPr>
          <w:spacing w:val="-4"/>
        </w:rPr>
        <w:t> </w:t>
      </w:r>
      <w:r>
        <w:rPr/>
        <w:t>companies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established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may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competitive</w:t>
      </w:r>
      <w:r>
        <w:rPr>
          <w:spacing w:val="-4"/>
        </w:rPr>
        <w:t> </w:t>
      </w:r>
      <w:r>
        <w:rPr/>
        <w:t>advantage</w:t>
      </w:r>
      <w:r>
        <w:rPr>
          <w:spacing w:val="-3"/>
        </w:rPr>
        <w:t> </w:t>
      </w:r>
      <w:r>
        <w:rPr/>
        <w:t>over</w:t>
      </w:r>
      <w:r>
        <w:rPr>
          <w:spacing w:val="-3"/>
        </w:rPr>
        <w:t> </w:t>
      </w:r>
      <w:r>
        <w:rPr/>
        <w:t>us</w:t>
      </w:r>
      <w:r>
        <w:rPr>
          <w:spacing w:val="-3"/>
        </w:rPr>
        <w:t> </w:t>
      </w:r>
      <w:r>
        <w:rPr/>
        <w:t>due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their</w:t>
      </w:r>
      <w:r>
        <w:rPr>
          <w:spacing w:val="-2"/>
        </w:rPr>
        <w:t> </w:t>
      </w:r>
      <w:r>
        <w:rPr/>
        <w:t>size,</w:t>
      </w:r>
      <w:r>
        <w:rPr>
          <w:spacing w:val="-3"/>
        </w:rPr>
        <w:t> </w:t>
      </w:r>
      <w:r>
        <w:rPr/>
        <w:t>capital</w:t>
      </w:r>
      <w:r>
        <w:rPr>
          <w:spacing w:val="1"/>
        </w:rPr>
        <w:t> </w:t>
      </w:r>
      <w:r>
        <w:rPr/>
        <w:t>resources and greater development, manufacture and commercialization capabilities. We also may be unable to</w:t>
      </w:r>
      <w:r>
        <w:rPr>
          <w:spacing w:val="1"/>
        </w:rPr>
        <w:t> </w:t>
      </w:r>
      <w:r>
        <w:rPr/>
        <w:t>license or acquire third party intellectual property rights on commercially reasonable terms that would allow us to</w:t>
      </w:r>
      <w:r>
        <w:rPr>
          <w:spacing w:val="1"/>
        </w:rPr>
        <w:t> </w:t>
      </w:r>
      <w:r>
        <w:rPr/>
        <w:t>make</w:t>
      </w:r>
      <w:r>
        <w:rPr>
          <w:spacing w:val="-1"/>
        </w:rPr>
        <w:t> </w:t>
      </w:r>
      <w:r>
        <w:rPr/>
        <w:t>an</w:t>
      </w:r>
      <w:r>
        <w:rPr>
          <w:spacing w:val="1"/>
        </w:rPr>
        <w:t> </w:t>
      </w:r>
      <w:r>
        <w:rPr/>
        <w:t>appropriate</w:t>
      </w:r>
      <w:r>
        <w:rPr>
          <w:spacing w:val="-1"/>
        </w:rPr>
        <w:t> </w:t>
      </w:r>
      <w:r>
        <w:rPr/>
        <w:t>return</w:t>
      </w:r>
      <w:r>
        <w:rPr>
          <w:spacing w:val="1"/>
        </w:rPr>
        <w:t> </w:t>
      </w:r>
      <w:r>
        <w:rPr/>
        <w:t>on our</w:t>
      </w:r>
      <w:r>
        <w:rPr>
          <w:spacing w:val="1"/>
        </w:rPr>
        <w:t> </w:t>
      </w:r>
      <w:r>
        <w:rPr/>
        <w:t>investment,</w:t>
      </w:r>
      <w:r>
        <w:rPr>
          <w:spacing w:val="1"/>
        </w:rPr>
        <w:t> </w:t>
      </w:r>
      <w:r>
        <w:rPr/>
        <w:t>or at all, or</w:t>
      </w:r>
      <w:r>
        <w:rPr>
          <w:spacing w:val="1"/>
        </w:rPr>
        <w:t> </w:t>
      </w:r>
      <w:r>
        <w:rPr/>
        <w:t>we</w:t>
      </w:r>
      <w:r>
        <w:rPr>
          <w:spacing w:val="-1"/>
        </w:rPr>
        <w:t> </w:t>
      </w:r>
      <w:r>
        <w:rPr/>
        <w:t>may</w:t>
      </w:r>
      <w:r>
        <w:rPr>
          <w:spacing w:val="1"/>
        </w:rPr>
        <w:t> </w:t>
      </w:r>
      <w:r>
        <w:rPr/>
        <w:t>be unable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obtain any</w:t>
      </w:r>
      <w:r>
        <w:rPr>
          <w:spacing w:val="1"/>
        </w:rPr>
        <w:t> </w:t>
      </w:r>
      <w:r>
        <w:rPr/>
        <w:t>such license or</w:t>
      </w:r>
      <w:r>
        <w:rPr>
          <w:spacing w:val="1"/>
        </w:rPr>
        <w:t> </w:t>
      </w:r>
      <w:r>
        <w:rPr/>
        <w:t>acquisition at all. If we are unable to successfully obtain rights to necessary third party intellectual property rights,</w:t>
      </w:r>
      <w:r>
        <w:rPr>
          <w:spacing w:val="1"/>
        </w:rPr>
        <w:t> </w:t>
      </w:r>
      <w:r>
        <w:rPr/>
        <w:t>we may not be able to develop, manufacture or commercialize our current and/or future products or services, which</w:t>
      </w:r>
      <w:r>
        <w:rPr>
          <w:spacing w:val="1"/>
        </w:rPr>
        <w:t> </w:t>
      </w:r>
      <w:r>
        <w:rPr/>
        <w:t>could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material</w:t>
      </w:r>
      <w:r>
        <w:rPr>
          <w:spacing w:val="-2"/>
        </w:rPr>
        <w:t> </w:t>
      </w:r>
      <w:r>
        <w:rPr/>
        <w:t>adverse</w:t>
      </w:r>
      <w:r>
        <w:rPr>
          <w:spacing w:val="-2"/>
        </w:rPr>
        <w:t> </w:t>
      </w:r>
      <w:r>
        <w:rPr/>
        <w:t>effect</w:t>
      </w:r>
      <w:r>
        <w:rPr>
          <w:spacing w:val="-2"/>
        </w:rPr>
        <w:t> </w:t>
      </w:r>
      <w:r>
        <w:rPr/>
        <w:t>on our</w:t>
      </w:r>
      <w:r>
        <w:rPr>
          <w:spacing w:val="-1"/>
        </w:rPr>
        <w:t> </w:t>
      </w:r>
      <w:r>
        <w:rPr/>
        <w:t>business,</w:t>
      </w:r>
      <w:r>
        <w:rPr>
          <w:spacing w:val="-1"/>
        </w:rPr>
        <w:t> </w:t>
      </w:r>
      <w:r>
        <w:rPr/>
        <w:t>financial</w:t>
      </w:r>
      <w:r>
        <w:rPr>
          <w:spacing w:val="-2"/>
        </w:rPr>
        <w:t> </w:t>
      </w:r>
      <w:r>
        <w:rPr/>
        <w:t>condition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results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operations.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Heading3"/>
        <w:spacing w:line="249" w:lineRule="auto" w:before="68"/>
        <w:ind w:right="212"/>
      </w:pPr>
      <w:r>
        <w:rPr>
          <w:i/>
        </w:rPr>
        <w:t>We may be subject to claims challenging the ownership or inventorship of our patents and other intellectual</w:t>
      </w:r>
      <w:r>
        <w:rPr>
          <w:i/>
          <w:spacing w:val="1"/>
        </w:rPr>
        <w:t> </w:t>
      </w:r>
      <w:r>
        <w:rPr/>
        <w:t>property and, if unsuccessful in any of these proceedings, we may be required to obtain licenses from third</w:t>
      </w:r>
      <w:r>
        <w:rPr>
          <w:spacing w:val="1"/>
        </w:rPr>
        <w:t> </w:t>
      </w:r>
      <w:r>
        <w:rPr/>
        <w:t>parties,</w:t>
      </w:r>
      <w:r>
        <w:rPr>
          <w:spacing w:val="-3"/>
        </w:rPr>
        <w:t> </w:t>
      </w:r>
      <w:r>
        <w:rPr/>
        <w:t>which</w:t>
      </w:r>
      <w:r>
        <w:rPr>
          <w:spacing w:val="-4"/>
        </w:rPr>
        <w:t> </w:t>
      </w:r>
      <w:r>
        <w:rPr/>
        <w:t>may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available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commercially</w:t>
      </w:r>
      <w:r>
        <w:rPr>
          <w:spacing w:val="-3"/>
        </w:rPr>
        <w:t> </w:t>
      </w:r>
      <w:r>
        <w:rPr/>
        <w:t>reasonable</w:t>
      </w:r>
      <w:r>
        <w:rPr>
          <w:spacing w:val="-4"/>
        </w:rPr>
        <w:t> </w:t>
      </w:r>
      <w:r>
        <w:rPr/>
        <w:t>terms,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all,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cease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development,</w:t>
      </w:r>
      <w:r>
        <w:rPr>
          <w:spacing w:val="1"/>
        </w:rPr>
        <w:t> </w:t>
      </w:r>
      <w:r>
        <w:rPr/>
        <w:t>manufacture and commercialization of our AquaBeam Robotic System and our other current and future</w:t>
      </w:r>
      <w:r>
        <w:rPr>
          <w:spacing w:val="1"/>
        </w:rPr>
        <w:t> </w:t>
      </w:r>
      <w:r>
        <w:rPr/>
        <w:t>products.</w:t>
      </w:r>
    </w:p>
    <w:p>
      <w:pPr>
        <w:pStyle w:val="BodyText"/>
        <w:spacing w:line="249" w:lineRule="auto" w:before="188"/>
        <w:ind w:right="144"/>
      </w:pPr>
      <w:r>
        <w:rPr/>
        <w:t>We may be subject to claims that current or former employees, collaborators or other third parties have an</w:t>
      </w:r>
      <w:r>
        <w:rPr>
          <w:spacing w:val="1"/>
        </w:rPr>
        <w:t> </w:t>
      </w:r>
      <w:r>
        <w:rPr/>
        <w:t>interest in our current or future patents, patent applications, trade secrets or other intellectual property rights as an</w:t>
      </w:r>
      <w:r>
        <w:rPr>
          <w:spacing w:val="1"/>
        </w:rPr>
        <w:t> </w:t>
      </w:r>
      <w:r>
        <w:rPr/>
        <w:t>inventor or co-inventor. For example, we may have inventorship disputes arise from conflicting obligations of</w:t>
      </w:r>
      <w:r>
        <w:rPr>
          <w:spacing w:val="1"/>
        </w:rPr>
        <w:t> </w:t>
      </w:r>
      <w:r>
        <w:rPr/>
        <w:t>employees, consultants or others who are involved in developing our AquaBeam Robotic System or our other</w:t>
      </w:r>
      <w:r>
        <w:rPr>
          <w:spacing w:val="1"/>
        </w:rPr>
        <w:t> </w:t>
      </w:r>
      <w:r>
        <w:rPr/>
        <w:t>current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future</w:t>
      </w:r>
      <w:r>
        <w:rPr>
          <w:spacing w:val="-3"/>
        </w:rPr>
        <w:t> </w:t>
      </w:r>
      <w:r>
        <w:rPr/>
        <w:t>products,</w:t>
      </w:r>
      <w:r>
        <w:rPr>
          <w:spacing w:val="-2"/>
        </w:rPr>
        <w:t> </w:t>
      </w:r>
      <w:r>
        <w:rPr/>
        <w:t>services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technology.</w:t>
      </w:r>
      <w:r>
        <w:rPr>
          <w:spacing w:val="-2"/>
        </w:rPr>
        <w:t> </w:t>
      </w:r>
      <w:r>
        <w:rPr/>
        <w:t>Although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policy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require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employees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contractors</w:t>
      </w:r>
      <w:r>
        <w:rPr>
          <w:spacing w:val="-47"/>
        </w:rPr>
        <w:t> </w:t>
      </w:r>
      <w:r>
        <w:rPr/>
        <w:t>who may be involved in the conception or development of intellectual property rights to execute agreements</w:t>
      </w:r>
      <w:r>
        <w:rPr>
          <w:spacing w:val="1"/>
        </w:rPr>
        <w:t> </w:t>
      </w:r>
      <w:r>
        <w:rPr/>
        <w:t>assigning such intellectual property rights to us, we may be unsuccessful in executing such an agreement with each</w:t>
      </w:r>
      <w:r>
        <w:rPr>
          <w:spacing w:val="1"/>
        </w:rPr>
        <w:t> </w:t>
      </w:r>
      <w:r>
        <w:rPr/>
        <w:t>party who, in fact, conceives or develops intellectual property rights that we regard as our own, and we cannot be</w:t>
      </w:r>
      <w:r>
        <w:rPr>
          <w:spacing w:val="1"/>
        </w:rPr>
        <w:t> </w:t>
      </w:r>
      <w:r>
        <w:rPr/>
        <w:t>certain that our agreements with such parties will be upheld in the face of a potential challenge, or that they will not</w:t>
      </w:r>
      <w:r>
        <w:rPr>
          <w:spacing w:val="1"/>
        </w:rPr>
        <w:t> </w:t>
      </w:r>
      <w:r>
        <w:rPr/>
        <w:t>be</w:t>
      </w:r>
      <w:r>
        <w:rPr>
          <w:spacing w:val="-4"/>
        </w:rPr>
        <w:t> </w:t>
      </w:r>
      <w:r>
        <w:rPr/>
        <w:t>breached,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/>
        <w:t>we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adequate</w:t>
      </w:r>
      <w:r>
        <w:rPr>
          <w:spacing w:val="-3"/>
        </w:rPr>
        <w:t> </w:t>
      </w:r>
      <w:r>
        <w:rPr/>
        <w:t>remedy.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assignment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intellectual</w:t>
      </w:r>
      <w:r>
        <w:rPr>
          <w:spacing w:val="-3"/>
        </w:rPr>
        <w:t> </w:t>
      </w:r>
      <w:r>
        <w:rPr/>
        <w:t>property</w:t>
      </w:r>
      <w:r>
        <w:rPr>
          <w:spacing w:val="-2"/>
        </w:rPr>
        <w:t> </w:t>
      </w:r>
      <w:r>
        <w:rPr/>
        <w:t>rights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not</w:t>
      </w:r>
      <w:r>
        <w:rPr>
          <w:spacing w:val="-47"/>
        </w:rPr>
        <w:t> </w:t>
      </w:r>
      <w:r>
        <w:rPr/>
        <w:t>be self-executing, or the assignment agreements may be breached, and litigation may be necessary to defend against</w:t>
      </w:r>
      <w:r>
        <w:rPr>
          <w:spacing w:val="1"/>
        </w:rPr>
        <w:t> </w:t>
      </w:r>
      <w:r>
        <w:rPr/>
        <w:t>these and other claims challenging inventorship or ownership. If we fail in defending any such claims, in addition to</w:t>
      </w:r>
      <w:r>
        <w:rPr>
          <w:spacing w:val="-47"/>
        </w:rPr>
        <w:t> </w:t>
      </w:r>
      <w:r>
        <w:rPr/>
        <w:t>paying monetary</w:t>
      </w:r>
      <w:r>
        <w:rPr>
          <w:spacing w:val="1"/>
        </w:rPr>
        <w:t> </w:t>
      </w:r>
      <w:r>
        <w:rPr/>
        <w:t>damages,</w:t>
      </w:r>
      <w:r>
        <w:rPr>
          <w:spacing w:val="1"/>
        </w:rPr>
        <w:t> </w:t>
      </w:r>
      <w:r>
        <w:rPr/>
        <w:t>we may lose valuable intellectual property rights,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 exclusive</w:t>
      </w:r>
      <w:r>
        <w:rPr>
          <w:spacing w:val="-1"/>
        </w:rPr>
        <w:t> </w:t>
      </w:r>
      <w:r>
        <w:rPr/>
        <w:t>ownership</w:t>
      </w:r>
      <w:r>
        <w:rPr>
          <w:spacing w:val="1"/>
        </w:rPr>
        <w:t> </w:t>
      </w:r>
      <w:r>
        <w:rPr/>
        <w:t>of,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right to use, valuable intellectual property rights, and other owners may be able to license their rights to other third</w:t>
      </w:r>
      <w:r>
        <w:rPr>
          <w:spacing w:val="1"/>
        </w:rPr>
        <w:t> </w:t>
      </w:r>
      <w:r>
        <w:rPr/>
        <w:t>parties,</w:t>
      </w:r>
      <w:r>
        <w:rPr>
          <w:spacing w:val="1"/>
        </w:rPr>
        <w:t> </w:t>
      </w:r>
      <w:r>
        <w:rPr/>
        <w:t>including</w:t>
      </w:r>
      <w:r>
        <w:rPr>
          <w:spacing w:val="1"/>
        </w:rPr>
        <w:t> </w:t>
      </w:r>
      <w:r>
        <w:rPr/>
        <w:t>our</w:t>
      </w:r>
      <w:r>
        <w:rPr>
          <w:spacing w:val="1"/>
        </w:rPr>
        <w:t> </w:t>
      </w:r>
      <w:r>
        <w:rPr/>
        <w:t>competitors.</w:t>
      </w:r>
      <w:r>
        <w:rPr>
          <w:spacing w:val="2"/>
        </w:rPr>
        <w:t> </w:t>
      </w:r>
      <w:r>
        <w:rPr/>
        <w:t>Such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outcome</w:t>
      </w:r>
      <w:r>
        <w:rPr>
          <w:spacing w:val="1"/>
        </w:rPr>
        <w:t> </w:t>
      </w:r>
      <w:r>
        <w:rPr/>
        <w:t>could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a material adverse</w:t>
      </w:r>
      <w:r>
        <w:rPr>
          <w:spacing w:val="1"/>
        </w:rPr>
        <w:t> </w:t>
      </w:r>
      <w:r>
        <w:rPr/>
        <w:t>effect on</w:t>
      </w:r>
      <w:r>
        <w:rPr>
          <w:spacing w:val="1"/>
        </w:rPr>
        <w:t> </w:t>
      </w:r>
      <w:r>
        <w:rPr/>
        <w:t>our</w:t>
      </w:r>
      <w:r>
        <w:rPr>
          <w:spacing w:val="2"/>
        </w:rPr>
        <w:t> </w:t>
      </w:r>
      <w:r>
        <w:rPr/>
        <w:t>business.</w:t>
      </w:r>
      <w:r>
        <w:rPr>
          <w:spacing w:val="1"/>
        </w:rPr>
        <w:t> </w:t>
      </w:r>
      <w:r>
        <w:rPr/>
        <w:t>Even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we are successful in defending against such claims, litigation could result in substantial costs and be a distraction to</w:t>
      </w:r>
      <w:r>
        <w:rPr>
          <w:spacing w:val="1"/>
        </w:rPr>
        <w:t> </w:t>
      </w:r>
      <w:r>
        <w:rPr/>
        <w:t>management</w:t>
      </w:r>
      <w:r>
        <w:rPr>
          <w:spacing w:val="-2"/>
        </w:rPr>
        <w:t> </w:t>
      </w:r>
      <w:r>
        <w:rPr/>
        <w:t>and other employees.</w:t>
      </w:r>
    </w:p>
    <w:p>
      <w:pPr>
        <w:pStyle w:val="BodyText"/>
        <w:spacing w:line="249" w:lineRule="auto" w:before="194"/>
        <w:ind w:right="157"/>
      </w:pPr>
      <w:r>
        <w:rPr/>
        <w:t>Additionally, we may be subject to claims from third parties challenging ownership interest in or inventorship</w:t>
      </w:r>
      <w:r>
        <w:rPr>
          <w:spacing w:val="1"/>
        </w:rPr>
        <w:t> </w:t>
      </w:r>
      <w:r>
        <w:rPr/>
        <w:t>of intellectual property rights we regard as our own, based on claims that our agreements with employees or</w:t>
      </w:r>
      <w:r>
        <w:rPr>
          <w:spacing w:val="1"/>
        </w:rPr>
        <w:t> </w:t>
      </w:r>
      <w:r>
        <w:rPr/>
        <w:t>consultants</w:t>
      </w:r>
      <w:r>
        <w:rPr>
          <w:spacing w:val="-4"/>
        </w:rPr>
        <w:t> </w:t>
      </w:r>
      <w:r>
        <w:rPr/>
        <w:t>obligating</w:t>
      </w:r>
      <w:r>
        <w:rPr>
          <w:spacing w:val="-3"/>
        </w:rPr>
        <w:t> </w:t>
      </w:r>
      <w:r>
        <w:rPr/>
        <w:t>them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assign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intellectual</w:t>
      </w:r>
      <w:r>
        <w:rPr>
          <w:spacing w:val="-3"/>
        </w:rPr>
        <w:t> </w:t>
      </w:r>
      <w:r>
        <w:rPr/>
        <w:t>property</w:t>
      </w:r>
      <w:r>
        <w:rPr>
          <w:spacing w:val="-3"/>
        </w:rPr>
        <w:t> </w:t>
      </w:r>
      <w:r>
        <w:rPr/>
        <w:t>rights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us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ineffective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conflict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prior</w:t>
      </w:r>
      <w:r>
        <w:rPr>
          <w:spacing w:val="-3"/>
        </w:rPr>
        <w:t> </w:t>
      </w:r>
      <w:r>
        <w:rPr/>
        <w:t>or</w:t>
      </w:r>
      <w:r>
        <w:rPr>
          <w:spacing w:val="-47"/>
        </w:rPr>
        <w:t> </w:t>
      </w:r>
      <w:r>
        <w:rPr/>
        <w:t>competing contractual obligations to assign inventions and intellectual property rights to another employer, to a</w:t>
      </w:r>
      <w:r>
        <w:rPr>
          <w:spacing w:val="1"/>
        </w:rPr>
        <w:t> </w:t>
      </w:r>
      <w:r>
        <w:rPr/>
        <w:t>former employer, or to another person or entity. Litigation may be necessary to defend against such claims, and it</w:t>
      </w:r>
      <w:r>
        <w:rPr>
          <w:spacing w:val="1"/>
        </w:rPr>
        <w:t> </w:t>
      </w:r>
      <w:r>
        <w:rPr/>
        <w:t>may be necessary or we may desire to obtain a license to such third party’s intellectual property rights to settle any</w:t>
      </w:r>
      <w:r>
        <w:rPr>
          <w:spacing w:val="1"/>
        </w:rPr>
        <w:t> </w:t>
      </w:r>
      <w:r>
        <w:rPr/>
        <w:t>such claim, however, there can be no assurance that we would be able to obtain such license on commercially</w:t>
      </w:r>
      <w:r>
        <w:rPr>
          <w:spacing w:val="1"/>
        </w:rPr>
        <w:t> </w:t>
      </w:r>
      <w:r>
        <w:rPr/>
        <w:t>reasonable</w:t>
      </w:r>
      <w:r>
        <w:rPr>
          <w:spacing w:val="-4"/>
        </w:rPr>
        <w:t> </w:t>
      </w:r>
      <w:r>
        <w:rPr/>
        <w:t>terms,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all</w:t>
      </w:r>
      <w:r>
        <w:rPr>
          <w:spacing w:val="-4"/>
        </w:rPr>
        <w:t> </w:t>
      </w:r>
      <w:r>
        <w:rPr/>
        <w:t>.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we</w:t>
      </w:r>
      <w:r>
        <w:rPr>
          <w:spacing w:val="-3"/>
        </w:rPr>
        <w:t> </w:t>
      </w:r>
      <w:r>
        <w:rPr/>
        <w:t>fail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defending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such</w:t>
      </w:r>
      <w:r>
        <w:rPr>
          <w:spacing w:val="-2"/>
        </w:rPr>
        <w:t> </w:t>
      </w:r>
      <w:r>
        <w:rPr/>
        <w:t>claims,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addition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paying</w:t>
      </w:r>
      <w:r>
        <w:rPr>
          <w:spacing w:val="-2"/>
        </w:rPr>
        <w:t> </w:t>
      </w:r>
      <w:r>
        <w:rPr/>
        <w:t>monetary</w:t>
      </w:r>
      <w:r>
        <w:rPr>
          <w:spacing w:val="-3"/>
        </w:rPr>
        <w:t> </w:t>
      </w:r>
      <w:r>
        <w:rPr/>
        <w:t>damages,</w:t>
      </w:r>
      <w:r>
        <w:rPr>
          <w:spacing w:val="-2"/>
        </w:rPr>
        <w:t> </w:t>
      </w:r>
      <w:r>
        <w:rPr/>
        <w:t>we</w:t>
      </w:r>
      <w:r>
        <w:rPr>
          <w:spacing w:val="-3"/>
        </w:rPr>
        <w:t> </w:t>
      </w:r>
      <w:r>
        <w:rPr/>
        <w:t>may</w:t>
      </w:r>
      <w:r>
        <w:rPr>
          <w:spacing w:val="1"/>
        </w:rPr>
        <w:t> </w:t>
      </w:r>
      <w:r>
        <w:rPr/>
        <w:t>lose valuable intellectual property rights, such as exclusive ownership of, or right to use, intellectual property that is</w:t>
      </w:r>
      <w:r>
        <w:rPr>
          <w:spacing w:val="-47"/>
        </w:rPr>
        <w:t> </w:t>
      </w:r>
      <w:r>
        <w:rPr/>
        <w:t>important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AquaBeam</w:t>
      </w:r>
      <w:r>
        <w:rPr>
          <w:spacing w:val="-3"/>
        </w:rPr>
        <w:t> </w:t>
      </w:r>
      <w:r>
        <w:rPr/>
        <w:t>Robotic</w:t>
      </w:r>
      <w:r>
        <w:rPr>
          <w:spacing w:val="-3"/>
        </w:rPr>
        <w:t> </w:t>
      </w:r>
      <w:r>
        <w:rPr/>
        <w:t>System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</w:t>
      </w:r>
      <w:r>
        <w:rPr/>
        <w:t>current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future</w:t>
      </w:r>
      <w:r>
        <w:rPr>
          <w:spacing w:val="-3"/>
        </w:rPr>
        <w:t> </w:t>
      </w:r>
      <w:r>
        <w:rPr/>
        <w:t>products,</w:t>
      </w:r>
      <w:r>
        <w:rPr>
          <w:spacing w:val="-2"/>
        </w:rPr>
        <w:t> </w:t>
      </w:r>
      <w:r>
        <w:rPr/>
        <w:t>services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technology.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we</w:t>
      </w:r>
      <w:r>
        <w:rPr>
          <w:spacing w:val="-47"/>
        </w:rPr>
        <w:t> </w:t>
      </w:r>
      <w:r>
        <w:rPr/>
        <w:t>were to lose exclusive ownership of such intellectual property, other owners may be able to license their rights to</w:t>
      </w:r>
      <w:r>
        <w:rPr>
          <w:spacing w:val="1"/>
        </w:rPr>
        <w:t> </w:t>
      </w:r>
      <w:r>
        <w:rPr/>
        <w:t>other third parties, including our competitors. We also may be required to obtain and maintain licenses from third</w:t>
      </w:r>
      <w:r>
        <w:rPr>
          <w:spacing w:val="1"/>
        </w:rPr>
        <w:t> </w:t>
      </w:r>
      <w:r>
        <w:rPr/>
        <w:t>parties, including parties involved in any such disputes. Such licenses may not be available on commercially</w:t>
      </w:r>
      <w:r>
        <w:rPr>
          <w:spacing w:val="1"/>
        </w:rPr>
        <w:t> </w:t>
      </w:r>
      <w:r>
        <w:rPr/>
        <w:t>reasonable terms, or at all, or may be non-exclusive. If we are unable to obtain and maintain such licenses, we may</w:t>
      </w:r>
      <w:r>
        <w:rPr>
          <w:spacing w:val="1"/>
        </w:rPr>
        <w:t> </w:t>
      </w:r>
      <w:r>
        <w:rPr/>
        <w:t>need to cease the development, manufacture and commercialization of our AquaBeam Robotic System, or our other</w:t>
      </w:r>
      <w:r>
        <w:rPr>
          <w:spacing w:val="1"/>
        </w:rPr>
        <w:t> </w:t>
      </w:r>
      <w:r>
        <w:rPr/>
        <w:t>current or future products, services and technologies, and we could be prohibited from using our other technologies,</w:t>
      </w:r>
      <w:r>
        <w:rPr>
          <w:spacing w:val="-47"/>
        </w:rPr>
        <w:t> </w:t>
      </w:r>
      <w:r>
        <w:rPr/>
        <w:t>features or intellectual property rights that are essential to our products or services, if such technologies or features</w:t>
      </w:r>
      <w:r>
        <w:rPr>
          <w:spacing w:val="1"/>
        </w:rPr>
        <w:t> </w:t>
      </w:r>
      <w:r>
        <w:rPr/>
        <w:t>are found to incorporate or be derived from the trade secrets or other proprietary information of another person or</w:t>
      </w:r>
      <w:r>
        <w:rPr>
          <w:spacing w:val="1"/>
        </w:rPr>
        <w:t> </w:t>
      </w:r>
      <w:r>
        <w:rPr/>
        <w:t>entity, including another or former employers. An inability to incorporate technologies, features or other intellectual</w:t>
      </w:r>
      <w:r>
        <w:rPr>
          <w:spacing w:val="-47"/>
        </w:rPr>
        <w:t> </w:t>
      </w:r>
      <w:r>
        <w:rPr/>
        <w:t>property rights that are important or essential to our products or services could have a material adverse effect on our</w:t>
      </w:r>
      <w:r>
        <w:rPr>
          <w:spacing w:val="-47"/>
        </w:rPr>
        <w:t> </w:t>
      </w:r>
      <w:r>
        <w:rPr/>
        <w:t>business, financial condition, results of operations, and competitive position, and may prevent us from developing,</w:t>
      </w:r>
      <w:r>
        <w:rPr>
          <w:spacing w:val="1"/>
        </w:rPr>
        <w:t> </w:t>
      </w:r>
      <w:r>
        <w:rPr/>
        <w:t>manufacturing and/or selling our products or services. In addition, we may lose valuable intellectual property rights</w:t>
      </w:r>
      <w:r>
        <w:rPr>
          <w:spacing w:val="1"/>
        </w:rPr>
        <w:t> </w:t>
      </w:r>
      <w:r>
        <w:rPr/>
        <w:t>or personnel. Even if we are successful in defending against these claims, litigation could result in substantial costs</w:t>
      </w:r>
      <w:r>
        <w:rPr>
          <w:spacing w:val="1"/>
        </w:rPr>
        <w:t> </w:t>
      </w:r>
      <w:r>
        <w:rPr/>
        <w:t>and could be a distraction to management and our employees. Any litigation or the threat thereof may adversely</w:t>
      </w:r>
      <w:r>
        <w:rPr>
          <w:spacing w:val="1"/>
        </w:rPr>
        <w:t> </w:t>
      </w:r>
      <w:r>
        <w:rPr/>
        <w:t>affect our ability to hire employees or contract with independent sales representatives. A loss of key personnel or</w:t>
      </w:r>
      <w:r>
        <w:rPr>
          <w:spacing w:val="1"/>
        </w:rPr>
        <w:t> </w:t>
      </w:r>
      <w:r>
        <w:rPr/>
        <w:t>their work product could hamper or prevent our ability to develop, manufacture and/or commercialize our products</w:t>
      </w:r>
      <w:r>
        <w:rPr>
          <w:spacing w:val="1"/>
        </w:rPr>
        <w:t> </w:t>
      </w:r>
      <w:r>
        <w:rPr/>
        <w:t>or services, which could materially and adversely affect our business, financial condition and results of operations.</w:t>
      </w:r>
      <w:r>
        <w:rPr>
          <w:spacing w:val="1"/>
        </w:rPr>
        <w:t> </w:t>
      </w:r>
      <w:r>
        <w:rPr/>
        <w:t>The loss of exclusivity or the narrowing of our patent claims could limit our ability to stop others from using or</w:t>
      </w:r>
      <w:r>
        <w:rPr>
          <w:spacing w:val="1"/>
        </w:rPr>
        <w:t> </w:t>
      </w:r>
      <w:r>
        <w:rPr/>
        <w:t>commercializing</w:t>
      </w:r>
      <w:r>
        <w:rPr>
          <w:spacing w:val="-3"/>
        </w:rPr>
        <w:t> </w:t>
      </w:r>
      <w:r>
        <w:rPr/>
        <w:t>similar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identical</w:t>
      </w:r>
      <w:r>
        <w:rPr>
          <w:spacing w:val="-4"/>
        </w:rPr>
        <w:t> </w:t>
      </w:r>
      <w:r>
        <w:rPr/>
        <w:t>technology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products.</w:t>
      </w:r>
      <w:r>
        <w:rPr>
          <w:spacing w:val="-3"/>
        </w:rPr>
        <w:t> </w:t>
      </w:r>
      <w:r>
        <w:rPr/>
        <w:t>Even</w:t>
      </w:r>
      <w:r>
        <w:rPr>
          <w:spacing w:val="-3"/>
        </w:rPr>
        <w:t> </w:t>
      </w:r>
      <w:r>
        <w:rPr/>
        <w:t>if</w:t>
      </w:r>
      <w:r>
        <w:rPr>
          <w:spacing w:val="-2"/>
        </w:rPr>
        <w:t> </w:t>
      </w:r>
      <w:r>
        <w:rPr/>
        <w:t>we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successful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defending</w:t>
      </w:r>
      <w:r>
        <w:rPr>
          <w:spacing w:val="-2"/>
        </w:rPr>
        <w:t> </w:t>
      </w:r>
      <w:r>
        <w:rPr/>
        <w:t>against</w:t>
      </w:r>
      <w:r>
        <w:rPr>
          <w:spacing w:val="-4"/>
        </w:rPr>
        <w:t> </w:t>
      </w:r>
      <w:r>
        <w:rPr/>
        <w:t>such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  <w:ind w:right="212" w:firstLine="0"/>
      </w:pPr>
      <w:r>
        <w:rPr/>
        <w:t>claims,</w:t>
      </w:r>
      <w:r>
        <w:rPr>
          <w:spacing w:val="-4"/>
        </w:rPr>
        <w:t> </w:t>
      </w:r>
      <w:r>
        <w:rPr/>
        <w:t>litigation</w:t>
      </w:r>
      <w:r>
        <w:rPr>
          <w:spacing w:val="-3"/>
        </w:rPr>
        <w:t> </w:t>
      </w:r>
      <w:r>
        <w:rPr/>
        <w:t>could</w:t>
      </w:r>
      <w:r>
        <w:rPr>
          <w:spacing w:val="-3"/>
        </w:rPr>
        <w:t> </w:t>
      </w:r>
      <w:r>
        <w:rPr/>
        <w:t>result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substantial</w:t>
      </w:r>
      <w:r>
        <w:rPr>
          <w:spacing w:val="-4"/>
        </w:rPr>
        <w:t> </w:t>
      </w:r>
      <w:r>
        <w:rPr/>
        <w:t>costs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distraction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management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employees.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of</w:t>
      </w:r>
      <w:r>
        <w:rPr>
          <w:spacing w:val="-47"/>
        </w:rPr>
        <w:t> </w:t>
      </w:r>
      <w:r>
        <w:rPr/>
        <w:t>the</w:t>
      </w:r>
      <w:r>
        <w:rPr>
          <w:spacing w:val="-4"/>
        </w:rPr>
        <w:t> </w:t>
      </w:r>
      <w:r>
        <w:rPr/>
        <w:t>foregoing</w:t>
      </w:r>
      <w:r>
        <w:rPr>
          <w:spacing w:val="-2"/>
        </w:rPr>
        <w:t> </w:t>
      </w:r>
      <w:r>
        <w:rPr/>
        <w:t>could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material</w:t>
      </w:r>
      <w:r>
        <w:rPr>
          <w:spacing w:val="-3"/>
        </w:rPr>
        <w:t> </w:t>
      </w:r>
      <w:r>
        <w:rPr/>
        <w:t>adverse</w:t>
      </w:r>
      <w:r>
        <w:rPr>
          <w:spacing w:val="-3"/>
        </w:rPr>
        <w:t> </w:t>
      </w:r>
      <w:r>
        <w:rPr/>
        <w:t>effect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business,</w:t>
      </w:r>
      <w:r>
        <w:rPr>
          <w:spacing w:val="-2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condition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results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operations.</w:t>
      </w:r>
    </w:p>
    <w:p>
      <w:pPr>
        <w:pStyle w:val="Heading3"/>
        <w:spacing w:line="249" w:lineRule="auto" w:before="178"/>
        <w:ind w:right="180"/>
      </w:pPr>
      <w:r>
        <w:rPr>
          <w:i/>
        </w:rPr>
        <w:t>If</w:t>
      </w:r>
      <w:r>
        <w:rPr>
          <w:i/>
          <w:spacing w:val="-3"/>
        </w:rPr>
        <w:t> </w:t>
      </w:r>
      <w:r>
        <w:rPr>
          <w:i/>
        </w:rPr>
        <w:t>we</w:t>
      </w:r>
      <w:r>
        <w:rPr>
          <w:i/>
          <w:spacing w:val="-4"/>
        </w:rPr>
        <w:t> </w:t>
      </w:r>
      <w:r>
        <w:rPr>
          <w:i/>
        </w:rPr>
        <w:t>are</w:t>
      </w:r>
      <w:r>
        <w:rPr>
          <w:i/>
          <w:spacing w:val="-4"/>
        </w:rPr>
        <w:t> </w:t>
      </w:r>
      <w:r>
        <w:rPr>
          <w:i/>
        </w:rPr>
        <w:t>unable</w:t>
      </w:r>
      <w:r>
        <w:rPr>
          <w:i/>
          <w:spacing w:val="-4"/>
        </w:rPr>
        <w:t> </w:t>
      </w:r>
      <w:r>
        <w:rPr>
          <w:i/>
        </w:rPr>
        <w:t>to</w:t>
      </w:r>
      <w:r>
        <w:rPr>
          <w:i/>
          <w:spacing w:val="-3"/>
        </w:rPr>
        <w:t> </w:t>
      </w:r>
      <w:r>
        <w:rPr>
          <w:i/>
        </w:rPr>
        <w:t>protect</w:t>
      </w:r>
      <w:r>
        <w:rPr>
          <w:i/>
          <w:spacing w:val="-3"/>
        </w:rPr>
        <w:t> </w:t>
      </w:r>
      <w:r>
        <w:rPr>
          <w:i/>
        </w:rPr>
        <w:t>the</w:t>
      </w:r>
      <w:r>
        <w:rPr>
          <w:i/>
          <w:spacing w:val="-4"/>
        </w:rPr>
        <w:t> </w:t>
      </w:r>
      <w:r>
        <w:rPr>
          <w:i/>
        </w:rPr>
        <w:t>confidentiality</w:t>
      </w:r>
      <w:r>
        <w:rPr>
          <w:i/>
          <w:spacing w:val="-4"/>
        </w:rPr>
        <w:t> </w:t>
      </w:r>
      <w:r>
        <w:rPr>
          <w:i/>
        </w:rPr>
        <w:t>of</w:t>
      </w:r>
      <w:r>
        <w:rPr>
          <w:i/>
          <w:spacing w:val="-3"/>
        </w:rPr>
        <w:t> </w:t>
      </w:r>
      <w:r>
        <w:rPr>
          <w:i/>
        </w:rPr>
        <w:t>our</w:t>
      </w:r>
      <w:r>
        <w:rPr>
          <w:i/>
          <w:spacing w:val="-4"/>
        </w:rPr>
        <w:t> </w:t>
      </w:r>
      <w:r>
        <w:rPr>
          <w:i/>
        </w:rPr>
        <w:t>trade</w:t>
      </w:r>
      <w:r>
        <w:rPr>
          <w:i/>
          <w:spacing w:val="-3"/>
        </w:rPr>
        <w:t> </w:t>
      </w:r>
      <w:r>
        <w:rPr>
          <w:i/>
        </w:rPr>
        <w:t>secrets,</w:t>
      </w:r>
      <w:r>
        <w:rPr>
          <w:i/>
          <w:spacing w:val="-3"/>
        </w:rPr>
        <w:t> </w:t>
      </w:r>
      <w:r>
        <w:rPr>
          <w:i/>
        </w:rPr>
        <w:t>our</w:t>
      </w:r>
      <w:r>
        <w:rPr>
          <w:i/>
          <w:spacing w:val="-4"/>
        </w:rPr>
        <w:t> </w:t>
      </w:r>
      <w:r>
        <w:rPr>
          <w:i/>
        </w:rPr>
        <w:t>business</w:t>
      </w:r>
      <w:r>
        <w:rPr>
          <w:i/>
          <w:spacing w:val="-4"/>
        </w:rPr>
        <w:t> </w:t>
      </w:r>
      <w:r>
        <w:rPr>
          <w:i/>
        </w:rPr>
        <w:t>and</w:t>
      </w:r>
      <w:r>
        <w:rPr>
          <w:i/>
          <w:spacing w:val="-3"/>
        </w:rPr>
        <w:t> </w:t>
      </w:r>
      <w:r>
        <w:rPr>
          <w:i/>
        </w:rPr>
        <w:t>competitive</w:t>
      </w:r>
      <w:r>
        <w:rPr>
          <w:i/>
          <w:spacing w:val="-3"/>
        </w:rPr>
        <w:t> </w:t>
      </w:r>
      <w:r>
        <w:rPr>
          <w:i/>
        </w:rPr>
        <w:t>position</w:t>
      </w:r>
      <w:r>
        <w:rPr>
          <w:i/>
          <w:spacing w:val="-4"/>
        </w:rPr>
        <w:t> </w:t>
      </w:r>
      <w:r>
        <w:rPr>
          <w:i/>
        </w:rPr>
        <w:t>may</w:t>
      </w:r>
      <w:r>
        <w:rPr>
          <w:i/>
          <w:spacing w:val="-4"/>
        </w:rPr>
        <w:t> </w:t>
      </w:r>
      <w:r>
        <w:rPr>
          <w:i/>
        </w:rPr>
        <w:t>be</w:t>
      </w:r>
      <w:r>
        <w:rPr>
          <w:i/>
          <w:spacing w:val="1"/>
        </w:rPr>
        <w:t> </w:t>
      </w:r>
      <w:r>
        <w:rPr/>
        <w:t>harmed.</w:t>
      </w:r>
    </w:p>
    <w:p>
      <w:pPr>
        <w:pStyle w:val="BodyText"/>
        <w:spacing w:line="249" w:lineRule="auto" w:before="185"/>
        <w:ind w:right="212"/>
      </w:pPr>
      <w:r>
        <w:rPr/>
        <w:t>In addition to seeking patent protection for our AquaBeam Robotic System and our other current and future</w:t>
      </w:r>
      <w:r>
        <w:rPr>
          <w:spacing w:val="1"/>
        </w:rPr>
        <w:t> </w:t>
      </w:r>
      <w:r>
        <w:rPr/>
        <w:t>products and services, we also rely upon unpatented trade secrets, know-how and continuing technological</w:t>
      </w:r>
      <w:r>
        <w:rPr>
          <w:spacing w:val="1"/>
        </w:rPr>
        <w:t> </w:t>
      </w:r>
      <w:r>
        <w:rPr/>
        <w:t>innovation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develop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maintain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competitive</w:t>
      </w:r>
      <w:r>
        <w:rPr>
          <w:spacing w:val="-3"/>
        </w:rPr>
        <w:t> </w:t>
      </w:r>
      <w:r>
        <w:rPr/>
        <w:t>position.</w:t>
      </w:r>
      <w:r>
        <w:rPr>
          <w:spacing w:val="-3"/>
        </w:rPr>
        <w:t> </w:t>
      </w:r>
      <w:r>
        <w:rPr/>
        <w:t>We</w:t>
      </w:r>
      <w:r>
        <w:rPr>
          <w:spacing w:val="-4"/>
        </w:rPr>
        <w:t> </w:t>
      </w:r>
      <w:r>
        <w:rPr/>
        <w:t>seek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protect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proprietary</w:t>
      </w:r>
      <w:r>
        <w:rPr>
          <w:spacing w:val="-3"/>
        </w:rPr>
        <w:t> </w:t>
      </w:r>
      <w:r>
        <w:rPr/>
        <w:t>information,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part,</w:t>
      </w:r>
      <w:r>
        <w:rPr>
          <w:spacing w:val="-47"/>
        </w:rPr>
        <w:t> </w:t>
      </w:r>
      <w:r>
        <w:rPr/>
        <w:t>through confidentiality agreements with our employees, collaborators, contractors, advisors, consultants and other</w:t>
      </w:r>
      <w:r>
        <w:rPr>
          <w:spacing w:val="1"/>
        </w:rPr>
        <w:t> </w:t>
      </w:r>
      <w:r>
        <w:rPr/>
        <w:t>third parties and invention assignment agreements with our employees. We also have agreements with some of our</w:t>
      </w:r>
      <w:r>
        <w:rPr>
          <w:spacing w:val="1"/>
        </w:rPr>
        <w:t> </w:t>
      </w:r>
      <w:r>
        <w:rPr/>
        <w:t>consultants that require them to assign to us any inventions created as a result of their working with us. The</w:t>
      </w:r>
      <w:r>
        <w:rPr>
          <w:spacing w:val="1"/>
        </w:rPr>
        <w:t> </w:t>
      </w:r>
      <w:r>
        <w:rPr/>
        <w:t>confidentiality agreements are designed to protect our proprietary information and, in the case of agreements or</w:t>
      </w:r>
      <w:r>
        <w:rPr>
          <w:spacing w:val="1"/>
        </w:rPr>
        <w:t> </w:t>
      </w:r>
      <w:r>
        <w:rPr/>
        <w:t>clauses containing invention assignment, to grant us ownership of technologies that are developed through a</w:t>
      </w:r>
      <w:r>
        <w:rPr>
          <w:spacing w:val="1"/>
        </w:rPr>
        <w:t> </w:t>
      </w:r>
      <w:r>
        <w:rPr/>
        <w:t>relationship</w:t>
      </w:r>
      <w:r>
        <w:rPr>
          <w:spacing w:val="-1"/>
        </w:rPr>
        <w:t> </w:t>
      </w:r>
      <w:r>
        <w:rPr/>
        <w:t>with employees</w:t>
      </w:r>
      <w:r>
        <w:rPr>
          <w:spacing w:val="-1"/>
        </w:rPr>
        <w:t> </w:t>
      </w:r>
      <w:r>
        <w:rPr/>
        <w:t>or third parties.</w:t>
      </w:r>
    </w:p>
    <w:p>
      <w:pPr>
        <w:pStyle w:val="BodyText"/>
        <w:spacing w:line="249" w:lineRule="auto" w:before="187"/>
        <w:ind w:right="139"/>
      </w:pPr>
      <w:r>
        <w:rPr/>
        <w:t>We cannot</w:t>
      </w:r>
      <w:r>
        <w:rPr>
          <w:spacing w:val="1"/>
        </w:rPr>
        <w:t> </w:t>
      </w:r>
      <w:r>
        <w:rPr/>
        <w:t>guarantee that</w:t>
      </w:r>
      <w:r>
        <w:rPr>
          <w:spacing w:val="1"/>
        </w:rPr>
        <w:t> </w:t>
      </w:r>
      <w:r>
        <w:rPr/>
        <w:t>we have</w:t>
      </w:r>
      <w:r>
        <w:rPr>
          <w:spacing w:val="1"/>
        </w:rPr>
        <w:t> </w:t>
      </w:r>
      <w:r>
        <w:rPr/>
        <w:t>entered</w:t>
      </w:r>
      <w:r>
        <w:rPr>
          <w:spacing w:val="2"/>
        </w:rPr>
        <w:t> </w:t>
      </w:r>
      <w:r>
        <w:rPr/>
        <w:t>into</w:t>
      </w:r>
      <w:r>
        <w:rPr>
          <w:spacing w:val="1"/>
        </w:rPr>
        <w:t> </w:t>
      </w:r>
      <w:r>
        <w:rPr/>
        <w:t>such</w:t>
      </w:r>
      <w:r>
        <w:rPr>
          <w:spacing w:val="2"/>
        </w:rPr>
        <w:t> </w:t>
      </w:r>
      <w:r>
        <w:rPr/>
        <w:t>agreements with</w:t>
      </w:r>
      <w:r>
        <w:rPr>
          <w:spacing w:val="2"/>
        </w:rPr>
        <w:t> </w:t>
      </w:r>
      <w:r>
        <w:rPr/>
        <w:t>each</w:t>
      </w:r>
      <w:r>
        <w:rPr>
          <w:spacing w:val="1"/>
        </w:rPr>
        <w:t> </w:t>
      </w:r>
      <w:r>
        <w:rPr/>
        <w:t>party</w:t>
      </w:r>
      <w:r>
        <w:rPr>
          <w:spacing w:val="2"/>
        </w:rPr>
        <w:t> </w:t>
      </w:r>
      <w:r>
        <w:rPr/>
        <w:t>that</w:t>
      </w:r>
      <w:r>
        <w:rPr>
          <w:spacing w:val="1"/>
        </w:rPr>
        <w:t> </w:t>
      </w:r>
      <w:r>
        <w:rPr/>
        <w:t>has or</w:t>
      </w:r>
      <w:r>
        <w:rPr>
          <w:spacing w:val="2"/>
        </w:rPr>
        <w:t> </w:t>
      </w:r>
      <w:r>
        <w:rPr/>
        <w:t>may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had</w:t>
      </w:r>
      <w:r>
        <w:rPr>
          <w:spacing w:val="1"/>
        </w:rPr>
        <w:t> </w:t>
      </w:r>
      <w:r>
        <w:rPr/>
        <w:t>access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trade</w:t>
      </w:r>
      <w:r>
        <w:rPr>
          <w:spacing w:val="-4"/>
        </w:rPr>
        <w:t> </w:t>
      </w:r>
      <w:r>
        <w:rPr/>
        <w:t>secrets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proprietary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we</w:t>
      </w:r>
      <w:r>
        <w:rPr>
          <w:spacing w:val="-4"/>
        </w:rPr>
        <w:t> </w:t>
      </w:r>
      <w:r>
        <w:rPr/>
        <w:t>may</w:t>
      </w:r>
      <w:r>
        <w:rPr>
          <w:spacing w:val="-2"/>
        </w:rPr>
        <w:t> </w:t>
      </w:r>
      <w:r>
        <w:rPr/>
        <w:t>not</w:t>
      </w:r>
      <w:r>
        <w:rPr>
          <w:spacing w:val="-4"/>
        </w:rPr>
        <w:t> </w:t>
      </w:r>
      <w:r>
        <w:rPr/>
        <w:t>enter</w:t>
      </w:r>
      <w:r>
        <w:rPr>
          <w:spacing w:val="-3"/>
        </w:rPr>
        <w:t> </w:t>
      </w:r>
      <w:r>
        <w:rPr/>
        <w:t>into</w:t>
      </w:r>
      <w:r>
        <w:rPr>
          <w:spacing w:val="-2"/>
        </w:rPr>
        <w:t> </w:t>
      </w:r>
      <w:r>
        <w:rPr/>
        <w:t>such</w:t>
      </w:r>
      <w:r>
        <w:rPr>
          <w:spacing w:val="-3"/>
        </w:rPr>
        <w:t> </w:t>
      </w:r>
      <w:r>
        <w:rPr/>
        <w:t>agreements</w:t>
      </w:r>
      <w:r>
        <w:rPr>
          <w:spacing w:val="-4"/>
        </w:rPr>
        <w:t> </w:t>
      </w:r>
      <w:r>
        <w:rPr/>
        <w:t>with</w:t>
      </w:r>
      <w:r>
        <w:rPr>
          <w:spacing w:val="-2"/>
        </w:rPr>
        <w:t> </w:t>
      </w:r>
      <w:r>
        <w:rPr/>
        <w:t>all</w:t>
      </w:r>
      <w:r>
        <w:rPr>
          <w:spacing w:val="-4"/>
        </w:rPr>
        <w:t> </w:t>
      </w:r>
      <w:r>
        <w:rPr/>
        <w:t>employees,</w:t>
      </w:r>
      <w:r>
        <w:rPr>
          <w:spacing w:val="-47"/>
        </w:rPr>
        <w:t> </w:t>
      </w:r>
      <w:r>
        <w:rPr/>
        <w:t>consultants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third</w:t>
      </w:r>
      <w:r>
        <w:rPr>
          <w:spacing w:val="-1"/>
        </w:rPr>
        <w:t> </w:t>
      </w:r>
      <w:r>
        <w:rPr/>
        <w:t>parties</w:t>
      </w:r>
      <w:r>
        <w:rPr>
          <w:spacing w:val="-3"/>
        </w:rPr>
        <w:t> </w:t>
      </w:r>
      <w:r>
        <w:rPr/>
        <w:t>who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been</w:t>
      </w:r>
      <w:r>
        <w:rPr>
          <w:spacing w:val="-2"/>
        </w:rPr>
        <w:t> </w:t>
      </w:r>
      <w:r>
        <w:rPr/>
        <w:t>involved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our</w:t>
      </w:r>
      <w:r>
        <w:rPr>
          <w:spacing w:val="-2"/>
        </w:rPr>
        <w:t> </w:t>
      </w:r>
      <w:r>
        <w:rPr/>
        <w:t>intellectual</w:t>
      </w:r>
      <w:r>
        <w:rPr>
          <w:spacing w:val="-2"/>
        </w:rPr>
        <w:t> </w:t>
      </w:r>
      <w:r>
        <w:rPr/>
        <w:t>property</w:t>
      </w:r>
      <w:r>
        <w:rPr>
          <w:spacing w:val="-1"/>
        </w:rPr>
        <w:t> </w:t>
      </w:r>
      <w:r>
        <w:rPr/>
        <w:t>rights.</w:t>
      </w:r>
    </w:p>
    <w:p>
      <w:pPr>
        <w:pStyle w:val="BodyText"/>
        <w:spacing w:line="249" w:lineRule="auto" w:before="3"/>
        <w:ind w:right="144" w:firstLine="0"/>
      </w:pPr>
      <w:r>
        <w:rPr/>
        <w:t>Although we generally require all of our employees, consultants, advisors and any third parties who have access to</w:t>
      </w:r>
      <w:r>
        <w:rPr>
          <w:spacing w:val="1"/>
        </w:rPr>
        <w:t> </w:t>
      </w:r>
      <w:r>
        <w:rPr/>
        <w:t>our proprietary know-how, information, or technology to enter into confidentiality agreements, we cannot provide</w:t>
      </w:r>
      <w:r>
        <w:rPr>
          <w:spacing w:val="1"/>
        </w:rPr>
        <w:t> </w:t>
      </w:r>
      <w:r>
        <w:rPr/>
        <w:t>any assurances that all such agreements have been duly executed. In addition, despite the protections we place on</w:t>
      </w:r>
      <w:r>
        <w:rPr>
          <w:spacing w:val="1"/>
        </w:rPr>
        <w:t> </w:t>
      </w:r>
      <w:r>
        <w:rPr/>
        <w:t>our intellectual property or other proprietary rights, monitoring unauthorized use and disclosure of our intellectual</w:t>
      </w:r>
      <w:r>
        <w:rPr>
          <w:spacing w:val="1"/>
        </w:rPr>
        <w:t> </w:t>
      </w:r>
      <w:r>
        <w:rPr/>
        <w:t>property rights by employees, consultants and other third parties who have access to such intellectual property or</w:t>
      </w:r>
      <w:r>
        <w:rPr>
          <w:spacing w:val="1"/>
        </w:rPr>
        <w:t> </w:t>
      </w:r>
      <w:r>
        <w:rPr/>
        <w:t>other proprietary rights is difficult, and we do not know whether the steps we have taken to protect our intellectual</w:t>
      </w:r>
      <w:r>
        <w:rPr>
          <w:spacing w:val="1"/>
        </w:rPr>
        <w:t> </w:t>
      </w:r>
      <w:r>
        <w:rPr/>
        <w:t>property or other proprietary rights will be adequate. Therefore, we may not be able to prevent the unauthorized</w:t>
      </w:r>
      <w:r>
        <w:rPr>
          <w:spacing w:val="1"/>
        </w:rPr>
        <w:t> </w:t>
      </w:r>
      <w:r>
        <w:rPr/>
        <w:t>disclosure or use of our technical knowledge or other trade secrets by such employees, consultants, advisors or third</w:t>
      </w:r>
      <w:r>
        <w:rPr>
          <w:spacing w:val="-47"/>
        </w:rPr>
        <w:t> </w:t>
      </w:r>
      <w:r>
        <w:rPr/>
        <w:t>parties, despite the existence generally of these confidentiality restrictions. These agreements may not provide</w:t>
      </w:r>
      <w:r>
        <w:rPr>
          <w:spacing w:val="1"/>
        </w:rPr>
        <w:t> </w:t>
      </w:r>
      <w:r>
        <w:rPr/>
        <w:t>meaningful protection against the unauthorized use or disclosure of our trade secrets, know-how or other proprietary</w:t>
      </w:r>
      <w:r>
        <w:rPr>
          <w:spacing w:val="-47"/>
        </w:rPr>
        <w:t> </w:t>
      </w:r>
      <w:r>
        <w:rPr/>
        <w:t>information in the event the unwanted use is outside the scope of the provisions of the contracts or in the event of</w:t>
      </w:r>
      <w:r>
        <w:rPr>
          <w:spacing w:val="1"/>
        </w:rPr>
        <w:t> </w:t>
      </w:r>
      <w:r>
        <w:rPr/>
        <w:t>any unauthorized use, misappropriation, or disclosure of such trade secrets, know-how, or other proprietary</w:t>
      </w:r>
      <w:r>
        <w:rPr>
          <w:spacing w:val="1"/>
        </w:rPr>
        <w:t> </w:t>
      </w:r>
      <w:r>
        <w:rPr/>
        <w:t>information. There can be no assurances that such employees, consultants, advisors or third parties will not breach</w:t>
      </w:r>
      <w:r>
        <w:rPr>
          <w:spacing w:val="1"/>
        </w:rPr>
        <w:t> </w:t>
      </w:r>
      <w:r>
        <w:rPr/>
        <w:t>their agreements with us, that we will have adequate remedies for any breach, or that our trade secrets will not</w:t>
      </w:r>
      <w:r>
        <w:rPr>
          <w:spacing w:val="1"/>
        </w:rPr>
        <w:t> </w:t>
      </w:r>
      <w:r>
        <w:rPr/>
        <w:t>otherwise become known or independently developed by third parties, including our competitors. If any of our trade</w:t>
      </w:r>
      <w:r>
        <w:rPr>
          <w:spacing w:val="-47"/>
        </w:rPr>
        <w:t> </w:t>
      </w:r>
      <w:r>
        <w:rPr/>
        <w:t>secrets were to be lawfully obtained or independently developed by a competitor, we would have no right to prevent</w:t>
      </w:r>
      <w:r>
        <w:rPr>
          <w:spacing w:val="-47"/>
        </w:rPr>
        <w:t> </w:t>
      </w:r>
      <w:r>
        <w:rPr/>
        <w:t>them, or those to whom they communicate it, from using that technology or information to compete with us. If any</w:t>
      </w:r>
      <w:r>
        <w:rPr>
          <w:spacing w:val="1"/>
        </w:rPr>
        <w:t> </w:t>
      </w:r>
      <w:r>
        <w:rPr/>
        <w:t>of our trade secrets were to be disclosed to or independently developed by a competitor, our competitive position</w:t>
      </w:r>
      <w:r>
        <w:rPr>
          <w:spacing w:val="1"/>
        </w:rPr>
        <w:t> </w:t>
      </w:r>
      <w:r>
        <w:rPr/>
        <w:t>would be harmed. The exposure of our trade secrets and other proprietary information would impair our competitive</w:t>
      </w:r>
      <w:r>
        <w:rPr>
          <w:spacing w:val="-47"/>
        </w:rPr>
        <w:t> </w:t>
      </w:r>
      <w:r>
        <w:rPr/>
        <w:t>advantages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could</w:t>
      </w:r>
      <w:r>
        <w:rPr>
          <w:spacing w:val="-3"/>
        </w:rPr>
        <w:t> </w:t>
      </w:r>
      <w:r>
        <w:rPr/>
        <w:t>have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material</w:t>
      </w:r>
      <w:r>
        <w:rPr>
          <w:spacing w:val="-3"/>
        </w:rPr>
        <w:t> </w:t>
      </w:r>
      <w:r>
        <w:rPr/>
        <w:t>adverse</w:t>
      </w:r>
      <w:r>
        <w:rPr>
          <w:spacing w:val="-4"/>
        </w:rPr>
        <w:t> </w:t>
      </w:r>
      <w:r>
        <w:rPr/>
        <w:t>effect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business,</w:t>
      </w:r>
      <w:r>
        <w:rPr>
          <w:spacing w:val="-3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condition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results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operations.</w:t>
      </w:r>
      <w:r>
        <w:rPr>
          <w:spacing w:val="-2"/>
        </w:rPr>
        <w:t> </w:t>
      </w:r>
      <w:r>
        <w:rPr/>
        <w:t>In</w:t>
      </w:r>
      <w:r>
        <w:rPr>
          <w:spacing w:val="-47"/>
        </w:rPr>
        <w:t> </w:t>
      </w:r>
      <w:r>
        <w:rPr/>
        <w:t>particular, a failure to protect our proprietary rights may allow competitors to copy our technology, which could</w:t>
      </w:r>
      <w:r>
        <w:rPr>
          <w:spacing w:val="1"/>
        </w:rPr>
        <w:t> </w:t>
      </w:r>
      <w:r>
        <w:rPr/>
        <w:t>adversely</w:t>
      </w:r>
      <w:r>
        <w:rPr>
          <w:spacing w:val="-1"/>
        </w:rPr>
        <w:t> </w:t>
      </w:r>
      <w:r>
        <w:rPr/>
        <w:t>affect</w:t>
      </w:r>
      <w:r>
        <w:rPr>
          <w:spacing w:val="-1"/>
        </w:rPr>
        <w:t> </w:t>
      </w:r>
      <w:r>
        <w:rPr/>
        <w:t>our pricing and market</w:t>
      </w:r>
      <w:r>
        <w:rPr>
          <w:spacing w:val="-1"/>
        </w:rPr>
        <w:t> </w:t>
      </w:r>
      <w:r>
        <w:rPr/>
        <w:t>share.</w:t>
      </w:r>
    </w:p>
    <w:p>
      <w:pPr>
        <w:pStyle w:val="BodyText"/>
        <w:spacing w:before="2"/>
        <w:ind w:left="0" w:firstLine="0"/>
        <w:rPr>
          <w:sz w:val="17"/>
        </w:rPr>
      </w:pPr>
    </w:p>
    <w:p>
      <w:pPr>
        <w:pStyle w:val="BodyText"/>
        <w:spacing w:line="249" w:lineRule="auto" w:before="0"/>
        <w:ind w:right="193"/>
      </w:pPr>
      <w:r>
        <w:rPr/>
        <w:t>Enforcing a claim that a party illegally disclosed or misappropriated a trade secret is difficult, expensive and</w:t>
      </w:r>
      <w:r>
        <w:rPr>
          <w:spacing w:val="1"/>
        </w:rPr>
        <w:t> </w:t>
      </w:r>
      <w:r>
        <w:rPr/>
        <w:t>time-consuming, and the outcome is unpredictable. In addition, some courts inside and outside the United States are</w:t>
      </w:r>
      <w:r>
        <w:rPr>
          <w:spacing w:val="-47"/>
        </w:rPr>
        <w:t> </w:t>
      </w:r>
      <w:r>
        <w:rPr/>
        <w:t>less willing or unwilling to protect trade secrets. If any of our trade secrets were to be lawfully obtained or</w:t>
      </w:r>
      <w:r>
        <w:rPr>
          <w:spacing w:val="1"/>
        </w:rPr>
        <w:t> </w:t>
      </w:r>
      <w:r>
        <w:rPr/>
        <w:t>independently developed by a competitor or other third party, we would have no right to prevent them from using</w:t>
      </w:r>
      <w:r>
        <w:rPr>
          <w:spacing w:val="1"/>
        </w:rPr>
        <w:t> </w:t>
      </w:r>
      <w:r>
        <w:rPr/>
        <w:t>that technology or information to compete with us. If any of our trade secrets were to be disclosed to, or</w:t>
      </w:r>
      <w:r>
        <w:rPr>
          <w:spacing w:val="1"/>
        </w:rPr>
        <w:t> </w:t>
      </w:r>
      <w:r>
        <w:rPr/>
        <w:t>independently developed by, a competitor or other third party, our competitive position would be materially and</w:t>
      </w:r>
      <w:r>
        <w:rPr>
          <w:spacing w:val="1"/>
        </w:rPr>
        <w:t> </w:t>
      </w:r>
      <w:r>
        <w:rPr/>
        <w:t>adversely harmed. Furthermore, we expect these trade secrets, know-how and proprietary information to over time</w:t>
      </w:r>
      <w:r>
        <w:rPr>
          <w:spacing w:val="1"/>
        </w:rPr>
        <w:t> </w:t>
      </w:r>
      <w:r>
        <w:rPr/>
        <w:t>be disseminated within the industry through independent development, the publication of journal articles describing</w:t>
      </w:r>
      <w:r>
        <w:rPr>
          <w:spacing w:val="-47"/>
        </w:rPr>
        <w:t> </w:t>
      </w:r>
      <w:r>
        <w:rPr/>
        <w:t>the</w:t>
      </w:r>
      <w:r>
        <w:rPr>
          <w:spacing w:val="-4"/>
        </w:rPr>
        <w:t> </w:t>
      </w:r>
      <w:r>
        <w:rPr/>
        <w:t>methodology,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movement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personnel</w:t>
      </w:r>
      <w:r>
        <w:rPr>
          <w:spacing w:val="-4"/>
        </w:rPr>
        <w:t> </w:t>
      </w:r>
      <w:r>
        <w:rPr/>
        <w:t>within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industry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from</w:t>
      </w:r>
      <w:r>
        <w:rPr>
          <w:spacing w:val="-4"/>
        </w:rPr>
        <w:t> </w:t>
      </w:r>
      <w:r>
        <w:rPr/>
        <w:t>academic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industry</w:t>
      </w:r>
      <w:r>
        <w:rPr>
          <w:spacing w:val="-3"/>
        </w:rPr>
        <w:t> </w:t>
      </w:r>
      <w:r>
        <w:rPr/>
        <w:t>scientific</w:t>
      </w:r>
      <w:r>
        <w:rPr>
          <w:spacing w:val="-4"/>
        </w:rPr>
        <w:t> </w:t>
      </w:r>
      <w:r>
        <w:rPr/>
        <w:t>positions.</w:t>
      </w:r>
    </w:p>
    <w:p>
      <w:pPr>
        <w:pStyle w:val="BodyText"/>
        <w:spacing w:line="249" w:lineRule="auto" w:before="188"/>
      </w:pPr>
      <w:r>
        <w:rPr/>
        <w:t>We also seek to preserve the integrity and confidentiality of our data and trade secrets by maintaining physical</w:t>
      </w:r>
      <w:r>
        <w:rPr>
          <w:spacing w:val="1"/>
        </w:rPr>
        <w:t> </w:t>
      </w:r>
      <w:r>
        <w:rPr/>
        <w:t>security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premises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physical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electronic</w:t>
      </w:r>
      <w:r>
        <w:rPr>
          <w:spacing w:val="-4"/>
        </w:rPr>
        <w:t> </w:t>
      </w:r>
      <w:r>
        <w:rPr/>
        <w:t>security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technology</w:t>
      </w:r>
      <w:r>
        <w:rPr>
          <w:spacing w:val="-3"/>
        </w:rPr>
        <w:t> </w:t>
      </w:r>
      <w:r>
        <w:rPr/>
        <w:t>systems.</w:t>
      </w:r>
      <w:r>
        <w:rPr>
          <w:spacing w:val="-2"/>
        </w:rPr>
        <w:t> </w:t>
      </w:r>
      <w:r>
        <w:rPr/>
        <w:t>While</w:t>
      </w:r>
      <w:r>
        <w:rPr>
          <w:spacing w:val="-4"/>
        </w:rPr>
        <w:t> </w:t>
      </w:r>
      <w:r>
        <w:rPr/>
        <w:t>we</w:t>
      </w:r>
      <w:r>
        <w:rPr>
          <w:spacing w:val="-4"/>
        </w:rPr>
        <w:t> </w:t>
      </w:r>
      <w:r>
        <w:rPr/>
        <w:t>have</w:t>
      </w:r>
      <w:r>
        <w:rPr>
          <w:spacing w:val="-47"/>
        </w:rPr>
        <w:t> </w:t>
      </w:r>
      <w:r>
        <w:rPr/>
        <w:t>confidence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these</w:t>
      </w:r>
      <w:r>
        <w:rPr>
          <w:spacing w:val="-4"/>
        </w:rPr>
        <w:t> </w:t>
      </w:r>
      <w:r>
        <w:rPr/>
        <w:t>individuals,</w:t>
      </w:r>
      <w:r>
        <w:rPr>
          <w:spacing w:val="-3"/>
        </w:rPr>
        <w:t> </w:t>
      </w:r>
      <w:r>
        <w:rPr/>
        <w:t>organizations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systems,</w:t>
      </w:r>
      <w:r>
        <w:rPr>
          <w:spacing w:val="-3"/>
        </w:rPr>
        <w:t> </w:t>
      </w:r>
      <w:r>
        <w:rPr/>
        <w:t>agreements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security</w:t>
      </w:r>
      <w:r>
        <w:rPr>
          <w:spacing w:val="-2"/>
        </w:rPr>
        <w:t> </w:t>
      </w:r>
      <w:r>
        <w:rPr/>
        <w:t>measures</w:t>
      </w:r>
      <w:r>
        <w:rPr>
          <w:spacing w:val="-4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breached,</w:t>
      </w:r>
      <w:r>
        <w:rPr>
          <w:spacing w:val="-3"/>
        </w:rPr>
        <w:t> </w:t>
      </w:r>
      <w:r>
        <w:rPr/>
        <w:t>and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  <w:ind w:right="180" w:firstLine="0"/>
      </w:pPr>
      <w:r>
        <w:rPr/>
        <w:t>we</w:t>
      </w:r>
      <w:r>
        <w:rPr>
          <w:spacing w:val="-4"/>
        </w:rPr>
        <w:t> </w:t>
      </w:r>
      <w:r>
        <w:rPr/>
        <w:t>may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adequate</w:t>
      </w:r>
      <w:r>
        <w:rPr>
          <w:spacing w:val="-3"/>
        </w:rPr>
        <w:t> </w:t>
      </w:r>
      <w:r>
        <w:rPr/>
        <w:t>remedies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breach.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addition,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trade</w:t>
      </w:r>
      <w:r>
        <w:rPr>
          <w:spacing w:val="-3"/>
        </w:rPr>
        <w:t> </w:t>
      </w:r>
      <w:r>
        <w:rPr/>
        <w:t>secrets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otherwise</w:t>
      </w:r>
      <w:r>
        <w:rPr>
          <w:spacing w:val="-4"/>
        </w:rPr>
        <w:t> </w:t>
      </w:r>
      <w:r>
        <w:rPr/>
        <w:t>become</w:t>
      </w:r>
      <w:r>
        <w:rPr>
          <w:spacing w:val="-3"/>
        </w:rPr>
        <w:t> </w:t>
      </w:r>
      <w:r>
        <w:rPr/>
        <w:t>known,</w:t>
      </w:r>
      <w:r>
        <w:rPr>
          <w:spacing w:val="-2"/>
        </w:rPr>
        <w:t> </w:t>
      </w:r>
      <w:r>
        <w:rPr/>
        <w:t>or</w:t>
      </w:r>
      <w:r>
        <w:rPr>
          <w:spacing w:val="-47"/>
        </w:rPr>
        <w:t> </w:t>
      </w:r>
      <w:r>
        <w:rPr/>
        <w:t>be independently discovered by, competitors. To the extent that our employees, consultants, contractors or</w:t>
      </w:r>
      <w:r>
        <w:rPr>
          <w:spacing w:val="1"/>
        </w:rPr>
        <w:t> </w:t>
      </w:r>
      <w:r>
        <w:rPr/>
        <w:t>collaborators use intellectual property owned by others in their work for us, disputes may arise as to the rights in</w:t>
      </w:r>
      <w:r>
        <w:rPr>
          <w:spacing w:val="1"/>
        </w:rPr>
        <w:t> </w:t>
      </w:r>
      <w:r>
        <w:rPr/>
        <w:t>related or resulting know-how and inventions could have a material adverse effect on our competitive position,</w:t>
      </w:r>
      <w:r>
        <w:rPr>
          <w:spacing w:val="1"/>
        </w:rPr>
        <w:t> </w:t>
      </w:r>
      <w:r>
        <w:rPr/>
        <w:t>business,</w:t>
      </w:r>
      <w:r>
        <w:rPr>
          <w:spacing w:val="-1"/>
        </w:rPr>
        <w:t> </w:t>
      </w:r>
      <w:r>
        <w:rPr/>
        <w:t>financial</w:t>
      </w:r>
      <w:r>
        <w:rPr>
          <w:spacing w:val="-1"/>
        </w:rPr>
        <w:t> </w:t>
      </w:r>
      <w:r>
        <w:rPr/>
        <w:t>condition, results</w:t>
      </w:r>
      <w:r>
        <w:rPr>
          <w:spacing w:val="-2"/>
        </w:rPr>
        <w:t> </w:t>
      </w:r>
      <w:r>
        <w:rPr/>
        <w:t>of operations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prospects.</w:t>
      </w:r>
    </w:p>
    <w:p>
      <w:pPr>
        <w:pStyle w:val="Heading3"/>
        <w:spacing w:line="249" w:lineRule="auto"/>
        <w:ind w:right="180"/>
      </w:pPr>
      <w:r>
        <w:rPr>
          <w:i/>
        </w:rPr>
        <w:t>We may be subject to claims that we or our employees have misappropriated the intellectual property of a third</w:t>
      </w:r>
      <w:r>
        <w:rPr>
          <w:i/>
          <w:spacing w:val="1"/>
        </w:rPr>
        <w:t> </w:t>
      </w:r>
      <w:r>
        <w:rPr/>
        <w:t>party, including trade secrets or know-how, or are in breach of non-competition or non-solicitation agreements</w:t>
      </w:r>
      <w:r>
        <w:rPr>
          <w:spacing w:val="1"/>
        </w:rPr>
        <w:t> </w:t>
      </w:r>
      <w:r>
        <w:rPr/>
        <w:t>with</w:t>
      </w:r>
      <w:r>
        <w:rPr>
          <w:spacing w:val="-5"/>
        </w:rPr>
        <w:t> </w:t>
      </w:r>
      <w:r>
        <w:rPr/>
        <w:t>our</w:t>
      </w:r>
      <w:r>
        <w:rPr>
          <w:spacing w:val="-4"/>
        </w:rPr>
        <w:t> </w:t>
      </w:r>
      <w:r>
        <w:rPr/>
        <w:t>competitors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third</w:t>
      </w:r>
      <w:r>
        <w:rPr>
          <w:spacing w:val="-3"/>
        </w:rPr>
        <w:t> </w:t>
      </w:r>
      <w:r>
        <w:rPr/>
        <w:t>parties</w:t>
      </w:r>
      <w:r>
        <w:rPr>
          <w:spacing w:val="-5"/>
        </w:rPr>
        <w:t> </w:t>
      </w:r>
      <w:r>
        <w:rPr/>
        <w:t>may</w:t>
      </w:r>
      <w:r>
        <w:rPr>
          <w:spacing w:val="-4"/>
        </w:rPr>
        <w:t> </w:t>
      </w:r>
      <w:r>
        <w:rPr/>
        <w:t>claim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ownership</w:t>
      </w:r>
      <w:r>
        <w:rPr>
          <w:spacing w:val="-3"/>
        </w:rPr>
        <w:t> </w:t>
      </w:r>
      <w:r>
        <w:rPr/>
        <w:t>interest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intellectual</w:t>
      </w:r>
      <w:r>
        <w:rPr>
          <w:spacing w:val="-5"/>
        </w:rPr>
        <w:t> </w:t>
      </w:r>
      <w:r>
        <w:rPr/>
        <w:t>property</w:t>
      </w:r>
      <w:r>
        <w:rPr>
          <w:spacing w:val="-4"/>
        </w:rPr>
        <w:t> </w:t>
      </w:r>
      <w:r>
        <w:rPr/>
        <w:t>we</w:t>
      </w:r>
      <w:r>
        <w:rPr>
          <w:spacing w:val="-4"/>
        </w:rPr>
        <w:t> </w:t>
      </w:r>
      <w:r>
        <w:rPr/>
        <w:t>regard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our</w:t>
      </w:r>
      <w:r>
        <w:rPr>
          <w:spacing w:val="1"/>
        </w:rPr>
        <w:t> </w:t>
      </w:r>
      <w:r>
        <w:rPr/>
        <w:t>own.</w:t>
      </w:r>
    </w:p>
    <w:p>
      <w:pPr>
        <w:pStyle w:val="BodyText"/>
        <w:spacing w:line="249" w:lineRule="auto" w:before="187"/>
      </w:pPr>
      <w:r>
        <w:rPr/>
        <w:t>Many of our employees and consultants were previously employed at or engaged by other medical device,</w:t>
      </w:r>
      <w:r>
        <w:rPr>
          <w:spacing w:val="1"/>
        </w:rPr>
        <w:t> </w:t>
      </w:r>
      <w:r>
        <w:rPr/>
        <w:t>biotechnology or pharmaceutical companies, including our competitors or potential competitors. Some of these</w:t>
      </w:r>
      <w:r>
        <w:rPr>
          <w:spacing w:val="1"/>
        </w:rPr>
        <w:t> </w:t>
      </w:r>
      <w:r>
        <w:rPr/>
        <w:t>employees, consultants and contractors, may have executed proprietary rights, non-disclosure and non-competition</w:t>
      </w:r>
      <w:r>
        <w:rPr>
          <w:spacing w:val="1"/>
        </w:rPr>
        <w:t> </w:t>
      </w:r>
      <w:r>
        <w:rPr/>
        <w:t>agreements in connection with such previous employment. Although we try to ensure that our employees and</w:t>
      </w:r>
      <w:r>
        <w:rPr>
          <w:spacing w:val="1"/>
        </w:rPr>
        <w:t> </w:t>
      </w:r>
      <w:r>
        <w:rPr/>
        <w:t>consultants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not</w:t>
      </w:r>
      <w:r>
        <w:rPr>
          <w:spacing w:val="-4"/>
        </w:rPr>
        <w:t> </w:t>
      </w:r>
      <w:r>
        <w:rPr/>
        <w:t>use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intellectual</w:t>
      </w:r>
      <w:r>
        <w:rPr>
          <w:spacing w:val="-3"/>
        </w:rPr>
        <w:t> </w:t>
      </w:r>
      <w:r>
        <w:rPr/>
        <w:t>property,</w:t>
      </w:r>
      <w:r>
        <w:rPr>
          <w:spacing w:val="-3"/>
        </w:rPr>
        <w:t> </w:t>
      </w:r>
      <w:r>
        <w:rPr/>
        <w:t>proprietary</w:t>
      </w:r>
      <w:r>
        <w:rPr>
          <w:spacing w:val="-2"/>
        </w:rPr>
        <w:t> </w:t>
      </w:r>
      <w:r>
        <w:rPr/>
        <w:t>information,</w:t>
      </w:r>
      <w:r>
        <w:rPr>
          <w:spacing w:val="-3"/>
        </w:rPr>
        <w:t> </w:t>
      </w:r>
      <w:r>
        <w:rPr/>
        <w:t>know-how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trade</w:t>
      </w:r>
      <w:r>
        <w:rPr>
          <w:spacing w:val="-3"/>
        </w:rPr>
        <w:t> </w:t>
      </w:r>
      <w:r>
        <w:rPr/>
        <w:t>secrets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others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their</w:t>
      </w:r>
      <w:r>
        <w:rPr>
          <w:spacing w:val="-47"/>
        </w:rPr>
        <w:t> </w:t>
      </w:r>
      <w:r>
        <w:rPr/>
        <w:t>work for us, we may be subject to claims that we or these individuals have, inadvertently or otherwise,</w:t>
      </w:r>
      <w:r>
        <w:rPr>
          <w:spacing w:val="1"/>
        </w:rPr>
        <w:t> </w:t>
      </w:r>
      <w:r>
        <w:rPr/>
        <w:t>misappropriated the intellectual property or disclosed the alleged trade secrets or other proprietary information, of</w:t>
      </w:r>
      <w:r>
        <w:rPr>
          <w:spacing w:val="1"/>
        </w:rPr>
        <w:t> </w:t>
      </w:r>
      <w:r>
        <w:rPr/>
        <w:t>these</w:t>
      </w:r>
      <w:r>
        <w:rPr>
          <w:spacing w:val="-2"/>
        </w:rPr>
        <w:t> </w:t>
      </w:r>
      <w:r>
        <w:rPr/>
        <w:t>former employers</w:t>
      </w:r>
      <w:r>
        <w:rPr>
          <w:spacing w:val="-1"/>
        </w:rPr>
        <w:t> </w:t>
      </w:r>
      <w:r>
        <w:rPr/>
        <w:t>or competitors.</w:t>
      </w:r>
    </w:p>
    <w:p>
      <w:pPr>
        <w:pStyle w:val="BodyText"/>
        <w:spacing w:line="249" w:lineRule="auto" w:before="187"/>
        <w:ind w:right="146"/>
      </w:pPr>
      <w:r>
        <w:rPr/>
        <w:t>Additionally, we may be subject to claims from third parties challenging our ownership interest in intellectual</w:t>
      </w:r>
      <w:r>
        <w:rPr>
          <w:spacing w:val="1"/>
        </w:rPr>
        <w:t> </w:t>
      </w:r>
      <w:r>
        <w:rPr/>
        <w:t>property we regard as our own, based on claims that our employees or consultants have breached an obligation to</w:t>
      </w:r>
      <w:r>
        <w:rPr>
          <w:spacing w:val="1"/>
        </w:rPr>
        <w:t> </w:t>
      </w:r>
      <w:r>
        <w:rPr/>
        <w:t>assign inventions to another employer, to a former employer, or to another person or entity. Litigation may be</w:t>
      </w:r>
      <w:r>
        <w:rPr>
          <w:spacing w:val="1"/>
        </w:rPr>
        <w:t> </w:t>
      </w:r>
      <w:r>
        <w:rPr/>
        <w:t>necessary to defend against any other claims, and it may be necessary or we may desire to enter into a license to</w:t>
      </w:r>
      <w:r>
        <w:rPr>
          <w:spacing w:val="1"/>
        </w:rPr>
        <w:t> </w:t>
      </w:r>
      <w:r>
        <w:rPr/>
        <w:t>settle any such claim; however, there can be no assurance that we would be able to obtain a license on commercially</w:t>
      </w:r>
      <w:r>
        <w:rPr>
          <w:spacing w:val="-47"/>
        </w:rPr>
        <w:t> </w:t>
      </w:r>
      <w:r>
        <w:rPr/>
        <w:t>reasonable</w:t>
      </w:r>
      <w:r>
        <w:rPr>
          <w:spacing w:val="-4"/>
        </w:rPr>
        <w:t> </w:t>
      </w:r>
      <w:r>
        <w:rPr/>
        <w:t>terms,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at</w:t>
      </w:r>
      <w:r>
        <w:rPr>
          <w:spacing w:val="-4"/>
        </w:rPr>
        <w:t> </w:t>
      </w:r>
      <w:r>
        <w:rPr/>
        <w:t>all.</w:t>
      </w:r>
      <w:r>
        <w:rPr>
          <w:spacing w:val="-2"/>
        </w:rPr>
        <w:t> </w:t>
      </w:r>
      <w:r>
        <w:rPr/>
        <w:t>If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defense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those</w:t>
      </w:r>
      <w:r>
        <w:rPr>
          <w:spacing w:val="-3"/>
        </w:rPr>
        <w:t> </w:t>
      </w:r>
      <w:r>
        <w:rPr/>
        <w:t>claims</w:t>
      </w:r>
      <w:r>
        <w:rPr>
          <w:spacing w:val="-3"/>
        </w:rPr>
        <w:t> </w:t>
      </w:r>
      <w:r>
        <w:rPr/>
        <w:t>fails,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addition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paying</w:t>
      </w:r>
      <w:r>
        <w:rPr>
          <w:spacing w:val="-2"/>
        </w:rPr>
        <w:t> </w:t>
      </w:r>
      <w:r>
        <w:rPr/>
        <w:t>monetary</w:t>
      </w:r>
      <w:r>
        <w:rPr>
          <w:spacing w:val="-2"/>
        </w:rPr>
        <w:t> </w:t>
      </w:r>
      <w:r>
        <w:rPr/>
        <w:t>damages,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court</w:t>
      </w:r>
      <w:r>
        <w:rPr>
          <w:spacing w:val="-3"/>
        </w:rPr>
        <w:t> </w:t>
      </w:r>
      <w:r>
        <w:rPr/>
        <w:t>could</w:t>
      </w:r>
      <w:r>
        <w:rPr>
          <w:spacing w:val="-47"/>
        </w:rPr>
        <w:t> </w:t>
      </w:r>
      <w:r>
        <w:rPr/>
        <w:t>prohibit us from using technologies or features that are essential to our AquaBeam Robotic System or our other</w:t>
      </w:r>
      <w:r>
        <w:rPr>
          <w:spacing w:val="1"/>
        </w:rPr>
        <w:t> </w:t>
      </w:r>
      <w:r>
        <w:rPr/>
        <w:t>current and future products or services, if such technologies or features are found to incorporate or be derived from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trade</w:t>
      </w:r>
      <w:r>
        <w:rPr>
          <w:spacing w:val="-1"/>
        </w:rPr>
        <w:t> </w:t>
      </w:r>
      <w:r>
        <w:rPr/>
        <w:t>secrets</w:t>
      </w:r>
      <w:r>
        <w:rPr>
          <w:spacing w:val="-2"/>
        </w:rPr>
        <w:t> </w:t>
      </w:r>
      <w:r>
        <w:rPr/>
        <w:t>or other proprietary</w:t>
      </w:r>
      <w:r>
        <w:rPr>
          <w:spacing w:val="-1"/>
        </w:rPr>
        <w:t> </w:t>
      </w:r>
      <w:r>
        <w:rPr/>
        <w:t>information of the</w:t>
      </w:r>
      <w:r>
        <w:rPr>
          <w:spacing w:val="-2"/>
        </w:rPr>
        <w:t> </w:t>
      </w:r>
      <w:r>
        <w:rPr/>
        <w:t>former employers.</w:t>
      </w:r>
    </w:p>
    <w:p>
      <w:pPr>
        <w:pStyle w:val="BodyText"/>
        <w:spacing w:line="249" w:lineRule="auto" w:before="187"/>
        <w:ind w:right="136"/>
      </w:pPr>
      <w:r>
        <w:rPr/>
        <w:t>An inability to incorporate technologies or features that are important or essential to our product could have a</w:t>
      </w:r>
      <w:r>
        <w:rPr>
          <w:spacing w:val="1"/>
        </w:rPr>
        <w:t> </w:t>
      </w:r>
      <w:r>
        <w:rPr/>
        <w:t>material adverse effect on our business, financial condition and results of operations, and may prevent us from</w:t>
      </w:r>
      <w:r>
        <w:rPr>
          <w:spacing w:val="1"/>
        </w:rPr>
        <w:t> </w:t>
      </w:r>
      <w:r>
        <w:rPr/>
        <w:t>selling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AquaBeam</w:t>
      </w:r>
      <w:r>
        <w:rPr>
          <w:spacing w:val="-3"/>
        </w:rPr>
        <w:t> </w:t>
      </w:r>
      <w:r>
        <w:rPr/>
        <w:t>Robotic</w:t>
      </w:r>
      <w:r>
        <w:rPr>
          <w:spacing w:val="-3"/>
        </w:rPr>
        <w:t> </w:t>
      </w:r>
      <w:r>
        <w:rPr/>
        <w:t>System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</w:t>
      </w:r>
      <w:r>
        <w:rPr/>
        <w:t>current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future</w:t>
      </w:r>
      <w:r>
        <w:rPr>
          <w:spacing w:val="-3"/>
        </w:rPr>
        <w:t> </w:t>
      </w:r>
      <w:r>
        <w:rPr/>
        <w:t>products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services.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addition,</w:t>
      </w:r>
      <w:r>
        <w:rPr>
          <w:spacing w:val="-2"/>
        </w:rPr>
        <w:t> </w:t>
      </w:r>
      <w:r>
        <w:rPr/>
        <w:t>we</w:t>
      </w:r>
      <w:r>
        <w:rPr>
          <w:spacing w:val="-4"/>
        </w:rPr>
        <w:t> </w:t>
      </w:r>
      <w:r>
        <w:rPr/>
        <w:t>may</w:t>
      </w:r>
      <w:r>
        <w:rPr>
          <w:spacing w:val="-2"/>
        </w:rPr>
        <w:t> </w:t>
      </w:r>
      <w:r>
        <w:rPr/>
        <w:t>lose</w:t>
      </w:r>
      <w:r>
        <w:rPr>
          <w:spacing w:val="-47"/>
        </w:rPr>
        <w:t> </w:t>
      </w:r>
      <w:r>
        <w:rPr/>
        <w:t>valuable intellectual property rights or personnel. Even if we are successful in defending against these claims,</w:t>
      </w:r>
      <w:r>
        <w:rPr>
          <w:spacing w:val="1"/>
        </w:rPr>
        <w:t> </w:t>
      </w:r>
      <w:r>
        <w:rPr/>
        <w:t>litigation could result in substantial costs and could be a distraction to management. Any litigation or the threat</w:t>
      </w:r>
      <w:r>
        <w:rPr>
          <w:spacing w:val="1"/>
        </w:rPr>
        <w:t> </w:t>
      </w:r>
      <w:r>
        <w:rPr/>
        <w:t>thereof may adversely affect our ability to hire employees or contract with independent sales representatives. A loss</w:t>
      </w:r>
      <w:r>
        <w:rPr>
          <w:spacing w:val="-47"/>
        </w:rPr>
        <w:t> </w:t>
      </w:r>
      <w:r>
        <w:rPr/>
        <w:t>of key personnel or their work product could hamper or prevent our ability to commercialize our product, which</w:t>
      </w:r>
      <w:r>
        <w:rPr>
          <w:spacing w:val="1"/>
        </w:rPr>
        <w:t> </w:t>
      </w:r>
      <w:r>
        <w:rPr/>
        <w:t>could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an adverse</w:t>
      </w:r>
      <w:r>
        <w:rPr>
          <w:spacing w:val="-2"/>
        </w:rPr>
        <w:t> </w:t>
      </w:r>
      <w:r>
        <w:rPr/>
        <w:t>effect</w:t>
      </w:r>
      <w:r>
        <w:rPr>
          <w:spacing w:val="-2"/>
        </w:rPr>
        <w:t> </w:t>
      </w:r>
      <w:r>
        <w:rPr/>
        <w:t>on our</w:t>
      </w:r>
      <w:r>
        <w:rPr>
          <w:spacing w:val="-1"/>
        </w:rPr>
        <w:t> </w:t>
      </w:r>
      <w:r>
        <w:rPr/>
        <w:t>business, financial</w:t>
      </w:r>
      <w:r>
        <w:rPr>
          <w:spacing w:val="-2"/>
        </w:rPr>
        <w:t> </w:t>
      </w:r>
      <w:r>
        <w:rPr/>
        <w:t>condition</w:t>
      </w:r>
      <w:r>
        <w:rPr>
          <w:spacing w:val="-1"/>
        </w:rPr>
        <w:t> </w:t>
      </w:r>
      <w:r>
        <w:rPr/>
        <w:t>and results</w:t>
      </w:r>
      <w:r>
        <w:rPr>
          <w:spacing w:val="-2"/>
        </w:rPr>
        <w:t> </w:t>
      </w:r>
      <w:r>
        <w:rPr/>
        <w:t>of operations.</w:t>
      </w:r>
    </w:p>
    <w:p>
      <w:pPr>
        <w:pStyle w:val="Heading3"/>
        <w:spacing w:line="249" w:lineRule="auto" w:before="183"/>
      </w:pPr>
      <w:r>
        <w:rPr>
          <w:i/>
        </w:rPr>
        <w:t>Changes</w:t>
      </w:r>
      <w:r>
        <w:rPr>
          <w:i/>
          <w:spacing w:val="-4"/>
        </w:rPr>
        <w:t> </w:t>
      </w:r>
      <w:r>
        <w:rPr>
          <w:i/>
        </w:rPr>
        <w:t>in</w:t>
      </w:r>
      <w:r>
        <w:rPr>
          <w:i/>
          <w:spacing w:val="-4"/>
        </w:rPr>
        <w:t> </w:t>
      </w:r>
      <w:r>
        <w:rPr>
          <w:i/>
        </w:rPr>
        <w:t>patent</w:t>
      </w:r>
      <w:r>
        <w:rPr>
          <w:i/>
          <w:spacing w:val="-4"/>
        </w:rPr>
        <w:t> </w:t>
      </w:r>
      <w:r>
        <w:rPr>
          <w:i/>
        </w:rPr>
        <w:t>law</w:t>
      </w:r>
      <w:r>
        <w:rPr>
          <w:i/>
          <w:spacing w:val="-4"/>
        </w:rPr>
        <w:t> </w:t>
      </w:r>
      <w:r>
        <w:rPr>
          <w:i/>
        </w:rPr>
        <w:t>could</w:t>
      </w:r>
      <w:r>
        <w:rPr>
          <w:i/>
          <w:spacing w:val="-3"/>
        </w:rPr>
        <w:t> </w:t>
      </w:r>
      <w:r>
        <w:rPr>
          <w:i/>
        </w:rPr>
        <w:t>diminish</w:t>
      </w:r>
      <w:r>
        <w:rPr>
          <w:i/>
          <w:spacing w:val="-4"/>
        </w:rPr>
        <w:t> </w:t>
      </w:r>
      <w:r>
        <w:rPr>
          <w:i/>
        </w:rPr>
        <w:t>the</w:t>
      </w:r>
      <w:r>
        <w:rPr>
          <w:i/>
          <w:spacing w:val="-3"/>
        </w:rPr>
        <w:t> </w:t>
      </w:r>
      <w:r>
        <w:rPr>
          <w:i/>
        </w:rPr>
        <w:t>value</w:t>
      </w:r>
      <w:r>
        <w:rPr>
          <w:i/>
          <w:spacing w:val="-4"/>
        </w:rPr>
        <w:t> </w:t>
      </w:r>
      <w:r>
        <w:rPr>
          <w:i/>
        </w:rPr>
        <w:t>of</w:t>
      </w:r>
      <w:r>
        <w:rPr>
          <w:i/>
          <w:spacing w:val="-3"/>
        </w:rPr>
        <w:t> </w:t>
      </w:r>
      <w:r>
        <w:rPr>
          <w:i/>
        </w:rPr>
        <w:t>patents</w:t>
      </w:r>
      <w:r>
        <w:rPr>
          <w:i/>
          <w:spacing w:val="-4"/>
        </w:rPr>
        <w:t> </w:t>
      </w:r>
      <w:r>
        <w:rPr>
          <w:i/>
        </w:rPr>
        <w:t>in</w:t>
      </w:r>
      <w:r>
        <w:rPr>
          <w:i/>
          <w:spacing w:val="-4"/>
        </w:rPr>
        <w:t> </w:t>
      </w:r>
      <w:r>
        <w:rPr>
          <w:i/>
        </w:rPr>
        <w:t>general,</w:t>
      </w:r>
      <w:r>
        <w:rPr>
          <w:i/>
          <w:spacing w:val="-3"/>
        </w:rPr>
        <w:t> </w:t>
      </w:r>
      <w:r>
        <w:rPr>
          <w:i/>
        </w:rPr>
        <w:t>thereby</w:t>
      </w:r>
      <w:r>
        <w:rPr>
          <w:i/>
          <w:spacing w:val="-4"/>
        </w:rPr>
        <w:t> </w:t>
      </w:r>
      <w:r>
        <w:rPr>
          <w:i/>
        </w:rPr>
        <w:t>impairing</w:t>
      </w:r>
      <w:r>
        <w:rPr>
          <w:i/>
          <w:spacing w:val="-2"/>
        </w:rPr>
        <w:t> </w:t>
      </w:r>
      <w:r>
        <w:rPr>
          <w:i/>
        </w:rPr>
        <w:t>our</w:t>
      </w:r>
      <w:r>
        <w:rPr>
          <w:i/>
          <w:spacing w:val="-4"/>
        </w:rPr>
        <w:t> </w:t>
      </w:r>
      <w:r>
        <w:rPr>
          <w:i/>
        </w:rPr>
        <w:t>ability</w:t>
      </w:r>
      <w:r>
        <w:rPr>
          <w:i/>
          <w:spacing w:val="-4"/>
        </w:rPr>
        <w:t> </w:t>
      </w:r>
      <w:r>
        <w:rPr>
          <w:i/>
        </w:rPr>
        <w:t>to</w:t>
      </w:r>
      <w:r>
        <w:rPr>
          <w:i/>
          <w:spacing w:val="-3"/>
        </w:rPr>
        <w:t> </w:t>
      </w:r>
      <w:r>
        <w:rPr>
          <w:i/>
        </w:rPr>
        <w:t>protect</w:t>
      </w:r>
      <w:r>
        <w:rPr>
          <w:i/>
          <w:spacing w:val="-4"/>
        </w:rPr>
        <w:t> </w:t>
      </w:r>
      <w:r>
        <w:rPr>
          <w:i/>
        </w:rPr>
        <w:t>our</w:t>
      </w:r>
      <w:r>
        <w:rPr>
          <w:i/>
          <w:spacing w:val="1"/>
        </w:rPr>
        <w:t> </w:t>
      </w:r>
      <w:r>
        <w:rPr/>
        <w:t>existing and future products or services, and could increase the uncertainties and costs surrounding the</w:t>
      </w:r>
      <w:r>
        <w:rPr>
          <w:spacing w:val="1"/>
        </w:rPr>
        <w:t> </w:t>
      </w:r>
      <w:r>
        <w:rPr/>
        <w:t>prosecution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our</w:t>
      </w:r>
      <w:r>
        <w:rPr>
          <w:spacing w:val="-3"/>
        </w:rPr>
        <w:t> </w:t>
      </w:r>
      <w:r>
        <w:rPr/>
        <w:t>patent</w:t>
      </w:r>
      <w:r>
        <w:rPr>
          <w:spacing w:val="-2"/>
        </w:rPr>
        <w:t> </w:t>
      </w:r>
      <w:r>
        <w:rPr/>
        <w:t>applications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enforcement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defense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current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future</w:t>
      </w:r>
      <w:r>
        <w:rPr>
          <w:spacing w:val="-2"/>
        </w:rPr>
        <w:t> </w:t>
      </w:r>
      <w:r>
        <w:rPr/>
        <w:t>patents.</w:t>
      </w:r>
    </w:p>
    <w:p>
      <w:pPr>
        <w:pStyle w:val="BodyText"/>
        <w:spacing w:line="249" w:lineRule="auto" w:before="186"/>
        <w:ind w:right="148"/>
      </w:pPr>
      <w:r>
        <w:rPr/>
        <w:t>Our ability to obtain patents and the breadth of any patents obtained is uncertain in part because, to date, some</w:t>
      </w:r>
      <w:r>
        <w:rPr>
          <w:spacing w:val="1"/>
        </w:rPr>
        <w:t> </w:t>
      </w:r>
      <w:r>
        <w:rPr/>
        <w:t>legal</w:t>
      </w:r>
      <w:r>
        <w:rPr>
          <w:spacing w:val="-4"/>
        </w:rPr>
        <w:t> </w:t>
      </w:r>
      <w:r>
        <w:rPr/>
        <w:t>principles</w:t>
      </w:r>
      <w:r>
        <w:rPr>
          <w:spacing w:val="-4"/>
        </w:rPr>
        <w:t> </w:t>
      </w:r>
      <w:r>
        <w:rPr/>
        <w:t>remain</w:t>
      </w:r>
      <w:r>
        <w:rPr>
          <w:spacing w:val="-3"/>
        </w:rPr>
        <w:t> </w:t>
      </w:r>
      <w:r>
        <w:rPr/>
        <w:t>unresolved,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there</w:t>
      </w:r>
      <w:r>
        <w:rPr>
          <w:spacing w:val="-4"/>
        </w:rPr>
        <w:t> </w:t>
      </w:r>
      <w:r>
        <w:rPr/>
        <w:t>has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been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consistent</w:t>
      </w:r>
      <w:r>
        <w:rPr>
          <w:spacing w:val="-3"/>
        </w:rPr>
        <w:t> </w:t>
      </w:r>
      <w:r>
        <w:rPr/>
        <w:t>policy</w:t>
      </w:r>
      <w:r>
        <w:rPr>
          <w:spacing w:val="-3"/>
        </w:rPr>
        <w:t> </w:t>
      </w:r>
      <w:r>
        <w:rPr/>
        <w:t>regarding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breadth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interpretation</w:t>
      </w:r>
      <w:r>
        <w:rPr>
          <w:spacing w:val="-47"/>
        </w:rPr>
        <w:t> </w:t>
      </w:r>
      <w:r>
        <w:rPr/>
        <w:t>of claims allowed in patents in the United States and other countries. Changes in either patent laws or in</w:t>
      </w:r>
      <w:r>
        <w:rPr>
          <w:spacing w:val="1"/>
        </w:rPr>
        <w:t> </w:t>
      </w:r>
      <w:r>
        <w:rPr/>
        <w:t>interpretations of patent laws in the United States and other countries may diminish the value of our intellectual</w:t>
      </w:r>
      <w:r>
        <w:rPr>
          <w:spacing w:val="1"/>
        </w:rPr>
        <w:t> </w:t>
      </w:r>
      <w:r>
        <w:rPr/>
        <w:t>property rights or narrow the scope of our patent protection, which in turn could diminish the commercial value of</w:t>
      </w:r>
      <w:r>
        <w:rPr>
          <w:spacing w:val="1"/>
        </w:rPr>
        <w:t> </w:t>
      </w:r>
      <w:r>
        <w:rPr/>
        <w:t>our</w:t>
      </w:r>
      <w:r>
        <w:rPr>
          <w:spacing w:val="-1"/>
        </w:rPr>
        <w:t> </w:t>
      </w:r>
      <w:r>
        <w:rPr/>
        <w:t>products</w:t>
      </w:r>
      <w:r>
        <w:rPr>
          <w:spacing w:val="-1"/>
        </w:rPr>
        <w:t> </w:t>
      </w:r>
      <w:r>
        <w:rPr/>
        <w:t>and services.</w:t>
      </w:r>
    </w:p>
    <w:p>
      <w:pPr>
        <w:pStyle w:val="BodyText"/>
        <w:spacing w:line="249" w:lineRule="auto" w:before="185"/>
        <w:ind w:right="212"/>
      </w:pPr>
      <w:r>
        <w:rPr/>
        <w:t>Patent reform legislation may pass in the future that could lead to additional uncertainties and increased costs</w:t>
      </w:r>
      <w:r>
        <w:rPr>
          <w:spacing w:val="1"/>
        </w:rPr>
        <w:t> </w:t>
      </w:r>
      <w:r>
        <w:rPr/>
        <w:t>surrounding the prosecution, enforcement and defense of our patents and applications. Furthermore, the U.S.</w:t>
      </w:r>
      <w:r>
        <w:rPr>
          <w:spacing w:val="1"/>
        </w:rPr>
        <w:t> </w:t>
      </w:r>
      <w:r>
        <w:rPr/>
        <w:t>Supreme</w:t>
      </w:r>
      <w:r>
        <w:rPr>
          <w:spacing w:val="-4"/>
        </w:rPr>
        <w:t> </w:t>
      </w:r>
      <w:r>
        <w:rPr/>
        <w:t>Court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U.S.</w:t>
      </w:r>
      <w:r>
        <w:rPr>
          <w:spacing w:val="-2"/>
        </w:rPr>
        <w:t> </w:t>
      </w:r>
      <w:r>
        <w:rPr/>
        <w:t>Court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Appeals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Federal</w:t>
      </w:r>
      <w:r>
        <w:rPr>
          <w:spacing w:val="-3"/>
        </w:rPr>
        <w:t> </w:t>
      </w:r>
      <w:r>
        <w:rPr/>
        <w:t>Circuit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made,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/>
        <w:t>likely</w:t>
      </w:r>
      <w:r>
        <w:rPr>
          <w:spacing w:val="-2"/>
        </w:rPr>
        <w:t> </w:t>
      </w:r>
      <w:r>
        <w:rPr/>
        <w:t>continue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make,</w:t>
      </w:r>
      <w:r>
        <w:rPr>
          <w:spacing w:val="-47"/>
        </w:rPr>
        <w:t> </w:t>
      </w:r>
      <w:r>
        <w:rPr/>
        <w:t>changes</w:t>
      </w:r>
      <w:r>
        <w:rPr>
          <w:spacing w:val="-2"/>
        </w:rPr>
        <w:t> </w:t>
      </w:r>
      <w:r>
        <w:rPr/>
        <w:t>in how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patent</w:t>
      </w:r>
      <w:r>
        <w:rPr>
          <w:spacing w:val="-1"/>
        </w:rPr>
        <w:t> </w:t>
      </w:r>
      <w:r>
        <w:rPr/>
        <w:t>laws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United States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interpreted.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  <w:ind w:right="186"/>
      </w:pPr>
      <w:r>
        <w:rPr/>
        <w:t>The United States Supreme Court has ruled on several patent cases in recent years, either narrowing the scope</w:t>
      </w:r>
      <w:r>
        <w:rPr>
          <w:spacing w:val="1"/>
        </w:rPr>
        <w:t> </w:t>
      </w:r>
      <w:r>
        <w:rPr/>
        <w:t>of</w:t>
      </w:r>
      <w:r>
        <w:rPr>
          <w:spacing w:val="-4"/>
        </w:rPr>
        <w:t> </w:t>
      </w:r>
      <w:r>
        <w:rPr/>
        <w:t>patent</w:t>
      </w:r>
      <w:r>
        <w:rPr>
          <w:spacing w:val="-4"/>
        </w:rPr>
        <w:t> </w:t>
      </w:r>
      <w:r>
        <w:rPr/>
        <w:t>protection</w:t>
      </w:r>
      <w:r>
        <w:rPr>
          <w:spacing w:val="-3"/>
        </w:rPr>
        <w:t> </w:t>
      </w:r>
      <w:r>
        <w:rPr/>
        <w:t>available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certain</w:t>
      </w:r>
      <w:r>
        <w:rPr>
          <w:spacing w:val="-3"/>
        </w:rPr>
        <w:t> </w:t>
      </w:r>
      <w:r>
        <w:rPr/>
        <w:t>circumstances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weakening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rights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patent</w:t>
      </w:r>
      <w:r>
        <w:rPr>
          <w:spacing w:val="-4"/>
        </w:rPr>
        <w:t> </w:t>
      </w:r>
      <w:r>
        <w:rPr/>
        <w:t>owners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certain</w:t>
      </w:r>
      <w:r>
        <w:rPr>
          <w:spacing w:val="-3"/>
        </w:rPr>
        <w:t> </w:t>
      </w:r>
      <w:r>
        <w:rPr/>
        <w:t>situations.</w:t>
      </w:r>
      <w:r>
        <w:rPr>
          <w:spacing w:val="1"/>
        </w:rPr>
        <w:t> </w:t>
      </w:r>
      <w:r>
        <w:rPr/>
        <w:t>In addition to increasing uncertainty with regard to our ability to obtain patents in the future, this combination of</w:t>
      </w:r>
      <w:r>
        <w:rPr>
          <w:spacing w:val="1"/>
        </w:rPr>
        <w:t> </w:t>
      </w:r>
      <w:r>
        <w:rPr/>
        <w:t>events has created uncertainty with respect to the value of patents, once obtained. Depending on actions by the</w:t>
      </w:r>
      <w:r>
        <w:rPr>
          <w:spacing w:val="1"/>
        </w:rPr>
        <w:t> </w:t>
      </w:r>
      <w:r>
        <w:rPr/>
        <w:t>United</w:t>
      </w:r>
      <w:r>
        <w:rPr>
          <w:spacing w:val="-3"/>
        </w:rPr>
        <w:t> </w:t>
      </w:r>
      <w:r>
        <w:rPr/>
        <w:t>States</w:t>
      </w:r>
      <w:r>
        <w:rPr>
          <w:spacing w:val="-4"/>
        </w:rPr>
        <w:t> </w:t>
      </w:r>
      <w:r>
        <w:rPr/>
        <w:t>Congress,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federal</w:t>
      </w:r>
      <w:r>
        <w:rPr>
          <w:spacing w:val="-4"/>
        </w:rPr>
        <w:t> </w:t>
      </w:r>
      <w:r>
        <w:rPr/>
        <w:t>courts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USPTO,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laws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regulations</w:t>
      </w:r>
      <w:r>
        <w:rPr>
          <w:spacing w:val="-4"/>
        </w:rPr>
        <w:t> </w:t>
      </w:r>
      <w:r>
        <w:rPr/>
        <w:t>governing</w:t>
      </w:r>
      <w:r>
        <w:rPr>
          <w:spacing w:val="-2"/>
        </w:rPr>
        <w:t> </w:t>
      </w:r>
      <w:r>
        <w:rPr/>
        <w:t>patents</w:t>
      </w:r>
      <w:r>
        <w:rPr>
          <w:spacing w:val="-4"/>
        </w:rPr>
        <w:t> </w:t>
      </w:r>
      <w:r>
        <w:rPr/>
        <w:t>could</w:t>
      </w:r>
      <w:r>
        <w:rPr>
          <w:spacing w:val="-3"/>
        </w:rPr>
        <w:t> </w:t>
      </w:r>
      <w:r>
        <w:rPr/>
        <w:t>change</w:t>
      </w:r>
      <w:r>
        <w:rPr>
          <w:spacing w:val="-47"/>
        </w:rPr>
        <w:t> </w:t>
      </w:r>
      <w:r>
        <w:rPr/>
        <w:t>in unpredictable ways that would weaken our ability to obtain new patents or to enforce patents that we own or that</w:t>
      </w:r>
      <w:r>
        <w:rPr>
          <w:spacing w:val="1"/>
        </w:rPr>
        <w:t> </w:t>
      </w:r>
      <w:r>
        <w:rPr/>
        <w:t>we might obtain or license in the future. An inability to obtain, enforce, and defend patents covering our proprietary</w:t>
      </w:r>
      <w:r>
        <w:rPr>
          <w:spacing w:val="-47"/>
        </w:rPr>
        <w:t> </w:t>
      </w:r>
      <w:r>
        <w:rPr/>
        <w:t>technologies</w:t>
      </w:r>
      <w:r>
        <w:rPr>
          <w:spacing w:val="-3"/>
        </w:rPr>
        <w:t> </w:t>
      </w:r>
      <w:r>
        <w:rPr/>
        <w:t>would</w:t>
      </w:r>
      <w:r>
        <w:rPr>
          <w:spacing w:val="-1"/>
        </w:rPr>
        <w:t> </w:t>
      </w:r>
      <w:r>
        <w:rPr/>
        <w:t>materially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adversely</w:t>
      </w:r>
      <w:r>
        <w:rPr>
          <w:spacing w:val="-1"/>
        </w:rPr>
        <w:t> </w:t>
      </w:r>
      <w:r>
        <w:rPr/>
        <w:t>affect</w:t>
      </w:r>
      <w:r>
        <w:rPr>
          <w:spacing w:val="-2"/>
        </w:rPr>
        <w:t> </w:t>
      </w:r>
      <w:r>
        <w:rPr/>
        <w:t>our</w:t>
      </w:r>
      <w:r>
        <w:rPr>
          <w:spacing w:val="-1"/>
        </w:rPr>
        <w:t> </w:t>
      </w:r>
      <w:r>
        <w:rPr/>
        <w:t>business</w:t>
      </w:r>
      <w:r>
        <w:rPr>
          <w:spacing w:val="-2"/>
        </w:rPr>
        <w:t> </w:t>
      </w:r>
      <w:r>
        <w:rPr/>
        <w:t>prospects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financial</w:t>
      </w:r>
      <w:r>
        <w:rPr>
          <w:spacing w:val="-2"/>
        </w:rPr>
        <w:t> </w:t>
      </w:r>
      <w:r>
        <w:rPr/>
        <w:t>condition.</w:t>
      </w:r>
    </w:p>
    <w:p>
      <w:pPr>
        <w:pStyle w:val="BodyText"/>
        <w:spacing w:line="249" w:lineRule="auto" w:before="186"/>
        <w:ind w:right="129"/>
      </w:pPr>
      <w:r>
        <w:rPr/>
        <w:t>Similarly, foreign courts have made, and will likely continue to make, changes in how the patent laws in their</w:t>
      </w:r>
      <w:r>
        <w:rPr>
          <w:spacing w:val="1"/>
        </w:rPr>
        <w:t> </w:t>
      </w:r>
      <w:r>
        <w:rPr/>
        <w:t>respective jurisdictions are interpreted. We cannot predict future changes in the interpretation of patent laws or</w:t>
      </w:r>
      <w:r>
        <w:rPr>
          <w:spacing w:val="1"/>
        </w:rPr>
        <w:t> </w:t>
      </w:r>
      <w:r>
        <w:rPr/>
        <w:t>changes to patent laws that might be enacted into law by U.S. and foreign legislative bodies. Those changes may</w:t>
      </w:r>
      <w:r>
        <w:rPr>
          <w:spacing w:val="1"/>
        </w:rPr>
        <w:t> </w:t>
      </w:r>
      <w:r>
        <w:rPr/>
        <w:t>materially affect our patents or patent applications and our ability to obtain additional patent protection in the future.</w:t>
      </w:r>
      <w:r>
        <w:rPr>
          <w:spacing w:val="-47"/>
        </w:rPr>
        <w:t> </w:t>
      </w:r>
      <w:r>
        <w:rPr/>
        <w:t>Further,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laws of</w:t>
      </w:r>
      <w:r>
        <w:rPr>
          <w:spacing w:val="2"/>
        </w:rPr>
        <w:t> </w:t>
      </w:r>
      <w:r>
        <w:rPr/>
        <w:t>some</w:t>
      </w:r>
      <w:r>
        <w:rPr>
          <w:spacing w:val="1"/>
        </w:rPr>
        <w:t> </w:t>
      </w:r>
      <w:r>
        <w:rPr/>
        <w:t>foreign</w:t>
      </w:r>
      <w:r>
        <w:rPr>
          <w:spacing w:val="1"/>
        </w:rPr>
        <w:t> </w:t>
      </w:r>
      <w:r>
        <w:rPr/>
        <w:t>countries</w:t>
      </w:r>
      <w:r>
        <w:rPr>
          <w:spacing w:val="1"/>
        </w:rPr>
        <w:t> </w:t>
      </w:r>
      <w:r>
        <w:rPr/>
        <w:t>do</w:t>
      </w:r>
      <w:r>
        <w:rPr>
          <w:spacing w:val="2"/>
        </w:rPr>
        <w:t> </w:t>
      </w:r>
      <w:r>
        <w:rPr/>
        <w:t>not protect</w:t>
      </w:r>
      <w:r>
        <w:rPr>
          <w:spacing w:val="1"/>
        </w:rPr>
        <w:t> </w:t>
      </w:r>
      <w:r>
        <w:rPr/>
        <w:t>proprietary</w:t>
      </w:r>
      <w:r>
        <w:rPr>
          <w:spacing w:val="2"/>
        </w:rPr>
        <w:t> </w:t>
      </w:r>
      <w:r>
        <w:rPr/>
        <w:t>rights to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same extent</w:t>
      </w:r>
      <w:r>
        <w:rPr>
          <w:spacing w:val="1"/>
        </w:rPr>
        <w:t> </w:t>
      </w:r>
      <w:r>
        <w:rPr/>
        <w:t>or</w:t>
      </w:r>
      <w:r>
        <w:rPr>
          <w:spacing w:val="2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same</w:t>
      </w:r>
      <w:r>
        <w:rPr>
          <w:spacing w:val="1"/>
        </w:rPr>
        <w:t> </w:t>
      </w:r>
      <w:r>
        <w:rPr/>
        <w:t>manner as the laws of the United States. In addition, any protection afforded by foreign patents may be more limited</w:t>
      </w:r>
      <w:r>
        <w:rPr>
          <w:spacing w:val="-47"/>
        </w:rPr>
        <w:t> </w:t>
      </w:r>
      <w:r>
        <w:rPr/>
        <w:t>than that provided under U.S. patent and intellectual property laws. We may encounter significant problems in</w:t>
      </w:r>
      <w:r>
        <w:rPr>
          <w:spacing w:val="1"/>
        </w:rPr>
        <w:t> </w:t>
      </w:r>
      <w:r>
        <w:rPr/>
        <w:t>enforcing and defending our intellectual property both in the United States and abroad. For example, if the issuance</w:t>
      </w:r>
      <w:r>
        <w:rPr>
          <w:spacing w:val="1"/>
        </w:rPr>
        <w:t> </w:t>
      </w:r>
      <w:r>
        <w:rPr/>
        <w:t>in a given country of a patent covering an invention is not followed by the issuance in other countries of patents</w:t>
      </w:r>
      <w:r>
        <w:rPr>
          <w:spacing w:val="1"/>
        </w:rPr>
        <w:t> </w:t>
      </w:r>
      <w:r>
        <w:rPr/>
        <w:t>covering the same invention, or if any judicial interpretation of the validity, enforceability or scope of the claims or</w:t>
      </w:r>
      <w:r>
        <w:rPr>
          <w:spacing w:val="1"/>
        </w:rPr>
        <w:t> </w:t>
      </w:r>
      <w:r>
        <w:rPr/>
        <w:t>the written description or enablement in a patent issued in one country is not similar to the interpretation given to the</w:t>
      </w:r>
      <w:r>
        <w:rPr>
          <w:spacing w:val="-47"/>
        </w:rPr>
        <w:t> </w:t>
      </w:r>
      <w:r>
        <w:rPr/>
        <w:t>corresponding</w:t>
      </w:r>
      <w:r>
        <w:rPr>
          <w:spacing w:val="2"/>
        </w:rPr>
        <w:t> </w:t>
      </w:r>
      <w:r>
        <w:rPr/>
        <w:t>patent</w:t>
      </w:r>
      <w:r>
        <w:rPr>
          <w:spacing w:val="1"/>
        </w:rPr>
        <w:t> </w:t>
      </w:r>
      <w:r>
        <w:rPr/>
        <w:t>issued</w:t>
      </w:r>
      <w:r>
        <w:rPr>
          <w:spacing w:val="3"/>
        </w:rPr>
        <w:t> </w:t>
      </w:r>
      <w:r>
        <w:rPr/>
        <w:t>in</w:t>
      </w:r>
      <w:r>
        <w:rPr>
          <w:spacing w:val="2"/>
        </w:rPr>
        <w:t> </w:t>
      </w:r>
      <w:r>
        <w:rPr/>
        <w:t>other</w:t>
      </w:r>
      <w:r>
        <w:rPr>
          <w:spacing w:val="2"/>
        </w:rPr>
        <w:t> </w:t>
      </w:r>
      <w:r>
        <w:rPr/>
        <w:t>countries,</w:t>
      </w:r>
      <w:r>
        <w:rPr>
          <w:spacing w:val="3"/>
        </w:rPr>
        <w:t> </w:t>
      </w:r>
      <w:r>
        <w:rPr/>
        <w:t>our</w:t>
      </w:r>
      <w:r>
        <w:rPr>
          <w:spacing w:val="2"/>
        </w:rPr>
        <w:t> </w:t>
      </w:r>
      <w:r>
        <w:rPr/>
        <w:t>ability</w:t>
      </w:r>
      <w:r>
        <w:rPr>
          <w:spacing w:val="2"/>
        </w:rPr>
        <w:t> </w:t>
      </w:r>
      <w:r>
        <w:rPr/>
        <w:t>to</w:t>
      </w:r>
      <w:r>
        <w:rPr>
          <w:spacing w:val="3"/>
        </w:rPr>
        <w:t> </w:t>
      </w:r>
      <w:r>
        <w:rPr/>
        <w:t>protect</w:t>
      </w:r>
      <w:r>
        <w:rPr>
          <w:spacing w:val="1"/>
        </w:rPr>
        <w:t> </w:t>
      </w:r>
      <w:r>
        <w:rPr/>
        <w:t>our</w:t>
      </w:r>
      <w:r>
        <w:rPr>
          <w:spacing w:val="2"/>
        </w:rPr>
        <w:t> </w:t>
      </w:r>
      <w:r>
        <w:rPr/>
        <w:t>intellectual</w:t>
      </w:r>
      <w:r>
        <w:rPr>
          <w:spacing w:val="2"/>
        </w:rPr>
        <w:t> </w:t>
      </w:r>
      <w:r>
        <w:rPr/>
        <w:t>property</w:t>
      </w:r>
      <w:r>
        <w:rPr>
          <w:spacing w:val="2"/>
        </w:rPr>
        <w:t> </w:t>
      </w:r>
      <w:r>
        <w:rPr/>
        <w:t>rights</w:t>
      </w:r>
      <w:r>
        <w:rPr>
          <w:spacing w:val="1"/>
        </w:rPr>
        <w:t> </w:t>
      </w:r>
      <w:r>
        <w:rPr/>
        <w:t>in</w:t>
      </w:r>
      <w:r>
        <w:rPr>
          <w:spacing w:val="3"/>
        </w:rPr>
        <w:t> </w:t>
      </w:r>
      <w:r>
        <w:rPr/>
        <w:t>those</w:t>
      </w:r>
      <w:r>
        <w:rPr>
          <w:spacing w:val="1"/>
        </w:rPr>
        <w:t> </w:t>
      </w:r>
      <w:r>
        <w:rPr/>
        <w:t>countries may be limited. Changes in either patent laws or in interpretations of patent laws in the United States and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countries may</w:t>
      </w:r>
      <w:r>
        <w:rPr>
          <w:spacing w:val="2"/>
        </w:rPr>
        <w:t> </w:t>
      </w:r>
      <w:r>
        <w:rPr/>
        <w:t>materially</w:t>
      </w:r>
      <w:r>
        <w:rPr>
          <w:spacing w:val="1"/>
        </w:rPr>
        <w:t> </w:t>
      </w:r>
      <w:r>
        <w:rPr/>
        <w:t>diminish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value of</w:t>
      </w:r>
      <w:r>
        <w:rPr>
          <w:spacing w:val="1"/>
        </w:rPr>
        <w:t> </w:t>
      </w:r>
      <w:r>
        <w:rPr/>
        <w:t>our</w:t>
      </w:r>
      <w:r>
        <w:rPr>
          <w:spacing w:val="2"/>
        </w:rPr>
        <w:t> </w:t>
      </w:r>
      <w:r>
        <w:rPr/>
        <w:t>intellectual property</w:t>
      </w:r>
      <w:r>
        <w:rPr>
          <w:spacing w:val="1"/>
        </w:rPr>
        <w:t> </w:t>
      </w:r>
      <w:r>
        <w:rPr/>
        <w:t>rights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narrow the</w:t>
      </w:r>
      <w:r>
        <w:rPr>
          <w:spacing w:val="1"/>
        </w:rPr>
        <w:t> </w:t>
      </w:r>
      <w:r>
        <w:rPr/>
        <w:t>scope of</w:t>
      </w:r>
      <w:r>
        <w:rPr>
          <w:spacing w:val="1"/>
        </w:rPr>
        <w:t> </w:t>
      </w:r>
      <w:r>
        <w:rPr/>
        <w:t>our</w:t>
      </w:r>
      <w:r>
        <w:rPr>
          <w:spacing w:val="1"/>
        </w:rPr>
        <w:t> </w:t>
      </w:r>
      <w:r>
        <w:rPr/>
        <w:t>patent</w:t>
      </w:r>
      <w:r>
        <w:rPr>
          <w:spacing w:val="-4"/>
        </w:rPr>
        <w:t> </w:t>
      </w:r>
      <w:r>
        <w:rPr/>
        <w:t>protection.</w:t>
      </w:r>
      <w:r>
        <w:rPr>
          <w:spacing w:val="-2"/>
        </w:rPr>
        <w:t> </w:t>
      </w:r>
      <w:r>
        <w:rPr/>
        <w:t>We</w:t>
      </w:r>
      <w:r>
        <w:rPr>
          <w:spacing w:val="-4"/>
        </w:rPr>
        <w:t> </w:t>
      </w:r>
      <w:r>
        <w:rPr/>
        <w:t>cannot</w:t>
      </w:r>
      <w:r>
        <w:rPr>
          <w:spacing w:val="-3"/>
        </w:rPr>
        <w:t> </w:t>
      </w:r>
      <w:r>
        <w:rPr/>
        <w:t>predict</w:t>
      </w:r>
      <w:r>
        <w:rPr>
          <w:spacing w:val="-4"/>
        </w:rPr>
        <w:t> </w:t>
      </w:r>
      <w:r>
        <w:rPr/>
        <w:t>future</w:t>
      </w:r>
      <w:r>
        <w:rPr>
          <w:spacing w:val="-3"/>
        </w:rPr>
        <w:t> </w:t>
      </w:r>
      <w:r>
        <w:rPr/>
        <w:t>changes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interpretation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patent</w:t>
      </w:r>
      <w:r>
        <w:rPr>
          <w:spacing w:val="-3"/>
        </w:rPr>
        <w:t> </w:t>
      </w:r>
      <w:r>
        <w:rPr/>
        <w:t>laws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changes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patent</w:t>
      </w:r>
      <w:r>
        <w:rPr>
          <w:spacing w:val="-4"/>
        </w:rPr>
        <w:t> </w:t>
      </w:r>
      <w:r>
        <w:rPr/>
        <w:t>laws</w:t>
      </w:r>
      <w:r>
        <w:rPr>
          <w:spacing w:val="-3"/>
        </w:rPr>
        <w:t> </w:t>
      </w:r>
      <w:r>
        <w:rPr/>
        <w:t>that</w:t>
      </w:r>
      <w:r>
        <w:rPr>
          <w:spacing w:val="-47"/>
        </w:rPr>
        <w:t> </w:t>
      </w:r>
      <w:r>
        <w:rPr/>
        <w:t>might be enacted into law by U.S. and foreign legislative bodies. Those changes may materially affect our patents or</w:t>
      </w:r>
      <w:r>
        <w:rPr>
          <w:spacing w:val="-47"/>
        </w:rPr>
        <w:t> </w:t>
      </w:r>
      <w:r>
        <w:rPr/>
        <w:t>patent applications and our ability to obtain additional patent protection in the future. Any of the foregoing could</w:t>
      </w:r>
      <w:r>
        <w:rPr>
          <w:spacing w:val="1"/>
        </w:rPr>
        <w:t> </w:t>
      </w:r>
      <w:r>
        <w:rPr/>
        <w:t>have a material adverse effect on our competitive position, business, financial condition, results of operations and</w:t>
      </w:r>
      <w:r>
        <w:rPr>
          <w:spacing w:val="1"/>
        </w:rPr>
        <w:t> </w:t>
      </w:r>
      <w:r>
        <w:rPr/>
        <w:t>prospects.</w:t>
      </w:r>
    </w:p>
    <w:p>
      <w:pPr>
        <w:pStyle w:val="Heading3"/>
        <w:spacing w:line="249" w:lineRule="auto" w:before="193"/>
        <w:ind w:right="212"/>
      </w:pPr>
      <w:r>
        <w:rPr>
          <w:i/>
        </w:rPr>
        <w:t>If</w:t>
      </w:r>
      <w:r>
        <w:rPr>
          <w:i/>
          <w:spacing w:val="-3"/>
        </w:rPr>
        <w:t> </w:t>
      </w:r>
      <w:r>
        <w:rPr>
          <w:i/>
        </w:rPr>
        <w:t>our</w:t>
      </w:r>
      <w:r>
        <w:rPr>
          <w:i/>
          <w:spacing w:val="-3"/>
        </w:rPr>
        <w:t> </w:t>
      </w:r>
      <w:r>
        <w:rPr>
          <w:i/>
        </w:rPr>
        <w:t>trademarks</w:t>
      </w:r>
      <w:r>
        <w:rPr>
          <w:i/>
          <w:spacing w:val="-3"/>
        </w:rPr>
        <w:t> </w:t>
      </w:r>
      <w:r>
        <w:rPr>
          <w:i/>
        </w:rPr>
        <w:t>and</w:t>
      </w:r>
      <w:r>
        <w:rPr>
          <w:i/>
          <w:spacing w:val="-2"/>
        </w:rPr>
        <w:t> </w:t>
      </w:r>
      <w:r>
        <w:rPr>
          <w:i/>
        </w:rPr>
        <w:t>tradenames</w:t>
      </w:r>
      <w:r>
        <w:rPr>
          <w:i/>
          <w:spacing w:val="-4"/>
        </w:rPr>
        <w:t> </w:t>
      </w:r>
      <w:r>
        <w:rPr>
          <w:i/>
        </w:rPr>
        <w:t>are</w:t>
      </w:r>
      <w:r>
        <w:rPr>
          <w:i/>
          <w:spacing w:val="-3"/>
        </w:rPr>
        <w:t> </w:t>
      </w:r>
      <w:r>
        <w:rPr>
          <w:i/>
        </w:rPr>
        <w:t>not</w:t>
      </w:r>
      <w:r>
        <w:rPr>
          <w:i/>
          <w:spacing w:val="-3"/>
        </w:rPr>
        <w:t> </w:t>
      </w:r>
      <w:r>
        <w:rPr>
          <w:i/>
        </w:rPr>
        <w:t>adequately</w:t>
      </w:r>
      <w:r>
        <w:rPr>
          <w:i/>
          <w:spacing w:val="-3"/>
        </w:rPr>
        <w:t> </w:t>
      </w:r>
      <w:r>
        <w:rPr>
          <w:i/>
        </w:rPr>
        <w:t>protected,</w:t>
      </w:r>
      <w:r>
        <w:rPr>
          <w:i/>
          <w:spacing w:val="-3"/>
        </w:rPr>
        <w:t> </w:t>
      </w:r>
      <w:r>
        <w:rPr>
          <w:i/>
        </w:rPr>
        <w:t>then</w:t>
      </w:r>
      <w:r>
        <w:rPr>
          <w:i/>
          <w:spacing w:val="-3"/>
        </w:rPr>
        <w:t> </w:t>
      </w:r>
      <w:r>
        <w:rPr>
          <w:i/>
        </w:rPr>
        <w:t>we</w:t>
      </w:r>
      <w:r>
        <w:rPr>
          <w:i/>
          <w:spacing w:val="-3"/>
        </w:rPr>
        <w:t> </w:t>
      </w:r>
      <w:r>
        <w:rPr>
          <w:i/>
        </w:rPr>
        <w:t>may</w:t>
      </w:r>
      <w:r>
        <w:rPr>
          <w:i/>
          <w:spacing w:val="-3"/>
        </w:rPr>
        <w:t> </w:t>
      </w:r>
      <w:r>
        <w:rPr>
          <w:i/>
        </w:rPr>
        <w:t>not</w:t>
      </w:r>
      <w:r>
        <w:rPr>
          <w:i/>
          <w:spacing w:val="-3"/>
        </w:rPr>
        <w:t> </w:t>
      </w:r>
      <w:r>
        <w:rPr>
          <w:i/>
        </w:rPr>
        <w:t>be</w:t>
      </w:r>
      <w:r>
        <w:rPr>
          <w:i/>
          <w:spacing w:val="-4"/>
        </w:rPr>
        <w:t> </w:t>
      </w:r>
      <w:r>
        <w:rPr>
          <w:i/>
        </w:rPr>
        <w:t>able</w:t>
      </w:r>
      <w:r>
        <w:rPr>
          <w:i/>
          <w:spacing w:val="-3"/>
        </w:rPr>
        <w:t> </w:t>
      </w:r>
      <w:r>
        <w:rPr>
          <w:i/>
        </w:rPr>
        <w:t>to</w:t>
      </w:r>
      <w:r>
        <w:rPr>
          <w:i/>
          <w:spacing w:val="-2"/>
        </w:rPr>
        <w:t> </w:t>
      </w:r>
      <w:r>
        <w:rPr>
          <w:i/>
        </w:rPr>
        <w:t>build</w:t>
      </w:r>
      <w:r>
        <w:rPr>
          <w:i/>
          <w:spacing w:val="-2"/>
        </w:rPr>
        <w:t> </w:t>
      </w:r>
      <w:r>
        <w:rPr>
          <w:i/>
        </w:rPr>
        <w:t>name</w:t>
      </w:r>
      <w:r>
        <w:rPr>
          <w:i/>
          <w:spacing w:val="-47"/>
        </w:rPr>
        <w:t> </w:t>
      </w:r>
      <w:r>
        <w:rPr/>
        <w:t>recognition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our</w:t>
      </w:r>
      <w:r>
        <w:rPr>
          <w:spacing w:val="-2"/>
        </w:rPr>
        <w:t> </w:t>
      </w:r>
      <w:r>
        <w:rPr/>
        <w:t>markets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our</w:t>
      </w:r>
      <w:r>
        <w:rPr>
          <w:spacing w:val="-1"/>
        </w:rPr>
        <w:t> </w:t>
      </w:r>
      <w:r>
        <w:rPr/>
        <w:t>business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adversely</w:t>
      </w:r>
      <w:r>
        <w:rPr>
          <w:spacing w:val="-1"/>
        </w:rPr>
        <w:t> </w:t>
      </w:r>
      <w:r>
        <w:rPr/>
        <w:t>affected.</w:t>
      </w:r>
    </w:p>
    <w:p>
      <w:pPr>
        <w:pStyle w:val="BodyText"/>
        <w:spacing w:line="249" w:lineRule="auto" w:before="184"/>
        <w:ind w:right="129"/>
      </w:pPr>
      <w:r>
        <w:rPr/>
        <w:t>We rely on our trademarks, trade names and brand names to distinguish our products and services from the</w:t>
      </w:r>
      <w:r>
        <w:rPr>
          <w:spacing w:val="1"/>
        </w:rPr>
        <w:t> </w:t>
      </w:r>
      <w:r>
        <w:rPr/>
        <w:t>products and services of our competitors, and have registered or applied to register many of these trademarks in the</w:t>
      </w:r>
      <w:r>
        <w:rPr>
          <w:spacing w:val="1"/>
        </w:rPr>
        <w:t> </w:t>
      </w:r>
      <w:r>
        <w:rPr/>
        <w:t>United States and certain countries outside the United States. There can be no assurance that our trademark</w:t>
      </w:r>
      <w:r>
        <w:rPr>
          <w:spacing w:val="1"/>
        </w:rPr>
        <w:t> </w:t>
      </w:r>
      <w:r>
        <w:rPr/>
        <w:t>applications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4"/>
        </w:rPr>
        <w:t> </w:t>
      </w:r>
      <w:r>
        <w:rPr/>
        <w:t>approved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registration.</w:t>
      </w:r>
      <w:r>
        <w:rPr>
          <w:spacing w:val="-4"/>
        </w:rPr>
        <w:t> </w:t>
      </w:r>
      <w:r>
        <w:rPr/>
        <w:t>During</w:t>
      </w:r>
      <w:r>
        <w:rPr>
          <w:spacing w:val="-3"/>
        </w:rPr>
        <w:t> </w:t>
      </w:r>
      <w:r>
        <w:rPr/>
        <w:t>trademark</w:t>
      </w:r>
      <w:r>
        <w:rPr>
          <w:spacing w:val="-4"/>
        </w:rPr>
        <w:t> </w:t>
      </w:r>
      <w:r>
        <w:rPr/>
        <w:t>registration</w:t>
      </w:r>
      <w:r>
        <w:rPr>
          <w:spacing w:val="-4"/>
        </w:rPr>
        <w:t> </w:t>
      </w:r>
      <w:r>
        <w:rPr/>
        <w:t>proceedings,</w:t>
      </w:r>
      <w:r>
        <w:rPr>
          <w:spacing w:val="-4"/>
        </w:rPr>
        <w:t> </w:t>
      </w:r>
      <w:r>
        <w:rPr/>
        <w:t>we</w:t>
      </w:r>
      <w:r>
        <w:rPr>
          <w:spacing w:val="-4"/>
        </w:rPr>
        <w:t> </w:t>
      </w:r>
      <w:r>
        <w:rPr/>
        <w:t>may</w:t>
      </w:r>
      <w:r>
        <w:rPr>
          <w:spacing w:val="-4"/>
        </w:rPr>
        <w:t> </w:t>
      </w:r>
      <w:r>
        <w:rPr/>
        <w:t>receive</w:t>
      </w:r>
      <w:r>
        <w:rPr>
          <w:spacing w:val="-5"/>
        </w:rPr>
        <w:t> </w:t>
      </w:r>
      <w:r>
        <w:rPr/>
        <w:t>rejections.</w:t>
      </w:r>
      <w:r>
        <w:rPr>
          <w:spacing w:val="-47"/>
        </w:rPr>
        <w:t> </w:t>
      </w:r>
      <w:r>
        <w:rPr/>
        <w:t>Although we are given an opportunity to respond to those rejections, we may be unable to overcome such rejections.</w:t>
      </w:r>
      <w:r>
        <w:rPr>
          <w:spacing w:val="-47"/>
        </w:rPr>
        <w:t> </w:t>
      </w:r>
      <w:r>
        <w:rPr/>
        <w:t>In addition, in proceedings before the USPTO and comparable agencies in many foreign jurisdictions, third parties</w:t>
      </w:r>
      <w:r>
        <w:rPr>
          <w:spacing w:val="1"/>
        </w:rPr>
        <w:t> </w:t>
      </w:r>
      <w:r>
        <w:rPr/>
        <w:t>may also oppose our trademark applications and may seek to cancel trademark registrations or otherwise challenge</w:t>
      </w:r>
      <w:r>
        <w:rPr>
          <w:spacing w:val="1"/>
        </w:rPr>
        <w:t> </w:t>
      </w:r>
      <w:r>
        <w:rPr/>
        <w:t>our</w:t>
      </w:r>
      <w:r>
        <w:rPr>
          <w:spacing w:val="-3"/>
        </w:rPr>
        <w:t> </w:t>
      </w:r>
      <w:r>
        <w:rPr/>
        <w:t>use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trademarks.</w:t>
      </w:r>
      <w:r>
        <w:rPr>
          <w:spacing w:val="-3"/>
        </w:rPr>
        <w:t> </w:t>
      </w:r>
      <w:r>
        <w:rPr/>
        <w:t>Opposition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cancellation</w:t>
      </w:r>
      <w:r>
        <w:rPr>
          <w:spacing w:val="-2"/>
        </w:rPr>
        <w:t> </w:t>
      </w:r>
      <w:r>
        <w:rPr/>
        <w:t>proceedings</w:t>
      </w:r>
      <w:r>
        <w:rPr>
          <w:spacing w:val="-4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filed</w:t>
      </w:r>
      <w:r>
        <w:rPr>
          <w:spacing w:val="-3"/>
        </w:rPr>
        <w:t> </w:t>
      </w:r>
      <w:r>
        <w:rPr/>
        <w:t>against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trademark</w:t>
      </w:r>
      <w:r>
        <w:rPr>
          <w:spacing w:val="-3"/>
        </w:rPr>
        <w:t> </w:t>
      </w:r>
      <w:r>
        <w:rPr/>
        <w:t>filings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these</w:t>
      </w:r>
      <w:r>
        <w:rPr>
          <w:spacing w:val="-47"/>
        </w:rPr>
        <w:t> </w:t>
      </w:r>
      <w:r>
        <w:rPr/>
        <w:t>agencies, and such filings may not survive such proceedings. While we may be able to continue the use of our</w:t>
      </w:r>
      <w:r>
        <w:rPr>
          <w:spacing w:val="1"/>
        </w:rPr>
        <w:t> </w:t>
      </w:r>
      <w:r>
        <w:rPr/>
        <w:t>trademarks in the event registration is not available, particularly in the United States, where trademark rights are</w:t>
      </w:r>
      <w:r>
        <w:rPr>
          <w:spacing w:val="1"/>
        </w:rPr>
        <w:t> </w:t>
      </w:r>
      <w:r>
        <w:rPr/>
        <w:t>acquired based on use and not registration, third parties may be able to enjoin the continued use of our trademarks if</w:t>
      </w:r>
      <w:r>
        <w:rPr>
          <w:spacing w:val="-47"/>
        </w:rPr>
        <w:t> </w:t>
      </w:r>
      <w:r>
        <w:rPr/>
        <w:t>such</w:t>
      </w:r>
      <w:r>
        <w:rPr>
          <w:spacing w:val="-1"/>
        </w:rPr>
        <w:t> </w:t>
      </w:r>
      <w:r>
        <w:rPr/>
        <w:t>parties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able</w:t>
      </w:r>
      <w:r>
        <w:rPr>
          <w:spacing w:val="-2"/>
        </w:rPr>
        <w:t> </w:t>
      </w:r>
      <w:r>
        <w:rPr/>
        <w:t>to successfully claim</w:t>
      </w:r>
      <w:r>
        <w:rPr>
          <w:spacing w:val="-2"/>
        </w:rPr>
        <w:t> </w:t>
      </w:r>
      <w:r>
        <w:rPr/>
        <w:t>infringement</w:t>
      </w:r>
      <w:r>
        <w:rPr>
          <w:spacing w:val="-1"/>
        </w:rPr>
        <w:t> </w:t>
      </w:r>
      <w:r>
        <w:rPr/>
        <w:t>in court.</w:t>
      </w:r>
    </w:p>
    <w:p>
      <w:pPr>
        <w:pStyle w:val="BodyText"/>
        <w:spacing w:line="249" w:lineRule="auto"/>
        <w:ind w:right="180"/>
      </w:pPr>
      <w:r>
        <w:rPr/>
        <w:t>Our trademarks or trade names may be challenged, invalidated, infringed, circumvented and circumvented by</w:t>
      </w:r>
      <w:r>
        <w:rPr>
          <w:spacing w:val="1"/>
        </w:rPr>
        <w:t> </w:t>
      </w:r>
      <w:r>
        <w:rPr/>
        <w:t>third parties, and our trademarks could also be diluted, declared generic or determined to be violating or infringing</w:t>
      </w:r>
      <w:r>
        <w:rPr>
          <w:spacing w:val="-47"/>
        </w:rPr>
        <w:t> </w:t>
      </w:r>
      <w:r>
        <w:rPr/>
        <w:t>on other marks. We may not be able to protect our rights to these trademarks and trade names, which we need to</w:t>
      </w:r>
      <w:r>
        <w:rPr>
          <w:spacing w:val="1"/>
        </w:rPr>
        <w:t> </w:t>
      </w:r>
      <w:r>
        <w:rPr/>
        <w:t>build name recognition among potential partners and customers in our markets of interest. If any of the foregoing</w:t>
      </w:r>
      <w:r>
        <w:rPr>
          <w:spacing w:val="1"/>
        </w:rPr>
        <w:t> </w:t>
      </w:r>
      <w:r>
        <w:rPr/>
        <w:t>occurs,</w:t>
      </w:r>
      <w:r>
        <w:rPr>
          <w:spacing w:val="-2"/>
        </w:rPr>
        <w:t> </w:t>
      </w:r>
      <w:r>
        <w:rPr/>
        <w:t>we</w:t>
      </w:r>
      <w:r>
        <w:rPr>
          <w:spacing w:val="-3"/>
        </w:rPr>
        <w:t> </w:t>
      </w:r>
      <w:r>
        <w:rPr/>
        <w:t>could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forced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re-brand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products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services,</w:t>
      </w:r>
      <w:r>
        <w:rPr>
          <w:spacing w:val="-2"/>
        </w:rPr>
        <w:t> </w:t>
      </w:r>
      <w:r>
        <w:rPr/>
        <w:t>resulting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loss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brand</w:t>
      </w:r>
      <w:r>
        <w:rPr>
          <w:spacing w:val="-2"/>
        </w:rPr>
        <w:t> </w:t>
      </w:r>
      <w:r>
        <w:rPr/>
        <w:t>recognition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requiring</w:t>
      </w:r>
      <w:r>
        <w:rPr>
          <w:spacing w:val="-47"/>
        </w:rPr>
        <w:t> </w:t>
      </w:r>
      <w:r>
        <w:rPr/>
        <w:t>us to devote resources to advertising and marketing new brands, and suffer other competitive harm. Third parties</w:t>
      </w:r>
      <w:r>
        <w:rPr>
          <w:spacing w:val="1"/>
        </w:rPr>
        <w:t> </w:t>
      </w:r>
      <w:r>
        <w:rPr/>
        <w:t>may</w:t>
      </w:r>
      <w:r>
        <w:rPr>
          <w:spacing w:val="-2"/>
        </w:rPr>
        <w:t> </w:t>
      </w:r>
      <w:r>
        <w:rPr/>
        <w:t>also</w:t>
      </w:r>
      <w:r>
        <w:rPr>
          <w:spacing w:val="-2"/>
        </w:rPr>
        <w:t> </w:t>
      </w:r>
      <w:r>
        <w:rPr/>
        <w:t>adopt</w:t>
      </w:r>
      <w:r>
        <w:rPr>
          <w:spacing w:val="-2"/>
        </w:rPr>
        <w:t> </w:t>
      </w:r>
      <w:r>
        <w:rPr/>
        <w:t>trademarks</w:t>
      </w:r>
      <w:r>
        <w:rPr>
          <w:spacing w:val="-3"/>
        </w:rPr>
        <w:t> </w:t>
      </w:r>
      <w:r>
        <w:rPr/>
        <w:t>similar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ours,</w:t>
      </w:r>
      <w:r>
        <w:rPr>
          <w:spacing w:val="-2"/>
        </w:rPr>
        <w:t> </w:t>
      </w:r>
      <w:r>
        <w:rPr/>
        <w:t>which</w:t>
      </w:r>
      <w:r>
        <w:rPr>
          <w:spacing w:val="-1"/>
        </w:rPr>
        <w:t> </w:t>
      </w:r>
      <w:r>
        <w:rPr/>
        <w:t>could</w:t>
      </w:r>
      <w:r>
        <w:rPr>
          <w:spacing w:val="-2"/>
        </w:rPr>
        <w:t> </w:t>
      </w:r>
      <w:r>
        <w:rPr/>
        <w:t>harm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brand</w:t>
      </w:r>
      <w:r>
        <w:rPr>
          <w:spacing w:val="-2"/>
        </w:rPr>
        <w:t> </w:t>
      </w:r>
      <w:r>
        <w:rPr/>
        <w:t>identity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lead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market</w:t>
      </w:r>
      <w:r>
        <w:rPr>
          <w:spacing w:val="-3"/>
        </w:rPr>
        <w:t> </w:t>
      </w:r>
      <w:r>
        <w:rPr/>
        <w:t>confusion.</w:t>
      </w:r>
    </w:p>
    <w:p>
      <w:pPr>
        <w:pStyle w:val="BodyText"/>
        <w:spacing w:line="249" w:lineRule="auto" w:before="6"/>
        <w:ind w:right="212" w:firstLine="0"/>
      </w:pPr>
      <w:r>
        <w:rPr/>
        <w:t>Further,</w:t>
      </w:r>
      <w:r>
        <w:rPr>
          <w:spacing w:val="-3"/>
        </w:rPr>
        <w:t> </w:t>
      </w:r>
      <w:r>
        <w:rPr/>
        <w:t>there</w:t>
      </w:r>
      <w:r>
        <w:rPr>
          <w:spacing w:val="-3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assurance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competitors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infringe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trademarks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adequate</w:t>
      </w:r>
      <w:r>
        <w:rPr>
          <w:spacing w:val="-47"/>
        </w:rPr>
        <w:t> </w:t>
      </w:r>
      <w:r>
        <w:rPr/>
        <w:t>resources to enforce our trademarks. At times, competitors or other third parties may adopt trade names or</w:t>
      </w:r>
      <w:r>
        <w:rPr>
          <w:spacing w:val="1"/>
        </w:rPr>
        <w:t> </w:t>
      </w:r>
      <w:r>
        <w:rPr/>
        <w:t>trademarks</w:t>
      </w:r>
      <w:r>
        <w:rPr>
          <w:spacing w:val="-4"/>
        </w:rPr>
        <w:t> </w:t>
      </w:r>
      <w:r>
        <w:rPr/>
        <w:t>similar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ours,</w:t>
      </w:r>
      <w:r>
        <w:rPr>
          <w:spacing w:val="-2"/>
        </w:rPr>
        <w:t> </w:t>
      </w:r>
      <w:r>
        <w:rPr/>
        <w:t>thereby</w:t>
      </w:r>
      <w:r>
        <w:rPr>
          <w:spacing w:val="-2"/>
        </w:rPr>
        <w:t> </w:t>
      </w:r>
      <w:r>
        <w:rPr/>
        <w:t>impeding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ability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build</w:t>
      </w:r>
      <w:r>
        <w:rPr>
          <w:spacing w:val="-2"/>
        </w:rPr>
        <w:t> </w:t>
      </w:r>
      <w:r>
        <w:rPr/>
        <w:t>brand</w:t>
      </w:r>
      <w:r>
        <w:rPr>
          <w:spacing w:val="-2"/>
        </w:rPr>
        <w:t> </w:t>
      </w:r>
      <w:r>
        <w:rPr/>
        <w:t>identity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possibly</w:t>
      </w:r>
      <w:r>
        <w:rPr>
          <w:spacing w:val="-2"/>
        </w:rPr>
        <w:t> </w:t>
      </w:r>
      <w:r>
        <w:rPr/>
        <w:t>leading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market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  <w:ind w:right="180" w:firstLine="0"/>
      </w:pPr>
      <w:r>
        <w:rPr/>
        <w:t>confusion. Certain of our current or future trademarks may become so well known by the public that their use</w:t>
      </w:r>
      <w:r>
        <w:rPr>
          <w:spacing w:val="1"/>
        </w:rPr>
        <w:t> </w:t>
      </w:r>
      <w:r>
        <w:rPr/>
        <w:t>becomes generic and they lose trademark protection. Over the long term, if we are unable to establish name</w:t>
      </w:r>
      <w:r>
        <w:rPr>
          <w:spacing w:val="1"/>
        </w:rPr>
        <w:t> </w:t>
      </w:r>
      <w:r>
        <w:rPr/>
        <w:t>recognition based on our trademarks and trade names, then we may not be able to compete effectively and our</w:t>
      </w:r>
      <w:r>
        <w:rPr>
          <w:spacing w:val="1"/>
        </w:rPr>
        <w:t> </w:t>
      </w:r>
      <w:r>
        <w:rPr/>
        <w:t>business</w:t>
      </w:r>
      <w:r>
        <w:rPr>
          <w:spacing w:val="-4"/>
        </w:rPr>
        <w:t> </w:t>
      </w:r>
      <w:r>
        <w:rPr/>
        <w:t>may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adversely</w:t>
      </w:r>
      <w:r>
        <w:rPr>
          <w:spacing w:val="-2"/>
        </w:rPr>
        <w:t> </w:t>
      </w:r>
      <w:r>
        <w:rPr/>
        <w:t>affected.</w:t>
      </w:r>
      <w:r>
        <w:rPr>
          <w:spacing w:val="-2"/>
        </w:rPr>
        <w:t> </w:t>
      </w:r>
      <w:r>
        <w:rPr/>
        <w:t>Any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foregoing</w:t>
      </w:r>
      <w:r>
        <w:rPr>
          <w:spacing w:val="-3"/>
        </w:rPr>
        <w:t> </w:t>
      </w:r>
      <w:r>
        <w:rPr/>
        <w:t>could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material</w:t>
      </w:r>
      <w:r>
        <w:rPr>
          <w:spacing w:val="-3"/>
        </w:rPr>
        <w:t> </w:t>
      </w:r>
      <w:r>
        <w:rPr/>
        <w:t>adverse</w:t>
      </w:r>
      <w:r>
        <w:rPr>
          <w:spacing w:val="-3"/>
        </w:rPr>
        <w:t> </w:t>
      </w:r>
      <w:r>
        <w:rPr/>
        <w:t>effect</w:t>
      </w:r>
      <w:r>
        <w:rPr>
          <w:spacing w:val="-4"/>
        </w:rPr>
        <w:t> </w:t>
      </w:r>
      <w:r>
        <w:rPr/>
        <w:t>on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competitive</w:t>
      </w:r>
      <w:r>
        <w:rPr>
          <w:spacing w:val="-47"/>
        </w:rPr>
        <w:t> </w:t>
      </w:r>
      <w:r>
        <w:rPr/>
        <w:t>position,</w:t>
      </w:r>
      <w:r>
        <w:rPr>
          <w:spacing w:val="-1"/>
        </w:rPr>
        <w:t> </w:t>
      </w:r>
      <w:r>
        <w:rPr/>
        <w:t>business, financial</w:t>
      </w:r>
      <w:r>
        <w:rPr>
          <w:spacing w:val="-2"/>
        </w:rPr>
        <w:t> </w:t>
      </w:r>
      <w:r>
        <w:rPr/>
        <w:t>condition, operating</w:t>
      </w:r>
      <w:r>
        <w:rPr>
          <w:spacing w:val="-1"/>
        </w:rPr>
        <w:t> </w:t>
      </w:r>
      <w:r>
        <w:rPr/>
        <w:t>results</w:t>
      </w:r>
      <w:r>
        <w:rPr>
          <w:spacing w:val="-1"/>
        </w:rPr>
        <w:t> </w:t>
      </w:r>
      <w:r>
        <w:rPr/>
        <w:t>and prospects.</w:t>
      </w:r>
    </w:p>
    <w:p>
      <w:pPr>
        <w:pStyle w:val="Heading3"/>
        <w:spacing w:line="249" w:lineRule="auto"/>
        <w:ind w:right="311"/>
      </w:pPr>
      <w:r>
        <w:rPr>
          <w:i/>
        </w:rPr>
        <w:t>We</w:t>
      </w:r>
      <w:r>
        <w:rPr>
          <w:i/>
          <w:spacing w:val="-5"/>
        </w:rPr>
        <w:t> </w:t>
      </w:r>
      <w:r>
        <w:rPr>
          <w:i/>
        </w:rPr>
        <w:t>may</w:t>
      </w:r>
      <w:r>
        <w:rPr>
          <w:i/>
          <w:spacing w:val="-4"/>
        </w:rPr>
        <w:t> </w:t>
      </w:r>
      <w:r>
        <w:rPr>
          <w:i/>
        </w:rPr>
        <w:t>become</w:t>
      </w:r>
      <w:r>
        <w:rPr>
          <w:i/>
          <w:spacing w:val="-5"/>
        </w:rPr>
        <w:t> </w:t>
      </w:r>
      <w:r>
        <w:rPr>
          <w:i/>
        </w:rPr>
        <w:t>a</w:t>
      </w:r>
      <w:r>
        <w:rPr>
          <w:i/>
          <w:spacing w:val="-3"/>
        </w:rPr>
        <w:t> </w:t>
      </w:r>
      <w:r>
        <w:rPr>
          <w:i/>
        </w:rPr>
        <w:t>party</w:t>
      </w:r>
      <w:r>
        <w:rPr>
          <w:i/>
          <w:spacing w:val="-5"/>
        </w:rPr>
        <w:t> </w:t>
      </w:r>
      <w:r>
        <w:rPr>
          <w:i/>
        </w:rPr>
        <w:t>to</w:t>
      </w:r>
      <w:r>
        <w:rPr>
          <w:i/>
          <w:spacing w:val="-3"/>
        </w:rPr>
        <w:t> </w:t>
      </w:r>
      <w:r>
        <w:rPr>
          <w:i/>
        </w:rPr>
        <w:t>intellectual</w:t>
      </w:r>
      <w:r>
        <w:rPr>
          <w:i/>
          <w:spacing w:val="-5"/>
        </w:rPr>
        <w:t> </w:t>
      </w:r>
      <w:r>
        <w:rPr>
          <w:i/>
        </w:rPr>
        <w:t>property</w:t>
      </w:r>
      <w:r>
        <w:rPr>
          <w:i/>
          <w:spacing w:val="-4"/>
        </w:rPr>
        <w:t> </w:t>
      </w:r>
      <w:r>
        <w:rPr>
          <w:i/>
        </w:rPr>
        <w:t>litigation</w:t>
      </w:r>
      <w:r>
        <w:rPr>
          <w:i/>
          <w:spacing w:val="-5"/>
        </w:rPr>
        <w:t> </w:t>
      </w:r>
      <w:r>
        <w:rPr>
          <w:i/>
        </w:rPr>
        <w:t>or</w:t>
      </w:r>
      <w:r>
        <w:rPr>
          <w:i/>
          <w:spacing w:val="-4"/>
        </w:rPr>
        <w:t> </w:t>
      </w:r>
      <w:r>
        <w:rPr>
          <w:i/>
        </w:rPr>
        <w:t>administrative</w:t>
      </w:r>
      <w:r>
        <w:rPr>
          <w:i/>
          <w:spacing w:val="-4"/>
        </w:rPr>
        <w:t> </w:t>
      </w:r>
      <w:r>
        <w:rPr>
          <w:i/>
        </w:rPr>
        <w:t>proceedings</w:t>
      </w:r>
      <w:r>
        <w:rPr>
          <w:i/>
          <w:spacing w:val="-5"/>
        </w:rPr>
        <w:t> </w:t>
      </w:r>
      <w:r>
        <w:rPr>
          <w:i/>
        </w:rPr>
        <w:t>that</w:t>
      </w:r>
      <w:r>
        <w:rPr>
          <w:i/>
          <w:spacing w:val="-4"/>
        </w:rPr>
        <w:t> </w:t>
      </w:r>
      <w:r>
        <w:rPr>
          <w:i/>
        </w:rPr>
        <w:t>could</w:t>
      </w:r>
      <w:r>
        <w:rPr>
          <w:i/>
          <w:spacing w:val="-4"/>
        </w:rPr>
        <w:t> </w:t>
      </w:r>
      <w:r>
        <w:rPr>
          <w:i/>
        </w:rPr>
        <w:t>be</w:t>
      </w:r>
      <w:r>
        <w:rPr>
          <w:i/>
          <w:spacing w:val="-4"/>
        </w:rPr>
        <w:t> </w:t>
      </w:r>
      <w:r>
        <w:rPr>
          <w:i/>
        </w:rPr>
        <w:t>expensive,</w:t>
      </w:r>
      <w:r>
        <w:rPr>
          <w:i/>
          <w:spacing w:val="1"/>
        </w:rPr>
        <w:t> </w:t>
      </w:r>
      <w:r>
        <w:rPr/>
        <w:t>time-consuming,</w:t>
      </w:r>
      <w:r>
        <w:rPr>
          <w:spacing w:val="-4"/>
        </w:rPr>
        <w:t> </w:t>
      </w:r>
      <w:r>
        <w:rPr/>
        <w:t>unsuccessful,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could</w:t>
      </w:r>
      <w:r>
        <w:rPr>
          <w:spacing w:val="-3"/>
        </w:rPr>
        <w:t> </w:t>
      </w:r>
      <w:r>
        <w:rPr/>
        <w:t>interfere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/>
        <w:t>our</w:t>
      </w:r>
      <w:r>
        <w:rPr>
          <w:spacing w:val="-4"/>
        </w:rPr>
        <w:t> </w:t>
      </w:r>
      <w:r>
        <w:rPr/>
        <w:t>ability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sell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market</w:t>
      </w:r>
      <w:r>
        <w:rPr>
          <w:spacing w:val="-4"/>
        </w:rPr>
        <w:t> </w:t>
      </w:r>
      <w:r>
        <w:rPr/>
        <w:t>our</w:t>
      </w:r>
      <w:r>
        <w:rPr>
          <w:spacing w:val="-5"/>
        </w:rPr>
        <w:t> </w:t>
      </w:r>
      <w:r>
        <w:rPr/>
        <w:t>products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services.</w:t>
      </w:r>
    </w:p>
    <w:p>
      <w:pPr>
        <w:pStyle w:val="BodyText"/>
        <w:spacing w:line="249" w:lineRule="auto" w:before="185"/>
        <w:ind w:right="129"/>
      </w:pPr>
      <w:r>
        <w:rPr/>
        <w:t>Our commercial success depends, in part, on our ability to develop, manufacture, market and sell our products</w:t>
      </w:r>
      <w:r>
        <w:rPr>
          <w:spacing w:val="1"/>
        </w:rPr>
        <w:t> </w:t>
      </w:r>
      <w:r>
        <w:rPr/>
        <w:t>and services and use our proprietary technologies without infringing, misappropriating or otherwise violating the</w:t>
      </w:r>
      <w:r>
        <w:rPr>
          <w:spacing w:val="1"/>
        </w:rPr>
        <w:t> </w:t>
      </w:r>
      <w:r>
        <w:rPr/>
        <w:t>proprietary rights and intellectual property of third parties. The medical device industry has been characterized by</w:t>
      </w:r>
      <w:r>
        <w:rPr>
          <w:spacing w:val="1"/>
        </w:rPr>
        <w:t> </w:t>
      </w:r>
      <w:r>
        <w:rPr/>
        <w:t>extensive</w:t>
      </w:r>
      <w:r>
        <w:rPr>
          <w:spacing w:val="-5"/>
        </w:rPr>
        <w:t> </w:t>
      </w:r>
      <w:r>
        <w:rPr/>
        <w:t>litigation</w:t>
      </w:r>
      <w:r>
        <w:rPr>
          <w:spacing w:val="-5"/>
        </w:rPr>
        <w:t> </w:t>
      </w:r>
      <w:r>
        <w:rPr/>
        <w:t>regarding</w:t>
      </w:r>
      <w:r>
        <w:rPr>
          <w:spacing w:val="-4"/>
        </w:rPr>
        <w:t> </w:t>
      </w:r>
      <w:r>
        <w:rPr/>
        <w:t>patents,</w:t>
      </w:r>
      <w:r>
        <w:rPr>
          <w:spacing w:val="-4"/>
        </w:rPr>
        <w:t> </w:t>
      </w:r>
      <w:r>
        <w:rPr/>
        <w:t>trademarks,</w:t>
      </w:r>
      <w:r>
        <w:rPr>
          <w:spacing w:val="-4"/>
        </w:rPr>
        <w:t> </w:t>
      </w:r>
      <w:r>
        <w:rPr/>
        <w:t>trade</w:t>
      </w:r>
      <w:r>
        <w:rPr>
          <w:spacing w:val="-5"/>
        </w:rPr>
        <w:t> </w:t>
      </w:r>
      <w:r>
        <w:rPr/>
        <w:t>secrets,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other</w:t>
      </w:r>
      <w:r>
        <w:rPr>
          <w:spacing w:val="-4"/>
        </w:rPr>
        <w:t> </w:t>
      </w:r>
      <w:r>
        <w:rPr/>
        <w:t>intellectual</w:t>
      </w:r>
      <w:r>
        <w:rPr>
          <w:spacing w:val="-5"/>
        </w:rPr>
        <w:t> </w:t>
      </w:r>
      <w:r>
        <w:rPr/>
        <w:t>property</w:t>
      </w:r>
      <w:r>
        <w:rPr>
          <w:spacing w:val="-4"/>
        </w:rPr>
        <w:t> </w:t>
      </w:r>
      <w:r>
        <w:rPr/>
        <w:t>rights,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companies</w:t>
      </w:r>
      <w:r>
        <w:rPr>
          <w:spacing w:val="-47"/>
        </w:rPr>
        <w:t> </w:t>
      </w:r>
      <w:r>
        <w:rPr/>
        <w:t>in the industry have used intellectual property litigation to gain a competitive advantage. While we take steps to</w:t>
      </w:r>
      <w:r>
        <w:rPr>
          <w:spacing w:val="1"/>
        </w:rPr>
        <w:t> </w:t>
      </w:r>
      <w:r>
        <w:rPr/>
        <w:t>ensure that we do not infringe upon, misappropriate or otherwise violate the intellectual property rights of others,</w:t>
      </w:r>
      <w:r>
        <w:rPr>
          <w:spacing w:val="1"/>
        </w:rPr>
        <w:t> </w:t>
      </w:r>
      <w:r>
        <w:rPr/>
        <w:t>there</w:t>
      </w:r>
      <w:r>
        <w:rPr>
          <w:spacing w:val="-2"/>
        </w:rPr>
        <w:t> </w:t>
      </w:r>
      <w:r>
        <w:rPr/>
        <w:t>may be</w:t>
      </w:r>
      <w:r>
        <w:rPr>
          <w:spacing w:val="-2"/>
        </w:rPr>
        <w:t> </w:t>
      </w:r>
      <w:r>
        <w:rPr/>
        <w:t>other more</w:t>
      </w:r>
      <w:r>
        <w:rPr>
          <w:spacing w:val="-1"/>
        </w:rPr>
        <w:t> </w:t>
      </w:r>
      <w:r>
        <w:rPr/>
        <w:t>pertinent</w:t>
      </w:r>
      <w:r>
        <w:rPr>
          <w:spacing w:val="-2"/>
        </w:rPr>
        <w:t> </w:t>
      </w:r>
      <w:r>
        <w:rPr/>
        <w:t>rights</w:t>
      </w:r>
      <w:r>
        <w:rPr>
          <w:spacing w:val="-1"/>
        </w:rPr>
        <w:t> </w:t>
      </w:r>
      <w:r>
        <w:rPr/>
        <w:t>of which</w:t>
      </w:r>
      <w:r>
        <w:rPr>
          <w:spacing w:val="-1"/>
        </w:rPr>
        <w:t> </w:t>
      </w:r>
      <w:r>
        <w:rPr/>
        <w:t>we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presently</w:t>
      </w:r>
      <w:r>
        <w:rPr>
          <w:spacing w:val="-1"/>
        </w:rPr>
        <w:t> </w:t>
      </w:r>
      <w:r>
        <w:rPr/>
        <w:t>unaware.</w:t>
      </w:r>
    </w:p>
    <w:p>
      <w:pPr>
        <w:pStyle w:val="BodyText"/>
        <w:spacing w:line="249" w:lineRule="auto" w:before="186"/>
        <w:ind w:right="144"/>
      </w:pPr>
      <w:r>
        <w:rPr/>
        <w:t>Third parties may initiate legal proceedings alleging that we are infringing, misappropriating or otherwise</w:t>
      </w:r>
      <w:r>
        <w:rPr>
          <w:spacing w:val="1"/>
        </w:rPr>
        <w:t> </w:t>
      </w:r>
      <w:r>
        <w:rPr/>
        <w:t>violating their intellectual property rights, the outcome of which would be uncertain and could have a negative</w:t>
      </w:r>
      <w:r>
        <w:rPr>
          <w:spacing w:val="1"/>
        </w:rPr>
        <w:t> </w:t>
      </w:r>
      <w:r>
        <w:rPr/>
        <w:t>impact on the success of our business. It is possible that U.S. and foreign patents and pending patent applications</w:t>
      </w:r>
      <w:r>
        <w:rPr>
          <w:spacing w:val="1"/>
        </w:rPr>
        <w:t> </w:t>
      </w:r>
      <w:r>
        <w:rPr/>
        <w:t>controlled by third parties may be alleged to cover our products and services, or that we may be accused of</w:t>
      </w:r>
      <w:r>
        <w:rPr>
          <w:spacing w:val="1"/>
        </w:rPr>
        <w:t> </w:t>
      </w:r>
      <w:r>
        <w:rPr/>
        <w:t>misappropriating third parties’ trade secrets or infringing third parties’ trademarks. We may in the future become</w:t>
      </w:r>
      <w:r>
        <w:rPr>
          <w:spacing w:val="1"/>
        </w:rPr>
        <w:t> </w:t>
      </w:r>
      <w:r>
        <w:rPr/>
        <w:t>party to, or be threatened with, adversarial proceedings or litigation regarding intellectual property rights with</w:t>
      </w:r>
      <w:r>
        <w:rPr>
          <w:spacing w:val="1"/>
        </w:rPr>
        <w:t> </w:t>
      </w:r>
      <w:r>
        <w:rPr/>
        <w:t>respect to our products or services, including interference proceedings, post grant review and inter partes review</w:t>
      </w:r>
      <w:r>
        <w:rPr>
          <w:spacing w:val="1"/>
        </w:rPr>
        <w:t> </w:t>
      </w:r>
      <w:r>
        <w:rPr/>
        <w:t>before the USPTO or equivalent foreign regulatory authority. Furthermore, we may also become involved in other</w:t>
      </w:r>
      <w:r>
        <w:rPr>
          <w:spacing w:val="1"/>
        </w:rPr>
        <w:t> </w:t>
      </w:r>
      <w:r>
        <w:rPr/>
        <w:t>proceedings, such as reexamination, derivation or opposition proceedings before the USPTO or other jurisdictional</w:t>
      </w:r>
      <w:r>
        <w:rPr>
          <w:spacing w:val="1"/>
        </w:rPr>
        <w:t> </w:t>
      </w:r>
      <w:r>
        <w:rPr/>
        <w:t>body relating to our intellectual property rights or the intellectual property rights of others. Third parties may assert</w:t>
      </w:r>
      <w:r>
        <w:rPr>
          <w:spacing w:val="1"/>
        </w:rPr>
        <w:t> </w:t>
      </w:r>
      <w:r>
        <w:rPr/>
        <w:t>infringement claims against us based on existing patents or patents that may be granted in the future, regardless of</w:t>
      </w:r>
      <w:r>
        <w:rPr>
          <w:spacing w:val="1"/>
        </w:rPr>
        <w:t> </w:t>
      </w:r>
      <w:r>
        <w:rPr/>
        <w:t>their merit. Because patent applications can take many years to issue and because publication schedules for pending</w:t>
      </w:r>
      <w:r>
        <w:rPr>
          <w:spacing w:val="1"/>
        </w:rPr>
        <w:t> </w:t>
      </w:r>
      <w:r>
        <w:rPr/>
        <w:t>applications vary by jurisdiction, there may be applications now pending of which we are unaware and which may</w:t>
      </w:r>
      <w:r>
        <w:rPr>
          <w:spacing w:val="1"/>
        </w:rPr>
        <w:t> </w:t>
      </w:r>
      <w:r>
        <w:rPr/>
        <w:t>result in issued patents, which our current or future products or services infringe. Also, because the claims of</w:t>
      </w:r>
      <w:r>
        <w:rPr>
          <w:spacing w:val="1"/>
        </w:rPr>
        <w:t> </w:t>
      </w:r>
      <w:r>
        <w:rPr/>
        <w:t>published patent applications can change between publication and patent grant, there may be published patent</w:t>
      </w:r>
      <w:r>
        <w:rPr>
          <w:spacing w:val="1"/>
        </w:rPr>
        <w:t> </w:t>
      </w:r>
      <w:r>
        <w:rPr/>
        <w:t>applications that may ultimately issue with claims that we infringe. There is a risk that third parties may choose to</w:t>
      </w:r>
      <w:r>
        <w:rPr>
          <w:spacing w:val="1"/>
        </w:rPr>
        <w:t> </w:t>
      </w:r>
      <w:r>
        <w:rPr/>
        <w:t>engage in litigation with us to enforce or to otherwise assert their patent rights against us. Even if we believe such</w:t>
      </w:r>
      <w:r>
        <w:rPr>
          <w:spacing w:val="1"/>
        </w:rPr>
        <w:t> </w:t>
      </w:r>
      <w:r>
        <w:rPr/>
        <w:t>claims are without merit, a court of competent jurisdiction could hold that these third party patents are valid and</w:t>
      </w:r>
      <w:r>
        <w:rPr>
          <w:spacing w:val="1"/>
        </w:rPr>
        <w:t> </w:t>
      </w:r>
      <w:r>
        <w:rPr/>
        <w:t>enforceable, and infringed by the use of our products and/or services, which could have a negative impact on the</w:t>
      </w:r>
      <w:r>
        <w:rPr>
          <w:spacing w:val="1"/>
        </w:rPr>
        <w:t> </w:t>
      </w:r>
      <w:r>
        <w:rPr/>
        <w:t>commercial success of our current and any future products or services. If we were to challenge the validity of any</w:t>
      </w:r>
      <w:r>
        <w:rPr>
          <w:spacing w:val="1"/>
        </w:rPr>
        <w:t> </w:t>
      </w:r>
      <w:r>
        <w:rPr/>
        <w:t>such</w:t>
      </w:r>
      <w:r>
        <w:rPr>
          <w:spacing w:val="-2"/>
        </w:rPr>
        <w:t> </w:t>
      </w:r>
      <w:r>
        <w:rPr/>
        <w:t>third</w:t>
      </w:r>
      <w:r>
        <w:rPr>
          <w:spacing w:val="-2"/>
        </w:rPr>
        <w:t> </w:t>
      </w:r>
      <w:r>
        <w:rPr/>
        <w:t>party</w:t>
      </w:r>
      <w:r>
        <w:rPr>
          <w:spacing w:val="-2"/>
        </w:rPr>
        <w:t> </w:t>
      </w:r>
      <w:r>
        <w:rPr/>
        <w:t>U.S.</w:t>
      </w:r>
      <w:r>
        <w:rPr>
          <w:spacing w:val="-2"/>
        </w:rPr>
        <w:t> </w:t>
      </w:r>
      <w:r>
        <w:rPr/>
        <w:t>patent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federal</w:t>
      </w:r>
      <w:r>
        <w:rPr>
          <w:spacing w:val="-3"/>
        </w:rPr>
        <w:t> </w:t>
      </w:r>
      <w:r>
        <w:rPr/>
        <w:t>court,</w:t>
      </w:r>
      <w:r>
        <w:rPr>
          <w:spacing w:val="-2"/>
        </w:rPr>
        <w:t> </w:t>
      </w:r>
      <w:r>
        <w:rPr/>
        <w:t>we</w:t>
      </w:r>
      <w:r>
        <w:rPr>
          <w:spacing w:val="-3"/>
        </w:rPr>
        <w:t> </w:t>
      </w:r>
      <w:r>
        <w:rPr/>
        <w:t>would</w:t>
      </w:r>
      <w:r>
        <w:rPr>
          <w:spacing w:val="-2"/>
        </w:rPr>
        <w:t> </w:t>
      </w:r>
      <w:r>
        <w:rPr/>
        <w:t>need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overcome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presumption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validity.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burden</w:t>
      </w:r>
      <w:r>
        <w:rPr>
          <w:spacing w:val="-2"/>
        </w:rPr>
        <w:t> </w:t>
      </w:r>
      <w:r>
        <w:rPr/>
        <w:t>is</w:t>
      </w:r>
      <w:r>
        <w:rPr>
          <w:spacing w:val="-47"/>
        </w:rPr>
        <w:t> </w:t>
      </w:r>
      <w:r>
        <w:rPr/>
        <w:t>a high one requiring us to present clear and convincing evidence as to the invalidity of any such U.S. patent claim,</w:t>
      </w:r>
      <w:r>
        <w:rPr>
          <w:spacing w:val="1"/>
        </w:rPr>
        <w:t> </w:t>
      </w:r>
      <w:r>
        <w:rPr/>
        <w:t>there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no</w:t>
      </w:r>
      <w:r>
        <w:rPr>
          <w:spacing w:val="-1"/>
        </w:rPr>
        <w:t> </w:t>
      </w:r>
      <w:r>
        <w:rPr/>
        <w:t>assurance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court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competent</w:t>
      </w:r>
      <w:r>
        <w:rPr>
          <w:spacing w:val="-2"/>
        </w:rPr>
        <w:t> </w:t>
      </w:r>
      <w:r>
        <w:rPr/>
        <w:t>jurisdiction</w:t>
      </w:r>
      <w:r>
        <w:rPr>
          <w:spacing w:val="-2"/>
        </w:rPr>
        <w:t> </w:t>
      </w:r>
      <w:r>
        <w:rPr/>
        <w:t>would</w:t>
      </w:r>
      <w:r>
        <w:rPr>
          <w:spacing w:val="-1"/>
        </w:rPr>
        <w:t> </w:t>
      </w:r>
      <w:r>
        <w:rPr/>
        <w:t>invalidate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claims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such</w:t>
      </w:r>
      <w:r>
        <w:rPr>
          <w:spacing w:val="-1"/>
        </w:rPr>
        <w:t> </w:t>
      </w:r>
      <w:r>
        <w:rPr/>
        <w:t>U.S.</w:t>
      </w:r>
      <w:r>
        <w:rPr>
          <w:spacing w:val="-2"/>
        </w:rPr>
        <w:t> </w:t>
      </w:r>
      <w:r>
        <w:rPr/>
        <w:t>patent.</w:t>
      </w:r>
    </w:p>
    <w:p>
      <w:pPr>
        <w:pStyle w:val="BodyText"/>
        <w:spacing w:line="249" w:lineRule="auto" w:before="19"/>
        <w:ind w:right="212" w:firstLine="0"/>
      </w:pPr>
      <w:r>
        <w:rPr/>
        <w:t>Conversely, in the United States, the patent owner need only prove infringement by a preponderance of the</w:t>
      </w:r>
      <w:r>
        <w:rPr>
          <w:spacing w:val="1"/>
        </w:rPr>
        <w:t> </w:t>
      </w:r>
      <w:r>
        <w:rPr/>
        <w:t>evidence,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lower</w:t>
      </w:r>
      <w:r>
        <w:rPr>
          <w:spacing w:val="-1"/>
        </w:rPr>
        <w:t> </w:t>
      </w:r>
      <w:r>
        <w:rPr/>
        <w:t>burden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proof.</w:t>
      </w:r>
      <w:r>
        <w:rPr>
          <w:spacing w:val="-2"/>
        </w:rPr>
        <w:t> </w:t>
      </w:r>
      <w:r>
        <w:rPr/>
        <w:t>We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similar</w:t>
      </w:r>
      <w:r>
        <w:rPr>
          <w:spacing w:val="-2"/>
        </w:rPr>
        <w:t> </w:t>
      </w:r>
      <w:r>
        <w:rPr/>
        <w:t>burdens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overcome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foreign</w:t>
      </w:r>
      <w:r>
        <w:rPr>
          <w:spacing w:val="-2"/>
        </w:rPr>
        <w:t> </w:t>
      </w:r>
      <w:r>
        <w:rPr/>
        <w:t>courts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2"/>
        </w:rPr>
        <w:t> </w:t>
      </w:r>
      <w:r>
        <w:rPr/>
        <w:t>to</w:t>
      </w:r>
      <w:r>
        <w:rPr>
          <w:spacing w:val="-47"/>
        </w:rPr>
        <w:t> </w:t>
      </w:r>
      <w:r>
        <w:rPr/>
        <w:t>successfully</w:t>
      </w:r>
      <w:r>
        <w:rPr>
          <w:spacing w:val="-1"/>
        </w:rPr>
        <w:t> </w:t>
      </w:r>
      <w:r>
        <w:rPr/>
        <w:t>challenge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third</w:t>
      </w:r>
      <w:r>
        <w:rPr>
          <w:spacing w:val="-1"/>
        </w:rPr>
        <w:t> </w:t>
      </w:r>
      <w:r>
        <w:rPr/>
        <w:t>party claim</w:t>
      </w:r>
      <w:r>
        <w:rPr>
          <w:spacing w:val="-2"/>
        </w:rPr>
        <w:t> </w:t>
      </w:r>
      <w:r>
        <w:rPr/>
        <w:t>of patent</w:t>
      </w:r>
      <w:r>
        <w:rPr>
          <w:spacing w:val="-1"/>
        </w:rPr>
        <w:t> </w:t>
      </w:r>
      <w:r>
        <w:rPr/>
        <w:t>infringement.</w:t>
      </w:r>
    </w:p>
    <w:p>
      <w:pPr>
        <w:pStyle w:val="BodyText"/>
        <w:spacing w:line="249" w:lineRule="auto" w:before="182"/>
        <w:ind w:right="127"/>
      </w:pPr>
      <w:r>
        <w:rPr/>
        <w:t>Our</w:t>
      </w:r>
      <w:r>
        <w:rPr>
          <w:spacing w:val="-3"/>
        </w:rPr>
        <w:t> </w:t>
      </w:r>
      <w:r>
        <w:rPr/>
        <w:t>defense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litigation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interference</w:t>
      </w:r>
      <w:r>
        <w:rPr>
          <w:spacing w:val="-4"/>
        </w:rPr>
        <w:t> </w:t>
      </w:r>
      <w:r>
        <w:rPr/>
        <w:t>proceedings</w:t>
      </w:r>
      <w:r>
        <w:rPr>
          <w:spacing w:val="-4"/>
        </w:rPr>
        <w:t> </w:t>
      </w:r>
      <w:r>
        <w:rPr/>
        <w:t>may</w:t>
      </w:r>
      <w:r>
        <w:rPr>
          <w:spacing w:val="-2"/>
        </w:rPr>
        <w:t> </w:t>
      </w:r>
      <w:r>
        <w:rPr/>
        <w:t>fail</w:t>
      </w:r>
      <w:r>
        <w:rPr>
          <w:spacing w:val="-4"/>
        </w:rPr>
        <w:t> </w:t>
      </w:r>
      <w:r>
        <w:rPr/>
        <w:t>and,</w:t>
      </w:r>
      <w:r>
        <w:rPr>
          <w:spacing w:val="-3"/>
        </w:rPr>
        <w:t> </w:t>
      </w:r>
      <w:r>
        <w:rPr/>
        <w:t>even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successful,</w:t>
      </w:r>
      <w:r>
        <w:rPr>
          <w:spacing w:val="-2"/>
        </w:rPr>
        <w:t> </w:t>
      </w:r>
      <w:r>
        <w:rPr/>
        <w:t>defending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claims</w:t>
      </w:r>
      <w:r>
        <w:rPr>
          <w:spacing w:val="-47"/>
        </w:rPr>
        <w:t> </w:t>
      </w:r>
      <w:r>
        <w:rPr/>
        <w:t>brought against us would cause us to incur substantial expenses. If such claims are successfully asserted against us,</w:t>
      </w:r>
      <w:r>
        <w:rPr>
          <w:spacing w:val="1"/>
        </w:rPr>
        <w:t> </w:t>
      </w:r>
      <w:r>
        <w:rPr/>
        <w:t>they may result in substantial costs and distract our management and other employees and could cause us to pay</w:t>
      </w:r>
      <w:r>
        <w:rPr>
          <w:spacing w:val="1"/>
        </w:rPr>
        <w:t> </w:t>
      </w:r>
      <w:r>
        <w:rPr/>
        <w:t>substantial damages. Further, if a patent infringement or other intellectual property rights-related lawsuit were</w:t>
      </w:r>
      <w:r>
        <w:rPr>
          <w:spacing w:val="1"/>
        </w:rPr>
        <w:t> </w:t>
      </w:r>
      <w:r>
        <w:rPr/>
        <w:t>brought against us, we could be forced, including by court order, to cease developing, manufacturing and/or</w:t>
      </w:r>
      <w:r>
        <w:rPr>
          <w:spacing w:val="1"/>
        </w:rPr>
        <w:t> </w:t>
      </w:r>
      <w:r>
        <w:rPr/>
        <w:t>commercializing the infringing product or service. In addition, we could be found liable for monetary damages,</w:t>
      </w:r>
      <w:r>
        <w:rPr>
          <w:spacing w:val="1"/>
        </w:rPr>
        <w:t> </w:t>
      </w:r>
      <w:r>
        <w:rPr/>
        <w:t>including treble damages and attorneys’ fees, if we are found to have willfully infringed a patent or other intellectual</w:t>
      </w:r>
      <w:r>
        <w:rPr>
          <w:spacing w:val="-47"/>
        </w:rPr>
        <w:t> </w:t>
      </w:r>
      <w:r>
        <w:rPr/>
        <w:t>property right. Although patent, trademark, trade secret, and other intellectual property disputes in the medical</w:t>
      </w:r>
      <w:r>
        <w:rPr>
          <w:spacing w:val="1"/>
        </w:rPr>
        <w:t> </w:t>
      </w:r>
      <w:r>
        <w:rPr/>
        <w:t>device area have often been settled through licensing or similar arrangements, costs associated with such</w:t>
      </w:r>
      <w:r>
        <w:rPr>
          <w:spacing w:val="1"/>
        </w:rPr>
        <w:t> </w:t>
      </w:r>
      <w:r>
        <w:rPr/>
        <w:t>arrangements may be substantial and could include ongoing royalties. We may not be able to obtain licenses on</w:t>
      </w:r>
      <w:r>
        <w:rPr>
          <w:spacing w:val="1"/>
        </w:rPr>
        <w:t> </w:t>
      </w:r>
      <w:r>
        <w:rPr/>
        <w:t>commercially</w:t>
      </w:r>
      <w:r>
        <w:rPr>
          <w:spacing w:val="-3"/>
        </w:rPr>
        <w:t> </w:t>
      </w:r>
      <w:r>
        <w:rPr/>
        <w:t>reasonable</w:t>
      </w:r>
      <w:r>
        <w:rPr>
          <w:spacing w:val="-3"/>
        </w:rPr>
        <w:t> </w:t>
      </w:r>
      <w:r>
        <w:rPr/>
        <w:t>terms,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all,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/>
        <w:t>event</w:t>
      </w:r>
      <w:r>
        <w:rPr>
          <w:spacing w:val="-4"/>
        </w:rPr>
        <w:t> </w:t>
      </w:r>
      <w:r>
        <w:rPr/>
        <w:t>our</w:t>
      </w:r>
      <w:r>
        <w:rPr>
          <w:spacing w:val="-2"/>
        </w:rPr>
        <w:t> </w:t>
      </w:r>
      <w:r>
        <w:rPr/>
        <w:t>business</w:t>
      </w:r>
      <w:r>
        <w:rPr>
          <w:spacing w:val="-3"/>
        </w:rPr>
        <w:t> </w:t>
      </w:r>
      <w:r>
        <w:rPr/>
        <w:t>would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materially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adversely</w:t>
      </w:r>
      <w:r>
        <w:rPr>
          <w:spacing w:val="-2"/>
        </w:rPr>
        <w:t> </w:t>
      </w:r>
      <w:r>
        <w:rPr/>
        <w:t>affected.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  <w:ind w:right="180" w:firstLine="0"/>
      </w:pPr>
      <w:r>
        <w:rPr/>
        <w:t>Even if we were able to obtain a license, the rights may be nonexclusive, which could result in our competitors and</w:t>
      </w:r>
      <w:r>
        <w:rPr>
          <w:spacing w:val="-47"/>
        </w:rPr>
        <w:t> </w:t>
      </w:r>
      <w:r>
        <w:rPr/>
        <w:t>other third parties gaining access to the same intellectual property. Ultimately, if we are unable to obtain such</w:t>
      </w:r>
      <w:r>
        <w:rPr>
          <w:spacing w:val="1"/>
        </w:rPr>
        <w:t> </w:t>
      </w:r>
      <w:r>
        <w:rPr/>
        <w:t>licenses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make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/>
        <w:t>necessary</w:t>
      </w:r>
      <w:r>
        <w:rPr>
          <w:spacing w:val="-2"/>
        </w:rPr>
        <w:t> </w:t>
      </w:r>
      <w:r>
        <w:rPr/>
        <w:t>changes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products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services,</w:t>
      </w:r>
      <w:r>
        <w:rPr>
          <w:spacing w:val="-2"/>
        </w:rPr>
        <w:t> </w:t>
      </w:r>
      <w:r>
        <w:rPr/>
        <w:t>we</w:t>
      </w:r>
      <w:r>
        <w:rPr>
          <w:spacing w:val="-3"/>
        </w:rPr>
        <w:t> </w:t>
      </w:r>
      <w:r>
        <w:rPr/>
        <w:t>could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forced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cease</w:t>
      </w:r>
      <w:r>
        <w:rPr>
          <w:spacing w:val="-3"/>
        </w:rPr>
        <w:t> </w:t>
      </w:r>
      <w:r>
        <w:rPr/>
        <w:t>some</w:t>
      </w:r>
      <w:r>
        <w:rPr>
          <w:spacing w:val="-3"/>
        </w:rPr>
        <w:t> </w:t>
      </w:r>
      <w:r>
        <w:rPr/>
        <w:t>aspect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our</w:t>
      </w:r>
      <w:r>
        <w:rPr>
          <w:spacing w:val="-47"/>
        </w:rPr>
        <w:t> </w:t>
      </w:r>
      <w:r>
        <w:rPr/>
        <w:t>business</w:t>
      </w:r>
      <w:r>
        <w:rPr>
          <w:spacing w:val="-2"/>
        </w:rPr>
        <w:t> </w:t>
      </w:r>
      <w:r>
        <w:rPr/>
        <w:t>operations, which could</w:t>
      </w:r>
      <w:r>
        <w:rPr>
          <w:spacing w:val="-1"/>
        </w:rPr>
        <w:t> </w:t>
      </w:r>
      <w:r>
        <w:rPr/>
        <w:t>harm</w:t>
      </w:r>
      <w:r>
        <w:rPr>
          <w:spacing w:val="-1"/>
        </w:rPr>
        <w:t> </w:t>
      </w:r>
      <w:r>
        <w:rPr/>
        <w:t>our business</w:t>
      </w:r>
      <w:r>
        <w:rPr>
          <w:spacing w:val="-2"/>
        </w:rPr>
        <w:t> </w:t>
      </w:r>
      <w:r>
        <w:rPr/>
        <w:t>significantly.</w:t>
      </w:r>
    </w:p>
    <w:p>
      <w:pPr>
        <w:pStyle w:val="BodyText"/>
        <w:spacing w:line="249" w:lineRule="auto" w:before="183"/>
        <w:ind w:right="170"/>
      </w:pPr>
      <w:r>
        <w:rPr/>
        <w:t>A finding of infringement, or an unfavorable interference or derivation proceedings outcome could prevent us</w:t>
      </w:r>
      <w:r>
        <w:rPr>
          <w:spacing w:val="1"/>
        </w:rPr>
        <w:t> </w:t>
      </w:r>
      <w:r>
        <w:rPr/>
        <w:t>from</w:t>
      </w:r>
      <w:r>
        <w:rPr>
          <w:spacing w:val="-4"/>
        </w:rPr>
        <w:t> </w:t>
      </w:r>
      <w:r>
        <w:rPr/>
        <w:t>developing,</w:t>
      </w:r>
      <w:r>
        <w:rPr>
          <w:spacing w:val="-2"/>
        </w:rPr>
        <w:t> </w:t>
      </w:r>
      <w:r>
        <w:rPr/>
        <w:t>manufacturing</w:t>
      </w:r>
      <w:r>
        <w:rPr>
          <w:spacing w:val="-2"/>
        </w:rPr>
        <w:t> </w:t>
      </w:r>
      <w:r>
        <w:rPr/>
        <w:t>and/or</w:t>
      </w:r>
      <w:r>
        <w:rPr>
          <w:spacing w:val="-3"/>
        </w:rPr>
        <w:t> </w:t>
      </w:r>
      <w:r>
        <w:rPr/>
        <w:t>commercializing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products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services,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force</w:t>
      </w:r>
      <w:r>
        <w:rPr>
          <w:spacing w:val="-3"/>
        </w:rPr>
        <w:t> </w:t>
      </w:r>
      <w:r>
        <w:rPr/>
        <w:t>us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cease</w:t>
      </w:r>
      <w:r>
        <w:rPr>
          <w:spacing w:val="-4"/>
        </w:rPr>
        <w:t> </w:t>
      </w:r>
      <w:r>
        <w:rPr/>
        <w:t>some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all</w:t>
      </w:r>
      <w:r>
        <w:rPr>
          <w:spacing w:val="-3"/>
        </w:rPr>
        <w:t> </w:t>
      </w:r>
      <w:r>
        <w:rPr/>
        <w:t>of</w:t>
      </w:r>
      <w:r>
        <w:rPr>
          <w:spacing w:val="-47"/>
        </w:rPr>
        <w:t> </w:t>
      </w:r>
      <w:r>
        <w:rPr/>
        <w:t>our business operations, which could materially harm our business. Claims that we have misappropriated the</w:t>
      </w:r>
      <w:r>
        <w:rPr>
          <w:spacing w:val="1"/>
        </w:rPr>
        <w:t> </w:t>
      </w:r>
      <w:r>
        <w:rPr/>
        <w:t>confidential information or trade secrets of third parties could have a similar negative impact on our business,</w:t>
      </w:r>
      <w:r>
        <w:rPr>
          <w:spacing w:val="1"/>
        </w:rPr>
        <w:t> </w:t>
      </w:r>
      <w:r>
        <w:rPr/>
        <w:t>financial condition, results of operations and prospects. We may not have sufficient financial or other resources to</w:t>
      </w:r>
      <w:r>
        <w:rPr>
          <w:spacing w:val="1"/>
        </w:rPr>
        <w:t> </w:t>
      </w:r>
      <w:r>
        <w:rPr/>
        <w:t>conduct such litigation or proceedings adequately. Some of our competitors may be able to sustain the costs of</w:t>
      </w:r>
      <w:r>
        <w:rPr>
          <w:spacing w:val="1"/>
        </w:rPr>
        <w:t> </w:t>
      </w:r>
      <w:r>
        <w:rPr/>
        <w:t>litigation or administrative proceedings more effectively than we can because of greater financial resources and</w:t>
      </w:r>
      <w:r>
        <w:rPr>
          <w:spacing w:val="1"/>
        </w:rPr>
        <w:t> </w:t>
      </w:r>
      <w:r>
        <w:rPr/>
        <w:t>more mature and developed intellectual property portfolios. We could encounter delays in product or service</w:t>
      </w:r>
      <w:r>
        <w:rPr>
          <w:spacing w:val="1"/>
        </w:rPr>
        <w:t> </w:t>
      </w:r>
      <w:r>
        <w:rPr/>
        <w:t>introductions</w:t>
      </w:r>
      <w:r>
        <w:rPr>
          <w:spacing w:val="-2"/>
        </w:rPr>
        <w:t> </w:t>
      </w:r>
      <w:r>
        <w:rPr/>
        <w:t>while</w:t>
      </w:r>
      <w:r>
        <w:rPr>
          <w:spacing w:val="-1"/>
        </w:rPr>
        <w:t> </w:t>
      </w:r>
      <w:r>
        <w:rPr/>
        <w:t>we</w:t>
      </w:r>
      <w:r>
        <w:rPr>
          <w:spacing w:val="-2"/>
        </w:rPr>
        <w:t> </w:t>
      </w:r>
      <w:r>
        <w:rPr/>
        <w:t>attempt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develop alternative</w:t>
      </w:r>
      <w:r>
        <w:rPr>
          <w:spacing w:val="-1"/>
        </w:rPr>
        <w:t> </w:t>
      </w:r>
      <w:r>
        <w:rPr/>
        <w:t>products</w:t>
      </w:r>
      <w:r>
        <w:rPr>
          <w:spacing w:val="-2"/>
        </w:rPr>
        <w:t> </w:t>
      </w:r>
      <w:r>
        <w:rPr/>
        <w:t>or services.</w:t>
      </w:r>
    </w:p>
    <w:p>
      <w:pPr>
        <w:pStyle w:val="BodyText"/>
        <w:spacing w:line="249" w:lineRule="auto" w:before="187"/>
      </w:pPr>
      <w:r>
        <w:rPr/>
        <w:t>If third parties assert infringement, misappropriation or other claims against our customers, these claims may</w:t>
      </w:r>
      <w:r>
        <w:rPr>
          <w:spacing w:val="1"/>
        </w:rPr>
        <w:t> </w:t>
      </w:r>
      <w:r>
        <w:rPr/>
        <w:t>require</w:t>
      </w:r>
      <w:r>
        <w:rPr>
          <w:spacing w:val="-4"/>
        </w:rPr>
        <w:t> </w:t>
      </w:r>
      <w:r>
        <w:rPr/>
        <w:t>us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initiate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defend</w:t>
      </w:r>
      <w:r>
        <w:rPr>
          <w:spacing w:val="-3"/>
        </w:rPr>
        <w:t> </w:t>
      </w:r>
      <w:r>
        <w:rPr/>
        <w:t>protracted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costly</w:t>
      </w:r>
      <w:r>
        <w:rPr>
          <w:spacing w:val="-3"/>
        </w:rPr>
        <w:t> </w:t>
      </w:r>
      <w:r>
        <w:rPr/>
        <w:t>litigation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behalf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our</w:t>
      </w:r>
      <w:r>
        <w:rPr>
          <w:spacing w:val="-3"/>
        </w:rPr>
        <w:t> </w:t>
      </w:r>
      <w:r>
        <w:rPr/>
        <w:t>customers,</w:t>
      </w:r>
      <w:r>
        <w:rPr>
          <w:spacing w:val="-2"/>
        </w:rPr>
        <w:t> </w:t>
      </w:r>
      <w:r>
        <w:rPr/>
        <w:t>regardless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merits</w:t>
      </w:r>
      <w:r>
        <w:rPr>
          <w:spacing w:val="-3"/>
        </w:rPr>
        <w:t> </w:t>
      </w:r>
      <w:r>
        <w:rPr/>
        <w:t>of</w:t>
      </w:r>
      <w:r>
        <w:rPr>
          <w:spacing w:val="-47"/>
        </w:rPr>
        <w:t> </w:t>
      </w:r>
      <w:r>
        <w:rPr/>
        <w:t>these claims. If any of these claims succeed or settle, we may be forced to pay damages or settlement payments on</w:t>
      </w:r>
      <w:r>
        <w:rPr>
          <w:spacing w:val="1"/>
        </w:rPr>
        <w:t> </w:t>
      </w:r>
      <w:r>
        <w:rPr/>
        <w:t>behalf of our customers or may be required to obtain licenses for the products they use. If we cannot obtain all</w:t>
      </w:r>
      <w:r>
        <w:rPr>
          <w:spacing w:val="1"/>
        </w:rPr>
        <w:t> </w:t>
      </w:r>
      <w:r>
        <w:rPr/>
        <w:t>necessary licenses on commercially reasonable terms, our customers may be forced to stop using our products or</w:t>
      </w:r>
      <w:r>
        <w:rPr>
          <w:spacing w:val="1"/>
        </w:rPr>
        <w:t> </w:t>
      </w:r>
      <w:r>
        <w:rPr/>
        <w:t>services.</w:t>
      </w:r>
    </w:p>
    <w:p>
      <w:pPr>
        <w:pStyle w:val="BodyText"/>
        <w:spacing w:line="249" w:lineRule="auto" w:before="185"/>
        <w:ind w:right="113"/>
      </w:pPr>
      <w:r>
        <w:rPr/>
        <w:t>Additionally, our products include components that we purchase from suppliers and may include design</w:t>
      </w:r>
      <w:r>
        <w:rPr>
          <w:spacing w:val="1"/>
        </w:rPr>
        <w:t> </w:t>
      </w:r>
      <w:r>
        <w:rPr/>
        <w:t>components that are outside of our direct control. Our competitors, many of which have substantially greater</w:t>
      </w:r>
      <w:r>
        <w:rPr>
          <w:spacing w:val="1"/>
        </w:rPr>
        <w:t> </w:t>
      </w:r>
      <w:r>
        <w:rPr/>
        <w:t>resources and have made substantial investments in patent portfolios, trade secrets, trademarks, and competing</w:t>
      </w:r>
      <w:r>
        <w:rPr>
          <w:spacing w:val="1"/>
        </w:rPr>
        <w:t> </w:t>
      </w:r>
      <w:r>
        <w:rPr/>
        <w:t>technologies, may have applied for or obtained, or may in the future apply for or obtain, patents or trademarks that</w:t>
      </w:r>
      <w:r>
        <w:rPr>
          <w:spacing w:val="1"/>
        </w:rPr>
        <w:t> </w:t>
      </w:r>
      <w:r>
        <w:rPr/>
        <w:t>will prevent, limit or otherwise interfere with our ability to make, use, sell and/or export our products, services or to</w:t>
      </w:r>
      <w:r>
        <w:rPr>
          <w:spacing w:val="1"/>
        </w:rPr>
        <w:t> </w:t>
      </w:r>
      <w:r>
        <w:rPr/>
        <w:t>use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technologies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product</w:t>
      </w:r>
      <w:r>
        <w:rPr>
          <w:spacing w:val="-2"/>
        </w:rPr>
        <w:t> </w:t>
      </w:r>
      <w:r>
        <w:rPr/>
        <w:t>names.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number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competitors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our</w:t>
      </w:r>
      <w:r>
        <w:rPr>
          <w:spacing w:val="-1"/>
        </w:rPr>
        <w:t> </w:t>
      </w:r>
      <w:r>
        <w:rPr/>
        <w:t>market</w:t>
      </w:r>
      <w:r>
        <w:rPr>
          <w:spacing w:val="-3"/>
        </w:rPr>
        <w:t> </w:t>
      </w:r>
      <w:r>
        <w:rPr/>
        <w:t>grows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patents</w:t>
      </w:r>
      <w:r>
        <w:rPr>
          <w:spacing w:val="-47"/>
        </w:rPr>
        <w:t> </w:t>
      </w:r>
      <w:r>
        <w:rPr/>
        <w:t>issued in this area increases, the possibility of patent infringement claims against us may increase. Moreover,</w:t>
      </w:r>
      <w:r>
        <w:rPr>
          <w:spacing w:val="1"/>
        </w:rPr>
        <w:t> </w:t>
      </w:r>
      <w:r>
        <w:rPr/>
        <w:t>individuals and groups that are non-practicing entities, commonly referred to as “patent trolls,” purchase patents and</w:t>
      </w:r>
      <w:r>
        <w:rPr>
          <w:spacing w:val="-47"/>
        </w:rPr>
        <w:t> </w:t>
      </w:r>
      <w:r>
        <w:rPr/>
        <w:t>other</w:t>
      </w:r>
      <w:r>
        <w:rPr>
          <w:spacing w:val="-3"/>
        </w:rPr>
        <w:t> </w:t>
      </w:r>
      <w:r>
        <w:rPr/>
        <w:t>intellectual</w:t>
      </w:r>
      <w:r>
        <w:rPr>
          <w:spacing w:val="-3"/>
        </w:rPr>
        <w:t> </w:t>
      </w:r>
      <w:r>
        <w:rPr/>
        <w:t>property</w:t>
      </w:r>
      <w:r>
        <w:rPr>
          <w:spacing w:val="-2"/>
        </w:rPr>
        <w:t> </w:t>
      </w:r>
      <w:r>
        <w:rPr/>
        <w:t>assets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purpose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making</w:t>
      </w:r>
      <w:r>
        <w:rPr>
          <w:spacing w:val="-2"/>
        </w:rPr>
        <w:t> </w:t>
      </w:r>
      <w:r>
        <w:rPr/>
        <w:t>claims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infringement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extract</w:t>
      </w:r>
      <w:r>
        <w:rPr>
          <w:spacing w:val="-3"/>
        </w:rPr>
        <w:t> </w:t>
      </w:r>
      <w:r>
        <w:rPr/>
        <w:t>settlements.</w:t>
      </w:r>
    </w:p>
    <w:p>
      <w:pPr>
        <w:pStyle w:val="BodyText"/>
        <w:spacing w:line="249" w:lineRule="auto" w:before="8"/>
        <w:ind w:right="212" w:firstLine="0"/>
      </w:pPr>
      <w:r>
        <w:rPr/>
        <w:t>From</w:t>
      </w:r>
      <w:r>
        <w:rPr>
          <w:spacing w:val="-4"/>
        </w:rPr>
        <w:t> </w:t>
      </w:r>
      <w:r>
        <w:rPr/>
        <w:t>time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time,</w:t>
      </w:r>
      <w:r>
        <w:rPr>
          <w:spacing w:val="-3"/>
        </w:rPr>
        <w:t> </w:t>
      </w:r>
      <w:r>
        <w:rPr/>
        <w:t>we</w:t>
      </w:r>
      <w:r>
        <w:rPr>
          <w:spacing w:val="-4"/>
        </w:rPr>
        <w:t> </w:t>
      </w:r>
      <w:r>
        <w:rPr/>
        <w:t>may</w:t>
      </w:r>
      <w:r>
        <w:rPr>
          <w:spacing w:val="-2"/>
        </w:rPr>
        <w:t> </w:t>
      </w:r>
      <w:r>
        <w:rPr/>
        <w:t>receive</w:t>
      </w:r>
      <w:r>
        <w:rPr>
          <w:spacing w:val="-4"/>
        </w:rPr>
        <w:t> </w:t>
      </w:r>
      <w:r>
        <w:rPr/>
        <w:t>threatening</w:t>
      </w:r>
      <w:r>
        <w:rPr>
          <w:spacing w:val="-2"/>
        </w:rPr>
        <w:t> </w:t>
      </w:r>
      <w:r>
        <w:rPr/>
        <w:t>letters,</w:t>
      </w:r>
      <w:r>
        <w:rPr>
          <w:spacing w:val="-3"/>
        </w:rPr>
        <w:t> </w:t>
      </w:r>
      <w:r>
        <w:rPr/>
        <w:t>notices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“invitations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license,”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subject</w:t>
      </w:r>
      <w:r>
        <w:rPr>
          <w:spacing w:val="-3"/>
        </w:rPr>
        <w:t> </w:t>
      </w:r>
      <w:r>
        <w:rPr/>
        <w:t>of</w:t>
      </w:r>
      <w:r>
        <w:rPr>
          <w:spacing w:val="1"/>
        </w:rPr>
        <w:t> </w:t>
      </w:r>
      <w:r>
        <w:rPr/>
        <w:t>claims that our products, services and business operations infringe, misappropriate or otherwise violate the</w:t>
      </w:r>
      <w:r>
        <w:rPr>
          <w:spacing w:val="1"/>
        </w:rPr>
        <w:t> </w:t>
      </w:r>
      <w:r>
        <w:rPr/>
        <w:t>intellectual property rights of others. The defense of these matters can be time-consuming, costly to defend in</w:t>
      </w:r>
      <w:r>
        <w:rPr>
          <w:spacing w:val="1"/>
        </w:rPr>
        <w:t> </w:t>
      </w:r>
      <w:r>
        <w:rPr/>
        <w:t>litigation, divert management’s attention and resources, damage our reputation and brand and cause us to incur</w:t>
      </w:r>
      <w:r>
        <w:rPr>
          <w:spacing w:val="1"/>
        </w:rPr>
        <w:t> </w:t>
      </w:r>
      <w:r>
        <w:rPr/>
        <w:t>significant expenses or make substantial payments. In addition, suppliers from whom we purchase hardware or</w:t>
      </w:r>
      <w:r>
        <w:rPr>
          <w:spacing w:val="1"/>
        </w:rPr>
        <w:t> </w:t>
      </w:r>
      <w:r>
        <w:rPr/>
        <w:t>software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indemnify</w:t>
      </w:r>
      <w:r>
        <w:rPr>
          <w:spacing w:val="-2"/>
        </w:rPr>
        <w:t> </w:t>
      </w:r>
      <w:r>
        <w:rPr/>
        <w:t>us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event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such</w:t>
      </w:r>
      <w:r>
        <w:rPr>
          <w:spacing w:val="-2"/>
        </w:rPr>
        <w:t> </w:t>
      </w:r>
      <w:r>
        <w:rPr/>
        <w:t>hardware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software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accused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infringing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third</w:t>
      </w:r>
      <w:r>
        <w:rPr>
          <w:spacing w:val="-2"/>
        </w:rPr>
        <w:t> </w:t>
      </w:r>
      <w:r>
        <w:rPr/>
        <w:t>party’s</w:t>
      </w:r>
      <w:r>
        <w:rPr>
          <w:spacing w:val="-47"/>
        </w:rPr>
        <w:t> </w:t>
      </w:r>
      <w:r>
        <w:rPr/>
        <w:t>patent</w:t>
      </w:r>
      <w:r>
        <w:rPr>
          <w:spacing w:val="-2"/>
        </w:rPr>
        <w:t> </w:t>
      </w:r>
      <w:r>
        <w:rPr/>
        <w:t>or trademark or</w:t>
      </w:r>
      <w:r>
        <w:rPr>
          <w:spacing w:val="-1"/>
        </w:rPr>
        <w:t> </w:t>
      </w:r>
      <w:r>
        <w:rPr/>
        <w:t>of misappropriating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third party’s</w:t>
      </w:r>
      <w:r>
        <w:rPr>
          <w:spacing w:val="-1"/>
        </w:rPr>
        <w:t> </w:t>
      </w:r>
      <w:r>
        <w:rPr/>
        <w:t>trade</w:t>
      </w:r>
      <w:r>
        <w:rPr>
          <w:spacing w:val="-2"/>
        </w:rPr>
        <w:t> </w:t>
      </w:r>
      <w:r>
        <w:rPr/>
        <w:t>secret.</w:t>
      </w:r>
    </w:p>
    <w:p>
      <w:pPr>
        <w:pStyle w:val="BodyText"/>
        <w:spacing w:line="249" w:lineRule="auto" w:before="185"/>
        <w:ind w:right="129"/>
      </w:pPr>
      <w:r>
        <w:rPr/>
        <w:t>Third parties may also raise similar claims before administrative bodies in the United States or abroad, even</w:t>
      </w:r>
      <w:r>
        <w:rPr>
          <w:spacing w:val="1"/>
        </w:rPr>
        <w:t> </w:t>
      </w:r>
      <w:r>
        <w:rPr/>
        <w:t>outside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context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litigation.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mechanisms</w:t>
      </w:r>
      <w:r>
        <w:rPr>
          <w:spacing w:val="-4"/>
        </w:rPr>
        <w:t> </w:t>
      </w:r>
      <w:r>
        <w:rPr/>
        <w:t>include</w:t>
      </w:r>
      <w:r>
        <w:rPr>
          <w:spacing w:val="-4"/>
        </w:rPr>
        <w:t> </w:t>
      </w:r>
      <w:r>
        <w:rPr/>
        <w:t>re-examination,</w:t>
      </w:r>
      <w:r>
        <w:rPr>
          <w:spacing w:val="-4"/>
        </w:rPr>
        <w:t> </w:t>
      </w:r>
      <w:r>
        <w:rPr/>
        <w:t>post</w:t>
      </w:r>
      <w:r>
        <w:rPr>
          <w:spacing w:val="-4"/>
        </w:rPr>
        <w:t> </w:t>
      </w:r>
      <w:r>
        <w:rPr/>
        <w:t>grant</w:t>
      </w:r>
      <w:r>
        <w:rPr>
          <w:spacing w:val="-4"/>
        </w:rPr>
        <w:t> </w:t>
      </w:r>
      <w:r>
        <w:rPr/>
        <w:t>review,</w:t>
      </w:r>
      <w:r>
        <w:rPr>
          <w:spacing w:val="-3"/>
        </w:rPr>
        <w:t> </w:t>
      </w:r>
      <w:r>
        <w:rPr/>
        <w:t>inter</w:t>
      </w:r>
      <w:r>
        <w:rPr>
          <w:spacing w:val="-3"/>
        </w:rPr>
        <w:t> </w:t>
      </w:r>
      <w:r>
        <w:rPr/>
        <w:t>partes</w:t>
      </w:r>
      <w:r>
        <w:rPr>
          <w:spacing w:val="-4"/>
        </w:rPr>
        <w:t> </w:t>
      </w:r>
      <w:r>
        <w:rPr/>
        <w:t>review</w:t>
      </w:r>
      <w:r>
        <w:rPr>
          <w:spacing w:val="-4"/>
        </w:rPr>
        <w:t> </w:t>
      </w:r>
      <w:r>
        <w:rPr/>
        <w:t>and</w:t>
      </w:r>
      <w:r>
        <w:rPr>
          <w:spacing w:val="-47"/>
        </w:rPr>
        <w:t> </w:t>
      </w:r>
      <w:r>
        <w:rPr/>
        <w:t>equivalent proceedings in foreign jurisdictions (for example, opposition proceedings). Such proceedings could result</w:t>
      </w:r>
      <w:r>
        <w:rPr>
          <w:spacing w:val="-47"/>
        </w:rPr>
        <w:t> </w:t>
      </w:r>
      <w:r>
        <w:rPr/>
        <w:t>in revocation of or amendment to our patents in such a way that they no longer cover our products or services. Two</w:t>
      </w:r>
      <w:r>
        <w:rPr>
          <w:spacing w:val="1"/>
        </w:rPr>
        <w:t> </w:t>
      </w:r>
      <w:r>
        <w:rPr/>
        <w:t>of our applications filed in Europe are currently subject to opposition challenges. The outcome following legal</w:t>
      </w:r>
      <w:r>
        <w:rPr>
          <w:spacing w:val="1"/>
        </w:rPr>
        <w:t> </w:t>
      </w:r>
      <w:r>
        <w:rPr/>
        <w:t>assertions of invalidity and unenforceability is unpredictable. With respect to the validity question, for example, we</w:t>
      </w:r>
      <w:r>
        <w:rPr>
          <w:spacing w:val="1"/>
        </w:rPr>
        <w:t> </w:t>
      </w:r>
      <w:r>
        <w:rPr/>
        <w:t>cannot be certain that there is no invalidating prior art, of which we, our patent counsel, and the patent examiner</w:t>
      </w:r>
      <w:r>
        <w:rPr>
          <w:spacing w:val="1"/>
        </w:rPr>
        <w:t> </w:t>
      </w:r>
      <w:r>
        <w:rPr/>
        <w:t>were unaware during prosecution. If a third party were to prevail on a legal assertion of invalidity and/or</w:t>
      </w:r>
      <w:r>
        <w:rPr>
          <w:spacing w:val="1"/>
        </w:rPr>
        <w:t> </w:t>
      </w:r>
      <w:r>
        <w:rPr/>
        <w:t>unenforceability,</w:t>
      </w:r>
      <w:r>
        <w:rPr>
          <w:spacing w:val="-2"/>
        </w:rPr>
        <w:t> </w:t>
      </w:r>
      <w:r>
        <w:rPr/>
        <w:t>we</w:t>
      </w:r>
      <w:r>
        <w:rPr>
          <w:spacing w:val="-3"/>
        </w:rPr>
        <w:t> </w:t>
      </w:r>
      <w:r>
        <w:rPr/>
        <w:t>may</w:t>
      </w:r>
      <w:r>
        <w:rPr>
          <w:spacing w:val="-1"/>
        </w:rPr>
        <w:t> </w:t>
      </w:r>
      <w:r>
        <w:rPr/>
        <w:t>lose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least</w:t>
      </w:r>
      <w:r>
        <w:rPr>
          <w:spacing w:val="-3"/>
        </w:rPr>
        <w:t> </w:t>
      </w:r>
      <w:r>
        <w:rPr/>
        <w:t>part,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perhaps</w:t>
      </w:r>
      <w:r>
        <w:rPr>
          <w:spacing w:val="-2"/>
        </w:rPr>
        <w:t> </w:t>
      </w:r>
      <w:r>
        <w:rPr/>
        <w:t>all,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patent</w:t>
      </w:r>
      <w:r>
        <w:rPr>
          <w:spacing w:val="-3"/>
        </w:rPr>
        <w:t> </w:t>
      </w:r>
      <w:r>
        <w:rPr/>
        <w:t>protection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our</w:t>
      </w:r>
      <w:r>
        <w:rPr>
          <w:spacing w:val="-1"/>
        </w:rPr>
        <w:t> </w:t>
      </w:r>
      <w:r>
        <w:rPr/>
        <w:t>products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services.</w:t>
      </w:r>
    </w:p>
    <w:p>
      <w:pPr>
        <w:pStyle w:val="BodyText"/>
        <w:spacing w:line="249" w:lineRule="auto" w:before="8"/>
        <w:ind w:firstLine="0"/>
      </w:pPr>
      <w:r>
        <w:rPr/>
        <w:t>Such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loss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patent</w:t>
      </w:r>
      <w:r>
        <w:rPr>
          <w:spacing w:val="-4"/>
        </w:rPr>
        <w:t> </w:t>
      </w:r>
      <w:r>
        <w:rPr/>
        <w:t>protection</w:t>
      </w:r>
      <w:r>
        <w:rPr>
          <w:spacing w:val="-2"/>
        </w:rPr>
        <w:t> </w:t>
      </w:r>
      <w:r>
        <w:rPr/>
        <w:t>would</w:t>
      </w:r>
      <w:r>
        <w:rPr>
          <w:spacing w:val="-2"/>
        </w:rPr>
        <w:t> </w:t>
      </w:r>
      <w:r>
        <w:rPr/>
        <w:t>have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material</w:t>
      </w:r>
      <w:r>
        <w:rPr>
          <w:spacing w:val="-4"/>
        </w:rPr>
        <w:t> </w:t>
      </w:r>
      <w:r>
        <w:rPr/>
        <w:t>adverse</w:t>
      </w:r>
      <w:r>
        <w:rPr>
          <w:spacing w:val="-3"/>
        </w:rPr>
        <w:t> </w:t>
      </w:r>
      <w:r>
        <w:rPr/>
        <w:t>impact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business,</w:t>
      </w:r>
      <w:r>
        <w:rPr>
          <w:spacing w:val="-3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condition,</w:t>
      </w:r>
      <w:r>
        <w:rPr>
          <w:spacing w:val="-3"/>
        </w:rPr>
        <w:t> </w:t>
      </w:r>
      <w:r>
        <w:rPr/>
        <w:t>results</w:t>
      </w:r>
      <w:r>
        <w:rPr>
          <w:spacing w:val="-3"/>
        </w:rPr>
        <w:t> </w:t>
      </w:r>
      <w:r>
        <w:rPr/>
        <w:t>of</w:t>
      </w:r>
      <w:r>
        <w:rPr>
          <w:spacing w:val="-47"/>
        </w:rPr>
        <w:t> </w:t>
      </w:r>
      <w:r>
        <w:rPr/>
        <w:t>operations,</w:t>
      </w:r>
      <w:r>
        <w:rPr>
          <w:spacing w:val="-1"/>
        </w:rPr>
        <w:t> </w:t>
      </w:r>
      <w:r>
        <w:rPr/>
        <w:t>and prospects.</w:t>
      </w:r>
    </w:p>
    <w:p>
      <w:pPr>
        <w:pStyle w:val="BodyText"/>
        <w:spacing w:line="249" w:lineRule="auto" w:before="181"/>
        <w:ind w:right="121"/>
        <w:jc w:val="both"/>
      </w:pPr>
      <w:r>
        <w:rPr/>
        <w:t>Because of the substantial amount of discovery required in connection with intellectual property litigation, there</w:t>
      </w:r>
      <w:r>
        <w:rPr>
          <w:spacing w:val="-47"/>
        </w:rPr>
        <w:t> </w:t>
      </w:r>
      <w:r>
        <w:rPr/>
        <w:t>is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risk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some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confidential</w:t>
      </w:r>
      <w:r>
        <w:rPr>
          <w:spacing w:val="-4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could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compromised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disclosure</w:t>
      </w:r>
      <w:r>
        <w:rPr>
          <w:spacing w:val="-3"/>
        </w:rPr>
        <w:t> </w:t>
      </w:r>
      <w:r>
        <w:rPr/>
        <w:t>during</w:t>
      </w:r>
      <w:r>
        <w:rPr>
          <w:spacing w:val="-2"/>
        </w:rPr>
        <w:t> </w:t>
      </w:r>
      <w:r>
        <w:rPr/>
        <w:t>litigation.</w:t>
      </w:r>
      <w:r>
        <w:rPr>
          <w:spacing w:val="-3"/>
        </w:rPr>
        <w:t> </w:t>
      </w:r>
      <w:r>
        <w:rPr/>
        <w:t>There</w:t>
      </w:r>
      <w:r>
        <w:rPr>
          <w:spacing w:val="-3"/>
        </w:rPr>
        <w:t> </w:t>
      </w:r>
      <w:r>
        <w:rPr/>
        <w:t>could</w:t>
      </w:r>
      <w:r>
        <w:rPr>
          <w:spacing w:val="-48"/>
        </w:rPr>
        <w:t> </w:t>
      </w:r>
      <w:r>
        <w:rPr/>
        <w:t>also be public announcements of the results of hearing, motions, or other interim developments. If securities analysts</w:t>
      </w:r>
      <w:r>
        <w:rPr>
          <w:spacing w:val="-47"/>
        </w:rPr>
        <w:t> </w:t>
      </w:r>
      <w:r>
        <w:rPr/>
        <w:t>or</w:t>
      </w:r>
      <w:r>
        <w:rPr>
          <w:spacing w:val="-2"/>
        </w:rPr>
        <w:t> </w:t>
      </w:r>
      <w:r>
        <w:rPr/>
        <w:t>investors</w:t>
      </w:r>
      <w:r>
        <w:rPr>
          <w:spacing w:val="-3"/>
        </w:rPr>
        <w:t> </w:t>
      </w:r>
      <w:r>
        <w:rPr/>
        <w:t>perceive</w:t>
      </w:r>
      <w:r>
        <w:rPr>
          <w:spacing w:val="-3"/>
        </w:rPr>
        <w:t> </w:t>
      </w:r>
      <w:r>
        <w:rPr/>
        <w:t>these</w:t>
      </w:r>
      <w:r>
        <w:rPr>
          <w:spacing w:val="-3"/>
        </w:rPr>
        <w:t> </w:t>
      </w:r>
      <w:r>
        <w:rPr/>
        <w:t>results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negative,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could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material</w:t>
      </w:r>
      <w:r>
        <w:rPr>
          <w:spacing w:val="-3"/>
        </w:rPr>
        <w:t> </w:t>
      </w:r>
      <w:r>
        <w:rPr/>
        <w:t>adverse</w:t>
      </w:r>
      <w:r>
        <w:rPr>
          <w:spacing w:val="-2"/>
        </w:rPr>
        <w:t> </w:t>
      </w:r>
      <w:r>
        <w:rPr/>
        <w:t>effect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price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shares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our</w:t>
      </w:r>
    </w:p>
    <w:p>
      <w:pPr>
        <w:spacing w:after="0" w:line="249" w:lineRule="auto"/>
        <w:jc w:val="both"/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  <w:ind w:right="118" w:firstLine="0"/>
      </w:pPr>
      <w:r>
        <w:rPr/>
        <w:t>common</w:t>
      </w:r>
      <w:r>
        <w:rPr>
          <w:spacing w:val="-3"/>
        </w:rPr>
        <w:t> </w:t>
      </w:r>
      <w:r>
        <w:rPr/>
        <w:t>stock.</w:t>
      </w:r>
      <w:r>
        <w:rPr>
          <w:spacing w:val="-2"/>
        </w:rPr>
        <w:t> </w:t>
      </w:r>
      <w:r>
        <w:rPr/>
        <w:t>Even</w:t>
      </w:r>
      <w:r>
        <w:rPr>
          <w:spacing w:val="-3"/>
        </w:rPr>
        <w:t> </w:t>
      </w:r>
      <w:r>
        <w:rPr/>
        <w:t>if</w:t>
      </w:r>
      <w:r>
        <w:rPr>
          <w:spacing w:val="-2"/>
        </w:rPr>
        <w:t> </w:t>
      </w:r>
      <w:r>
        <w:rPr/>
        <w:t>we</w:t>
      </w:r>
      <w:r>
        <w:rPr>
          <w:spacing w:val="-3"/>
        </w:rPr>
        <w:t> </w:t>
      </w:r>
      <w:r>
        <w:rPr/>
        <w:t>ultimately</w:t>
      </w:r>
      <w:r>
        <w:rPr>
          <w:spacing w:val="-3"/>
        </w:rPr>
        <w:t> </w:t>
      </w:r>
      <w:r>
        <w:rPr/>
        <w:t>prevail,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court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decide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grant</w:t>
      </w:r>
      <w:r>
        <w:rPr>
          <w:spacing w:val="-4"/>
        </w:rPr>
        <w:t> </w:t>
      </w:r>
      <w:r>
        <w:rPr/>
        <w:t>an</w:t>
      </w:r>
      <w:r>
        <w:rPr>
          <w:spacing w:val="-2"/>
        </w:rPr>
        <w:t> </w:t>
      </w:r>
      <w:r>
        <w:rPr/>
        <w:t>injunction</w:t>
      </w:r>
      <w:r>
        <w:rPr>
          <w:spacing w:val="-3"/>
        </w:rPr>
        <w:t> </w:t>
      </w:r>
      <w:r>
        <w:rPr/>
        <w:t>against</w:t>
      </w:r>
      <w:r>
        <w:rPr>
          <w:spacing w:val="-3"/>
        </w:rPr>
        <w:t> </w:t>
      </w:r>
      <w:r>
        <w:rPr/>
        <w:t>further</w:t>
      </w:r>
      <w:r>
        <w:rPr>
          <w:spacing w:val="-2"/>
        </w:rPr>
        <w:t> </w:t>
      </w:r>
      <w:r>
        <w:rPr/>
        <w:t>infringing</w:t>
      </w:r>
      <w:r>
        <w:rPr>
          <w:spacing w:val="-47"/>
        </w:rPr>
        <w:t> </w:t>
      </w:r>
      <w:r>
        <w:rPr/>
        <w:t>activity and instead award only monetary damages, which may not be an adequate remedy. Furthermore, the</w:t>
      </w:r>
      <w:r>
        <w:rPr>
          <w:spacing w:val="1"/>
        </w:rPr>
        <w:t> </w:t>
      </w:r>
      <w:r>
        <w:rPr/>
        <w:t>monetary cost of such litigation and the diversion of the attention of our management could outweigh any benefit we</w:t>
      </w:r>
      <w:r>
        <w:rPr>
          <w:spacing w:val="-47"/>
        </w:rPr>
        <w:t> </w:t>
      </w:r>
      <w:r>
        <w:rPr/>
        <w:t>receive as a result of the proceedings. Uncertainties resulting from the initiation and continuation of patent litigation</w:t>
      </w:r>
      <w:r>
        <w:rPr>
          <w:spacing w:val="1"/>
        </w:rPr>
        <w:t> </w:t>
      </w:r>
      <w:r>
        <w:rPr/>
        <w:t>or other proceedings could have a material adverse effect on our business. Any of the foregoing may cause us to</w:t>
      </w:r>
      <w:r>
        <w:rPr>
          <w:spacing w:val="1"/>
        </w:rPr>
        <w:t> </w:t>
      </w:r>
      <w:r>
        <w:rPr/>
        <w:t>incur substantial costs, and could place a significant strain on our financial resources, divert the attention of</w:t>
      </w:r>
      <w:r>
        <w:rPr>
          <w:spacing w:val="1"/>
        </w:rPr>
        <w:t> </w:t>
      </w:r>
      <w:r>
        <w:rPr/>
        <w:t>management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our core</w:t>
      </w:r>
      <w:r>
        <w:rPr>
          <w:spacing w:val="-1"/>
        </w:rPr>
        <w:t> </w:t>
      </w:r>
      <w:r>
        <w:rPr/>
        <w:t>business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harm</w:t>
      </w:r>
      <w:r>
        <w:rPr>
          <w:spacing w:val="-1"/>
        </w:rPr>
        <w:t> </w:t>
      </w:r>
      <w:r>
        <w:rPr/>
        <w:t>our reputation.</w:t>
      </w:r>
    </w:p>
    <w:p>
      <w:pPr>
        <w:pStyle w:val="Heading3"/>
        <w:spacing w:line="249" w:lineRule="auto" w:before="182"/>
        <w:ind w:right="148"/>
      </w:pPr>
      <w:r>
        <w:rPr>
          <w:i/>
        </w:rPr>
        <w:t>Our</w:t>
      </w:r>
      <w:r>
        <w:rPr>
          <w:i/>
          <w:spacing w:val="-5"/>
        </w:rPr>
        <w:t> </w:t>
      </w:r>
      <w:r>
        <w:rPr>
          <w:i/>
        </w:rPr>
        <w:t>use</w:t>
      </w:r>
      <w:r>
        <w:rPr>
          <w:i/>
          <w:spacing w:val="-4"/>
        </w:rPr>
        <w:t> </w:t>
      </w:r>
      <w:r>
        <w:rPr>
          <w:i/>
        </w:rPr>
        <w:t>of</w:t>
      </w:r>
      <w:r>
        <w:rPr>
          <w:i/>
          <w:spacing w:val="-3"/>
        </w:rPr>
        <w:t> </w:t>
      </w:r>
      <w:r>
        <w:rPr>
          <w:i/>
        </w:rPr>
        <w:t>“open</w:t>
      </w:r>
      <w:r>
        <w:rPr>
          <w:i/>
          <w:spacing w:val="-4"/>
        </w:rPr>
        <w:t> </w:t>
      </w:r>
      <w:r>
        <w:rPr>
          <w:i/>
        </w:rPr>
        <w:t>source”</w:t>
      </w:r>
      <w:r>
        <w:rPr>
          <w:i/>
          <w:spacing w:val="-3"/>
        </w:rPr>
        <w:t> </w:t>
      </w:r>
      <w:r>
        <w:rPr>
          <w:i/>
        </w:rPr>
        <w:t>software</w:t>
      </w:r>
      <w:r>
        <w:rPr>
          <w:i/>
          <w:spacing w:val="-4"/>
        </w:rPr>
        <w:t> </w:t>
      </w:r>
      <w:r>
        <w:rPr>
          <w:i/>
        </w:rPr>
        <w:t>could</w:t>
      </w:r>
      <w:r>
        <w:rPr>
          <w:i/>
          <w:spacing w:val="-3"/>
        </w:rPr>
        <w:t> </w:t>
      </w:r>
      <w:r>
        <w:rPr>
          <w:i/>
        </w:rPr>
        <w:t>subject</w:t>
      </w:r>
      <w:r>
        <w:rPr>
          <w:i/>
          <w:spacing w:val="-4"/>
        </w:rPr>
        <w:t> </w:t>
      </w:r>
      <w:r>
        <w:rPr>
          <w:i/>
        </w:rPr>
        <w:t>our</w:t>
      </w:r>
      <w:r>
        <w:rPr>
          <w:i/>
          <w:spacing w:val="-4"/>
        </w:rPr>
        <w:t> </w:t>
      </w:r>
      <w:r>
        <w:rPr>
          <w:i/>
        </w:rPr>
        <w:t>proprietary</w:t>
      </w:r>
      <w:r>
        <w:rPr>
          <w:i/>
          <w:spacing w:val="-4"/>
        </w:rPr>
        <w:t> </w:t>
      </w:r>
      <w:r>
        <w:rPr>
          <w:i/>
        </w:rPr>
        <w:t>software</w:t>
      </w:r>
      <w:r>
        <w:rPr>
          <w:i/>
          <w:spacing w:val="-4"/>
        </w:rPr>
        <w:t> </w:t>
      </w:r>
      <w:r>
        <w:rPr>
          <w:i/>
        </w:rPr>
        <w:t>to</w:t>
      </w:r>
      <w:r>
        <w:rPr>
          <w:i/>
          <w:spacing w:val="-3"/>
        </w:rPr>
        <w:t> </w:t>
      </w:r>
      <w:r>
        <w:rPr>
          <w:i/>
        </w:rPr>
        <w:t>general</w:t>
      </w:r>
      <w:r>
        <w:rPr>
          <w:i/>
          <w:spacing w:val="-5"/>
        </w:rPr>
        <w:t> </w:t>
      </w:r>
      <w:r>
        <w:rPr>
          <w:i/>
        </w:rPr>
        <w:t>release,</w:t>
      </w:r>
      <w:r>
        <w:rPr>
          <w:i/>
          <w:spacing w:val="-3"/>
        </w:rPr>
        <w:t> </w:t>
      </w:r>
      <w:r>
        <w:rPr>
          <w:i/>
        </w:rPr>
        <w:t>adversely</w:t>
      </w:r>
      <w:r>
        <w:rPr>
          <w:i/>
          <w:spacing w:val="-4"/>
        </w:rPr>
        <w:t> </w:t>
      </w:r>
      <w:r>
        <w:rPr>
          <w:i/>
        </w:rPr>
        <w:t>affect</w:t>
      </w:r>
      <w:r>
        <w:rPr>
          <w:i/>
          <w:spacing w:val="-4"/>
        </w:rPr>
        <w:t> </w:t>
      </w:r>
      <w:r>
        <w:rPr>
          <w:i/>
        </w:rPr>
        <w:t>our</w:t>
      </w:r>
      <w:r>
        <w:rPr>
          <w:i/>
          <w:spacing w:val="1"/>
        </w:rPr>
        <w:t> </w:t>
      </w:r>
      <w:r>
        <w:rPr/>
        <w:t>ability to sell our AquaBeam Robotic System or our other current or future products and services and subject us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possible</w:t>
      </w:r>
      <w:r>
        <w:rPr>
          <w:spacing w:val="-1"/>
        </w:rPr>
        <w:t> </w:t>
      </w:r>
      <w:r>
        <w:rPr/>
        <w:t>litigation.</w:t>
      </w:r>
    </w:p>
    <w:p>
      <w:pPr>
        <w:pStyle w:val="BodyText"/>
        <w:spacing w:line="249" w:lineRule="auto" w:before="186"/>
        <w:ind w:right="121"/>
      </w:pPr>
      <w:r>
        <w:rPr/>
        <w:t>A portion of the products or technologies licensed, developed and/or distributed by us incorporate so-called</w:t>
      </w:r>
      <w:r>
        <w:rPr>
          <w:spacing w:val="1"/>
        </w:rPr>
        <w:t> </w:t>
      </w:r>
      <w:r>
        <w:rPr/>
        <w:t>“open source” software and we may incorporate open source software into other products in the future. Such open</w:t>
      </w:r>
      <w:r>
        <w:rPr>
          <w:spacing w:val="1"/>
        </w:rPr>
        <w:t> </w:t>
      </w:r>
      <w:r>
        <w:rPr/>
        <w:t>source software is generally licensed by its authors or other third parties under open source licenses. Some open</w:t>
      </w:r>
      <w:r>
        <w:rPr>
          <w:spacing w:val="1"/>
        </w:rPr>
        <w:t> </w:t>
      </w:r>
      <w:r>
        <w:rPr/>
        <w:t>source licenses contain requirements that we disclose source code for modifications we make to the open source</w:t>
      </w:r>
      <w:r>
        <w:rPr>
          <w:spacing w:val="1"/>
        </w:rPr>
        <w:t> </w:t>
      </w:r>
      <w:r>
        <w:rPr/>
        <w:t>software and that we license such modifications to third parties at no cost. In some circumstances, distribution of our</w:t>
      </w:r>
      <w:r>
        <w:rPr>
          <w:spacing w:val="-47"/>
        </w:rPr>
        <w:t> </w:t>
      </w:r>
      <w:r>
        <w:rPr/>
        <w:t>software in connection with open source software could require that we disclose and license some or all of our</w:t>
      </w:r>
      <w:r>
        <w:rPr>
          <w:spacing w:val="1"/>
        </w:rPr>
        <w:t> </w:t>
      </w:r>
      <w:r>
        <w:rPr/>
        <w:t>proprietary code in that software, as well as distribute our software that uses particular open source software at no</w:t>
      </w:r>
      <w:r>
        <w:rPr>
          <w:spacing w:val="1"/>
        </w:rPr>
        <w:t> </w:t>
      </w:r>
      <w:r>
        <w:rPr/>
        <w:t>cost to the user. We monitor our use of open source software in an effort to avoid uses in a manner that would</w:t>
      </w:r>
      <w:r>
        <w:rPr>
          <w:spacing w:val="1"/>
        </w:rPr>
        <w:t> </w:t>
      </w:r>
      <w:r>
        <w:rPr/>
        <w:t>require us to disclose or grant licenses under our proprietary source code; however, there can be no assurance that</w:t>
      </w:r>
      <w:r>
        <w:rPr>
          <w:spacing w:val="1"/>
        </w:rPr>
        <w:t> </w:t>
      </w:r>
      <w:r>
        <w:rPr/>
        <w:t>such efforts will be successful. Open source license terms are often ambiguous and such use could inadvertently</w:t>
      </w:r>
      <w:r>
        <w:rPr>
          <w:spacing w:val="1"/>
        </w:rPr>
        <w:t> </w:t>
      </w:r>
      <w:r>
        <w:rPr/>
        <w:t>occur. There is little legal precedent governing the interpretation of many of the terms of these licenses, and the</w:t>
      </w:r>
      <w:r>
        <w:rPr>
          <w:spacing w:val="1"/>
        </w:rPr>
        <w:t> </w:t>
      </w:r>
      <w:r>
        <w:rPr/>
        <w:t>potential impact of these terms on our business may result in unanticipated obligations regarding our AquaBeam</w:t>
      </w:r>
      <w:r>
        <w:rPr>
          <w:spacing w:val="1"/>
        </w:rPr>
        <w:t> </w:t>
      </w:r>
      <w:r>
        <w:rPr/>
        <w:t>Robotic System and our technologies. Companies that incorporate open source software into their products have, in</w:t>
      </w:r>
      <w:r>
        <w:rPr>
          <w:spacing w:val="1"/>
        </w:rPr>
        <w:t> </w:t>
      </w:r>
      <w:r>
        <w:rPr/>
        <w:t>the</w:t>
      </w:r>
      <w:r>
        <w:rPr>
          <w:spacing w:val="-4"/>
        </w:rPr>
        <w:t> </w:t>
      </w:r>
      <w:r>
        <w:rPr/>
        <w:t>past,</w:t>
      </w:r>
      <w:r>
        <w:rPr>
          <w:spacing w:val="-3"/>
        </w:rPr>
        <w:t> </w:t>
      </w:r>
      <w:r>
        <w:rPr/>
        <w:t>faced</w:t>
      </w:r>
      <w:r>
        <w:rPr>
          <w:spacing w:val="-3"/>
        </w:rPr>
        <w:t> </w:t>
      </w:r>
      <w:r>
        <w:rPr/>
        <w:t>claims</w:t>
      </w:r>
      <w:r>
        <w:rPr>
          <w:spacing w:val="-4"/>
        </w:rPr>
        <w:t> </w:t>
      </w:r>
      <w:r>
        <w:rPr/>
        <w:t>seeking</w:t>
      </w:r>
      <w:r>
        <w:rPr>
          <w:spacing w:val="-3"/>
        </w:rPr>
        <w:t> </w:t>
      </w:r>
      <w:r>
        <w:rPr/>
        <w:t>enforcement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open</w:t>
      </w:r>
      <w:r>
        <w:rPr>
          <w:spacing w:val="-3"/>
        </w:rPr>
        <w:t> </w:t>
      </w:r>
      <w:r>
        <w:rPr/>
        <w:t>source</w:t>
      </w:r>
      <w:r>
        <w:rPr>
          <w:spacing w:val="-3"/>
        </w:rPr>
        <w:t> </w:t>
      </w:r>
      <w:r>
        <w:rPr/>
        <w:t>license</w:t>
      </w:r>
      <w:r>
        <w:rPr>
          <w:spacing w:val="-4"/>
        </w:rPr>
        <w:t> </w:t>
      </w:r>
      <w:r>
        <w:rPr/>
        <w:t>provisions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claims</w:t>
      </w:r>
      <w:r>
        <w:rPr>
          <w:spacing w:val="-4"/>
        </w:rPr>
        <w:t> </w:t>
      </w:r>
      <w:r>
        <w:rPr/>
        <w:t>asserting</w:t>
      </w:r>
      <w:r>
        <w:rPr>
          <w:spacing w:val="-3"/>
        </w:rPr>
        <w:t> </w:t>
      </w:r>
      <w:r>
        <w:rPr/>
        <w:t>ownership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open</w:t>
      </w:r>
      <w:r>
        <w:rPr>
          <w:spacing w:val="-47"/>
        </w:rPr>
        <w:t> </w:t>
      </w:r>
      <w:r>
        <w:rPr/>
        <w:t>source software incorporated into their product. If an author or other third party that distributes such open source</w:t>
      </w:r>
      <w:r>
        <w:rPr>
          <w:spacing w:val="1"/>
        </w:rPr>
        <w:t> </w:t>
      </w:r>
      <w:r>
        <w:rPr/>
        <w:t>software were to allege that we had not complied with the conditions of an open source license, we could incur</w:t>
      </w:r>
      <w:r>
        <w:rPr>
          <w:spacing w:val="1"/>
        </w:rPr>
        <w:t> </w:t>
      </w:r>
      <w:r>
        <w:rPr/>
        <w:t>significant legal costs defending ourselves against such allegations. In the event such claims were successful, we</w:t>
      </w:r>
      <w:r>
        <w:rPr>
          <w:spacing w:val="1"/>
        </w:rPr>
        <w:t> </w:t>
      </w:r>
      <w:r>
        <w:rPr/>
        <w:t>could be subject to significant damages or be enjoined from the distribution of our AquaBeam Robotic System and</w:t>
      </w:r>
      <w:r>
        <w:rPr>
          <w:spacing w:val="1"/>
        </w:rPr>
        <w:t> </w:t>
      </w:r>
      <w:r>
        <w:rPr/>
        <w:t>our other current and future products. In addition, if we combine our proprietary software with open source software</w:t>
      </w:r>
      <w:r>
        <w:rPr>
          <w:spacing w:val="-47"/>
        </w:rPr>
        <w:t> </w:t>
      </w:r>
      <w:r>
        <w:rPr/>
        <w:t>in certain ways, under some open source licenses, we could be required to release the source code of our proprietary</w:t>
      </w:r>
      <w:r>
        <w:rPr>
          <w:spacing w:val="1"/>
        </w:rPr>
        <w:t> </w:t>
      </w:r>
      <w:r>
        <w:rPr/>
        <w:t>software, which could substantially help our competitors develop products that are similar to or better than ours and</w:t>
      </w:r>
      <w:r>
        <w:rPr>
          <w:spacing w:val="1"/>
        </w:rPr>
        <w:t> </w:t>
      </w:r>
      <w:r>
        <w:rPr/>
        <w:t>otherwise adversely affect our business. These risks could be difficult to eliminate or manage, and, if not addressed,</w:t>
      </w:r>
      <w:r>
        <w:rPr>
          <w:spacing w:val="1"/>
        </w:rPr>
        <w:t> </w:t>
      </w:r>
      <w:r>
        <w:rPr/>
        <w:t>could</w:t>
      </w:r>
      <w:r>
        <w:rPr>
          <w:spacing w:val="-1"/>
        </w:rPr>
        <w:t> </w:t>
      </w:r>
      <w:r>
        <w:rPr/>
        <w:t>harm</w:t>
      </w:r>
      <w:r>
        <w:rPr>
          <w:spacing w:val="-1"/>
        </w:rPr>
        <w:t> </w:t>
      </w:r>
      <w:r>
        <w:rPr/>
        <w:t>our business,</w:t>
      </w:r>
      <w:r>
        <w:rPr>
          <w:spacing w:val="-1"/>
        </w:rPr>
        <w:t> </w:t>
      </w:r>
      <w:r>
        <w:rPr/>
        <w:t>financial</w:t>
      </w:r>
      <w:r>
        <w:rPr>
          <w:spacing w:val="-1"/>
        </w:rPr>
        <w:t> </w:t>
      </w:r>
      <w:r>
        <w:rPr/>
        <w:t>condition and</w:t>
      </w:r>
      <w:r>
        <w:rPr>
          <w:spacing w:val="-1"/>
        </w:rPr>
        <w:t> </w:t>
      </w:r>
      <w:r>
        <w:rPr/>
        <w:t>results</w:t>
      </w:r>
      <w:r>
        <w:rPr>
          <w:spacing w:val="-1"/>
        </w:rPr>
        <w:t> </w:t>
      </w:r>
      <w:r>
        <w:rPr/>
        <w:t>of operations.</w:t>
      </w:r>
    </w:p>
    <w:p>
      <w:pPr>
        <w:pStyle w:val="Heading3"/>
        <w:spacing w:before="195"/>
        <w:rPr>
          <w:i/>
        </w:rPr>
      </w:pPr>
      <w:r>
        <w:rPr>
          <w:i/>
        </w:rPr>
        <w:t>Intellectual</w:t>
      </w:r>
      <w:r>
        <w:rPr>
          <w:i/>
          <w:spacing w:val="-6"/>
        </w:rPr>
        <w:t> </w:t>
      </w:r>
      <w:r>
        <w:rPr>
          <w:i/>
        </w:rPr>
        <w:t>property</w:t>
      </w:r>
      <w:r>
        <w:rPr>
          <w:i/>
          <w:spacing w:val="-5"/>
        </w:rPr>
        <w:t> </w:t>
      </w:r>
      <w:r>
        <w:rPr>
          <w:i/>
        </w:rPr>
        <w:t>rights</w:t>
      </w:r>
      <w:r>
        <w:rPr>
          <w:i/>
          <w:spacing w:val="-5"/>
        </w:rPr>
        <w:t> </w:t>
      </w:r>
      <w:r>
        <w:rPr>
          <w:i/>
        </w:rPr>
        <w:t>do</w:t>
      </w:r>
      <w:r>
        <w:rPr>
          <w:i/>
          <w:spacing w:val="-4"/>
        </w:rPr>
        <w:t> </w:t>
      </w:r>
      <w:r>
        <w:rPr>
          <w:i/>
        </w:rPr>
        <w:t>not</w:t>
      </w:r>
      <w:r>
        <w:rPr>
          <w:i/>
          <w:spacing w:val="-5"/>
        </w:rPr>
        <w:t> </w:t>
      </w:r>
      <w:r>
        <w:rPr>
          <w:i/>
        </w:rPr>
        <w:t>necessarily</w:t>
      </w:r>
      <w:r>
        <w:rPr>
          <w:i/>
          <w:spacing w:val="-5"/>
        </w:rPr>
        <w:t> </w:t>
      </w:r>
      <w:r>
        <w:rPr>
          <w:i/>
        </w:rPr>
        <w:t>address</w:t>
      </w:r>
      <w:r>
        <w:rPr>
          <w:i/>
          <w:spacing w:val="-6"/>
        </w:rPr>
        <w:t> </w:t>
      </w:r>
      <w:r>
        <w:rPr>
          <w:i/>
        </w:rPr>
        <w:t>all</w:t>
      </w:r>
      <w:r>
        <w:rPr>
          <w:i/>
          <w:spacing w:val="-5"/>
        </w:rPr>
        <w:t> </w:t>
      </w:r>
      <w:r>
        <w:rPr>
          <w:i/>
        </w:rPr>
        <w:t>potential</w:t>
      </w:r>
      <w:r>
        <w:rPr>
          <w:i/>
          <w:spacing w:val="-5"/>
        </w:rPr>
        <w:t> </w:t>
      </w:r>
      <w:r>
        <w:rPr>
          <w:i/>
        </w:rPr>
        <w:t>threats.</w:t>
      </w:r>
    </w:p>
    <w:p>
      <w:pPr>
        <w:pStyle w:val="BodyText"/>
        <w:spacing w:line="249" w:lineRule="auto" w:before="194"/>
        <w:ind w:right="212"/>
      </w:pPr>
      <w:r>
        <w:rPr/>
        <w:t>The</w:t>
      </w:r>
      <w:r>
        <w:rPr>
          <w:spacing w:val="-4"/>
        </w:rPr>
        <w:t> </w:t>
      </w:r>
      <w:r>
        <w:rPr/>
        <w:t>degree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future</w:t>
      </w:r>
      <w:r>
        <w:rPr>
          <w:spacing w:val="-4"/>
        </w:rPr>
        <w:t> </w:t>
      </w:r>
      <w:r>
        <w:rPr/>
        <w:t>protection</w:t>
      </w:r>
      <w:r>
        <w:rPr>
          <w:spacing w:val="-3"/>
        </w:rPr>
        <w:t> </w:t>
      </w:r>
      <w:r>
        <w:rPr/>
        <w:t>afforded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intellectual</w:t>
      </w:r>
      <w:r>
        <w:rPr>
          <w:spacing w:val="-3"/>
        </w:rPr>
        <w:t> </w:t>
      </w:r>
      <w:r>
        <w:rPr/>
        <w:t>property</w:t>
      </w:r>
      <w:r>
        <w:rPr>
          <w:spacing w:val="-3"/>
        </w:rPr>
        <w:t> </w:t>
      </w:r>
      <w:r>
        <w:rPr/>
        <w:t>rights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uncertain</w:t>
      </w:r>
      <w:r>
        <w:rPr>
          <w:spacing w:val="-3"/>
        </w:rPr>
        <w:t> </w:t>
      </w:r>
      <w:r>
        <w:rPr/>
        <w:t>because</w:t>
      </w:r>
      <w:r>
        <w:rPr>
          <w:spacing w:val="-4"/>
        </w:rPr>
        <w:t> </w:t>
      </w:r>
      <w:r>
        <w:rPr/>
        <w:t>intellectual</w:t>
      </w:r>
      <w:r>
        <w:rPr>
          <w:spacing w:val="-47"/>
        </w:rPr>
        <w:t> </w:t>
      </w:r>
      <w:r>
        <w:rPr/>
        <w:t>property rights have limitations and may not adequately protect our business or permit us to maintain our</w:t>
      </w:r>
      <w:r>
        <w:rPr>
          <w:spacing w:val="1"/>
        </w:rPr>
        <w:t> </w:t>
      </w:r>
      <w:r>
        <w:rPr/>
        <w:t>competitive</w:t>
      </w:r>
      <w:r>
        <w:rPr>
          <w:spacing w:val="-2"/>
        </w:rPr>
        <w:t> </w:t>
      </w:r>
      <w:r>
        <w:rPr/>
        <w:t>advantage. For example: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9" w:lineRule="auto" w:before="182" w:after="0"/>
        <w:ind w:left="820" w:right="201" w:hanging="360"/>
        <w:jc w:val="left"/>
        <w:rPr>
          <w:sz w:val="20"/>
        </w:rPr>
      </w:pPr>
      <w:r>
        <w:rPr>
          <w:sz w:val="20"/>
        </w:rPr>
        <w:t>others may be able to make products that are similar to our AquaBeam Robotic System and our other</w:t>
      </w:r>
      <w:r>
        <w:rPr>
          <w:spacing w:val="1"/>
          <w:sz w:val="20"/>
        </w:rPr>
        <w:t> </w:t>
      </w:r>
      <w:r>
        <w:rPr>
          <w:sz w:val="20"/>
        </w:rPr>
        <w:t>current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future</w:t>
      </w:r>
      <w:r>
        <w:rPr>
          <w:spacing w:val="-3"/>
          <w:sz w:val="20"/>
        </w:rPr>
        <w:t> </w:t>
      </w:r>
      <w:r>
        <w:rPr>
          <w:sz w:val="20"/>
        </w:rPr>
        <w:t>products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utilize</w:t>
      </w:r>
      <w:r>
        <w:rPr>
          <w:spacing w:val="-3"/>
          <w:sz w:val="20"/>
        </w:rPr>
        <w:t> </w:t>
      </w:r>
      <w:r>
        <w:rPr>
          <w:sz w:val="20"/>
        </w:rPr>
        <w:t>similar</w:t>
      </w:r>
      <w:r>
        <w:rPr>
          <w:spacing w:val="-2"/>
          <w:sz w:val="20"/>
        </w:rPr>
        <w:t> </w:t>
      </w:r>
      <w:r>
        <w:rPr>
          <w:sz w:val="20"/>
        </w:rPr>
        <w:t>technology</w:t>
      </w:r>
      <w:r>
        <w:rPr>
          <w:spacing w:val="-2"/>
          <w:sz w:val="20"/>
        </w:rPr>
        <w:t> </w:t>
      </w:r>
      <w:r>
        <w:rPr>
          <w:sz w:val="20"/>
        </w:rPr>
        <w:t>but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covered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claims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our</w:t>
      </w:r>
      <w:r>
        <w:rPr>
          <w:spacing w:val="-2"/>
          <w:sz w:val="20"/>
        </w:rPr>
        <w:t> </w:t>
      </w:r>
      <w:r>
        <w:rPr>
          <w:sz w:val="20"/>
        </w:rPr>
        <w:t>patents</w:t>
      </w:r>
      <w:r>
        <w:rPr>
          <w:spacing w:val="-47"/>
          <w:sz w:val="20"/>
        </w:rPr>
        <w:t> </w:t>
      </w:r>
      <w:r>
        <w:rPr>
          <w:sz w:val="20"/>
        </w:rPr>
        <w:t>or that incorporate certain technology in our AquaBeam Robotic System and our other current and future</w:t>
      </w:r>
      <w:r>
        <w:rPr>
          <w:spacing w:val="1"/>
          <w:sz w:val="20"/>
        </w:rPr>
        <w:t> </w:t>
      </w:r>
      <w:r>
        <w:rPr>
          <w:sz w:val="20"/>
        </w:rPr>
        <w:t>products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z w:val="20"/>
        </w:rPr>
        <w:t>in the</w:t>
      </w:r>
      <w:r>
        <w:rPr>
          <w:spacing w:val="-1"/>
          <w:sz w:val="20"/>
        </w:rPr>
        <w:t> </w:t>
      </w:r>
      <w:r>
        <w:rPr>
          <w:sz w:val="20"/>
        </w:rPr>
        <w:t>public</w:t>
      </w:r>
      <w:r>
        <w:rPr>
          <w:spacing w:val="-1"/>
          <w:sz w:val="20"/>
        </w:rPr>
        <w:t> </w:t>
      </w:r>
      <w:r>
        <w:rPr>
          <w:sz w:val="20"/>
        </w:rPr>
        <w:t>domain;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9" w:lineRule="auto" w:before="183" w:after="0"/>
        <w:ind w:left="820" w:right="157" w:hanging="360"/>
        <w:jc w:val="left"/>
        <w:rPr>
          <w:sz w:val="20"/>
        </w:rPr>
      </w:pPr>
      <w:r>
        <w:rPr>
          <w:sz w:val="20"/>
        </w:rPr>
        <w:t>we,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our</w:t>
      </w:r>
      <w:r>
        <w:rPr>
          <w:spacing w:val="-2"/>
          <w:sz w:val="20"/>
        </w:rPr>
        <w:t> </w:t>
      </w:r>
      <w:r>
        <w:rPr>
          <w:sz w:val="20"/>
        </w:rPr>
        <w:t>future</w:t>
      </w:r>
      <w:r>
        <w:rPr>
          <w:spacing w:val="-3"/>
          <w:sz w:val="20"/>
        </w:rPr>
        <w:t> </w:t>
      </w:r>
      <w:r>
        <w:rPr>
          <w:sz w:val="20"/>
        </w:rPr>
        <w:t>licensors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collaborators,</w:t>
      </w:r>
      <w:r>
        <w:rPr>
          <w:spacing w:val="-2"/>
          <w:sz w:val="20"/>
        </w:rPr>
        <w:t> </w:t>
      </w:r>
      <w:r>
        <w:rPr>
          <w:sz w:val="20"/>
        </w:rPr>
        <w:t>might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been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first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inventions</w:t>
      </w:r>
      <w:r>
        <w:rPr>
          <w:spacing w:val="-3"/>
          <w:sz w:val="20"/>
        </w:rPr>
        <w:t> </w:t>
      </w:r>
      <w:r>
        <w:rPr>
          <w:sz w:val="20"/>
        </w:rPr>
        <w:t>covered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47"/>
          <w:sz w:val="20"/>
        </w:rPr>
        <w:t> </w:t>
      </w:r>
      <w:r>
        <w:rPr>
          <w:sz w:val="20"/>
        </w:rPr>
        <w:t>the applicable issued patent or pending patent application that we own now or may own or license in the</w:t>
      </w:r>
      <w:r>
        <w:rPr>
          <w:spacing w:val="1"/>
          <w:sz w:val="20"/>
        </w:rPr>
        <w:t> </w:t>
      </w:r>
      <w:r>
        <w:rPr>
          <w:sz w:val="20"/>
        </w:rPr>
        <w:t>future;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9" w:lineRule="auto" w:before="183" w:after="0"/>
        <w:ind w:left="820" w:right="129" w:hanging="360"/>
        <w:jc w:val="left"/>
        <w:rPr>
          <w:sz w:val="20"/>
        </w:rPr>
      </w:pPr>
      <w:r>
        <w:rPr>
          <w:sz w:val="20"/>
        </w:rPr>
        <w:t>we,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our</w:t>
      </w:r>
      <w:r>
        <w:rPr>
          <w:spacing w:val="-2"/>
          <w:sz w:val="20"/>
        </w:rPr>
        <w:t> </w:t>
      </w:r>
      <w:r>
        <w:rPr>
          <w:sz w:val="20"/>
        </w:rPr>
        <w:t>future</w:t>
      </w:r>
      <w:r>
        <w:rPr>
          <w:spacing w:val="-3"/>
          <w:sz w:val="20"/>
        </w:rPr>
        <w:t> </w:t>
      </w:r>
      <w:r>
        <w:rPr>
          <w:sz w:val="20"/>
        </w:rPr>
        <w:t>licensors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collaborators,</w:t>
      </w:r>
      <w:r>
        <w:rPr>
          <w:spacing w:val="-2"/>
          <w:sz w:val="20"/>
        </w:rPr>
        <w:t> </w:t>
      </w:r>
      <w:r>
        <w:rPr>
          <w:sz w:val="20"/>
        </w:rPr>
        <w:t>might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been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first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file</w:t>
      </w:r>
      <w:r>
        <w:rPr>
          <w:spacing w:val="-3"/>
          <w:sz w:val="20"/>
        </w:rPr>
        <w:t> </w:t>
      </w:r>
      <w:r>
        <w:rPr>
          <w:sz w:val="20"/>
        </w:rPr>
        <w:t>patent</w:t>
      </w:r>
      <w:r>
        <w:rPr>
          <w:spacing w:val="-3"/>
          <w:sz w:val="20"/>
        </w:rPr>
        <w:t> </w:t>
      </w:r>
      <w:r>
        <w:rPr>
          <w:sz w:val="20"/>
        </w:rPr>
        <w:t>applications</w:t>
      </w:r>
      <w:r>
        <w:rPr>
          <w:spacing w:val="-4"/>
          <w:sz w:val="20"/>
        </w:rPr>
        <w:t> </w:t>
      </w:r>
      <w:r>
        <w:rPr>
          <w:sz w:val="20"/>
        </w:rPr>
        <w:t>covering</w:t>
      </w:r>
      <w:r>
        <w:rPr>
          <w:spacing w:val="-47"/>
          <w:sz w:val="20"/>
        </w:rPr>
        <w:t> </w:t>
      </w:r>
      <w:r>
        <w:rPr>
          <w:sz w:val="20"/>
        </w:rPr>
        <w:t>certain</w:t>
      </w:r>
      <w:r>
        <w:rPr>
          <w:spacing w:val="-1"/>
          <w:sz w:val="20"/>
        </w:rPr>
        <w:t> </w:t>
      </w:r>
      <w:r>
        <w:rPr>
          <w:sz w:val="20"/>
        </w:rPr>
        <w:t>of our or their inventions;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9" w:lineRule="auto" w:before="182" w:after="0"/>
        <w:ind w:left="820" w:right="307" w:hanging="360"/>
        <w:jc w:val="left"/>
        <w:rPr>
          <w:sz w:val="20"/>
        </w:rPr>
      </w:pPr>
      <w:r>
        <w:rPr>
          <w:sz w:val="20"/>
        </w:rPr>
        <w:t>others</w:t>
      </w:r>
      <w:r>
        <w:rPr>
          <w:spacing w:val="-5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independently</w:t>
      </w:r>
      <w:r>
        <w:rPr>
          <w:spacing w:val="-3"/>
          <w:sz w:val="20"/>
        </w:rPr>
        <w:t> </w:t>
      </w:r>
      <w:r>
        <w:rPr>
          <w:sz w:val="20"/>
        </w:rPr>
        <w:t>develop</w:t>
      </w:r>
      <w:r>
        <w:rPr>
          <w:spacing w:val="-3"/>
          <w:sz w:val="20"/>
        </w:rPr>
        <w:t> </w:t>
      </w:r>
      <w:r>
        <w:rPr>
          <w:sz w:val="20"/>
        </w:rPr>
        <w:t>similar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alternative</w:t>
      </w:r>
      <w:r>
        <w:rPr>
          <w:spacing w:val="-4"/>
          <w:sz w:val="20"/>
        </w:rPr>
        <w:t> </w:t>
      </w:r>
      <w:r>
        <w:rPr>
          <w:sz w:val="20"/>
        </w:rPr>
        <w:t>technologies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duplicate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technologies</w:t>
      </w:r>
      <w:r>
        <w:rPr>
          <w:spacing w:val="-47"/>
          <w:sz w:val="20"/>
        </w:rPr>
        <w:t> </w:t>
      </w:r>
      <w:r>
        <w:rPr>
          <w:sz w:val="20"/>
        </w:rPr>
        <w:t>without</w:t>
      </w:r>
      <w:r>
        <w:rPr>
          <w:spacing w:val="-2"/>
          <w:sz w:val="20"/>
        </w:rPr>
        <w:t> </w:t>
      </w:r>
      <w:r>
        <w:rPr>
          <w:sz w:val="20"/>
        </w:rPr>
        <w:t>infringing our intellectual</w:t>
      </w:r>
      <w:r>
        <w:rPr>
          <w:spacing w:val="-1"/>
          <w:sz w:val="20"/>
        </w:rPr>
        <w:t> </w:t>
      </w:r>
      <w:r>
        <w:rPr>
          <w:sz w:val="20"/>
        </w:rPr>
        <w:t>property</w:t>
      </w:r>
      <w:r>
        <w:rPr>
          <w:spacing w:val="-1"/>
          <w:sz w:val="20"/>
        </w:rPr>
        <w:t> </w:t>
      </w:r>
      <w:r>
        <w:rPr>
          <w:sz w:val="20"/>
        </w:rPr>
        <w:t>rights;</w:t>
      </w:r>
    </w:p>
    <w:p>
      <w:pPr>
        <w:spacing w:after="0" w:line="249" w:lineRule="auto"/>
        <w:jc w:val="left"/>
        <w:rPr>
          <w:sz w:val="20"/>
        </w:rPr>
        <w:sectPr>
          <w:pgSz w:w="12240" w:h="15840"/>
          <w:pgMar w:header="0" w:footer="741" w:top="1320" w:bottom="940" w:left="1340" w:right="1320"/>
        </w:sectPr>
      </w:pP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0" w:lineRule="auto" w:before="72" w:after="0"/>
        <w:ind w:left="820" w:right="0" w:hanging="360"/>
        <w:jc w:val="left"/>
        <w:rPr>
          <w:sz w:val="20"/>
        </w:rPr>
      </w:pP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possible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current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future</w:t>
      </w:r>
      <w:r>
        <w:rPr>
          <w:spacing w:val="-3"/>
          <w:sz w:val="20"/>
        </w:rPr>
        <w:t> </w:t>
      </w:r>
      <w:r>
        <w:rPr>
          <w:sz w:val="20"/>
        </w:rPr>
        <w:t>pending</w:t>
      </w:r>
      <w:r>
        <w:rPr>
          <w:spacing w:val="-3"/>
          <w:sz w:val="20"/>
        </w:rPr>
        <w:t> </w:t>
      </w:r>
      <w:r>
        <w:rPr>
          <w:sz w:val="20"/>
        </w:rPr>
        <w:t>patent</w:t>
      </w:r>
      <w:r>
        <w:rPr>
          <w:spacing w:val="-3"/>
          <w:sz w:val="20"/>
        </w:rPr>
        <w:t> </w:t>
      </w:r>
      <w:r>
        <w:rPr>
          <w:sz w:val="20"/>
        </w:rPr>
        <w:t>applications</w:t>
      </w:r>
      <w:r>
        <w:rPr>
          <w:spacing w:val="-3"/>
          <w:sz w:val="20"/>
        </w:rPr>
        <w:t> </w:t>
      </w:r>
      <w:r>
        <w:rPr>
          <w:sz w:val="20"/>
        </w:rPr>
        <w:t>will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lead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issued</w:t>
      </w:r>
      <w:r>
        <w:rPr>
          <w:spacing w:val="-2"/>
          <w:sz w:val="20"/>
        </w:rPr>
        <w:t> </w:t>
      </w:r>
      <w:r>
        <w:rPr>
          <w:sz w:val="20"/>
        </w:rPr>
        <w:t>patents;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9" w:lineRule="auto" w:before="190" w:after="0"/>
        <w:ind w:left="820" w:right="506" w:hanging="360"/>
        <w:jc w:val="left"/>
        <w:rPr>
          <w:sz w:val="20"/>
        </w:rPr>
      </w:pPr>
      <w:r>
        <w:rPr>
          <w:sz w:val="20"/>
        </w:rPr>
        <w:t>issued</w:t>
      </w:r>
      <w:r>
        <w:rPr>
          <w:spacing w:val="-3"/>
          <w:sz w:val="20"/>
        </w:rPr>
        <w:t> </w:t>
      </w:r>
      <w:r>
        <w:rPr>
          <w:sz w:val="20"/>
        </w:rPr>
        <w:t>patents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we</w:t>
      </w:r>
      <w:r>
        <w:rPr>
          <w:spacing w:val="-3"/>
          <w:sz w:val="20"/>
        </w:rPr>
        <w:t> </w:t>
      </w:r>
      <w:r>
        <w:rPr>
          <w:sz w:val="20"/>
        </w:rPr>
        <w:t>hold</w:t>
      </w:r>
      <w:r>
        <w:rPr>
          <w:spacing w:val="-2"/>
          <w:sz w:val="20"/>
        </w:rPr>
        <w:t> </w:t>
      </w:r>
      <w:r>
        <w:rPr>
          <w:sz w:val="20"/>
        </w:rPr>
        <w:t>rights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held</w:t>
      </w:r>
      <w:r>
        <w:rPr>
          <w:spacing w:val="-2"/>
          <w:sz w:val="20"/>
        </w:rPr>
        <w:t> </w:t>
      </w:r>
      <w:r>
        <w:rPr>
          <w:sz w:val="20"/>
        </w:rPr>
        <w:t>invalid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unenforceable,</w:t>
      </w:r>
      <w:r>
        <w:rPr>
          <w:spacing w:val="-2"/>
          <w:sz w:val="20"/>
        </w:rPr>
        <w:t> </w:t>
      </w:r>
      <w:r>
        <w:rPr>
          <w:sz w:val="20"/>
        </w:rPr>
        <w:t>including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result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legal</w:t>
      </w:r>
      <w:r>
        <w:rPr>
          <w:spacing w:val="-47"/>
          <w:sz w:val="20"/>
        </w:rPr>
        <w:t> </w:t>
      </w:r>
      <w:r>
        <w:rPr>
          <w:sz w:val="20"/>
        </w:rPr>
        <w:t>challenges</w:t>
      </w:r>
      <w:r>
        <w:rPr>
          <w:spacing w:val="-2"/>
          <w:sz w:val="20"/>
        </w:rPr>
        <w:t> </w:t>
      </w:r>
      <w:r>
        <w:rPr>
          <w:sz w:val="20"/>
        </w:rPr>
        <w:t>by our competitors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other third parties;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9" w:lineRule="auto" w:before="181" w:after="0"/>
        <w:ind w:left="820" w:right="179" w:hanging="360"/>
        <w:jc w:val="left"/>
        <w:rPr>
          <w:sz w:val="20"/>
        </w:rPr>
      </w:pP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competitors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third</w:t>
      </w:r>
      <w:r>
        <w:rPr>
          <w:spacing w:val="-3"/>
          <w:sz w:val="20"/>
        </w:rPr>
        <w:t> </w:t>
      </w:r>
      <w:r>
        <w:rPr>
          <w:sz w:val="20"/>
        </w:rPr>
        <w:t>parties</w:t>
      </w:r>
      <w:r>
        <w:rPr>
          <w:spacing w:val="-4"/>
          <w:sz w:val="20"/>
        </w:rPr>
        <w:t> </w:t>
      </w:r>
      <w:r>
        <w:rPr>
          <w:sz w:val="20"/>
        </w:rPr>
        <w:t>might</w:t>
      </w:r>
      <w:r>
        <w:rPr>
          <w:spacing w:val="-4"/>
          <w:sz w:val="20"/>
        </w:rPr>
        <w:t> </w:t>
      </w:r>
      <w:r>
        <w:rPr>
          <w:sz w:val="20"/>
        </w:rPr>
        <w:t>conduct</w:t>
      </w:r>
      <w:r>
        <w:rPr>
          <w:spacing w:val="-4"/>
          <w:sz w:val="20"/>
        </w:rPr>
        <w:t> </w:t>
      </w:r>
      <w:r>
        <w:rPr>
          <w:sz w:val="20"/>
        </w:rPr>
        <w:t>research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development</w:t>
      </w:r>
      <w:r>
        <w:rPr>
          <w:spacing w:val="-4"/>
          <w:sz w:val="20"/>
        </w:rPr>
        <w:t> </w:t>
      </w:r>
      <w:r>
        <w:rPr>
          <w:sz w:val="20"/>
        </w:rPr>
        <w:t>activities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countries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7"/>
          <w:sz w:val="20"/>
        </w:rPr>
        <w:t> </w:t>
      </w:r>
      <w:r>
        <w:rPr>
          <w:sz w:val="20"/>
        </w:rPr>
        <w:t>we do not have patent rights and then use the information learned from such activities to develop</w:t>
      </w:r>
      <w:r>
        <w:rPr>
          <w:spacing w:val="1"/>
          <w:sz w:val="20"/>
        </w:rPr>
        <w:t> </w:t>
      </w:r>
      <w:r>
        <w:rPr>
          <w:sz w:val="20"/>
        </w:rPr>
        <w:t>competitive</w:t>
      </w:r>
      <w:r>
        <w:rPr>
          <w:spacing w:val="-2"/>
          <w:sz w:val="20"/>
        </w:rPr>
        <w:t> </w:t>
      </w:r>
      <w:r>
        <w:rPr>
          <w:sz w:val="20"/>
        </w:rPr>
        <w:t>products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sale</w:t>
      </w:r>
      <w:r>
        <w:rPr>
          <w:spacing w:val="-1"/>
          <w:sz w:val="20"/>
        </w:rPr>
        <w:t> </w:t>
      </w:r>
      <w:r>
        <w:rPr>
          <w:sz w:val="20"/>
        </w:rPr>
        <w:t>in our</w:t>
      </w:r>
      <w:r>
        <w:rPr>
          <w:spacing w:val="-1"/>
          <w:sz w:val="20"/>
        </w:rPr>
        <w:t> </w:t>
      </w:r>
      <w:r>
        <w:rPr>
          <w:sz w:val="20"/>
        </w:rPr>
        <w:t>major commercial</w:t>
      </w:r>
      <w:r>
        <w:rPr>
          <w:spacing w:val="-1"/>
          <w:sz w:val="20"/>
        </w:rPr>
        <w:t> </w:t>
      </w:r>
      <w:r>
        <w:rPr>
          <w:sz w:val="20"/>
        </w:rPr>
        <w:t>markets;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0" w:lineRule="auto" w:before="183" w:after="0"/>
        <w:ind w:left="820" w:right="0" w:hanging="360"/>
        <w:jc w:val="left"/>
        <w:rPr>
          <w:sz w:val="20"/>
        </w:rPr>
      </w:pPr>
      <w:r>
        <w:rPr>
          <w:sz w:val="20"/>
        </w:rPr>
        <w:t>we</w:t>
      </w:r>
      <w:r>
        <w:rPr>
          <w:spacing w:val="-4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develop</w:t>
      </w:r>
      <w:r>
        <w:rPr>
          <w:spacing w:val="-4"/>
          <w:sz w:val="20"/>
        </w:rPr>
        <w:t> </w:t>
      </w:r>
      <w:r>
        <w:rPr>
          <w:sz w:val="20"/>
        </w:rPr>
        <w:t>additional</w:t>
      </w:r>
      <w:r>
        <w:rPr>
          <w:spacing w:val="-3"/>
          <w:sz w:val="20"/>
        </w:rPr>
        <w:t> </w:t>
      </w:r>
      <w:r>
        <w:rPr>
          <w:sz w:val="20"/>
        </w:rPr>
        <w:t>proprietary</w:t>
      </w:r>
      <w:r>
        <w:rPr>
          <w:spacing w:val="-4"/>
          <w:sz w:val="20"/>
        </w:rPr>
        <w:t> </w:t>
      </w:r>
      <w:r>
        <w:rPr>
          <w:sz w:val="20"/>
        </w:rPr>
        <w:t>technologies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patentable;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patents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others</w:t>
      </w:r>
      <w:r>
        <w:rPr>
          <w:spacing w:val="-2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harm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1"/>
          <w:sz w:val="20"/>
        </w:rPr>
        <w:t> </w:t>
      </w:r>
      <w:r>
        <w:rPr>
          <w:sz w:val="20"/>
        </w:rPr>
        <w:t>business;</w:t>
      </w:r>
      <w:r>
        <w:rPr>
          <w:spacing w:val="-3"/>
          <w:sz w:val="20"/>
        </w:rPr>
        <w:t> </w:t>
      </w:r>
      <w:r>
        <w:rPr>
          <w:sz w:val="20"/>
        </w:rPr>
        <w:t>and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9" w:lineRule="auto" w:before="190" w:after="0"/>
        <w:ind w:left="820" w:right="218" w:hanging="360"/>
        <w:jc w:val="left"/>
        <w:rPr>
          <w:sz w:val="20"/>
        </w:rPr>
      </w:pPr>
      <w:r>
        <w:rPr>
          <w:sz w:val="20"/>
        </w:rPr>
        <w:t>we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choose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file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patent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order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maintain</w:t>
      </w:r>
      <w:r>
        <w:rPr>
          <w:spacing w:val="-2"/>
          <w:sz w:val="20"/>
        </w:rPr>
        <w:t> </w:t>
      </w:r>
      <w:r>
        <w:rPr>
          <w:sz w:val="20"/>
        </w:rPr>
        <w:t>certain</w:t>
      </w:r>
      <w:r>
        <w:rPr>
          <w:spacing w:val="-2"/>
          <w:sz w:val="20"/>
        </w:rPr>
        <w:t> </w:t>
      </w:r>
      <w:r>
        <w:rPr>
          <w:sz w:val="20"/>
        </w:rPr>
        <w:t>trade</w:t>
      </w:r>
      <w:r>
        <w:rPr>
          <w:spacing w:val="-3"/>
          <w:sz w:val="20"/>
        </w:rPr>
        <w:t> </w:t>
      </w:r>
      <w:r>
        <w:rPr>
          <w:sz w:val="20"/>
        </w:rPr>
        <w:t>secrets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know-how,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third</w:t>
      </w:r>
      <w:r>
        <w:rPr>
          <w:spacing w:val="-2"/>
          <w:sz w:val="20"/>
        </w:rPr>
        <w:t> </w:t>
      </w:r>
      <w:r>
        <w:rPr>
          <w:sz w:val="20"/>
        </w:rPr>
        <w:t>party</w:t>
      </w:r>
      <w:r>
        <w:rPr>
          <w:spacing w:val="-47"/>
          <w:sz w:val="20"/>
        </w:rPr>
        <w:t> </w:t>
      </w:r>
      <w:r>
        <w:rPr>
          <w:sz w:val="20"/>
        </w:rPr>
        <w:t>may</w:t>
      </w:r>
      <w:r>
        <w:rPr>
          <w:spacing w:val="-1"/>
          <w:sz w:val="20"/>
        </w:rPr>
        <w:t> </w:t>
      </w:r>
      <w:r>
        <w:rPr>
          <w:sz w:val="20"/>
        </w:rPr>
        <w:t>subsequently file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patent</w:t>
      </w:r>
      <w:r>
        <w:rPr>
          <w:spacing w:val="-1"/>
          <w:sz w:val="20"/>
        </w:rPr>
        <w:t> </w:t>
      </w:r>
      <w:r>
        <w:rPr>
          <w:sz w:val="20"/>
        </w:rPr>
        <w:t>covering</w:t>
      </w:r>
      <w:r>
        <w:rPr>
          <w:spacing w:val="-1"/>
          <w:sz w:val="20"/>
        </w:rPr>
        <w:t> </w:t>
      </w:r>
      <w:r>
        <w:rPr>
          <w:sz w:val="20"/>
        </w:rPr>
        <w:t>such intellectual</w:t>
      </w:r>
      <w:r>
        <w:rPr>
          <w:spacing w:val="-2"/>
          <w:sz w:val="20"/>
        </w:rPr>
        <w:t> </w:t>
      </w:r>
      <w:r>
        <w:rPr>
          <w:sz w:val="20"/>
        </w:rPr>
        <w:t>property.</w:t>
      </w:r>
    </w:p>
    <w:p>
      <w:pPr>
        <w:pStyle w:val="BodyText"/>
        <w:spacing w:line="249" w:lineRule="auto" w:before="181"/>
      </w:pPr>
      <w:r>
        <w:rPr/>
        <w:t>Any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foregoing</w:t>
      </w:r>
      <w:r>
        <w:rPr>
          <w:spacing w:val="-2"/>
        </w:rPr>
        <w:t> </w:t>
      </w:r>
      <w:r>
        <w:rPr/>
        <w:t>could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material</w:t>
      </w:r>
      <w:r>
        <w:rPr>
          <w:spacing w:val="-4"/>
        </w:rPr>
        <w:t> </w:t>
      </w:r>
      <w:r>
        <w:rPr/>
        <w:t>adverse</w:t>
      </w:r>
      <w:r>
        <w:rPr>
          <w:spacing w:val="-3"/>
        </w:rPr>
        <w:t> </w:t>
      </w:r>
      <w:r>
        <w:rPr/>
        <w:t>effect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business,</w:t>
      </w:r>
      <w:r>
        <w:rPr>
          <w:spacing w:val="-2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condition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results</w:t>
      </w:r>
      <w:r>
        <w:rPr>
          <w:spacing w:val="-3"/>
        </w:rPr>
        <w:t> </w:t>
      </w:r>
      <w:r>
        <w:rPr/>
        <w:t>of</w:t>
      </w:r>
      <w:r>
        <w:rPr>
          <w:spacing w:val="-47"/>
        </w:rPr>
        <w:t> </w:t>
      </w:r>
      <w:r>
        <w:rPr/>
        <w:t>operations.</w:t>
      </w:r>
    </w:p>
    <w:p>
      <w:pPr>
        <w:pStyle w:val="Heading3"/>
        <w:spacing w:before="179"/>
        <w:rPr>
          <w:i/>
        </w:rPr>
      </w:pPr>
      <w:r>
        <w:rPr>
          <w:i/>
        </w:rPr>
        <w:t>We</w:t>
      </w:r>
      <w:r>
        <w:rPr>
          <w:i/>
          <w:spacing w:val="-4"/>
        </w:rPr>
        <w:t> </w:t>
      </w:r>
      <w:r>
        <w:rPr>
          <w:i/>
        </w:rPr>
        <w:t>may</w:t>
      </w:r>
      <w:r>
        <w:rPr>
          <w:i/>
          <w:spacing w:val="-4"/>
        </w:rPr>
        <w:t> </w:t>
      </w:r>
      <w:r>
        <w:rPr>
          <w:i/>
        </w:rPr>
        <w:t>not</w:t>
      </w:r>
      <w:r>
        <w:rPr>
          <w:i/>
          <w:spacing w:val="-4"/>
        </w:rPr>
        <w:t> </w:t>
      </w:r>
      <w:r>
        <w:rPr>
          <w:i/>
        </w:rPr>
        <w:t>be</w:t>
      </w:r>
      <w:r>
        <w:rPr>
          <w:i/>
          <w:spacing w:val="-4"/>
        </w:rPr>
        <w:t> </w:t>
      </w:r>
      <w:r>
        <w:rPr>
          <w:i/>
        </w:rPr>
        <w:t>able</w:t>
      </w:r>
      <w:r>
        <w:rPr>
          <w:i/>
          <w:spacing w:val="-4"/>
        </w:rPr>
        <w:t> </w:t>
      </w:r>
      <w:r>
        <w:rPr>
          <w:i/>
        </w:rPr>
        <w:t>to</w:t>
      </w:r>
      <w:r>
        <w:rPr>
          <w:i/>
          <w:spacing w:val="-2"/>
        </w:rPr>
        <w:t> </w:t>
      </w:r>
      <w:r>
        <w:rPr>
          <w:i/>
        </w:rPr>
        <w:t>protect</w:t>
      </w:r>
      <w:r>
        <w:rPr>
          <w:i/>
          <w:spacing w:val="-4"/>
        </w:rPr>
        <w:t> </w:t>
      </w:r>
      <w:r>
        <w:rPr>
          <w:i/>
        </w:rPr>
        <w:t>our</w:t>
      </w:r>
      <w:r>
        <w:rPr>
          <w:i/>
          <w:spacing w:val="-4"/>
        </w:rPr>
        <w:t> </w:t>
      </w:r>
      <w:r>
        <w:rPr>
          <w:i/>
        </w:rPr>
        <w:t>intellectual</w:t>
      </w:r>
      <w:r>
        <w:rPr>
          <w:i/>
          <w:spacing w:val="-4"/>
        </w:rPr>
        <w:t> </w:t>
      </w:r>
      <w:r>
        <w:rPr>
          <w:i/>
        </w:rPr>
        <w:t>property</w:t>
      </w:r>
      <w:r>
        <w:rPr>
          <w:i/>
          <w:spacing w:val="-4"/>
        </w:rPr>
        <w:t> </w:t>
      </w:r>
      <w:r>
        <w:rPr>
          <w:i/>
        </w:rPr>
        <w:t>and</w:t>
      </w:r>
      <w:r>
        <w:rPr>
          <w:i/>
          <w:spacing w:val="-2"/>
        </w:rPr>
        <w:t> </w:t>
      </w:r>
      <w:r>
        <w:rPr>
          <w:i/>
        </w:rPr>
        <w:t>proprietary</w:t>
      </w:r>
      <w:r>
        <w:rPr>
          <w:i/>
          <w:spacing w:val="-4"/>
        </w:rPr>
        <w:t> </w:t>
      </w:r>
      <w:r>
        <w:rPr>
          <w:i/>
        </w:rPr>
        <w:t>rights</w:t>
      </w:r>
      <w:r>
        <w:rPr>
          <w:i/>
          <w:spacing w:val="-4"/>
        </w:rPr>
        <w:t> </w:t>
      </w:r>
      <w:r>
        <w:rPr>
          <w:i/>
        </w:rPr>
        <w:t>throughout</w:t>
      </w:r>
      <w:r>
        <w:rPr>
          <w:i/>
          <w:spacing w:val="-4"/>
        </w:rPr>
        <w:t> </w:t>
      </w:r>
      <w:r>
        <w:rPr>
          <w:i/>
        </w:rPr>
        <w:t>the</w:t>
      </w:r>
      <w:r>
        <w:rPr>
          <w:i/>
          <w:spacing w:val="-4"/>
        </w:rPr>
        <w:t> </w:t>
      </w:r>
      <w:r>
        <w:rPr>
          <w:i/>
        </w:rPr>
        <w:t>world.</w:t>
      </w:r>
    </w:p>
    <w:p>
      <w:pPr>
        <w:pStyle w:val="BodyText"/>
        <w:spacing w:line="249" w:lineRule="auto" w:before="193"/>
        <w:ind w:right="148"/>
      </w:pPr>
      <w:r>
        <w:rPr/>
        <w:t>Third parties may attempt to develop, manufacture and/or commercialize competitive products or services in</w:t>
      </w:r>
      <w:r>
        <w:rPr>
          <w:spacing w:val="1"/>
        </w:rPr>
        <w:t> </w:t>
      </w:r>
      <w:r>
        <w:rPr/>
        <w:t>foreign countries utilizing our proprietary technology, design, trademarks or tradenames in foreign countries where</w:t>
      </w:r>
      <w:r>
        <w:rPr>
          <w:spacing w:val="1"/>
        </w:rPr>
        <w:t> </w:t>
      </w:r>
      <w:r>
        <w:rPr/>
        <w:t>we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not</w:t>
      </w:r>
      <w:r>
        <w:rPr>
          <w:spacing w:val="-4"/>
        </w:rPr>
        <w:t> </w:t>
      </w:r>
      <w:r>
        <w:rPr/>
        <w:t>have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/>
        <w:t>patents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patent</w:t>
      </w:r>
      <w:r>
        <w:rPr>
          <w:spacing w:val="-4"/>
        </w:rPr>
        <w:t> </w:t>
      </w:r>
      <w:r>
        <w:rPr/>
        <w:t>applications,</w:t>
      </w:r>
      <w:r>
        <w:rPr>
          <w:spacing w:val="-2"/>
        </w:rPr>
        <w:t> </w:t>
      </w:r>
      <w:r>
        <w:rPr/>
        <w:t>trademarks,</w:t>
      </w:r>
      <w:r>
        <w:rPr>
          <w:spacing w:val="-2"/>
        </w:rPr>
        <w:t> </w:t>
      </w:r>
      <w:r>
        <w:rPr/>
        <w:t>and/or</w:t>
      </w:r>
      <w:r>
        <w:rPr>
          <w:spacing w:val="-3"/>
        </w:rPr>
        <w:t> </w:t>
      </w:r>
      <w:r>
        <w:rPr/>
        <w:t>other</w:t>
      </w:r>
      <w:r>
        <w:rPr>
          <w:spacing w:val="-2"/>
        </w:rPr>
        <w:t> </w:t>
      </w:r>
      <w:r>
        <w:rPr/>
        <w:t>forms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intellectual</w:t>
      </w:r>
      <w:r>
        <w:rPr>
          <w:spacing w:val="-3"/>
        </w:rPr>
        <w:t> </w:t>
      </w:r>
      <w:r>
        <w:rPr/>
        <w:t>property</w:t>
      </w:r>
      <w:r>
        <w:rPr>
          <w:spacing w:val="-3"/>
        </w:rPr>
        <w:t> </w:t>
      </w:r>
      <w:r>
        <w:rPr/>
        <w:t>rights</w:t>
      </w:r>
      <w:r>
        <w:rPr>
          <w:spacing w:val="-3"/>
        </w:rPr>
        <w:t> </w:t>
      </w:r>
      <w:r>
        <w:rPr/>
        <w:t>and/</w:t>
      </w:r>
      <w:r>
        <w:rPr>
          <w:spacing w:val="-47"/>
        </w:rPr>
        <w:t> </w:t>
      </w:r>
      <w:r>
        <w:rPr/>
        <w:t>or where legal recourse may be limited. This may have a significant commercial impact on our foreign business</w:t>
      </w:r>
      <w:r>
        <w:rPr>
          <w:spacing w:val="1"/>
        </w:rPr>
        <w:t> </w:t>
      </w:r>
      <w:r>
        <w:rPr/>
        <w:t>operations.</w:t>
      </w:r>
    </w:p>
    <w:p>
      <w:pPr>
        <w:pStyle w:val="BodyText"/>
        <w:spacing w:line="249" w:lineRule="auto" w:before="184"/>
        <w:ind w:right="122"/>
      </w:pPr>
      <w:r>
        <w:rPr/>
        <w:t>Filing, prosecuting and defending patents or trademarks on our AquaBeam Robotic System and all of our other</w:t>
      </w:r>
      <w:r>
        <w:rPr>
          <w:spacing w:val="1"/>
        </w:rPr>
        <w:t> </w:t>
      </w:r>
      <w:r>
        <w:rPr/>
        <w:t>current and future products and services in all countries throughout the world would be prohibitively expensive, and</w:t>
      </w:r>
      <w:r>
        <w:rPr>
          <w:spacing w:val="1"/>
        </w:rPr>
        <w:t> </w:t>
      </w:r>
      <w:r>
        <w:rPr/>
        <w:t>the laws of foreign countries particularly those of developing countries, may not protect our rights to the same extent</w:t>
      </w:r>
      <w:r>
        <w:rPr>
          <w:spacing w:val="-47"/>
        </w:rPr>
        <w:t> </w:t>
      </w:r>
      <w:r>
        <w:rPr/>
        <w:t>as the laws of the United States. For example, as of May 1, 2021, the Patent Cooperation Treaty had 153 contracting</w:t>
      </w:r>
      <w:r>
        <w:rPr>
          <w:spacing w:val="-47"/>
        </w:rPr>
        <w:t> </w:t>
      </w:r>
      <w:r>
        <w:rPr/>
        <w:t>states, and it is only economically feasible to file for protection in a portion of these countries. With the COVID-19</w:t>
      </w:r>
      <w:r>
        <w:rPr>
          <w:spacing w:val="1"/>
        </w:rPr>
        <w:t> </w:t>
      </w:r>
      <w:r>
        <w:rPr/>
        <w:t>pandemic, some of our foreign associates have requested instructions well in advance of deadlines, which could</w:t>
      </w:r>
      <w:r>
        <w:rPr>
          <w:spacing w:val="1"/>
        </w:rPr>
        <w:t> </w:t>
      </w:r>
      <w:r>
        <w:rPr/>
        <w:t>adversely</w:t>
      </w:r>
      <w:r>
        <w:rPr>
          <w:spacing w:val="2"/>
        </w:rPr>
        <w:t> </w:t>
      </w:r>
      <w:r>
        <w:rPr/>
        <w:t>affect</w:t>
      </w:r>
      <w:r>
        <w:rPr>
          <w:spacing w:val="1"/>
        </w:rPr>
        <w:t> </w:t>
      </w:r>
      <w:r>
        <w:rPr/>
        <w:t>our</w:t>
      </w:r>
      <w:r>
        <w:rPr>
          <w:spacing w:val="2"/>
        </w:rPr>
        <w:t> </w:t>
      </w:r>
      <w:r>
        <w:rPr/>
        <w:t>ability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meet</w:t>
      </w:r>
      <w:r>
        <w:rPr>
          <w:spacing w:val="1"/>
        </w:rPr>
        <w:t> </w:t>
      </w:r>
      <w:r>
        <w:rPr/>
        <w:t>foreign</w:t>
      </w:r>
      <w:r>
        <w:rPr>
          <w:spacing w:val="2"/>
        </w:rPr>
        <w:t> </w:t>
      </w:r>
      <w:r>
        <w:rPr/>
        <w:t>deadlines</w:t>
      </w:r>
      <w:r>
        <w:rPr>
          <w:spacing w:val="1"/>
        </w:rPr>
        <w:t> </w:t>
      </w:r>
      <w:r>
        <w:rPr/>
        <w:t>for</w:t>
      </w:r>
      <w:r>
        <w:rPr>
          <w:spacing w:val="2"/>
        </w:rPr>
        <w:t> </w:t>
      </w:r>
      <w:r>
        <w:rPr/>
        <w:t>filing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prosecuting</w:t>
      </w:r>
      <w:r>
        <w:rPr>
          <w:spacing w:val="2"/>
        </w:rPr>
        <w:t> </w:t>
      </w:r>
      <w:r>
        <w:rPr/>
        <w:t>patent</w:t>
      </w:r>
      <w:r>
        <w:rPr>
          <w:spacing w:val="1"/>
        </w:rPr>
        <w:t> </w:t>
      </w:r>
      <w:r>
        <w:rPr/>
        <w:t>applications.</w:t>
      </w:r>
      <w:r>
        <w:rPr>
          <w:spacing w:val="2"/>
        </w:rPr>
        <w:t> </w:t>
      </w:r>
      <w:r>
        <w:rPr/>
        <w:t>Also,</w:t>
      </w:r>
      <w:r>
        <w:rPr>
          <w:spacing w:val="2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unclear to what extent the COVID-19 pandemic will adversely impact operations at some foreign patent offices</w:t>
      </w:r>
      <w:r>
        <w:rPr>
          <w:spacing w:val="1"/>
        </w:rPr>
        <w:t> </w:t>
      </w:r>
      <w:r>
        <w:rPr/>
        <w:t>where we have sought protection. Consequently, we may not be able to prevent third parties from practicing our</w:t>
      </w:r>
      <w:r>
        <w:rPr>
          <w:spacing w:val="1"/>
        </w:rPr>
        <w:t> </w:t>
      </w:r>
      <w:r>
        <w:rPr/>
        <w:t>inventions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trademarks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jurisdictions</w:t>
      </w:r>
      <w:r>
        <w:rPr>
          <w:spacing w:val="-4"/>
        </w:rPr>
        <w:t> </w:t>
      </w:r>
      <w:r>
        <w:rPr/>
        <w:t>outside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United</w:t>
      </w:r>
      <w:r>
        <w:rPr>
          <w:spacing w:val="-3"/>
        </w:rPr>
        <w:t> </w:t>
      </w:r>
      <w:r>
        <w:rPr/>
        <w:t>States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same</w:t>
      </w:r>
      <w:r>
        <w:rPr>
          <w:spacing w:val="-4"/>
        </w:rPr>
        <w:t> </w:t>
      </w:r>
      <w:r>
        <w:rPr/>
        <w:t>extent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United</w:t>
      </w:r>
      <w:r>
        <w:rPr>
          <w:spacing w:val="-2"/>
        </w:rPr>
        <w:t> </w:t>
      </w:r>
      <w:r>
        <w:rPr/>
        <w:t>States,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from</w:t>
      </w:r>
      <w:r>
        <w:rPr>
          <w:spacing w:val="1"/>
        </w:rPr>
        <w:t> </w:t>
      </w:r>
      <w:r>
        <w:rPr/>
        <w:t>developing, manufacturing, selling or importing products or services using or incorporating our inventions or</w:t>
      </w:r>
      <w:r>
        <w:rPr>
          <w:spacing w:val="1"/>
        </w:rPr>
        <w:t> </w:t>
      </w:r>
      <w:r>
        <w:rPr/>
        <w:t>trademarks in and into the United States or other jurisdictions. Competitors may use our technologies in jurisdictions</w:t>
      </w:r>
      <w:r>
        <w:rPr>
          <w:spacing w:val="-47"/>
        </w:rPr>
        <w:t> </w:t>
      </w:r>
      <w:r>
        <w:rPr/>
        <w:t>where we have not obtained patent or trademark protection to develop, manufacture and/or market their own</w:t>
      </w:r>
      <w:r>
        <w:rPr>
          <w:spacing w:val="1"/>
        </w:rPr>
        <w:t> </w:t>
      </w:r>
      <w:r>
        <w:rPr/>
        <w:t>products or services and, further, may export otherwise infringing products or services to territories where we have</w:t>
      </w:r>
      <w:r>
        <w:rPr>
          <w:spacing w:val="1"/>
        </w:rPr>
        <w:t> </w:t>
      </w:r>
      <w:r>
        <w:rPr/>
        <w:t>patent or trademark protection, but enforcement on infringing activities is inadequate or not as strong as that in the</w:t>
      </w:r>
      <w:r>
        <w:rPr>
          <w:spacing w:val="1"/>
        </w:rPr>
        <w:t> </w:t>
      </w:r>
      <w:r>
        <w:rPr/>
        <w:t>United States. These products or services may compete with our AquaBeam Robotic System or other current or</w:t>
      </w:r>
      <w:r>
        <w:rPr>
          <w:spacing w:val="1"/>
        </w:rPr>
        <w:t> </w:t>
      </w:r>
      <w:r>
        <w:rPr/>
        <w:t>future products or services, and our patents, trademarks or other intellectual property rights may not be effective or</w:t>
      </w:r>
      <w:r>
        <w:rPr>
          <w:spacing w:val="1"/>
        </w:rPr>
        <w:t> </w:t>
      </w:r>
      <w:r>
        <w:rPr/>
        <w:t>sufficient</w:t>
      </w:r>
      <w:r>
        <w:rPr>
          <w:spacing w:val="-2"/>
        </w:rPr>
        <w:t> </w:t>
      </w:r>
      <w:r>
        <w:rPr/>
        <w:t>to prevent</w:t>
      </w:r>
      <w:r>
        <w:rPr>
          <w:spacing w:val="-1"/>
        </w:rPr>
        <w:t> </w:t>
      </w:r>
      <w:r>
        <w:rPr/>
        <w:t>them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competing.</w:t>
      </w:r>
    </w:p>
    <w:p>
      <w:pPr>
        <w:pStyle w:val="BodyText"/>
        <w:spacing w:line="249" w:lineRule="auto" w:before="195"/>
        <w:ind w:right="212"/>
      </w:pPr>
      <w:r>
        <w:rPr/>
        <w:t>In addition, we may decide to abandon national and regional patent applications before they are granted. The</w:t>
      </w:r>
      <w:r>
        <w:rPr>
          <w:spacing w:val="1"/>
        </w:rPr>
        <w:t> </w:t>
      </w:r>
      <w:r>
        <w:rPr/>
        <w:t>examination of each national or regional patent application is an independent proceeding. As a result, patent</w:t>
      </w:r>
      <w:r>
        <w:rPr>
          <w:spacing w:val="1"/>
        </w:rPr>
        <w:t> </w:t>
      </w:r>
      <w:r>
        <w:rPr/>
        <w:t>applications in the same family may issue as patents in some jurisdictions, such as in the United States, but may</w:t>
      </w:r>
      <w:r>
        <w:rPr>
          <w:spacing w:val="1"/>
        </w:rPr>
        <w:t> </w:t>
      </w:r>
      <w:r>
        <w:rPr/>
        <w:t>issue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patents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claims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different</w:t>
      </w:r>
      <w:r>
        <w:rPr>
          <w:spacing w:val="-3"/>
        </w:rPr>
        <w:t> </w:t>
      </w:r>
      <w:r>
        <w:rPr/>
        <w:t>scope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even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refused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other</w:t>
      </w:r>
      <w:r>
        <w:rPr>
          <w:spacing w:val="-3"/>
        </w:rPr>
        <w:t> </w:t>
      </w:r>
      <w:r>
        <w:rPr/>
        <w:t>jurisdictions.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also</w:t>
      </w:r>
      <w:r>
        <w:rPr>
          <w:spacing w:val="-2"/>
        </w:rPr>
        <w:t> </w:t>
      </w:r>
      <w:r>
        <w:rPr/>
        <w:t>quite</w:t>
      </w:r>
      <w:r>
        <w:rPr>
          <w:spacing w:val="-3"/>
        </w:rPr>
        <w:t> </w:t>
      </w:r>
      <w:r>
        <w:rPr/>
        <w:t>common</w:t>
      </w:r>
      <w:r>
        <w:rPr>
          <w:spacing w:val="1"/>
        </w:rPr>
        <w:t> </w:t>
      </w:r>
      <w:r>
        <w:rPr/>
        <w:t>that depending on the country, the scope of patent protection may vary for the same product or technology. For</w:t>
      </w:r>
      <w:r>
        <w:rPr>
          <w:spacing w:val="1"/>
        </w:rPr>
        <w:t> </w:t>
      </w:r>
      <w:r>
        <w:rPr/>
        <w:t>example,</w:t>
      </w:r>
      <w:r>
        <w:rPr>
          <w:spacing w:val="-2"/>
        </w:rPr>
        <w:t> </w:t>
      </w:r>
      <w:r>
        <w:rPr/>
        <w:t>certain</w:t>
      </w:r>
      <w:r>
        <w:rPr>
          <w:spacing w:val="-1"/>
        </w:rPr>
        <w:t> </w:t>
      </w:r>
      <w:r>
        <w:rPr/>
        <w:t>jurisdictions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allow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patent</w:t>
      </w:r>
      <w:r>
        <w:rPr>
          <w:spacing w:val="-2"/>
        </w:rPr>
        <w:t> </w:t>
      </w:r>
      <w:r>
        <w:rPr/>
        <w:t>protection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respect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method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treatment.</w:t>
      </w:r>
    </w:p>
    <w:p>
      <w:pPr>
        <w:pStyle w:val="BodyText"/>
        <w:spacing w:line="249" w:lineRule="auto" w:before="185"/>
        <w:ind w:right="148"/>
      </w:pPr>
      <w:r>
        <w:rPr/>
        <w:t>While we seek to protect our intellectual property rights in our expected significant markets, we cannot ensure</w:t>
      </w:r>
      <w:r>
        <w:rPr>
          <w:spacing w:val="1"/>
        </w:rPr>
        <w:t> </w:t>
      </w:r>
      <w:r>
        <w:rPr/>
        <w:t>that</w:t>
      </w:r>
      <w:r>
        <w:rPr>
          <w:spacing w:val="-4"/>
        </w:rPr>
        <w:t> </w:t>
      </w:r>
      <w:r>
        <w:rPr/>
        <w:t>we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able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initiate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maintain</w:t>
      </w:r>
      <w:r>
        <w:rPr>
          <w:spacing w:val="-3"/>
        </w:rPr>
        <w:t> </w:t>
      </w:r>
      <w:r>
        <w:rPr/>
        <w:t>similar</w:t>
      </w:r>
      <w:r>
        <w:rPr>
          <w:spacing w:val="-2"/>
        </w:rPr>
        <w:t> </w:t>
      </w:r>
      <w:r>
        <w:rPr/>
        <w:t>efforts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all</w:t>
      </w:r>
      <w:r>
        <w:rPr>
          <w:spacing w:val="-4"/>
        </w:rPr>
        <w:t> </w:t>
      </w:r>
      <w:r>
        <w:rPr/>
        <w:t>jurisdictions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which</w:t>
      </w:r>
      <w:r>
        <w:rPr>
          <w:spacing w:val="-2"/>
        </w:rPr>
        <w:t> </w:t>
      </w:r>
      <w:r>
        <w:rPr/>
        <w:t>we</w:t>
      </w:r>
      <w:r>
        <w:rPr>
          <w:spacing w:val="-4"/>
        </w:rPr>
        <w:t> </w:t>
      </w:r>
      <w:r>
        <w:rPr/>
        <w:t>may</w:t>
      </w:r>
      <w:r>
        <w:rPr>
          <w:spacing w:val="-2"/>
        </w:rPr>
        <w:t> </w:t>
      </w:r>
      <w:r>
        <w:rPr/>
        <w:t>wish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manufacture</w:t>
      </w:r>
      <w:r>
        <w:rPr>
          <w:spacing w:val="-4"/>
        </w:rPr>
        <w:t> </w:t>
      </w:r>
      <w:r>
        <w:rPr/>
        <w:t>or</w:t>
      </w:r>
      <w:r>
        <w:rPr>
          <w:spacing w:val="1"/>
        </w:rPr>
        <w:t> </w:t>
      </w:r>
      <w:r>
        <w:rPr/>
        <w:t>market</w:t>
      </w:r>
      <w:r>
        <w:rPr>
          <w:spacing w:val="-4"/>
        </w:rPr>
        <w:t> </w:t>
      </w:r>
      <w:r>
        <w:rPr/>
        <w:t>our</w:t>
      </w:r>
      <w:r>
        <w:rPr>
          <w:spacing w:val="-2"/>
        </w:rPr>
        <w:t> </w:t>
      </w:r>
      <w:r>
        <w:rPr/>
        <w:t>products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services.</w:t>
      </w:r>
      <w:r>
        <w:rPr>
          <w:spacing w:val="-2"/>
        </w:rPr>
        <w:t> </w:t>
      </w:r>
      <w:r>
        <w:rPr/>
        <w:t>Accordingly,</w:t>
      </w:r>
      <w:r>
        <w:rPr>
          <w:spacing w:val="-2"/>
        </w:rPr>
        <w:t> </w:t>
      </w:r>
      <w:r>
        <w:rPr/>
        <w:t>our</w:t>
      </w:r>
      <w:r>
        <w:rPr>
          <w:spacing w:val="-3"/>
        </w:rPr>
        <w:t> </w:t>
      </w:r>
      <w:r>
        <w:rPr/>
        <w:t>efforts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protect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intellectual</w:t>
      </w:r>
      <w:r>
        <w:rPr>
          <w:spacing w:val="-3"/>
        </w:rPr>
        <w:t> </w:t>
      </w:r>
      <w:r>
        <w:rPr/>
        <w:t>property</w:t>
      </w:r>
      <w:r>
        <w:rPr>
          <w:spacing w:val="-2"/>
        </w:rPr>
        <w:t> </w:t>
      </w:r>
      <w:r>
        <w:rPr/>
        <w:t>rights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such</w:t>
      </w:r>
      <w:r>
        <w:rPr>
          <w:spacing w:val="-2"/>
        </w:rPr>
        <w:t> </w:t>
      </w:r>
      <w:r>
        <w:rPr/>
        <w:t>countries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  <w:ind w:right="180" w:firstLine="0"/>
      </w:pPr>
      <w:r>
        <w:rPr/>
        <w:t>may be inadequate, which may have an adverse effect on our ability to successfully manufacture or commercialize</w:t>
      </w:r>
      <w:r>
        <w:rPr>
          <w:spacing w:val="1"/>
        </w:rPr>
        <w:t> </w:t>
      </w:r>
      <w:r>
        <w:rPr/>
        <w:t>our products or services in all of our expected significant foreign markets. If we encounter difficulties in protecting,</w:t>
      </w:r>
      <w:r>
        <w:rPr>
          <w:spacing w:val="-47"/>
        </w:rPr>
        <w:t> </w:t>
      </w:r>
      <w:r>
        <w:rPr/>
        <w:t>or are otherwise precluded from effectively protecting, the intellectual property rights important for our business in</w:t>
      </w:r>
      <w:r>
        <w:rPr>
          <w:spacing w:val="1"/>
        </w:rPr>
        <w:t> </w:t>
      </w:r>
      <w:r>
        <w:rPr/>
        <w:t>such jurisdictions, the value of these rights may be diminished, and we may face additional competition from others</w:t>
      </w:r>
      <w:r>
        <w:rPr>
          <w:spacing w:val="-47"/>
        </w:rPr>
        <w:t> </w:t>
      </w:r>
      <w:r>
        <w:rPr/>
        <w:t>in those jurisdictions. Many companies have encountered significant problems in protecting and defending</w:t>
      </w:r>
      <w:r>
        <w:rPr>
          <w:spacing w:val="1"/>
        </w:rPr>
        <w:t> </w:t>
      </w:r>
      <w:r>
        <w:rPr/>
        <w:t>intellectual property rights in foreign jurisdictions. The legal systems of certain countries, particularly certain</w:t>
      </w:r>
      <w:r>
        <w:rPr>
          <w:spacing w:val="1"/>
        </w:rPr>
        <w:t> </w:t>
      </w:r>
      <w:r>
        <w:rPr/>
        <w:t>developing countries, do not favor the enforcement of patents, trade secrets and other intellectual property</w:t>
      </w:r>
      <w:r>
        <w:rPr>
          <w:spacing w:val="1"/>
        </w:rPr>
        <w:t> </w:t>
      </w:r>
      <w:r>
        <w:rPr/>
        <w:t>protection, which could make it difficult for us to stop the infringement of our patents or marketing of competing</w:t>
      </w:r>
      <w:r>
        <w:rPr>
          <w:spacing w:val="1"/>
        </w:rPr>
        <w:t> </w:t>
      </w:r>
      <w:r>
        <w:rPr/>
        <w:t>products in violation of our intellectual property and proprietary rights generally. Proceedings to enforce our</w:t>
      </w:r>
      <w:r>
        <w:rPr>
          <w:spacing w:val="1"/>
        </w:rPr>
        <w:t> </w:t>
      </w:r>
      <w:r>
        <w:rPr/>
        <w:t>intellectual property and proprietary rights in foreign jurisdictions could result in substantial costs and divert our</w:t>
      </w:r>
      <w:r>
        <w:rPr>
          <w:spacing w:val="1"/>
        </w:rPr>
        <w:t> </w:t>
      </w:r>
      <w:r>
        <w:rPr/>
        <w:t>efforts and attention from other aspects of our business, could put our patents at risk of being invalidated or</w:t>
      </w:r>
      <w:r>
        <w:rPr>
          <w:spacing w:val="1"/>
        </w:rPr>
        <w:t> </w:t>
      </w:r>
      <w:r>
        <w:rPr/>
        <w:t>interpreted</w:t>
      </w:r>
      <w:r>
        <w:rPr>
          <w:spacing w:val="-3"/>
        </w:rPr>
        <w:t> </w:t>
      </w:r>
      <w:r>
        <w:rPr/>
        <w:t>narrowly,</w:t>
      </w:r>
      <w:r>
        <w:rPr>
          <w:spacing w:val="-2"/>
        </w:rPr>
        <w:t> </w:t>
      </w:r>
      <w:r>
        <w:rPr/>
        <w:t>could</w:t>
      </w:r>
      <w:r>
        <w:rPr>
          <w:spacing w:val="-2"/>
        </w:rPr>
        <w:t> </w:t>
      </w:r>
      <w:r>
        <w:rPr/>
        <w:t>put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patent</w:t>
      </w:r>
      <w:r>
        <w:rPr>
          <w:spacing w:val="-3"/>
        </w:rPr>
        <w:t> </w:t>
      </w:r>
      <w:r>
        <w:rPr/>
        <w:t>applications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risk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issuing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could</w:t>
      </w:r>
      <w:r>
        <w:rPr>
          <w:spacing w:val="-3"/>
        </w:rPr>
        <w:t> </w:t>
      </w:r>
      <w:r>
        <w:rPr/>
        <w:t>provoke</w:t>
      </w:r>
      <w:r>
        <w:rPr>
          <w:spacing w:val="-3"/>
        </w:rPr>
        <w:t> </w:t>
      </w:r>
      <w:r>
        <w:rPr/>
        <w:t>third</w:t>
      </w:r>
      <w:r>
        <w:rPr>
          <w:spacing w:val="-2"/>
        </w:rPr>
        <w:t> </w:t>
      </w:r>
      <w:r>
        <w:rPr/>
        <w:t>parties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assert</w:t>
      </w:r>
      <w:r>
        <w:rPr>
          <w:spacing w:val="-47"/>
        </w:rPr>
        <w:t> </w:t>
      </w:r>
      <w:r>
        <w:rPr/>
        <w:t>claims against us. We may not prevail in any lawsuits that we initiate, and the damages or other remedies awarded,</w:t>
      </w:r>
      <w:r>
        <w:rPr>
          <w:spacing w:val="1"/>
        </w:rPr>
        <w:t> </w:t>
      </w:r>
      <w:r>
        <w:rPr/>
        <w:t>if any, may not be commercially meaningful. Accordingly, our efforts to enforce our intellectual property and</w:t>
      </w:r>
      <w:r>
        <w:rPr>
          <w:spacing w:val="1"/>
        </w:rPr>
        <w:t> </w:t>
      </w:r>
      <w:r>
        <w:rPr/>
        <w:t>proprietary rights around the world may be inadequate to obtain a significant commercial advantage from the</w:t>
      </w:r>
      <w:r>
        <w:rPr>
          <w:spacing w:val="1"/>
        </w:rPr>
        <w:t> </w:t>
      </w:r>
      <w:r>
        <w:rPr/>
        <w:t>intellectual</w:t>
      </w:r>
      <w:r>
        <w:rPr>
          <w:spacing w:val="-2"/>
        </w:rPr>
        <w:t> </w:t>
      </w:r>
      <w:r>
        <w:rPr/>
        <w:t>property that</w:t>
      </w:r>
      <w:r>
        <w:rPr>
          <w:spacing w:val="-1"/>
        </w:rPr>
        <w:t> </w:t>
      </w:r>
      <w:r>
        <w:rPr/>
        <w:t>we</w:t>
      </w:r>
      <w:r>
        <w:rPr>
          <w:spacing w:val="-1"/>
        </w:rPr>
        <w:t> </w:t>
      </w:r>
      <w:r>
        <w:rPr/>
        <w:t>develop or</w:t>
      </w:r>
      <w:r>
        <w:rPr>
          <w:spacing w:val="-1"/>
        </w:rPr>
        <w:t> </w:t>
      </w:r>
      <w:r>
        <w:rPr/>
        <w:t>license.</w:t>
      </w:r>
    </w:p>
    <w:p>
      <w:pPr>
        <w:pStyle w:val="BodyText"/>
        <w:spacing w:line="249" w:lineRule="auto" w:before="193"/>
        <w:ind w:right="127"/>
      </w:pPr>
      <w:r>
        <w:rPr/>
        <w:t>Many</w:t>
      </w:r>
      <w:r>
        <w:rPr>
          <w:spacing w:val="-3"/>
        </w:rPr>
        <w:t> </w:t>
      </w:r>
      <w:r>
        <w:rPr/>
        <w:t>countries</w:t>
      </w:r>
      <w:r>
        <w:rPr>
          <w:spacing w:val="-4"/>
        </w:rPr>
        <w:t> </w:t>
      </w:r>
      <w:r>
        <w:rPr/>
        <w:t>have</w:t>
      </w:r>
      <w:r>
        <w:rPr>
          <w:spacing w:val="-3"/>
        </w:rPr>
        <w:t> </w:t>
      </w:r>
      <w:r>
        <w:rPr/>
        <w:t>compulsory</w:t>
      </w:r>
      <w:r>
        <w:rPr>
          <w:spacing w:val="-3"/>
        </w:rPr>
        <w:t> </w:t>
      </w:r>
      <w:r>
        <w:rPr/>
        <w:t>licensing</w:t>
      </w:r>
      <w:r>
        <w:rPr>
          <w:spacing w:val="-3"/>
        </w:rPr>
        <w:t> </w:t>
      </w:r>
      <w:r>
        <w:rPr/>
        <w:t>laws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patent</w:t>
      </w:r>
      <w:r>
        <w:rPr>
          <w:spacing w:val="-4"/>
        </w:rPr>
        <w:t> </w:t>
      </w:r>
      <w:r>
        <w:rPr/>
        <w:t>owner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compelled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grant</w:t>
      </w:r>
      <w:r>
        <w:rPr>
          <w:spacing w:val="-4"/>
        </w:rPr>
        <w:t> </w:t>
      </w:r>
      <w:r>
        <w:rPr/>
        <w:t>licenses</w:t>
      </w:r>
      <w:r>
        <w:rPr>
          <w:spacing w:val="-47"/>
        </w:rPr>
        <w:t> </w:t>
      </w:r>
      <w:r>
        <w:rPr/>
        <w:t>to third parties. In addition, many countries limit the enforceability of patents against government agencies or</w:t>
      </w:r>
      <w:r>
        <w:rPr>
          <w:spacing w:val="1"/>
        </w:rPr>
        <w:t> </w:t>
      </w:r>
      <w:r>
        <w:rPr/>
        <w:t>government contractors. In these countries, the patent owner may have limited remedies, which could materially</w:t>
      </w:r>
      <w:r>
        <w:rPr>
          <w:spacing w:val="1"/>
        </w:rPr>
        <w:t> </w:t>
      </w:r>
      <w:r>
        <w:rPr/>
        <w:t>diminish the value of such patent. If we are forced to grant a license to third parties with respect to any patents</w:t>
      </w:r>
      <w:r>
        <w:rPr>
          <w:spacing w:val="1"/>
        </w:rPr>
        <w:t> </w:t>
      </w:r>
      <w:r>
        <w:rPr/>
        <w:t>relevant to our business, our competitive position may be impaired, and our business, financial condition and results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operations</w:t>
      </w:r>
      <w:r>
        <w:rPr>
          <w:spacing w:val="-1"/>
        </w:rPr>
        <w:t> </w:t>
      </w:r>
      <w:r>
        <w:rPr/>
        <w:t>may be</w:t>
      </w:r>
      <w:r>
        <w:rPr>
          <w:spacing w:val="-1"/>
        </w:rPr>
        <w:t> </w:t>
      </w:r>
      <w:r>
        <w:rPr/>
        <w:t>adversely affected.</w:t>
      </w:r>
    </w:p>
    <w:p>
      <w:pPr>
        <w:pStyle w:val="Heading3"/>
        <w:spacing w:line="249" w:lineRule="auto" w:before="181"/>
        <w:ind w:right="180"/>
      </w:pPr>
      <w:r>
        <w:rPr>
          <w:i/>
        </w:rPr>
        <w:t>We heavily depend on intellectual property licensed from third parties and our licensors may not always act in</w:t>
      </w:r>
      <w:r>
        <w:rPr>
          <w:i/>
          <w:spacing w:val="1"/>
        </w:rPr>
        <w:t> </w:t>
      </w:r>
      <w:r>
        <w:rPr/>
        <w:t>our best interest. If we fail to comply with our obligations under our intellectual property licenses, if the licenses</w:t>
      </w:r>
      <w:r>
        <w:rPr>
          <w:spacing w:val="-47"/>
        </w:rPr>
        <w:t> </w:t>
      </w:r>
      <w:r>
        <w:rPr/>
        <w:t>are</w:t>
      </w:r>
      <w:r>
        <w:rPr>
          <w:spacing w:val="-5"/>
        </w:rPr>
        <w:t> </w:t>
      </w:r>
      <w:r>
        <w:rPr/>
        <w:t>terminated,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if</w:t>
      </w:r>
      <w:r>
        <w:rPr>
          <w:spacing w:val="-4"/>
        </w:rPr>
        <w:t> </w:t>
      </w:r>
      <w:r>
        <w:rPr/>
        <w:t>disputes</w:t>
      </w:r>
      <w:r>
        <w:rPr>
          <w:spacing w:val="-4"/>
        </w:rPr>
        <w:t> </w:t>
      </w:r>
      <w:r>
        <w:rPr/>
        <w:t>regarding</w:t>
      </w:r>
      <w:r>
        <w:rPr>
          <w:spacing w:val="-4"/>
        </w:rPr>
        <w:t> </w:t>
      </w:r>
      <w:r>
        <w:rPr/>
        <w:t>these</w:t>
      </w:r>
      <w:r>
        <w:rPr>
          <w:spacing w:val="-4"/>
        </w:rPr>
        <w:t> </w:t>
      </w:r>
      <w:r>
        <w:rPr/>
        <w:t>licenses</w:t>
      </w:r>
      <w:r>
        <w:rPr>
          <w:spacing w:val="-4"/>
        </w:rPr>
        <w:t> </w:t>
      </w:r>
      <w:r>
        <w:rPr/>
        <w:t>arise,</w:t>
      </w:r>
      <w:r>
        <w:rPr>
          <w:spacing w:val="-3"/>
        </w:rPr>
        <w:t> </w:t>
      </w:r>
      <w:r>
        <w:rPr/>
        <w:t>we</w:t>
      </w:r>
      <w:r>
        <w:rPr>
          <w:spacing w:val="-5"/>
        </w:rPr>
        <w:t> </w:t>
      </w:r>
      <w:r>
        <w:rPr/>
        <w:t>could</w:t>
      </w:r>
      <w:r>
        <w:rPr>
          <w:spacing w:val="-3"/>
        </w:rPr>
        <w:t> </w:t>
      </w:r>
      <w:r>
        <w:rPr/>
        <w:t>lose</w:t>
      </w:r>
      <w:r>
        <w:rPr>
          <w:spacing w:val="-4"/>
        </w:rPr>
        <w:t> </w:t>
      </w:r>
      <w:r>
        <w:rPr/>
        <w:t>significant</w:t>
      </w:r>
      <w:r>
        <w:rPr>
          <w:spacing w:val="-5"/>
        </w:rPr>
        <w:t> </w:t>
      </w:r>
      <w:r>
        <w:rPr/>
        <w:t>rights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important</w:t>
      </w:r>
      <w:r>
        <w:rPr>
          <w:spacing w:val="-4"/>
        </w:rPr>
        <w:t> </w:t>
      </w:r>
      <w:r>
        <w:rPr/>
        <w:t>to</w:t>
      </w:r>
      <w:r>
        <w:rPr>
          <w:spacing w:val="1"/>
        </w:rPr>
        <w:t> </w:t>
      </w:r>
      <w:r>
        <w:rPr/>
        <w:t>our</w:t>
      </w:r>
      <w:r>
        <w:rPr>
          <w:spacing w:val="-2"/>
        </w:rPr>
        <w:t> </w:t>
      </w:r>
      <w:r>
        <w:rPr/>
        <w:t>business.</w:t>
      </w:r>
    </w:p>
    <w:p>
      <w:pPr>
        <w:pStyle w:val="BodyText"/>
        <w:spacing w:line="249" w:lineRule="auto" w:before="187"/>
        <w:ind w:right="179"/>
      </w:pPr>
      <w:r>
        <w:rPr/>
        <w:t>We are dependent on patents, know-how and other proprietary technology licensed from AquaBeam LLC. This</w:t>
      </w:r>
      <w:r>
        <w:rPr>
          <w:spacing w:val="-47"/>
        </w:rPr>
        <w:t> </w:t>
      </w:r>
      <w:r>
        <w:rPr/>
        <w:t>and other licenses we currently possess or may possess in the future may not provide exclusive rights to use such</w:t>
      </w:r>
      <w:r>
        <w:rPr>
          <w:spacing w:val="1"/>
        </w:rPr>
        <w:t> </w:t>
      </w:r>
      <w:r>
        <w:rPr/>
        <w:t>intellectual property and technology in all relevant fields of use and in all territories in which we may wish to</w:t>
      </w:r>
      <w:r>
        <w:rPr>
          <w:spacing w:val="1"/>
        </w:rPr>
        <w:t> </w:t>
      </w:r>
      <w:r>
        <w:rPr/>
        <w:t>develop or commercialize our technology and products in the future. As a result, we may not be able to prevent</w:t>
      </w:r>
      <w:r>
        <w:rPr>
          <w:spacing w:val="1"/>
        </w:rPr>
        <w:t> </w:t>
      </w:r>
      <w:r>
        <w:rPr/>
        <w:t>competitors from developing and commercializing competitive products in territories included in all of our licenses.</w:t>
      </w:r>
      <w:r>
        <w:rPr>
          <w:spacing w:val="-47"/>
        </w:rPr>
        <w:t> </w:t>
      </w:r>
      <w:r>
        <w:rPr/>
        <w:t>Moreover,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fail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comply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our</w:t>
      </w:r>
      <w:r>
        <w:rPr>
          <w:spacing w:val="-3"/>
        </w:rPr>
        <w:t> </w:t>
      </w:r>
      <w:r>
        <w:rPr/>
        <w:t>obligations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such</w:t>
      </w:r>
      <w:r>
        <w:rPr>
          <w:spacing w:val="-2"/>
        </w:rPr>
        <w:t> </w:t>
      </w:r>
      <w:r>
        <w:rPr/>
        <w:t>licenses,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if</w:t>
      </w:r>
      <w:r>
        <w:rPr>
          <w:spacing w:val="-3"/>
        </w:rPr>
        <w:t> </w:t>
      </w:r>
      <w:r>
        <w:rPr/>
        <w:t>disputes</w:t>
      </w:r>
      <w:r>
        <w:rPr>
          <w:spacing w:val="-3"/>
        </w:rPr>
        <w:t> </w:t>
      </w:r>
      <w:r>
        <w:rPr/>
        <w:t>over</w:t>
      </w:r>
      <w:r>
        <w:rPr>
          <w:spacing w:val="-3"/>
        </w:rPr>
        <w:t> </w:t>
      </w:r>
      <w:r>
        <w:rPr/>
        <w:t>intellectual</w:t>
      </w:r>
      <w:r>
        <w:rPr>
          <w:spacing w:val="-4"/>
        </w:rPr>
        <w:t> </w:t>
      </w:r>
      <w:r>
        <w:rPr/>
        <w:t>property</w:t>
      </w:r>
      <w:r>
        <w:rPr>
          <w:spacing w:val="-2"/>
        </w:rPr>
        <w:t> </w:t>
      </w:r>
      <w:r>
        <w:rPr/>
        <w:t>that</w:t>
      </w:r>
      <w:r>
        <w:rPr>
          <w:spacing w:val="-47"/>
        </w:rPr>
        <w:t> </w:t>
      </w:r>
      <w:r>
        <w:rPr/>
        <w:t>we have licensed prevent or impair our ability to maintain our current licensing arrangements on acceptable terms,</w:t>
      </w:r>
      <w:r>
        <w:rPr>
          <w:spacing w:val="1"/>
        </w:rPr>
        <w:t> </w:t>
      </w:r>
      <w:r>
        <w:rPr/>
        <w:t>we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unable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successfully</w:t>
      </w:r>
      <w:r>
        <w:rPr>
          <w:spacing w:val="-1"/>
        </w:rPr>
        <w:t> </w:t>
      </w:r>
      <w:r>
        <w:rPr/>
        <w:t>develop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commercialize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affected</w:t>
      </w:r>
      <w:r>
        <w:rPr>
          <w:spacing w:val="-1"/>
        </w:rPr>
        <w:t> </w:t>
      </w:r>
      <w:r>
        <w:rPr/>
        <w:t>technology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products.</w:t>
      </w:r>
    </w:p>
    <w:p>
      <w:pPr>
        <w:pStyle w:val="BodyText"/>
        <w:spacing w:line="249" w:lineRule="auto" w:before="186"/>
        <w:ind w:right="219"/>
      </w:pPr>
      <w:r>
        <w:rPr/>
        <w:t>Certain</w:t>
      </w:r>
      <w:r>
        <w:rPr>
          <w:spacing w:val="-4"/>
        </w:rPr>
        <w:t> </w:t>
      </w:r>
      <w:r>
        <w:rPr/>
        <w:t>provisions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our</w:t>
      </w:r>
      <w:r>
        <w:rPr>
          <w:spacing w:val="-4"/>
        </w:rPr>
        <w:t> </w:t>
      </w:r>
      <w:r>
        <w:rPr/>
        <w:t>intellectual</w:t>
      </w:r>
      <w:r>
        <w:rPr>
          <w:spacing w:val="-4"/>
        </w:rPr>
        <w:t> </w:t>
      </w:r>
      <w:r>
        <w:rPr/>
        <w:t>property</w:t>
      </w:r>
      <w:r>
        <w:rPr>
          <w:spacing w:val="-3"/>
        </w:rPr>
        <w:t> </w:t>
      </w:r>
      <w:r>
        <w:rPr/>
        <w:t>agreements</w:t>
      </w:r>
      <w:r>
        <w:rPr>
          <w:spacing w:val="-5"/>
        </w:rPr>
        <w:t> </w:t>
      </w:r>
      <w:r>
        <w:rPr/>
        <w:t>with</w:t>
      </w:r>
      <w:r>
        <w:rPr>
          <w:spacing w:val="-3"/>
        </w:rPr>
        <w:t> </w:t>
      </w:r>
      <w:r>
        <w:rPr/>
        <w:t>third</w:t>
      </w:r>
      <w:r>
        <w:rPr>
          <w:spacing w:val="-3"/>
        </w:rPr>
        <w:t> </w:t>
      </w:r>
      <w:r>
        <w:rPr/>
        <w:t>parties</w:t>
      </w:r>
      <w:r>
        <w:rPr>
          <w:spacing w:val="-4"/>
        </w:rPr>
        <w:t> </w:t>
      </w:r>
      <w:r>
        <w:rPr/>
        <w:t>may</w:t>
      </w:r>
      <w:r>
        <w:rPr>
          <w:spacing w:val="-4"/>
        </w:rPr>
        <w:t> </w:t>
      </w:r>
      <w:r>
        <w:rPr/>
        <w:t>also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susceptible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multiple</w:t>
      </w:r>
      <w:r>
        <w:rPr>
          <w:spacing w:val="-47"/>
        </w:rPr>
        <w:t> </w:t>
      </w:r>
      <w:r>
        <w:rPr/>
        <w:t>interpretations. The resolution of any contract interpretation disagreement that may arise could affect the scope of</w:t>
      </w:r>
      <w:r>
        <w:rPr>
          <w:spacing w:val="1"/>
        </w:rPr>
        <w:t> </w:t>
      </w:r>
      <w:r>
        <w:rPr/>
        <w:t>our rights to the relevant intellectual property or technology, or affect financial or other obligations under the</w:t>
      </w:r>
      <w:r>
        <w:rPr>
          <w:spacing w:val="1"/>
        </w:rPr>
        <w:t> </w:t>
      </w:r>
      <w:r>
        <w:rPr/>
        <w:t>relevant agreement, either of which could have a material adverse effect on our business, results of operations,</w:t>
      </w:r>
      <w:r>
        <w:rPr>
          <w:spacing w:val="1"/>
        </w:rPr>
        <w:t> </w:t>
      </w:r>
      <w:r>
        <w:rPr/>
        <w:t>financial condition, cash flows and prospects. In spite of our efforts, our current and future licensors might also</w:t>
      </w:r>
      <w:r>
        <w:rPr>
          <w:spacing w:val="1"/>
        </w:rPr>
        <w:t> </w:t>
      </w:r>
      <w:r>
        <w:rPr/>
        <w:t>conclude that we have breached our obligations under our license agreements and might therefore seek to terminate</w:t>
      </w:r>
      <w:r>
        <w:rPr>
          <w:spacing w:val="-47"/>
        </w:rPr>
        <w:t> </w:t>
      </w:r>
      <w:r>
        <w:rPr/>
        <w:t>such license agreements, thereby removing or limiting our ability to develop and commercialize products and</w:t>
      </w:r>
      <w:r>
        <w:rPr>
          <w:spacing w:val="1"/>
        </w:rPr>
        <w:t> </w:t>
      </w:r>
      <w:r>
        <w:rPr/>
        <w:t>technology covered by these license agreements. As a result, any termination of these licenses could result in the</w:t>
      </w:r>
      <w:r>
        <w:rPr>
          <w:spacing w:val="1"/>
        </w:rPr>
        <w:t> </w:t>
      </w:r>
      <w:r>
        <w:rPr/>
        <w:t>loss of significant rights and could harm our ability to commercialize our products, including, for example, the</w:t>
      </w:r>
      <w:r>
        <w:rPr>
          <w:spacing w:val="1"/>
        </w:rPr>
        <w:t> </w:t>
      </w:r>
      <w:r>
        <w:rPr/>
        <w:t>AquaBeam</w:t>
      </w:r>
      <w:r>
        <w:rPr>
          <w:spacing w:val="-2"/>
        </w:rPr>
        <w:t> </w:t>
      </w:r>
      <w:r>
        <w:rPr/>
        <w:t>Robotic</w:t>
      </w:r>
      <w:r>
        <w:rPr>
          <w:spacing w:val="-1"/>
        </w:rPr>
        <w:t> </w:t>
      </w:r>
      <w:r>
        <w:rPr/>
        <w:t>System, and our</w:t>
      </w:r>
      <w:r>
        <w:rPr>
          <w:spacing w:val="-1"/>
        </w:rPr>
        <w:t> </w:t>
      </w:r>
      <w:r>
        <w:rPr/>
        <w:t>financial</w:t>
      </w:r>
      <w:r>
        <w:rPr>
          <w:spacing w:val="-1"/>
        </w:rPr>
        <w:t> </w:t>
      </w:r>
      <w:r>
        <w:rPr/>
        <w:t>results.</w:t>
      </w:r>
    </w:p>
    <w:p>
      <w:pPr>
        <w:pStyle w:val="BodyText"/>
        <w:spacing w:line="249" w:lineRule="auto" w:before="189"/>
        <w:ind w:right="148"/>
      </w:pPr>
      <w:r>
        <w:rPr/>
        <w:t>In addition, we may need to obtain additional licenses from our existing licensors and others to allow</w:t>
      </w:r>
      <w:r>
        <w:rPr>
          <w:spacing w:val="1"/>
        </w:rPr>
        <w:t> </w:t>
      </w:r>
      <w:r>
        <w:rPr/>
        <w:t>commercialization of products we may develop. Moreover, we may be required to expend significant time and</w:t>
      </w:r>
      <w:r>
        <w:rPr>
          <w:spacing w:val="1"/>
        </w:rPr>
        <w:t> </w:t>
      </w:r>
      <w:r>
        <w:rPr/>
        <w:t>resources to redesign our technology, products, or the methods for manufacturing them or to develop or license</w:t>
      </w:r>
      <w:r>
        <w:rPr>
          <w:spacing w:val="1"/>
        </w:rPr>
        <w:t> </w:t>
      </w:r>
      <w:r>
        <w:rPr/>
        <w:t>replacement technology, all of which may not be feasible on a technical or commercial basis. If we are unable to do</w:t>
      </w:r>
      <w:r>
        <w:rPr>
          <w:spacing w:val="1"/>
        </w:rPr>
        <w:t> </w:t>
      </w:r>
      <w:r>
        <w:rPr/>
        <w:t>so,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unable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develop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commercialize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affected</w:t>
      </w:r>
      <w:r>
        <w:rPr>
          <w:spacing w:val="-3"/>
        </w:rPr>
        <w:t> </w:t>
      </w:r>
      <w:r>
        <w:rPr/>
        <w:t>technology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products.</w:t>
      </w:r>
      <w:r>
        <w:rPr>
          <w:spacing w:val="-2"/>
        </w:rPr>
        <w:t> </w:t>
      </w:r>
      <w:r>
        <w:rPr/>
        <w:t>Even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we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able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obtain</w:t>
      </w:r>
      <w:r>
        <w:rPr>
          <w:spacing w:val="-47"/>
        </w:rPr>
        <w:t> </w:t>
      </w:r>
      <w:r>
        <w:rPr/>
        <w:t>such</w:t>
      </w:r>
      <w:r>
        <w:rPr>
          <w:spacing w:val="-3"/>
        </w:rPr>
        <w:t> </w:t>
      </w:r>
      <w:r>
        <w:rPr/>
        <w:t>additional</w:t>
      </w:r>
      <w:r>
        <w:rPr>
          <w:spacing w:val="-4"/>
        </w:rPr>
        <w:t> </w:t>
      </w:r>
      <w:r>
        <w:rPr/>
        <w:t>licenses,</w:t>
      </w:r>
      <w:r>
        <w:rPr>
          <w:spacing w:val="-2"/>
        </w:rPr>
        <w:t> </w:t>
      </w:r>
      <w:r>
        <w:rPr/>
        <w:t>they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non-exclusive</w:t>
      </w:r>
      <w:r>
        <w:rPr>
          <w:spacing w:val="-4"/>
        </w:rPr>
        <w:t> </w:t>
      </w:r>
      <w:r>
        <w:rPr/>
        <w:t>thereby</w:t>
      </w:r>
      <w:r>
        <w:rPr>
          <w:spacing w:val="-2"/>
        </w:rPr>
        <w:t> </w:t>
      </w:r>
      <w:r>
        <w:rPr/>
        <w:t>giving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competitors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other</w:t>
      </w:r>
      <w:r>
        <w:rPr>
          <w:spacing w:val="-2"/>
        </w:rPr>
        <w:t> </w:t>
      </w:r>
      <w:r>
        <w:rPr/>
        <w:t>third</w:t>
      </w:r>
      <w:r>
        <w:rPr>
          <w:spacing w:val="-3"/>
        </w:rPr>
        <w:t> </w:t>
      </w:r>
      <w:r>
        <w:rPr/>
        <w:t>parties</w:t>
      </w:r>
      <w:r>
        <w:rPr>
          <w:spacing w:val="-3"/>
        </w:rPr>
        <w:t> </w:t>
      </w:r>
      <w:r>
        <w:rPr/>
        <w:t>access</w:t>
      </w:r>
      <w:r>
        <w:rPr>
          <w:spacing w:val="-4"/>
        </w:rPr>
        <w:t> </w:t>
      </w:r>
      <w:r>
        <w:rPr/>
        <w:t>to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  <w:ind w:firstLine="0"/>
      </w:pPr>
      <w:r>
        <w:rPr/>
        <w:t>the</w:t>
      </w:r>
      <w:r>
        <w:rPr>
          <w:spacing w:val="-4"/>
        </w:rPr>
        <w:t> </w:t>
      </w:r>
      <w:r>
        <w:rPr/>
        <w:t>same</w:t>
      </w:r>
      <w:r>
        <w:rPr>
          <w:spacing w:val="-3"/>
        </w:rPr>
        <w:t> </w:t>
      </w:r>
      <w:r>
        <w:rPr/>
        <w:t>technology</w:t>
      </w:r>
      <w:r>
        <w:rPr>
          <w:spacing w:val="-2"/>
        </w:rPr>
        <w:t> </w:t>
      </w:r>
      <w:r>
        <w:rPr/>
        <w:t>licensed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us.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foregoing</w:t>
      </w:r>
      <w:r>
        <w:rPr>
          <w:spacing w:val="-2"/>
        </w:rPr>
        <w:t> </w:t>
      </w:r>
      <w:r>
        <w:rPr/>
        <w:t>could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adverse</w:t>
      </w:r>
      <w:r>
        <w:rPr>
          <w:spacing w:val="-3"/>
        </w:rPr>
        <w:t> </w:t>
      </w:r>
      <w:r>
        <w:rPr/>
        <w:t>impact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business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financial</w:t>
      </w:r>
      <w:r>
        <w:rPr>
          <w:spacing w:val="-47"/>
        </w:rPr>
        <w:t> </w:t>
      </w:r>
      <w:r>
        <w:rPr/>
        <w:t>results.</w:t>
      </w:r>
    </w:p>
    <w:p>
      <w:pPr>
        <w:pStyle w:val="Heading2"/>
        <w:spacing w:before="178"/>
      </w:pPr>
      <w:r>
        <w:rPr/>
        <w:t>Risks</w:t>
      </w:r>
      <w:r>
        <w:rPr>
          <w:spacing w:val="-4"/>
        </w:rPr>
        <w:t> </w:t>
      </w:r>
      <w:r>
        <w:rPr/>
        <w:t>Related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Ownership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Our</w:t>
      </w:r>
      <w:r>
        <w:rPr>
          <w:spacing w:val="-4"/>
        </w:rPr>
        <w:t> </w:t>
      </w:r>
      <w:r>
        <w:rPr/>
        <w:t>Common</w:t>
      </w:r>
      <w:r>
        <w:rPr>
          <w:spacing w:val="-3"/>
        </w:rPr>
        <w:t> </w:t>
      </w:r>
      <w:r>
        <w:rPr/>
        <w:t>Stock</w:t>
      </w:r>
    </w:p>
    <w:p>
      <w:pPr>
        <w:pStyle w:val="Heading3"/>
        <w:spacing w:line="249" w:lineRule="auto" w:before="190"/>
        <w:ind w:right="127"/>
      </w:pPr>
      <w:r>
        <w:rPr>
          <w:i/>
        </w:rPr>
        <w:t>The market price of our common stock may be volatile or may decline steeply or suddenly regardless of our</w:t>
      </w:r>
      <w:r>
        <w:rPr>
          <w:i/>
          <w:spacing w:val="1"/>
        </w:rPr>
        <w:t> </w:t>
      </w:r>
      <w:r>
        <w:rPr/>
        <w:t>operating</w:t>
      </w:r>
      <w:r>
        <w:rPr>
          <w:spacing w:val="-3"/>
        </w:rPr>
        <w:t> </w:t>
      </w:r>
      <w:r>
        <w:rPr/>
        <w:t>performance,</w:t>
      </w:r>
      <w:r>
        <w:rPr>
          <w:spacing w:val="-3"/>
        </w:rPr>
        <w:t> </w:t>
      </w:r>
      <w:r>
        <w:rPr/>
        <w:t>which</w:t>
      </w:r>
      <w:r>
        <w:rPr>
          <w:spacing w:val="-4"/>
        </w:rPr>
        <w:t> </w:t>
      </w:r>
      <w:r>
        <w:rPr/>
        <w:t>could</w:t>
      </w:r>
      <w:r>
        <w:rPr>
          <w:spacing w:val="-3"/>
        </w:rPr>
        <w:t> </w:t>
      </w:r>
      <w:r>
        <w:rPr/>
        <w:t>result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substantial</w:t>
      </w:r>
      <w:r>
        <w:rPr>
          <w:spacing w:val="-4"/>
        </w:rPr>
        <w:t> </w:t>
      </w:r>
      <w:r>
        <w:rPr/>
        <w:t>losses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holders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our</w:t>
      </w:r>
      <w:r>
        <w:rPr>
          <w:spacing w:val="-4"/>
        </w:rPr>
        <w:t> </w:t>
      </w:r>
      <w:r>
        <w:rPr/>
        <w:t>common</w:t>
      </w:r>
      <w:r>
        <w:rPr>
          <w:spacing w:val="-4"/>
        </w:rPr>
        <w:t> </w:t>
      </w:r>
      <w:r>
        <w:rPr/>
        <w:t>stock,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may</w:t>
      </w:r>
      <w:r>
        <w:rPr>
          <w:spacing w:val="-4"/>
        </w:rPr>
        <w:t> </w:t>
      </w:r>
      <w:r>
        <w:rPr/>
        <w:t>not</w:t>
      </w:r>
      <w:r>
        <w:rPr>
          <w:spacing w:val="1"/>
        </w:rPr>
        <w:t> </w:t>
      </w:r>
      <w:r>
        <w:rPr/>
        <w:t>be</w:t>
      </w:r>
      <w:r>
        <w:rPr>
          <w:spacing w:val="-2"/>
        </w:rPr>
        <w:t> </w:t>
      </w:r>
      <w:r>
        <w:rPr/>
        <w:t>able</w:t>
      </w:r>
      <w:r>
        <w:rPr>
          <w:spacing w:val="-1"/>
        </w:rPr>
        <w:t> </w:t>
      </w:r>
      <w:r>
        <w:rPr/>
        <w:t>to meet</w:t>
      </w:r>
      <w:r>
        <w:rPr>
          <w:spacing w:val="-1"/>
        </w:rPr>
        <w:t> </w:t>
      </w:r>
      <w:r>
        <w:rPr/>
        <w:t>investor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analyst</w:t>
      </w:r>
      <w:r>
        <w:rPr>
          <w:spacing w:val="-1"/>
        </w:rPr>
        <w:t> </w:t>
      </w:r>
      <w:r>
        <w:rPr/>
        <w:t>expectations.</w:t>
      </w:r>
    </w:p>
    <w:p>
      <w:pPr>
        <w:pStyle w:val="BodyText"/>
        <w:spacing w:line="249" w:lineRule="auto" w:before="186"/>
        <w:ind w:right="212"/>
      </w:pPr>
      <w:r>
        <w:rPr/>
        <w:t>The</w:t>
      </w:r>
      <w:r>
        <w:rPr>
          <w:spacing w:val="-4"/>
        </w:rPr>
        <w:t> </w:t>
      </w:r>
      <w:r>
        <w:rPr/>
        <w:t>market</w:t>
      </w:r>
      <w:r>
        <w:rPr>
          <w:spacing w:val="-3"/>
        </w:rPr>
        <w:t> </w:t>
      </w:r>
      <w:r>
        <w:rPr/>
        <w:t>price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common</w:t>
      </w:r>
      <w:r>
        <w:rPr>
          <w:spacing w:val="-3"/>
        </w:rPr>
        <w:t> </w:t>
      </w:r>
      <w:r>
        <w:rPr/>
        <w:t>stock</w:t>
      </w:r>
      <w:r>
        <w:rPr>
          <w:spacing w:val="-2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highly</w:t>
      </w:r>
      <w:r>
        <w:rPr>
          <w:spacing w:val="-3"/>
        </w:rPr>
        <w:t> </w:t>
      </w:r>
      <w:r>
        <w:rPr/>
        <w:t>volatile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fluctuate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decline</w:t>
      </w:r>
      <w:r>
        <w:rPr>
          <w:spacing w:val="-4"/>
        </w:rPr>
        <w:t> </w:t>
      </w:r>
      <w:r>
        <w:rPr/>
        <w:t>significantly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response</w:t>
      </w:r>
      <w:r>
        <w:rPr>
          <w:spacing w:val="-47"/>
        </w:rPr>
        <w:t> </w:t>
      </w:r>
      <w:r>
        <w:rPr/>
        <w:t>to</w:t>
      </w:r>
      <w:r>
        <w:rPr>
          <w:spacing w:val="-1"/>
        </w:rPr>
        <w:t> </w:t>
      </w:r>
      <w:r>
        <w:rPr/>
        <w:t>numerous</w:t>
      </w:r>
      <w:r>
        <w:rPr>
          <w:spacing w:val="-1"/>
        </w:rPr>
        <w:t> </w:t>
      </w:r>
      <w:r>
        <w:rPr/>
        <w:t>factors, many</w:t>
      </w:r>
      <w:r>
        <w:rPr>
          <w:spacing w:val="-1"/>
        </w:rPr>
        <w:t> </w:t>
      </w:r>
      <w:r>
        <w:rPr/>
        <w:t>of which are</w:t>
      </w:r>
      <w:r>
        <w:rPr>
          <w:spacing w:val="-1"/>
        </w:rPr>
        <w:t> </w:t>
      </w:r>
      <w:r>
        <w:rPr/>
        <w:t>beyond</w:t>
      </w:r>
      <w:r>
        <w:rPr>
          <w:spacing w:val="-1"/>
        </w:rPr>
        <w:t> </w:t>
      </w:r>
      <w:r>
        <w:rPr/>
        <w:t>our control, including: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9" w:lineRule="auto" w:before="181" w:after="0"/>
        <w:ind w:left="820" w:right="174" w:hanging="360"/>
        <w:jc w:val="left"/>
        <w:rPr>
          <w:sz w:val="20"/>
        </w:rPr>
      </w:pPr>
      <w:r>
        <w:rPr>
          <w:sz w:val="20"/>
        </w:rPr>
        <w:t>variations</w:t>
      </w:r>
      <w:r>
        <w:rPr>
          <w:spacing w:val="-4"/>
          <w:sz w:val="20"/>
        </w:rPr>
        <w:t> </w:t>
      </w:r>
      <w:r>
        <w:rPr>
          <w:sz w:val="20"/>
        </w:rPr>
        <w:t>between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2"/>
          <w:sz w:val="20"/>
        </w:rPr>
        <w:t> </w:t>
      </w:r>
      <w:r>
        <w:rPr>
          <w:sz w:val="20"/>
        </w:rPr>
        <w:t>actual</w:t>
      </w:r>
      <w:r>
        <w:rPr>
          <w:spacing w:val="-4"/>
          <w:sz w:val="20"/>
        </w:rPr>
        <w:t> </w:t>
      </w:r>
      <w:r>
        <w:rPr>
          <w:sz w:val="20"/>
        </w:rPr>
        <w:t>operating</w:t>
      </w:r>
      <w:r>
        <w:rPr>
          <w:spacing w:val="-3"/>
          <w:sz w:val="20"/>
        </w:rPr>
        <w:t> </w:t>
      </w:r>
      <w:r>
        <w:rPr>
          <w:sz w:val="20"/>
        </w:rPr>
        <w:t>results,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those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companies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perceived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similar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us,</w:t>
      </w:r>
      <w:r>
        <w:rPr>
          <w:spacing w:val="-47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expectations</w:t>
      </w:r>
      <w:r>
        <w:rPr>
          <w:spacing w:val="-2"/>
          <w:sz w:val="20"/>
        </w:rPr>
        <w:t> </w:t>
      </w:r>
      <w:r>
        <w:rPr>
          <w:sz w:val="20"/>
        </w:rPr>
        <w:t>of securities</w:t>
      </w:r>
      <w:r>
        <w:rPr>
          <w:spacing w:val="-2"/>
          <w:sz w:val="20"/>
        </w:rPr>
        <w:t> </w:t>
      </w:r>
      <w:r>
        <w:rPr>
          <w:sz w:val="20"/>
        </w:rPr>
        <w:t>analysts,</w:t>
      </w:r>
      <w:r>
        <w:rPr>
          <w:spacing w:val="-1"/>
          <w:sz w:val="20"/>
        </w:rPr>
        <w:t> </w:t>
      </w:r>
      <w:r>
        <w:rPr>
          <w:sz w:val="20"/>
        </w:rPr>
        <w:t>investors</w:t>
      </w:r>
      <w:r>
        <w:rPr>
          <w:spacing w:val="-2"/>
          <w:sz w:val="20"/>
        </w:rPr>
        <w:t> </w:t>
      </w:r>
      <w:r>
        <w:rPr>
          <w:sz w:val="20"/>
        </w:rPr>
        <w:t>and the</w:t>
      </w:r>
      <w:r>
        <w:rPr>
          <w:spacing w:val="-2"/>
          <w:sz w:val="20"/>
        </w:rPr>
        <w:t> </w:t>
      </w:r>
      <w:r>
        <w:rPr>
          <w:sz w:val="20"/>
        </w:rPr>
        <w:t>financial</w:t>
      </w:r>
      <w:r>
        <w:rPr>
          <w:spacing w:val="-2"/>
          <w:sz w:val="20"/>
        </w:rPr>
        <w:t> </w:t>
      </w:r>
      <w:r>
        <w:rPr>
          <w:sz w:val="20"/>
        </w:rPr>
        <w:t>community;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9" w:lineRule="auto" w:before="182" w:after="0"/>
        <w:ind w:left="820" w:right="195" w:hanging="360"/>
        <w:jc w:val="left"/>
        <w:rPr>
          <w:sz w:val="20"/>
        </w:rPr>
      </w:pP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forward-looking</w:t>
      </w:r>
      <w:r>
        <w:rPr>
          <w:spacing w:val="-3"/>
          <w:sz w:val="20"/>
        </w:rPr>
        <w:t> </w:t>
      </w:r>
      <w:r>
        <w:rPr>
          <w:sz w:val="20"/>
        </w:rPr>
        <w:t>financial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operating</w:t>
      </w:r>
      <w:r>
        <w:rPr>
          <w:spacing w:val="-3"/>
          <w:sz w:val="20"/>
        </w:rPr>
        <w:t> </w:t>
      </w:r>
      <w:r>
        <w:rPr>
          <w:sz w:val="20"/>
        </w:rPr>
        <w:t>information</w:t>
      </w:r>
      <w:r>
        <w:rPr>
          <w:spacing w:val="-3"/>
          <w:sz w:val="20"/>
        </w:rPr>
        <w:t> </w:t>
      </w:r>
      <w:r>
        <w:rPr>
          <w:sz w:val="20"/>
        </w:rPr>
        <w:t>we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provide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public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securities</w:t>
      </w:r>
      <w:r>
        <w:rPr>
          <w:spacing w:val="-3"/>
          <w:sz w:val="20"/>
        </w:rPr>
        <w:t> </w:t>
      </w:r>
      <w:r>
        <w:rPr>
          <w:sz w:val="20"/>
        </w:rPr>
        <w:t>analysts,</w:t>
      </w:r>
      <w:r>
        <w:rPr>
          <w:spacing w:val="-47"/>
          <w:sz w:val="20"/>
        </w:rPr>
        <w:t> </w:t>
      </w:r>
      <w:r>
        <w:rPr>
          <w:sz w:val="20"/>
        </w:rPr>
        <w:t>any</w:t>
      </w:r>
      <w:r>
        <w:rPr>
          <w:spacing w:val="-1"/>
          <w:sz w:val="20"/>
        </w:rPr>
        <w:t> </w:t>
      </w:r>
      <w:r>
        <w:rPr>
          <w:sz w:val="20"/>
        </w:rPr>
        <w:t>changes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this</w:t>
      </w:r>
      <w:r>
        <w:rPr>
          <w:spacing w:val="-2"/>
          <w:sz w:val="20"/>
        </w:rPr>
        <w:t> </w:t>
      </w:r>
      <w:r>
        <w:rPr>
          <w:sz w:val="20"/>
        </w:rPr>
        <w:t>information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our</w:t>
      </w:r>
      <w:r>
        <w:rPr>
          <w:spacing w:val="-1"/>
          <w:sz w:val="20"/>
        </w:rPr>
        <w:t> </w:t>
      </w:r>
      <w:r>
        <w:rPr>
          <w:sz w:val="20"/>
        </w:rPr>
        <w:t>failure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meet</w:t>
      </w:r>
      <w:r>
        <w:rPr>
          <w:spacing w:val="-2"/>
          <w:sz w:val="20"/>
        </w:rPr>
        <w:t> </w:t>
      </w:r>
      <w:r>
        <w:rPr>
          <w:sz w:val="20"/>
        </w:rPr>
        <w:t>expectations</w:t>
      </w:r>
      <w:r>
        <w:rPr>
          <w:spacing w:val="-2"/>
          <w:sz w:val="20"/>
        </w:rPr>
        <w:t> </w:t>
      </w:r>
      <w:r>
        <w:rPr>
          <w:sz w:val="20"/>
        </w:rPr>
        <w:t>based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1"/>
          <w:sz w:val="20"/>
        </w:rPr>
        <w:t> </w:t>
      </w:r>
      <w:r>
        <w:rPr>
          <w:sz w:val="20"/>
        </w:rPr>
        <w:t>this</w:t>
      </w:r>
      <w:r>
        <w:rPr>
          <w:spacing w:val="-2"/>
          <w:sz w:val="20"/>
        </w:rPr>
        <w:t> </w:t>
      </w:r>
      <w:r>
        <w:rPr>
          <w:sz w:val="20"/>
        </w:rPr>
        <w:t>information;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9" w:lineRule="auto" w:before="182" w:after="0"/>
        <w:ind w:left="820" w:right="219" w:hanging="360"/>
        <w:jc w:val="left"/>
        <w:rPr>
          <w:sz w:val="20"/>
        </w:rPr>
      </w:pPr>
      <w:r>
        <w:rPr>
          <w:sz w:val="20"/>
        </w:rPr>
        <w:t>actions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securities</w:t>
      </w:r>
      <w:r>
        <w:rPr>
          <w:spacing w:val="-4"/>
          <w:sz w:val="20"/>
        </w:rPr>
        <w:t> </w:t>
      </w:r>
      <w:r>
        <w:rPr>
          <w:sz w:val="20"/>
        </w:rPr>
        <w:t>analysts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3"/>
          <w:sz w:val="20"/>
        </w:rPr>
        <w:t> </w:t>
      </w:r>
      <w:r>
        <w:rPr>
          <w:sz w:val="20"/>
        </w:rPr>
        <w:t>initiate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maintain</w:t>
      </w:r>
      <w:r>
        <w:rPr>
          <w:spacing w:val="-3"/>
          <w:sz w:val="20"/>
        </w:rPr>
        <w:t> </w:t>
      </w:r>
      <w:r>
        <w:rPr>
          <w:sz w:val="20"/>
        </w:rPr>
        <w:t>coverage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us,</w:t>
      </w:r>
      <w:r>
        <w:rPr>
          <w:spacing w:val="-3"/>
          <w:sz w:val="20"/>
        </w:rPr>
        <w:t> </w:t>
      </w:r>
      <w:r>
        <w:rPr>
          <w:sz w:val="20"/>
        </w:rPr>
        <w:t>changes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financial</w:t>
      </w:r>
      <w:r>
        <w:rPr>
          <w:spacing w:val="-4"/>
          <w:sz w:val="20"/>
        </w:rPr>
        <w:t> </w:t>
      </w:r>
      <w:r>
        <w:rPr>
          <w:sz w:val="20"/>
        </w:rPr>
        <w:t>estimates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47"/>
          <w:sz w:val="20"/>
        </w:rPr>
        <w:t> </w:t>
      </w:r>
      <w:r>
        <w:rPr>
          <w:sz w:val="20"/>
        </w:rPr>
        <w:t>securities analysts who follow our Company or our failure to meet these estimates or the expectations of</w:t>
      </w:r>
      <w:r>
        <w:rPr>
          <w:spacing w:val="1"/>
          <w:sz w:val="20"/>
        </w:rPr>
        <w:t> </w:t>
      </w:r>
      <w:r>
        <w:rPr>
          <w:sz w:val="20"/>
        </w:rPr>
        <w:t>investors;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9" w:lineRule="auto" w:before="182" w:after="0"/>
        <w:ind w:left="820" w:right="204" w:hanging="360"/>
        <w:jc w:val="left"/>
        <w:rPr>
          <w:sz w:val="20"/>
        </w:rPr>
      </w:pPr>
      <w:r>
        <w:rPr>
          <w:sz w:val="20"/>
        </w:rPr>
        <w:t>additional</w:t>
      </w:r>
      <w:r>
        <w:rPr>
          <w:spacing w:val="-3"/>
          <w:sz w:val="20"/>
        </w:rPr>
        <w:t> </w:t>
      </w:r>
      <w:r>
        <w:rPr>
          <w:sz w:val="20"/>
        </w:rPr>
        <w:t>shares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our</w:t>
      </w:r>
      <w:r>
        <w:rPr>
          <w:spacing w:val="-2"/>
          <w:sz w:val="20"/>
        </w:rPr>
        <w:t> </w:t>
      </w:r>
      <w:r>
        <w:rPr>
          <w:sz w:val="20"/>
        </w:rPr>
        <w:t>common</w:t>
      </w:r>
      <w:r>
        <w:rPr>
          <w:spacing w:val="-2"/>
          <w:sz w:val="20"/>
        </w:rPr>
        <w:t> </w:t>
      </w:r>
      <w:r>
        <w:rPr>
          <w:sz w:val="20"/>
        </w:rPr>
        <w:t>stock</w:t>
      </w:r>
      <w:r>
        <w:rPr>
          <w:spacing w:val="-2"/>
          <w:sz w:val="20"/>
        </w:rPr>
        <w:t> </w:t>
      </w:r>
      <w:r>
        <w:rPr>
          <w:sz w:val="20"/>
        </w:rPr>
        <w:t>being</w:t>
      </w:r>
      <w:r>
        <w:rPr>
          <w:spacing w:val="-2"/>
          <w:sz w:val="20"/>
        </w:rPr>
        <w:t> </w:t>
      </w:r>
      <w:r>
        <w:rPr>
          <w:sz w:val="20"/>
        </w:rPr>
        <w:t>sold</w:t>
      </w:r>
      <w:r>
        <w:rPr>
          <w:spacing w:val="-2"/>
          <w:sz w:val="20"/>
        </w:rPr>
        <w:t> </w:t>
      </w:r>
      <w:r>
        <w:rPr>
          <w:sz w:val="20"/>
        </w:rPr>
        <w:t>into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market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us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our</w:t>
      </w:r>
      <w:r>
        <w:rPr>
          <w:spacing w:val="-2"/>
          <w:sz w:val="20"/>
        </w:rPr>
        <w:t> </w:t>
      </w:r>
      <w:r>
        <w:rPr>
          <w:sz w:val="20"/>
        </w:rPr>
        <w:t>existing</w:t>
      </w:r>
      <w:r>
        <w:rPr>
          <w:spacing w:val="-2"/>
          <w:sz w:val="20"/>
        </w:rPr>
        <w:t> </w:t>
      </w:r>
      <w:r>
        <w:rPr>
          <w:sz w:val="20"/>
        </w:rPr>
        <w:t>stockholders,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7"/>
          <w:sz w:val="20"/>
        </w:rPr>
        <w:t> </w:t>
      </w:r>
      <w:r>
        <w:rPr>
          <w:sz w:val="20"/>
        </w:rPr>
        <w:t>anticipation of such sales, including if existing stockholders sell shares into the market when applicable</w:t>
      </w:r>
      <w:r>
        <w:rPr>
          <w:spacing w:val="1"/>
          <w:sz w:val="20"/>
        </w:rPr>
        <w:t> </w:t>
      </w:r>
      <w:r>
        <w:rPr>
          <w:sz w:val="20"/>
        </w:rPr>
        <w:t>“lock-up”</w:t>
      </w:r>
      <w:r>
        <w:rPr>
          <w:spacing w:val="-2"/>
          <w:sz w:val="20"/>
        </w:rPr>
        <w:t> </w:t>
      </w:r>
      <w:r>
        <w:rPr>
          <w:sz w:val="20"/>
        </w:rPr>
        <w:t>period ends;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0" w:lineRule="auto" w:before="183" w:after="0"/>
        <w:ind w:left="820" w:right="0" w:hanging="360"/>
        <w:jc w:val="left"/>
        <w:rPr>
          <w:sz w:val="20"/>
        </w:rPr>
      </w:pPr>
      <w:r>
        <w:rPr>
          <w:sz w:val="20"/>
        </w:rPr>
        <w:t>hedging</w:t>
      </w:r>
      <w:r>
        <w:rPr>
          <w:spacing w:val="-4"/>
          <w:sz w:val="20"/>
        </w:rPr>
        <w:t> </w:t>
      </w:r>
      <w:r>
        <w:rPr>
          <w:sz w:val="20"/>
        </w:rPr>
        <w:t>activities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market</w:t>
      </w:r>
      <w:r>
        <w:rPr>
          <w:spacing w:val="-5"/>
          <w:sz w:val="20"/>
        </w:rPr>
        <w:t> </w:t>
      </w:r>
      <w:r>
        <w:rPr>
          <w:sz w:val="20"/>
        </w:rPr>
        <w:t>participants;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9" w:lineRule="auto" w:before="190" w:after="0"/>
        <w:ind w:left="820" w:right="910" w:hanging="360"/>
        <w:jc w:val="left"/>
        <w:rPr>
          <w:sz w:val="20"/>
        </w:rPr>
      </w:pPr>
      <w:r>
        <w:rPr>
          <w:sz w:val="20"/>
        </w:rPr>
        <w:t>announcements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us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competitors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significant</w:t>
      </w:r>
      <w:r>
        <w:rPr>
          <w:spacing w:val="-4"/>
          <w:sz w:val="20"/>
        </w:rPr>
        <w:t> </w:t>
      </w:r>
      <w:r>
        <w:rPr>
          <w:sz w:val="20"/>
        </w:rPr>
        <w:t>products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features,</w:t>
      </w:r>
      <w:r>
        <w:rPr>
          <w:spacing w:val="-3"/>
          <w:sz w:val="20"/>
        </w:rPr>
        <w:t> </w:t>
      </w:r>
      <w:r>
        <w:rPr>
          <w:sz w:val="20"/>
        </w:rPr>
        <w:t>technical</w:t>
      </w:r>
      <w:r>
        <w:rPr>
          <w:spacing w:val="-3"/>
          <w:sz w:val="20"/>
        </w:rPr>
        <w:t> </w:t>
      </w:r>
      <w:r>
        <w:rPr>
          <w:sz w:val="20"/>
        </w:rPr>
        <w:t>innovations,</w:t>
      </w:r>
      <w:r>
        <w:rPr>
          <w:spacing w:val="-47"/>
          <w:sz w:val="20"/>
        </w:rPr>
        <w:t> </w:t>
      </w:r>
      <w:r>
        <w:rPr>
          <w:sz w:val="20"/>
        </w:rPr>
        <w:t>acquisitions,</w:t>
      </w:r>
      <w:r>
        <w:rPr>
          <w:spacing w:val="-1"/>
          <w:sz w:val="20"/>
        </w:rPr>
        <w:t> </w:t>
      </w:r>
      <w:r>
        <w:rPr>
          <w:sz w:val="20"/>
        </w:rPr>
        <w:t>strategic</w:t>
      </w:r>
      <w:r>
        <w:rPr>
          <w:spacing w:val="-2"/>
          <w:sz w:val="20"/>
        </w:rPr>
        <w:t> </w:t>
      </w:r>
      <w:r>
        <w:rPr>
          <w:sz w:val="20"/>
        </w:rPr>
        <w:t>partnerships,</w:t>
      </w:r>
      <w:r>
        <w:rPr>
          <w:spacing w:val="-1"/>
          <w:sz w:val="20"/>
        </w:rPr>
        <w:t> </w:t>
      </w:r>
      <w:r>
        <w:rPr>
          <w:sz w:val="20"/>
        </w:rPr>
        <w:t>joint</w:t>
      </w:r>
      <w:r>
        <w:rPr>
          <w:spacing w:val="-2"/>
          <w:sz w:val="20"/>
        </w:rPr>
        <w:t> </w:t>
      </w:r>
      <w:r>
        <w:rPr>
          <w:sz w:val="20"/>
        </w:rPr>
        <w:t>ventures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capital</w:t>
      </w:r>
      <w:r>
        <w:rPr>
          <w:spacing w:val="-1"/>
          <w:sz w:val="20"/>
        </w:rPr>
        <w:t> </w:t>
      </w:r>
      <w:r>
        <w:rPr>
          <w:sz w:val="20"/>
        </w:rPr>
        <w:t>commitments;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9" w:lineRule="auto" w:before="181" w:after="0"/>
        <w:ind w:left="820" w:right="240" w:hanging="360"/>
        <w:jc w:val="left"/>
        <w:rPr>
          <w:sz w:val="20"/>
        </w:rPr>
      </w:pPr>
      <w:r>
        <w:rPr>
          <w:sz w:val="20"/>
        </w:rPr>
        <w:t>changes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operating</w:t>
      </w:r>
      <w:r>
        <w:rPr>
          <w:spacing w:val="-3"/>
          <w:sz w:val="20"/>
        </w:rPr>
        <w:t> </w:t>
      </w:r>
      <w:r>
        <w:rPr>
          <w:sz w:val="20"/>
        </w:rPr>
        <w:t>performance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stock</w:t>
      </w:r>
      <w:r>
        <w:rPr>
          <w:spacing w:val="-3"/>
          <w:sz w:val="20"/>
        </w:rPr>
        <w:t> </w:t>
      </w:r>
      <w:r>
        <w:rPr>
          <w:sz w:val="20"/>
        </w:rPr>
        <w:t>market</w:t>
      </w:r>
      <w:r>
        <w:rPr>
          <w:spacing w:val="-3"/>
          <w:sz w:val="20"/>
        </w:rPr>
        <w:t> </w:t>
      </w:r>
      <w:r>
        <w:rPr>
          <w:sz w:val="20"/>
        </w:rPr>
        <w:t>valuations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companies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industry,</w:t>
      </w:r>
      <w:r>
        <w:rPr>
          <w:spacing w:val="-2"/>
          <w:sz w:val="20"/>
        </w:rPr>
        <w:t> </w:t>
      </w:r>
      <w:r>
        <w:rPr>
          <w:sz w:val="20"/>
        </w:rPr>
        <w:t>including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47"/>
          <w:sz w:val="20"/>
        </w:rPr>
        <w:t> </w:t>
      </w:r>
      <w:r>
        <w:rPr>
          <w:sz w:val="20"/>
        </w:rPr>
        <w:t>competitors;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0" w:lineRule="auto" w:before="182" w:after="0"/>
        <w:ind w:left="820" w:right="0" w:hanging="360"/>
        <w:jc w:val="left"/>
        <w:rPr>
          <w:sz w:val="20"/>
        </w:rPr>
      </w:pPr>
      <w:r>
        <w:rPr>
          <w:sz w:val="20"/>
        </w:rPr>
        <w:t>changes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third-party</w:t>
      </w:r>
      <w:r>
        <w:rPr>
          <w:spacing w:val="-4"/>
          <w:sz w:val="20"/>
        </w:rPr>
        <w:t> </w:t>
      </w:r>
      <w:r>
        <w:rPr>
          <w:sz w:val="20"/>
        </w:rPr>
        <w:t>payor</w:t>
      </w:r>
      <w:r>
        <w:rPr>
          <w:spacing w:val="-3"/>
          <w:sz w:val="20"/>
        </w:rPr>
        <w:t> </w:t>
      </w:r>
      <w:r>
        <w:rPr>
          <w:sz w:val="20"/>
        </w:rPr>
        <w:t>reimbursement</w:t>
      </w:r>
      <w:r>
        <w:rPr>
          <w:spacing w:val="-5"/>
          <w:sz w:val="20"/>
        </w:rPr>
        <w:t> </w:t>
      </w:r>
      <w:r>
        <w:rPr>
          <w:sz w:val="20"/>
        </w:rPr>
        <w:t>policies;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inability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obtain</w:t>
      </w:r>
      <w:r>
        <w:rPr>
          <w:spacing w:val="-2"/>
          <w:sz w:val="20"/>
        </w:rPr>
        <w:t> </w:t>
      </w:r>
      <w:r>
        <w:rPr>
          <w:sz w:val="20"/>
        </w:rPr>
        <w:t>additional</w:t>
      </w:r>
      <w:r>
        <w:rPr>
          <w:spacing w:val="-4"/>
          <w:sz w:val="20"/>
        </w:rPr>
        <w:t> </w:t>
      </w:r>
      <w:r>
        <w:rPr>
          <w:sz w:val="20"/>
        </w:rPr>
        <w:t>funding;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9" w:lineRule="auto" w:before="190" w:after="0"/>
        <w:ind w:left="820" w:right="373" w:hanging="360"/>
        <w:jc w:val="left"/>
        <w:rPr>
          <w:sz w:val="20"/>
        </w:rPr>
      </w:pPr>
      <w:r>
        <w:rPr>
          <w:sz w:val="20"/>
        </w:rPr>
        <w:t>general</w:t>
      </w:r>
      <w:r>
        <w:rPr>
          <w:spacing w:val="-4"/>
          <w:sz w:val="20"/>
        </w:rPr>
        <w:t> </w:t>
      </w:r>
      <w:r>
        <w:rPr>
          <w:sz w:val="20"/>
        </w:rPr>
        <w:t>economic,</w:t>
      </w:r>
      <w:r>
        <w:rPr>
          <w:spacing w:val="-3"/>
          <w:sz w:val="20"/>
        </w:rPr>
        <w:t> </w:t>
      </w:r>
      <w:r>
        <w:rPr>
          <w:sz w:val="20"/>
        </w:rPr>
        <w:t>industry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market</w:t>
      </w:r>
      <w:r>
        <w:rPr>
          <w:spacing w:val="-4"/>
          <w:sz w:val="20"/>
        </w:rPr>
        <w:t> </w:t>
      </w:r>
      <w:r>
        <w:rPr>
          <w:sz w:val="20"/>
        </w:rPr>
        <w:t>conditions,</w:t>
      </w:r>
      <w:r>
        <w:rPr>
          <w:spacing w:val="-3"/>
          <w:sz w:val="20"/>
        </w:rPr>
        <w:t> </w:t>
      </w:r>
      <w:r>
        <w:rPr>
          <w:sz w:val="20"/>
        </w:rPr>
        <w:t>including</w:t>
      </w:r>
      <w:r>
        <w:rPr>
          <w:spacing w:val="-3"/>
          <w:sz w:val="20"/>
        </w:rPr>
        <w:t> </w:t>
      </w:r>
      <w:r>
        <w:rPr>
          <w:sz w:val="20"/>
        </w:rPr>
        <w:t>price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volume</w:t>
      </w:r>
      <w:r>
        <w:rPr>
          <w:spacing w:val="-3"/>
          <w:sz w:val="20"/>
        </w:rPr>
        <w:t> </w:t>
      </w:r>
      <w:r>
        <w:rPr>
          <w:sz w:val="20"/>
        </w:rPr>
        <w:t>fluctuations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overall</w:t>
      </w:r>
      <w:r>
        <w:rPr>
          <w:spacing w:val="-47"/>
          <w:sz w:val="20"/>
        </w:rPr>
        <w:t> </w:t>
      </w:r>
      <w:r>
        <w:rPr>
          <w:sz w:val="20"/>
        </w:rPr>
        <w:t>stock</w:t>
      </w:r>
      <w:r>
        <w:rPr>
          <w:spacing w:val="-1"/>
          <w:sz w:val="20"/>
        </w:rPr>
        <w:t> </w:t>
      </w:r>
      <w:r>
        <w:rPr>
          <w:sz w:val="20"/>
        </w:rPr>
        <w:t>market;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0" w:lineRule="auto" w:before="182" w:after="0"/>
        <w:ind w:left="820" w:right="0" w:hanging="360"/>
        <w:jc w:val="left"/>
        <w:rPr>
          <w:sz w:val="20"/>
        </w:rPr>
      </w:pPr>
      <w:r>
        <w:rPr>
          <w:sz w:val="20"/>
        </w:rPr>
        <w:t>expiration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market</w:t>
      </w:r>
      <w:r>
        <w:rPr>
          <w:spacing w:val="-4"/>
          <w:sz w:val="20"/>
        </w:rPr>
        <w:t> </w:t>
      </w:r>
      <w:r>
        <w:rPr>
          <w:sz w:val="20"/>
        </w:rPr>
        <w:t>stand-off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lock-up</w:t>
      </w:r>
      <w:r>
        <w:rPr>
          <w:spacing w:val="-3"/>
          <w:sz w:val="20"/>
        </w:rPr>
        <w:t> </w:t>
      </w:r>
      <w:r>
        <w:rPr>
          <w:sz w:val="20"/>
        </w:rPr>
        <w:t>agreements;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lawsuits</w:t>
      </w:r>
      <w:r>
        <w:rPr>
          <w:spacing w:val="-5"/>
          <w:sz w:val="20"/>
        </w:rPr>
        <w:t> </w:t>
      </w:r>
      <w:r>
        <w:rPr>
          <w:sz w:val="20"/>
        </w:rPr>
        <w:t>threatened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filed</w:t>
      </w:r>
      <w:r>
        <w:rPr>
          <w:spacing w:val="-3"/>
          <w:sz w:val="20"/>
        </w:rPr>
        <w:t> </w:t>
      </w:r>
      <w:r>
        <w:rPr>
          <w:sz w:val="20"/>
        </w:rPr>
        <w:t>against</w:t>
      </w:r>
      <w:r>
        <w:rPr>
          <w:spacing w:val="-4"/>
          <w:sz w:val="20"/>
        </w:rPr>
        <w:t> </w:t>
      </w:r>
      <w:r>
        <w:rPr>
          <w:sz w:val="20"/>
        </w:rPr>
        <w:t>us;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9" w:lineRule="auto" w:before="190" w:after="0"/>
        <w:ind w:left="820" w:right="622" w:hanging="360"/>
        <w:jc w:val="left"/>
        <w:rPr>
          <w:sz w:val="20"/>
        </w:rPr>
      </w:pPr>
      <w:r>
        <w:rPr>
          <w:sz w:val="20"/>
        </w:rPr>
        <w:t>developments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new</w:t>
      </w:r>
      <w:r>
        <w:rPr>
          <w:spacing w:val="-4"/>
          <w:sz w:val="20"/>
        </w:rPr>
        <w:t> </w:t>
      </w:r>
      <w:r>
        <w:rPr>
          <w:sz w:val="20"/>
        </w:rPr>
        <w:t>legislation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pending</w:t>
      </w:r>
      <w:r>
        <w:rPr>
          <w:spacing w:val="-4"/>
          <w:sz w:val="20"/>
        </w:rPr>
        <w:t> </w:t>
      </w:r>
      <w:r>
        <w:rPr>
          <w:sz w:val="20"/>
        </w:rPr>
        <w:t>lawsuits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regulatory</w:t>
      </w:r>
      <w:r>
        <w:rPr>
          <w:spacing w:val="-3"/>
          <w:sz w:val="20"/>
        </w:rPr>
        <w:t> </w:t>
      </w:r>
      <w:r>
        <w:rPr>
          <w:sz w:val="20"/>
        </w:rPr>
        <w:t>actions,</w:t>
      </w:r>
      <w:r>
        <w:rPr>
          <w:spacing w:val="-3"/>
          <w:sz w:val="20"/>
        </w:rPr>
        <w:t> </w:t>
      </w:r>
      <w:r>
        <w:rPr>
          <w:sz w:val="20"/>
        </w:rPr>
        <w:t>including</w:t>
      </w:r>
      <w:r>
        <w:rPr>
          <w:spacing w:val="-3"/>
          <w:sz w:val="20"/>
        </w:rPr>
        <w:t> </w:t>
      </w:r>
      <w:r>
        <w:rPr>
          <w:sz w:val="20"/>
        </w:rPr>
        <w:t>interim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final</w:t>
      </w:r>
      <w:r>
        <w:rPr>
          <w:spacing w:val="-47"/>
          <w:sz w:val="20"/>
        </w:rPr>
        <w:t> </w:t>
      </w:r>
      <w:r>
        <w:rPr>
          <w:sz w:val="20"/>
        </w:rPr>
        <w:t>rulings</w:t>
      </w:r>
      <w:r>
        <w:rPr>
          <w:spacing w:val="-2"/>
          <w:sz w:val="20"/>
        </w:rPr>
        <w:t> </w:t>
      </w:r>
      <w:r>
        <w:rPr>
          <w:sz w:val="20"/>
        </w:rPr>
        <w:t>by judicial</w:t>
      </w:r>
      <w:r>
        <w:rPr>
          <w:spacing w:val="-1"/>
          <w:sz w:val="20"/>
        </w:rPr>
        <w:t> </w:t>
      </w:r>
      <w:r>
        <w:rPr>
          <w:sz w:val="20"/>
        </w:rPr>
        <w:t>or regulatory bodies;</w:t>
      </w:r>
      <w:r>
        <w:rPr>
          <w:spacing w:val="-1"/>
          <w:sz w:val="20"/>
        </w:rPr>
        <w:t> </w:t>
      </w:r>
      <w:r>
        <w:rPr>
          <w:sz w:val="20"/>
        </w:rPr>
        <w:t>and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9" w:lineRule="auto" w:before="181" w:after="0"/>
        <w:ind w:left="820" w:right="207" w:hanging="360"/>
        <w:jc w:val="left"/>
        <w:rPr>
          <w:sz w:val="20"/>
        </w:rPr>
      </w:pPr>
      <w:r>
        <w:rPr>
          <w:sz w:val="20"/>
        </w:rPr>
        <w:t>other</w:t>
      </w:r>
      <w:r>
        <w:rPr>
          <w:spacing w:val="-4"/>
          <w:sz w:val="20"/>
        </w:rPr>
        <w:t> </w:t>
      </w:r>
      <w:r>
        <w:rPr>
          <w:sz w:val="20"/>
        </w:rPr>
        <w:t>events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factors,</w:t>
      </w:r>
      <w:r>
        <w:rPr>
          <w:spacing w:val="-4"/>
          <w:sz w:val="20"/>
        </w:rPr>
        <w:t> </w:t>
      </w:r>
      <w:r>
        <w:rPr>
          <w:sz w:val="20"/>
        </w:rPr>
        <w:t>including</w:t>
      </w:r>
      <w:r>
        <w:rPr>
          <w:spacing w:val="-3"/>
          <w:sz w:val="20"/>
        </w:rPr>
        <w:t> </w:t>
      </w:r>
      <w:r>
        <w:rPr>
          <w:sz w:val="20"/>
        </w:rPr>
        <w:t>those</w:t>
      </w:r>
      <w:r>
        <w:rPr>
          <w:spacing w:val="-4"/>
          <w:sz w:val="20"/>
        </w:rPr>
        <w:t> </w:t>
      </w:r>
      <w:r>
        <w:rPr>
          <w:sz w:val="20"/>
        </w:rPr>
        <w:t>resulting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political</w:t>
      </w:r>
      <w:r>
        <w:rPr>
          <w:spacing w:val="-4"/>
          <w:sz w:val="20"/>
        </w:rPr>
        <w:t> </w:t>
      </w:r>
      <w:r>
        <w:rPr>
          <w:sz w:val="20"/>
        </w:rPr>
        <w:t>conditions,</w:t>
      </w:r>
      <w:r>
        <w:rPr>
          <w:spacing w:val="-3"/>
          <w:sz w:val="20"/>
        </w:rPr>
        <w:t> </w:t>
      </w:r>
      <w:r>
        <w:rPr>
          <w:sz w:val="20"/>
        </w:rPr>
        <w:t>election</w:t>
      </w:r>
      <w:r>
        <w:rPr>
          <w:spacing w:val="-3"/>
          <w:sz w:val="20"/>
        </w:rPr>
        <w:t> </w:t>
      </w:r>
      <w:r>
        <w:rPr>
          <w:sz w:val="20"/>
        </w:rPr>
        <w:t>cycles,</w:t>
      </w:r>
      <w:r>
        <w:rPr>
          <w:spacing w:val="-4"/>
          <w:sz w:val="20"/>
        </w:rPr>
        <w:t> </w:t>
      </w:r>
      <w:r>
        <w:rPr>
          <w:sz w:val="20"/>
        </w:rPr>
        <w:t>war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incidents</w:t>
      </w:r>
      <w:r>
        <w:rPr>
          <w:spacing w:val="-47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terrorism,</w:t>
      </w:r>
      <w:r>
        <w:rPr>
          <w:spacing w:val="-1"/>
          <w:sz w:val="20"/>
        </w:rPr>
        <w:t> </w:t>
      </w:r>
      <w:r>
        <w:rPr>
          <w:sz w:val="20"/>
        </w:rPr>
        <w:t>or responses</w:t>
      </w:r>
      <w:r>
        <w:rPr>
          <w:spacing w:val="-2"/>
          <w:sz w:val="20"/>
        </w:rPr>
        <w:t> </w:t>
      </w:r>
      <w:r>
        <w:rPr>
          <w:sz w:val="20"/>
        </w:rPr>
        <w:t>to these</w:t>
      </w:r>
      <w:r>
        <w:rPr>
          <w:spacing w:val="-2"/>
          <w:sz w:val="20"/>
        </w:rPr>
        <w:t> </w:t>
      </w:r>
      <w:r>
        <w:rPr>
          <w:sz w:val="20"/>
        </w:rPr>
        <w:t>events, many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which are</w:t>
      </w:r>
      <w:r>
        <w:rPr>
          <w:spacing w:val="-2"/>
          <w:sz w:val="20"/>
        </w:rPr>
        <w:t> </w:t>
      </w:r>
      <w:r>
        <w:rPr>
          <w:sz w:val="20"/>
        </w:rPr>
        <w:t>outside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our control.</w:t>
      </w:r>
    </w:p>
    <w:p>
      <w:pPr>
        <w:pStyle w:val="BodyText"/>
        <w:spacing w:line="249" w:lineRule="auto" w:before="182"/>
        <w:ind w:right="148"/>
      </w:pPr>
      <w:r>
        <w:rPr/>
        <w:t>In addition, extreme price and volume fluctuations in the stock markets have affected and continue to affect</w:t>
      </w:r>
      <w:r>
        <w:rPr>
          <w:spacing w:val="1"/>
        </w:rPr>
        <w:t> </w:t>
      </w:r>
      <w:r>
        <w:rPr/>
        <w:t>many life sciences and technology companies’ stock prices. Stock prices often fluctuate in ways unrelated or</w:t>
      </w:r>
      <w:r>
        <w:rPr>
          <w:spacing w:val="1"/>
        </w:rPr>
        <w:t> </w:t>
      </w:r>
      <w:r>
        <w:rPr/>
        <w:t>disproportionate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companies’</w:t>
      </w:r>
      <w:r>
        <w:rPr>
          <w:spacing w:val="-3"/>
        </w:rPr>
        <w:t> </w:t>
      </w:r>
      <w:r>
        <w:rPr/>
        <w:t>operating</w:t>
      </w:r>
      <w:r>
        <w:rPr>
          <w:spacing w:val="-3"/>
        </w:rPr>
        <w:t> </w:t>
      </w:r>
      <w:r>
        <w:rPr/>
        <w:t>performance.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past,</w:t>
      </w:r>
      <w:r>
        <w:rPr>
          <w:spacing w:val="-3"/>
        </w:rPr>
        <w:t> </w:t>
      </w:r>
      <w:r>
        <w:rPr/>
        <w:t>stockholders</w:t>
      </w:r>
      <w:r>
        <w:rPr>
          <w:spacing w:val="-4"/>
        </w:rPr>
        <w:t> </w:t>
      </w:r>
      <w:r>
        <w:rPr/>
        <w:t>have</w:t>
      </w:r>
      <w:r>
        <w:rPr>
          <w:spacing w:val="-5"/>
        </w:rPr>
        <w:t> </w:t>
      </w:r>
      <w:r>
        <w:rPr/>
        <w:t>filed</w:t>
      </w:r>
      <w:r>
        <w:rPr>
          <w:spacing w:val="-3"/>
        </w:rPr>
        <w:t> </w:t>
      </w:r>
      <w:r>
        <w:rPr/>
        <w:t>securities</w:t>
      </w:r>
      <w:r>
        <w:rPr>
          <w:spacing w:val="-5"/>
        </w:rPr>
        <w:t> </w:t>
      </w:r>
      <w:r>
        <w:rPr/>
        <w:t>class</w:t>
      </w:r>
      <w:r>
        <w:rPr>
          <w:spacing w:val="-4"/>
        </w:rPr>
        <w:t> </w:t>
      </w:r>
      <w:r>
        <w:rPr/>
        <w:t>action</w:t>
      </w:r>
      <w:r>
        <w:rPr>
          <w:spacing w:val="-47"/>
        </w:rPr>
        <w:t> </w:t>
      </w:r>
      <w:r>
        <w:rPr/>
        <w:t>litigation following periods of market volatility. This risk is especially relevant for us because medical technology</w:t>
      </w:r>
      <w:r>
        <w:rPr>
          <w:spacing w:val="1"/>
        </w:rPr>
        <w:t> </w:t>
      </w:r>
      <w:r>
        <w:rPr/>
        <w:t>companies have experienced significant stock price volatility in recent years. If we were to become involved in</w:t>
      </w:r>
      <w:r>
        <w:rPr>
          <w:spacing w:val="1"/>
        </w:rPr>
        <w:t> </w:t>
      </w:r>
      <w:r>
        <w:rPr/>
        <w:t>securities litigation, it could subject us to substantial costs, divert resources and the attention of management from</w:t>
      </w:r>
      <w:r>
        <w:rPr>
          <w:spacing w:val="1"/>
        </w:rPr>
        <w:t> </w:t>
      </w:r>
      <w:r>
        <w:rPr/>
        <w:t>our</w:t>
      </w:r>
      <w:r>
        <w:rPr>
          <w:spacing w:val="-1"/>
        </w:rPr>
        <w:t> </w:t>
      </w:r>
      <w:r>
        <w:rPr/>
        <w:t>business</w:t>
      </w:r>
      <w:r>
        <w:rPr>
          <w:spacing w:val="-1"/>
        </w:rPr>
        <w:t> </w:t>
      </w:r>
      <w:r>
        <w:rPr/>
        <w:t>and seriously harm</w:t>
      </w:r>
      <w:r>
        <w:rPr>
          <w:spacing w:val="-1"/>
        </w:rPr>
        <w:t> </w:t>
      </w:r>
      <w:r>
        <w:rPr/>
        <w:t>our business.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  <w:ind w:right="127"/>
      </w:pPr>
      <w:r>
        <w:rPr/>
        <w:t>Moreover,</w:t>
      </w:r>
      <w:r>
        <w:rPr>
          <w:spacing w:val="-3"/>
        </w:rPr>
        <w:t> </w:t>
      </w:r>
      <w:r>
        <w:rPr/>
        <w:t>because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these</w:t>
      </w:r>
      <w:r>
        <w:rPr>
          <w:spacing w:val="-3"/>
        </w:rPr>
        <w:t> </w:t>
      </w:r>
      <w:r>
        <w:rPr/>
        <w:t>fluctuations,</w:t>
      </w:r>
      <w:r>
        <w:rPr>
          <w:spacing w:val="-3"/>
        </w:rPr>
        <w:t> </w:t>
      </w:r>
      <w:r>
        <w:rPr/>
        <w:t>comparing</w:t>
      </w:r>
      <w:r>
        <w:rPr>
          <w:spacing w:val="-2"/>
        </w:rPr>
        <w:t> </w:t>
      </w:r>
      <w:r>
        <w:rPr/>
        <w:t>our</w:t>
      </w:r>
      <w:r>
        <w:rPr>
          <w:spacing w:val="-3"/>
        </w:rPr>
        <w:t> </w:t>
      </w:r>
      <w:r>
        <w:rPr/>
        <w:t>operating</w:t>
      </w:r>
      <w:r>
        <w:rPr>
          <w:spacing w:val="-2"/>
        </w:rPr>
        <w:t> </w:t>
      </w:r>
      <w:r>
        <w:rPr/>
        <w:t>results</w:t>
      </w:r>
      <w:r>
        <w:rPr>
          <w:spacing w:val="-4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period-to-period</w:t>
      </w:r>
      <w:r>
        <w:rPr>
          <w:spacing w:val="-2"/>
        </w:rPr>
        <w:t> </w:t>
      </w:r>
      <w:r>
        <w:rPr/>
        <w:t>basis</w:t>
      </w:r>
      <w:r>
        <w:rPr>
          <w:spacing w:val="-4"/>
        </w:rPr>
        <w:t> </w:t>
      </w:r>
      <w:r>
        <w:rPr/>
        <w:t>may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be</w:t>
      </w:r>
      <w:r>
        <w:rPr>
          <w:spacing w:val="-47"/>
        </w:rPr>
        <w:t> </w:t>
      </w:r>
      <w:r>
        <w:rPr/>
        <w:t>meaningful. You should not rely on our past results as an indication of our future performance. This variability and</w:t>
      </w:r>
      <w:r>
        <w:rPr>
          <w:spacing w:val="1"/>
        </w:rPr>
        <w:t> </w:t>
      </w:r>
      <w:r>
        <w:rPr/>
        <w:t>unpredictability could also result in our failure to meet the expectations of industry or financial analysts or investors</w:t>
      </w:r>
      <w:r>
        <w:rPr>
          <w:spacing w:val="1"/>
        </w:rPr>
        <w:t> </w:t>
      </w:r>
      <w:r>
        <w:rPr/>
        <w:t>for any period. If our revenues or operating results fall below the expectations of analysts or investors or below any</w:t>
      </w:r>
      <w:r>
        <w:rPr>
          <w:spacing w:val="1"/>
        </w:rPr>
        <w:t> </w:t>
      </w:r>
      <w:r>
        <w:rPr/>
        <w:t>forecasts we may provide to the market, or if the forecasts we provide to the market are below the expectations of</w:t>
      </w:r>
      <w:r>
        <w:rPr>
          <w:spacing w:val="1"/>
        </w:rPr>
        <w:t> </w:t>
      </w:r>
      <w:r>
        <w:rPr/>
        <w:t>analysts or investors, the price of our common stock could decline substantially. Such a stock price decline could</w:t>
      </w:r>
      <w:r>
        <w:rPr>
          <w:spacing w:val="1"/>
        </w:rPr>
        <w:t> </w:t>
      </w:r>
      <w:r>
        <w:rPr/>
        <w:t>occur</w:t>
      </w:r>
      <w:r>
        <w:rPr>
          <w:spacing w:val="-2"/>
        </w:rPr>
        <w:t> </w:t>
      </w:r>
      <w:r>
        <w:rPr/>
        <w:t>even</w:t>
      </w:r>
      <w:r>
        <w:rPr>
          <w:spacing w:val="-2"/>
        </w:rPr>
        <w:t> </w:t>
      </w:r>
      <w:r>
        <w:rPr/>
        <w:t>when</w:t>
      </w:r>
      <w:r>
        <w:rPr>
          <w:spacing w:val="-1"/>
        </w:rPr>
        <w:t> </w:t>
      </w:r>
      <w:r>
        <w:rPr/>
        <w:t>we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met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previously</w:t>
      </w:r>
      <w:r>
        <w:rPr>
          <w:spacing w:val="-2"/>
        </w:rPr>
        <w:t> </w:t>
      </w:r>
      <w:r>
        <w:rPr/>
        <w:t>publicly</w:t>
      </w:r>
      <w:r>
        <w:rPr>
          <w:spacing w:val="-1"/>
        </w:rPr>
        <w:t> </w:t>
      </w:r>
      <w:r>
        <w:rPr/>
        <w:t>stated</w:t>
      </w:r>
      <w:r>
        <w:rPr>
          <w:spacing w:val="-2"/>
        </w:rPr>
        <w:t> </w:t>
      </w:r>
      <w:r>
        <w:rPr/>
        <w:t>revenue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earnings</w:t>
      </w:r>
      <w:r>
        <w:rPr>
          <w:spacing w:val="-3"/>
        </w:rPr>
        <w:t> </w:t>
      </w:r>
      <w:r>
        <w:rPr/>
        <w:t>forecasts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we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provide.</w:t>
      </w:r>
    </w:p>
    <w:p>
      <w:pPr>
        <w:pStyle w:val="Heading3"/>
        <w:spacing w:before="182"/>
        <w:rPr>
          <w:i/>
        </w:rPr>
      </w:pPr>
      <w:r>
        <w:rPr>
          <w:i/>
        </w:rPr>
        <w:t>Future</w:t>
      </w:r>
      <w:r>
        <w:rPr>
          <w:i/>
          <w:spacing w:val="-5"/>
        </w:rPr>
        <w:t> </w:t>
      </w:r>
      <w:r>
        <w:rPr>
          <w:i/>
        </w:rPr>
        <w:t>sales</w:t>
      </w:r>
      <w:r>
        <w:rPr>
          <w:i/>
          <w:spacing w:val="-4"/>
        </w:rPr>
        <w:t> </w:t>
      </w:r>
      <w:r>
        <w:rPr>
          <w:i/>
        </w:rPr>
        <w:t>of</w:t>
      </w:r>
      <w:r>
        <w:rPr>
          <w:i/>
          <w:spacing w:val="-3"/>
        </w:rPr>
        <w:t> </w:t>
      </w:r>
      <w:r>
        <w:rPr>
          <w:i/>
        </w:rPr>
        <w:t>shares</w:t>
      </w:r>
      <w:r>
        <w:rPr>
          <w:i/>
          <w:spacing w:val="-4"/>
        </w:rPr>
        <w:t> </w:t>
      </w:r>
      <w:r>
        <w:rPr>
          <w:i/>
        </w:rPr>
        <w:t>by</w:t>
      </w:r>
      <w:r>
        <w:rPr>
          <w:i/>
          <w:spacing w:val="-4"/>
        </w:rPr>
        <w:t> </w:t>
      </w:r>
      <w:r>
        <w:rPr>
          <w:i/>
        </w:rPr>
        <w:t>existing</w:t>
      </w:r>
      <w:r>
        <w:rPr>
          <w:i/>
          <w:spacing w:val="-3"/>
        </w:rPr>
        <w:t> </w:t>
      </w:r>
      <w:r>
        <w:rPr>
          <w:i/>
        </w:rPr>
        <w:t>stockholders</w:t>
      </w:r>
      <w:r>
        <w:rPr>
          <w:i/>
          <w:spacing w:val="-4"/>
        </w:rPr>
        <w:t> </w:t>
      </w:r>
      <w:r>
        <w:rPr>
          <w:i/>
        </w:rPr>
        <w:t>could</w:t>
      </w:r>
      <w:r>
        <w:rPr>
          <w:i/>
          <w:spacing w:val="-4"/>
        </w:rPr>
        <w:t> </w:t>
      </w:r>
      <w:r>
        <w:rPr>
          <w:i/>
        </w:rPr>
        <w:t>cause</w:t>
      </w:r>
      <w:r>
        <w:rPr>
          <w:i/>
          <w:spacing w:val="-4"/>
        </w:rPr>
        <w:t> </w:t>
      </w:r>
      <w:r>
        <w:rPr>
          <w:i/>
        </w:rPr>
        <w:t>our</w:t>
      </w:r>
      <w:r>
        <w:rPr>
          <w:i/>
          <w:spacing w:val="-4"/>
        </w:rPr>
        <w:t> </w:t>
      </w:r>
      <w:r>
        <w:rPr>
          <w:i/>
        </w:rPr>
        <w:t>stock</w:t>
      </w:r>
      <w:r>
        <w:rPr>
          <w:i/>
          <w:spacing w:val="-3"/>
        </w:rPr>
        <w:t> </w:t>
      </w:r>
      <w:r>
        <w:rPr>
          <w:i/>
        </w:rPr>
        <w:t>price</w:t>
      </w:r>
      <w:r>
        <w:rPr>
          <w:i/>
          <w:spacing w:val="-4"/>
        </w:rPr>
        <w:t> </w:t>
      </w:r>
      <w:r>
        <w:rPr>
          <w:i/>
        </w:rPr>
        <w:t>to</w:t>
      </w:r>
      <w:r>
        <w:rPr>
          <w:i/>
          <w:spacing w:val="-3"/>
        </w:rPr>
        <w:t> </w:t>
      </w:r>
      <w:r>
        <w:rPr>
          <w:i/>
        </w:rPr>
        <w:t>decline.</w:t>
      </w:r>
    </w:p>
    <w:p>
      <w:pPr>
        <w:pStyle w:val="BodyText"/>
        <w:spacing w:line="249" w:lineRule="auto" w:before="193"/>
        <w:ind w:right="113"/>
      </w:pPr>
      <w:r>
        <w:rPr/>
        <w:t>If our existing stockholders sell, or indicate an intention to sell, substantial amounts of our common stock in the</w:t>
      </w:r>
      <w:r>
        <w:rPr>
          <w:spacing w:val="1"/>
        </w:rPr>
        <w:t> </w:t>
      </w:r>
      <w:r>
        <w:rPr/>
        <w:t>public market after the lock-up and legal restrictions on resale discussed in our prospectus lapse, the trading price of</w:t>
      </w:r>
      <w:r>
        <w:rPr>
          <w:spacing w:val="1"/>
        </w:rPr>
        <w:t> </w:t>
      </w:r>
      <w:r>
        <w:rPr/>
        <w:t>our common stock could decline. As of September 30, 2021, we had a total of 43,471,678 shares of common stock</w:t>
      </w:r>
      <w:r>
        <w:rPr>
          <w:spacing w:val="1"/>
        </w:rPr>
        <w:t> </w:t>
      </w:r>
      <w:r>
        <w:rPr/>
        <w:t>outstanding. Of these shares, only the shares of common stock sold in our IPO are currently freely tradable, without</w:t>
      </w:r>
      <w:r>
        <w:rPr>
          <w:spacing w:val="1"/>
        </w:rPr>
        <w:t> </w:t>
      </w:r>
      <w:r>
        <w:rPr/>
        <w:t>restriction, in the public market. Each of our directors, executive officers and other holders of substantially all our</w:t>
      </w:r>
      <w:r>
        <w:rPr>
          <w:spacing w:val="1"/>
        </w:rPr>
        <w:t> </w:t>
      </w:r>
      <w:r>
        <w:rPr/>
        <w:t>outstanding equity securities are subject to lock-up and market standoff agreements that restrict their ability to,</w:t>
      </w:r>
      <w:r>
        <w:rPr>
          <w:spacing w:val="1"/>
        </w:rPr>
        <w:t> </w:t>
      </w:r>
      <w:r>
        <w:rPr/>
        <w:t>among other things and subject to certain exceptions, sell or transfer their shares until March 13, 2022, subject to</w:t>
      </w:r>
      <w:r>
        <w:rPr>
          <w:spacing w:val="1"/>
        </w:rPr>
        <w:t> </w:t>
      </w:r>
      <w:r>
        <w:rPr/>
        <w:t>certain exceptions. However, BofA Securities, Inc. and Goldman Sachs &amp; Co. LLC may, in their sole discretion,</w:t>
      </w:r>
      <w:r>
        <w:rPr>
          <w:spacing w:val="1"/>
        </w:rPr>
        <w:t> </w:t>
      </w:r>
      <w:r>
        <w:rPr/>
        <w:t>waive the contractual lock-up before the lock-up agreements expire. After the lock-up agreements expire, all shares</w:t>
      </w:r>
      <w:r>
        <w:rPr>
          <w:spacing w:val="1"/>
        </w:rPr>
        <w:t> </w:t>
      </w:r>
      <w:r>
        <w:rPr/>
        <w:t>outstanding will be eligible for sale in the public market, of which the shares are held by directors, executive officers</w:t>
      </w:r>
      <w:r>
        <w:rPr>
          <w:spacing w:val="-47"/>
        </w:rPr>
        <w:t> </w:t>
      </w:r>
      <w:r>
        <w:rPr/>
        <w:t>and other affiliates and will be subject to volume limitations under Rule 144 of the Securities Act, and various</w:t>
      </w:r>
      <w:r>
        <w:rPr>
          <w:spacing w:val="1"/>
        </w:rPr>
        <w:t> </w:t>
      </w:r>
      <w:r>
        <w:rPr/>
        <w:t>vesting</w:t>
      </w:r>
      <w:r>
        <w:rPr>
          <w:spacing w:val="-3"/>
        </w:rPr>
        <w:t> </w:t>
      </w:r>
      <w:r>
        <w:rPr/>
        <w:t>agreements.</w:t>
      </w:r>
      <w:r>
        <w:rPr>
          <w:spacing w:val="-2"/>
        </w:rPr>
        <w:t> </w:t>
      </w:r>
      <w:r>
        <w:rPr/>
        <w:t>Sales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substantial</w:t>
      </w:r>
      <w:r>
        <w:rPr>
          <w:spacing w:val="-3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such</w:t>
      </w:r>
      <w:r>
        <w:rPr>
          <w:spacing w:val="-3"/>
        </w:rPr>
        <w:t> </w:t>
      </w:r>
      <w:r>
        <w:rPr/>
        <w:t>shares</w:t>
      </w:r>
      <w:r>
        <w:rPr>
          <w:spacing w:val="-3"/>
        </w:rPr>
        <w:t> </w:t>
      </w:r>
      <w:r>
        <w:rPr/>
        <w:t>upon</w:t>
      </w:r>
      <w:r>
        <w:rPr>
          <w:spacing w:val="-3"/>
        </w:rPr>
        <w:t> </w:t>
      </w:r>
      <w:r>
        <w:rPr/>
        <w:t>expiration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lock-up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market</w:t>
      </w:r>
      <w:r>
        <w:rPr>
          <w:spacing w:val="-3"/>
        </w:rPr>
        <w:t> </w:t>
      </w:r>
      <w:r>
        <w:rPr/>
        <w:t>stand-off</w:t>
      </w:r>
      <w:r>
        <w:rPr>
          <w:spacing w:val="-47"/>
        </w:rPr>
        <w:t> </w:t>
      </w:r>
      <w:r>
        <w:rPr/>
        <w:t>agreements, the perception that such sales may occur or early release of these agreements, could cause our market</w:t>
      </w:r>
      <w:r>
        <w:rPr>
          <w:spacing w:val="1"/>
        </w:rPr>
        <w:t> </w:t>
      </w:r>
      <w:r>
        <w:rPr/>
        <w:t>price to fall or make it more difficult for you to sell your common stock at a time and price that you deem</w:t>
      </w:r>
      <w:r>
        <w:rPr>
          <w:spacing w:val="1"/>
        </w:rPr>
        <w:t> </w:t>
      </w:r>
      <w:r>
        <w:rPr/>
        <w:t>appropriate.</w:t>
      </w:r>
    </w:p>
    <w:p>
      <w:pPr>
        <w:pStyle w:val="BodyText"/>
        <w:spacing w:line="249" w:lineRule="auto" w:before="193"/>
        <w:ind w:right="193"/>
      </w:pPr>
      <w:r>
        <w:rPr/>
        <w:t>In</w:t>
      </w:r>
      <w:r>
        <w:rPr>
          <w:spacing w:val="-2"/>
        </w:rPr>
        <w:t> </w:t>
      </w:r>
      <w:r>
        <w:rPr/>
        <w:t>addition,</w:t>
      </w:r>
      <w:r>
        <w:rPr>
          <w:spacing w:val="-2"/>
        </w:rPr>
        <w:t> </w:t>
      </w:r>
      <w:r>
        <w:rPr/>
        <w:t>6,606,871</w:t>
      </w:r>
      <w:r>
        <w:rPr>
          <w:spacing w:val="-2"/>
        </w:rPr>
        <w:t> </w:t>
      </w:r>
      <w:r>
        <w:rPr/>
        <w:t>shares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common</w:t>
      </w:r>
      <w:r>
        <w:rPr>
          <w:spacing w:val="-2"/>
        </w:rPr>
        <w:t> </w:t>
      </w:r>
      <w:r>
        <w:rPr/>
        <w:t>stock</w:t>
      </w:r>
      <w:r>
        <w:rPr>
          <w:spacing w:val="-2"/>
        </w:rPr>
        <w:t> </w:t>
      </w:r>
      <w:r>
        <w:rPr/>
        <w:t>were</w:t>
      </w:r>
      <w:r>
        <w:rPr>
          <w:spacing w:val="-3"/>
        </w:rPr>
        <w:t> </w:t>
      </w:r>
      <w:r>
        <w:rPr/>
        <w:t>issuable</w:t>
      </w:r>
      <w:r>
        <w:rPr>
          <w:spacing w:val="-3"/>
        </w:rPr>
        <w:t> </w:t>
      </w:r>
      <w:r>
        <w:rPr/>
        <w:t>upon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exercise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options</w:t>
      </w:r>
      <w:r>
        <w:rPr>
          <w:spacing w:val="-3"/>
        </w:rPr>
        <w:t> </w:t>
      </w:r>
      <w:r>
        <w:rPr/>
        <w:t>outstanding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of</w:t>
      </w:r>
      <w:r>
        <w:rPr>
          <w:spacing w:val="-47"/>
        </w:rPr>
        <w:t> </w:t>
      </w:r>
      <w:r>
        <w:rPr/>
        <w:t>September 30, 2021. These shares will become eligible for sale in the public market to the extent permitted by the</w:t>
      </w:r>
      <w:r>
        <w:rPr>
          <w:spacing w:val="1"/>
        </w:rPr>
        <w:t> </w:t>
      </w:r>
      <w:r>
        <w:rPr/>
        <w:t>provisions of various vesting agreements, the lock-up agreements and Rules 144 and 701 of the Securities Act. We</w:t>
      </w:r>
      <w:r>
        <w:rPr>
          <w:spacing w:val="1"/>
        </w:rPr>
        <w:t> </w:t>
      </w:r>
      <w:r>
        <w:rPr/>
        <w:t>filed a registration statement on Form S-8 under the Securities Act covering all the shares of common stock subject</w:t>
      </w:r>
      <w:r>
        <w:rPr>
          <w:spacing w:val="1"/>
        </w:rPr>
        <w:t> </w:t>
      </w:r>
      <w:r>
        <w:rPr/>
        <w:t>to stock options outstanding and reserved for issuance under our stock plans. Shares covered by that registration</w:t>
      </w:r>
      <w:r>
        <w:rPr>
          <w:spacing w:val="1"/>
        </w:rPr>
        <w:t> </w:t>
      </w:r>
      <w:r>
        <w:rPr/>
        <w:t>statement are eligible for sale in the public markets, subject to Rule 144 limitations applicable to affiliates and the</w:t>
      </w:r>
      <w:r>
        <w:rPr>
          <w:spacing w:val="1"/>
        </w:rPr>
        <w:t> </w:t>
      </w:r>
      <w:r>
        <w:rPr/>
        <w:t>lock-up agreement described above. If these additional shares are sold, or if it is perceived that they will be sold in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public</w:t>
      </w:r>
      <w:r>
        <w:rPr>
          <w:spacing w:val="-1"/>
        </w:rPr>
        <w:t> </w:t>
      </w:r>
      <w:r>
        <w:rPr/>
        <w:t>market, the</w:t>
      </w:r>
      <w:r>
        <w:rPr>
          <w:spacing w:val="-2"/>
        </w:rPr>
        <w:t> </w:t>
      </w:r>
      <w:r>
        <w:rPr/>
        <w:t>trading price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our common stock</w:t>
      </w:r>
      <w:r>
        <w:rPr>
          <w:spacing w:val="-1"/>
        </w:rPr>
        <w:t> </w:t>
      </w:r>
      <w:r>
        <w:rPr/>
        <w:t>could decline.</w:t>
      </w:r>
    </w:p>
    <w:p>
      <w:pPr>
        <w:pStyle w:val="Heading3"/>
        <w:spacing w:line="249" w:lineRule="auto" w:before="183"/>
        <w:ind w:right="212"/>
      </w:pPr>
      <w:r>
        <w:rPr>
          <w:i/>
        </w:rPr>
        <w:t>We</w:t>
      </w:r>
      <w:r>
        <w:rPr>
          <w:i/>
          <w:spacing w:val="-4"/>
        </w:rPr>
        <w:t> </w:t>
      </w:r>
      <w:r>
        <w:rPr>
          <w:i/>
        </w:rPr>
        <w:t>do</w:t>
      </w:r>
      <w:r>
        <w:rPr>
          <w:i/>
          <w:spacing w:val="-2"/>
        </w:rPr>
        <w:t> </w:t>
      </w:r>
      <w:r>
        <w:rPr>
          <w:i/>
        </w:rPr>
        <w:t>not</w:t>
      </w:r>
      <w:r>
        <w:rPr>
          <w:i/>
          <w:spacing w:val="-3"/>
        </w:rPr>
        <w:t> </w:t>
      </w:r>
      <w:r>
        <w:rPr>
          <w:i/>
        </w:rPr>
        <w:t>intend</w:t>
      </w:r>
      <w:r>
        <w:rPr>
          <w:i/>
          <w:spacing w:val="-2"/>
        </w:rPr>
        <w:t> </w:t>
      </w:r>
      <w:r>
        <w:rPr>
          <w:i/>
        </w:rPr>
        <w:t>to</w:t>
      </w:r>
      <w:r>
        <w:rPr>
          <w:i/>
          <w:spacing w:val="-3"/>
        </w:rPr>
        <w:t> </w:t>
      </w:r>
      <w:r>
        <w:rPr>
          <w:i/>
        </w:rPr>
        <w:t>pay</w:t>
      </w:r>
      <w:r>
        <w:rPr>
          <w:i/>
          <w:spacing w:val="-3"/>
        </w:rPr>
        <w:t> </w:t>
      </w:r>
      <w:r>
        <w:rPr>
          <w:i/>
        </w:rPr>
        <w:t>dividends</w:t>
      </w:r>
      <w:r>
        <w:rPr>
          <w:i/>
          <w:spacing w:val="-3"/>
        </w:rPr>
        <w:t> </w:t>
      </w:r>
      <w:r>
        <w:rPr>
          <w:i/>
        </w:rPr>
        <w:t>for</w:t>
      </w:r>
      <w:r>
        <w:rPr>
          <w:i/>
          <w:spacing w:val="-3"/>
        </w:rPr>
        <w:t> </w:t>
      </w:r>
      <w:r>
        <w:rPr>
          <w:i/>
        </w:rPr>
        <w:t>the</w:t>
      </w:r>
      <w:r>
        <w:rPr>
          <w:i/>
          <w:spacing w:val="-3"/>
        </w:rPr>
        <w:t> </w:t>
      </w:r>
      <w:r>
        <w:rPr>
          <w:i/>
        </w:rPr>
        <w:t>foreseeable</w:t>
      </w:r>
      <w:r>
        <w:rPr>
          <w:i/>
          <w:spacing w:val="-4"/>
        </w:rPr>
        <w:t> </w:t>
      </w:r>
      <w:r>
        <w:rPr>
          <w:i/>
        </w:rPr>
        <w:t>future</w:t>
      </w:r>
      <w:r>
        <w:rPr>
          <w:i/>
          <w:spacing w:val="-3"/>
        </w:rPr>
        <w:t> </w:t>
      </w:r>
      <w:r>
        <w:rPr>
          <w:i/>
        </w:rPr>
        <w:t>and,</w:t>
      </w:r>
      <w:r>
        <w:rPr>
          <w:i/>
          <w:spacing w:val="-2"/>
        </w:rPr>
        <w:t> </w:t>
      </w:r>
      <w:r>
        <w:rPr>
          <w:i/>
        </w:rPr>
        <w:t>as</w:t>
      </w:r>
      <w:r>
        <w:rPr>
          <w:i/>
          <w:spacing w:val="-3"/>
        </w:rPr>
        <w:t> </w:t>
      </w:r>
      <w:r>
        <w:rPr>
          <w:i/>
        </w:rPr>
        <w:t>a</w:t>
      </w:r>
      <w:r>
        <w:rPr>
          <w:i/>
          <w:spacing w:val="-2"/>
        </w:rPr>
        <w:t> </w:t>
      </w:r>
      <w:r>
        <w:rPr>
          <w:i/>
        </w:rPr>
        <w:t>result,</w:t>
      </w:r>
      <w:r>
        <w:rPr>
          <w:i/>
          <w:spacing w:val="-3"/>
        </w:rPr>
        <w:t> </w:t>
      </w:r>
      <w:r>
        <w:rPr>
          <w:i/>
        </w:rPr>
        <w:t>your</w:t>
      </w:r>
      <w:r>
        <w:rPr>
          <w:i/>
          <w:spacing w:val="-3"/>
        </w:rPr>
        <w:t> </w:t>
      </w:r>
      <w:r>
        <w:rPr>
          <w:i/>
        </w:rPr>
        <w:t>ability</w:t>
      </w:r>
      <w:r>
        <w:rPr>
          <w:i/>
          <w:spacing w:val="-3"/>
        </w:rPr>
        <w:t> </w:t>
      </w:r>
      <w:r>
        <w:rPr>
          <w:i/>
        </w:rPr>
        <w:t>to</w:t>
      </w:r>
      <w:r>
        <w:rPr>
          <w:i/>
          <w:spacing w:val="-2"/>
        </w:rPr>
        <w:t> </w:t>
      </w:r>
      <w:r>
        <w:rPr>
          <w:i/>
        </w:rPr>
        <w:t>achieve</w:t>
      </w:r>
      <w:r>
        <w:rPr>
          <w:i/>
          <w:spacing w:val="-3"/>
        </w:rPr>
        <w:t> </w:t>
      </w:r>
      <w:r>
        <w:rPr>
          <w:i/>
        </w:rPr>
        <w:t>a</w:t>
      </w:r>
      <w:r>
        <w:rPr>
          <w:i/>
          <w:spacing w:val="-3"/>
        </w:rPr>
        <w:t> </w:t>
      </w:r>
      <w:r>
        <w:rPr>
          <w:i/>
        </w:rPr>
        <w:t>return</w:t>
      </w:r>
      <w:r>
        <w:rPr>
          <w:i/>
          <w:spacing w:val="-3"/>
        </w:rPr>
        <w:t> </w:t>
      </w:r>
      <w:r>
        <w:rPr>
          <w:i/>
        </w:rPr>
        <w:t>on</w:t>
      </w:r>
      <w:r>
        <w:rPr>
          <w:i/>
          <w:spacing w:val="1"/>
        </w:rPr>
        <w:t> </w:t>
      </w:r>
      <w:r>
        <w:rPr/>
        <w:t>your</w:t>
      </w:r>
      <w:r>
        <w:rPr>
          <w:spacing w:val="-2"/>
        </w:rPr>
        <w:t> </w:t>
      </w:r>
      <w:r>
        <w:rPr/>
        <w:t>investment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depend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appreciation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price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our</w:t>
      </w:r>
      <w:r>
        <w:rPr>
          <w:spacing w:val="-1"/>
        </w:rPr>
        <w:t> </w:t>
      </w:r>
      <w:r>
        <w:rPr/>
        <w:t>common</w:t>
      </w:r>
      <w:r>
        <w:rPr>
          <w:spacing w:val="-2"/>
        </w:rPr>
        <w:t> </w:t>
      </w:r>
      <w:r>
        <w:rPr/>
        <w:t>stock.</w:t>
      </w:r>
    </w:p>
    <w:p>
      <w:pPr>
        <w:pStyle w:val="BodyText"/>
        <w:spacing w:line="249" w:lineRule="auto" w:before="185"/>
        <w:ind w:right="212"/>
      </w:pPr>
      <w:r>
        <w:rPr/>
        <w:t>We have never declared or paid any cash dividends on our common stock and do not intend to pay any cash</w:t>
      </w:r>
      <w:r>
        <w:rPr>
          <w:spacing w:val="1"/>
        </w:rPr>
        <w:t> </w:t>
      </w:r>
      <w:r>
        <w:rPr/>
        <w:t>dividends in the foreseeable future. We anticipate that we will retain all of our future earnings for use in the</w:t>
      </w:r>
      <w:r>
        <w:rPr>
          <w:spacing w:val="1"/>
        </w:rPr>
        <w:t> </w:t>
      </w:r>
      <w:r>
        <w:rPr/>
        <w:t>development of our business and for general corporate purposes. Any determination to pay dividends in the future</w:t>
      </w:r>
      <w:r>
        <w:rPr>
          <w:spacing w:val="1"/>
        </w:rPr>
        <w:t> </w:t>
      </w:r>
      <w:r>
        <w:rPr/>
        <w:t>will be at the discretion of our board of directors. In addition, the terms of our loan and security agreement with</w:t>
      </w:r>
      <w:r>
        <w:rPr>
          <w:spacing w:val="1"/>
        </w:rPr>
        <w:t> </w:t>
      </w:r>
      <w:r>
        <w:rPr/>
        <w:t>Oxford</w:t>
      </w:r>
      <w:r>
        <w:rPr>
          <w:spacing w:val="-4"/>
        </w:rPr>
        <w:t> </w:t>
      </w:r>
      <w:r>
        <w:rPr/>
        <w:t>Finance</w:t>
      </w:r>
      <w:r>
        <w:rPr>
          <w:spacing w:val="-4"/>
        </w:rPr>
        <w:t> </w:t>
      </w:r>
      <w:r>
        <w:rPr/>
        <w:t>LLC</w:t>
      </w:r>
      <w:r>
        <w:rPr>
          <w:spacing w:val="-4"/>
        </w:rPr>
        <w:t> </w:t>
      </w:r>
      <w:r>
        <w:rPr/>
        <w:t>restrict</w:t>
      </w:r>
      <w:r>
        <w:rPr>
          <w:spacing w:val="-4"/>
        </w:rPr>
        <w:t> </w:t>
      </w:r>
      <w:r>
        <w:rPr/>
        <w:t>our</w:t>
      </w:r>
      <w:r>
        <w:rPr>
          <w:spacing w:val="-4"/>
        </w:rPr>
        <w:t> </w:t>
      </w: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pay</w:t>
      </w:r>
      <w:r>
        <w:rPr>
          <w:spacing w:val="-3"/>
        </w:rPr>
        <w:t> </w:t>
      </w:r>
      <w:r>
        <w:rPr/>
        <w:t>dividends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limited</w:t>
      </w:r>
      <w:r>
        <w:rPr>
          <w:spacing w:val="-3"/>
        </w:rPr>
        <w:t> </w:t>
      </w:r>
      <w:r>
        <w:rPr/>
        <w:t>circumstances.</w:t>
      </w:r>
      <w:r>
        <w:rPr>
          <w:spacing w:val="-3"/>
        </w:rPr>
        <w:t> </w:t>
      </w:r>
      <w:r>
        <w:rPr/>
        <w:t>Accordingly,</w:t>
      </w:r>
      <w:r>
        <w:rPr>
          <w:spacing w:val="-4"/>
        </w:rPr>
        <w:t> </w:t>
      </w:r>
      <w:r>
        <w:rPr/>
        <w:t>investors</w:t>
      </w:r>
      <w:r>
        <w:rPr>
          <w:spacing w:val="-4"/>
        </w:rPr>
        <w:t> </w:t>
      </w:r>
      <w:r>
        <w:rPr/>
        <w:t>must</w:t>
      </w:r>
      <w:r>
        <w:rPr>
          <w:spacing w:val="-4"/>
        </w:rPr>
        <w:t> </w:t>
      </w:r>
      <w:r>
        <w:rPr/>
        <w:t>rely</w:t>
      </w:r>
      <w:r>
        <w:rPr>
          <w:spacing w:val="-47"/>
        </w:rPr>
        <w:t> </w:t>
      </w:r>
      <w:r>
        <w:rPr/>
        <w:t>on sales of their common stock after price appreciation, which may never occur, as the only way to realize any</w:t>
      </w:r>
      <w:r>
        <w:rPr>
          <w:spacing w:val="1"/>
        </w:rPr>
        <w:t> </w:t>
      </w:r>
      <w:r>
        <w:rPr/>
        <w:t>future</w:t>
      </w:r>
      <w:r>
        <w:rPr>
          <w:spacing w:val="-2"/>
        </w:rPr>
        <w:t> </w:t>
      </w:r>
      <w:r>
        <w:rPr/>
        <w:t>gains</w:t>
      </w:r>
      <w:r>
        <w:rPr>
          <w:spacing w:val="-1"/>
        </w:rPr>
        <w:t> </w:t>
      </w:r>
      <w:r>
        <w:rPr/>
        <w:t>on their investments.</w:t>
      </w:r>
    </w:p>
    <w:p>
      <w:pPr>
        <w:pStyle w:val="Heading3"/>
        <w:spacing w:line="249" w:lineRule="auto" w:before="182"/>
        <w:ind w:right="212"/>
      </w:pPr>
      <w:r>
        <w:rPr>
          <w:i/>
        </w:rPr>
        <w:t>Our</w:t>
      </w:r>
      <w:r>
        <w:rPr>
          <w:i/>
          <w:spacing w:val="-4"/>
        </w:rPr>
        <w:t> </w:t>
      </w:r>
      <w:r>
        <w:rPr>
          <w:i/>
        </w:rPr>
        <w:t>principal</w:t>
      </w:r>
      <w:r>
        <w:rPr>
          <w:i/>
          <w:spacing w:val="-4"/>
        </w:rPr>
        <w:t> </w:t>
      </w:r>
      <w:r>
        <w:rPr>
          <w:i/>
        </w:rPr>
        <w:t>stockholders</w:t>
      </w:r>
      <w:r>
        <w:rPr>
          <w:i/>
          <w:spacing w:val="-3"/>
        </w:rPr>
        <w:t> </w:t>
      </w:r>
      <w:r>
        <w:rPr>
          <w:i/>
        </w:rPr>
        <w:t>and</w:t>
      </w:r>
      <w:r>
        <w:rPr>
          <w:i/>
          <w:spacing w:val="-3"/>
        </w:rPr>
        <w:t> </w:t>
      </w:r>
      <w:r>
        <w:rPr>
          <w:i/>
        </w:rPr>
        <w:t>management</w:t>
      </w:r>
      <w:r>
        <w:rPr>
          <w:i/>
          <w:spacing w:val="-4"/>
        </w:rPr>
        <w:t> </w:t>
      </w:r>
      <w:r>
        <w:rPr>
          <w:i/>
        </w:rPr>
        <w:t>own</w:t>
      </w:r>
      <w:r>
        <w:rPr>
          <w:i/>
          <w:spacing w:val="-3"/>
        </w:rPr>
        <w:t> </w:t>
      </w:r>
      <w:r>
        <w:rPr>
          <w:i/>
        </w:rPr>
        <w:t>a</w:t>
      </w:r>
      <w:r>
        <w:rPr>
          <w:i/>
          <w:spacing w:val="-3"/>
        </w:rPr>
        <w:t> </w:t>
      </w:r>
      <w:r>
        <w:rPr>
          <w:i/>
        </w:rPr>
        <w:t>significant</w:t>
      </w:r>
      <w:r>
        <w:rPr>
          <w:i/>
          <w:spacing w:val="-4"/>
        </w:rPr>
        <w:t> </w:t>
      </w:r>
      <w:r>
        <w:rPr>
          <w:i/>
        </w:rPr>
        <w:t>percentage</w:t>
      </w:r>
      <w:r>
        <w:rPr>
          <w:i/>
          <w:spacing w:val="-3"/>
        </w:rPr>
        <w:t> </w:t>
      </w:r>
      <w:r>
        <w:rPr>
          <w:i/>
        </w:rPr>
        <w:t>of</w:t>
      </w:r>
      <w:r>
        <w:rPr>
          <w:i/>
          <w:spacing w:val="-3"/>
        </w:rPr>
        <w:t> </w:t>
      </w:r>
      <w:r>
        <w:rPr>
          <w:i/>
        </w:rPr>
        <w:t>our</w:t>
      </w:r>
      <w:r>
        <w:rPr>
          <w:i/>
          <w:spacing w:val="-4"/>
        </w:rPr>
        <w:t> </w:t>
      </w:r>
      <w:r>
        <w:rPr>
          <w:i/>
        </w:rPr>
        <w:t>stock</w:t>
      </w:r>
      <w:r>
        <w:rPr>
          <w:i/>
          <w:spacing w:val="-2"/>
        </w:rPr>
        <w:t> </w:t>
      </w:r>
      <w:r>
        <w:rPr>
          <w:i/>
        </w:rPr>
        <w:t>and</w:t>
      </w:r>
      <w:r>
        <w:rPr>
          <w:i/>
          <w:spacing w:val="-3"/>
        </w:rPr>
        <w:t> </w:t>
      </w:r>
      <w:r>
        <w:rPr>
          <w:i/>
        </w:rPr>
        <w:t>will</w:t>
      </w:r>
      <w:r>
        <w:rPr>
          <w:i/>
          <w:spacing w:val="-4"/>
        </w:rPr>
        <w:t> </w:t>
      </w:r>
      <w:r>
        <w:rPr>
          <w:i/>
        </w:rPr>
        <w:t>be</w:t>
      </w:r>
      <w:r>
        <w:rPr>
          <w:i/>
          <w:spacing w:val="-3"/>
        </w:rPr>
        <w:t> </w:t>
      </w:r>
      <w:r>
        <w:rPr>
          <w:i/>
        </w:rPr>
        <w:t>able</w:t>
      </w:r>
      <w:r>
        <w:rPr>
          <w:i/>
          <w:spacing w:val="-4"/>
        </w:rPr>
        <w:t> </w:t>
      </w:r>
      <w:r>
        <w:rPr>
          <w:i/>
        </w:rPr>
        <w:t>to</w:t>
      </w:r>
      <w:r>
        <w:rPr>
          <w:i/>
          <w:spacing w:val="-47"/>
        </w:rPr>
        <w:t> </w:t>
      </w:r>
      <w:r>
        <w:rPr/>
        <w:t>exercise</w:t>
      </w:r>
      <w:r>
        <w:rPr>
          <w:spacing w:val="-2"/>
        </w:rPr>
        <w:t> </w:t>
      </w:r>
      <w:r>
        <w:rPr/>
        <w:t>significant</w:t>
      </w:r>
      <w:r>
        <w:rPr>
          <w:spacing w:val="-2"/>
        </w:rPr>
        <w:t> </w:t>
      </w:r>
      <w:r>
        <w:rPr/>
        <w:t>influence</w:t>
      </w:r>
      <w:r>
        <w:rPr>
          <w:spacing w:val="-2"/>
        </w:rPr>
        <w:t> </w:t>
      </w:r>
      <w:r>
        <w:rPr/>
        <w:t>over</w:t>
      </w:r>
      <w:r>
        <w:rPr>
          <w:spacing w:val="-1"/>
        </w:rPr>
        <w:t> </w:t>
      </w:r>
      <w:r>
        <w:rPr/>
        <w:t>matters</w:t>
      </w:r>
      <w:r>
        <w:rPr>
          <w:spacing w:val="-2"/>
        </w:rPr>
        <w:t> </w:t>
      </w:r>
      <w:r>
        <w:rPr/>
        <w:t>subject</w:t>
      </w:r>
      <w:r>
        <w:rPr>
          <w:spacing w:val="-2"/>
        </w:rPr>
        <w:t> </w:t>
      </w:r>
      <w:r>
        <w:rPr/>
        <w:t>to stockholder</w:t>
      </w:r>
      <w:r>
        <w:rPr>
          <w:spacing w:val="-2"/>
        </w:rPr>
        <w:t> </w:t>
      </w:r>
      <w:r>
        <w:rPr/>
        <w:t>approval.</w:t>
      </w:r>
    </w:p>
    <w:p>
      <w:pPr>
        <w:pStyle w:val="BodyText"/>
        <w:spacing w:line="249" w:lineRule="auto" w:before="185"/>
        <w:ind w:right="121"/>
      </w:pPr>
      <w:r>
        <w:rPr/>
        <w:t>As of September 30, 2021, our executive officers, directors and 5% stockholders beneficially owned more than</w:t>
      </w:r>
      <w:r>
        <w:rPr>
          <w:spacing w:val="1"/>
        </w:rPr>
        <w:t> </w:t>
      </w:r>
      <w:r>
        <w:rPr/>
        <w:t>25% of our outstanding shares of common stock. Therefore these stockholders will have the ability to influence us</w:t>
      </w:r>
      <w:r>
        <w:rPr>
          <w:spacing w:val="1"/>
        </w:rPr>
        <w:t> </w:t>
      </w:r>
      <w:r>
        <w:rPr/>
        <w:t>through this ownership position. The interests of these stockholders may not be the same as or may even conflict</w:t>
      </w:r>
      <w:r>
        <w:rPr>
          <w:spacing w:val="1"/>
        </w:rPr>
        <w:t> </w:t>
      </w:r>
      <w:r>
        <w:rPr/>
        <w:t>with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interests.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example,</w:t>
      </w:r>
      <w:r>
        <w:rPr>
          <w:spacing w:val="-2"/>
        </w:rPr>
        <w:t> </w:t>
      </w:r>
      <w:r>
        <w:rPr/>
        <w:t>these</w:t>
      </w:r>
      <w:r>
        <w:rPr>
          <w:spacing w:val="-3"/>
        </w:rPr>
        <w:t> </w:t>
      </w:r>
      <w:r>
        <w:rPr/>
        <w:t>stockholders</w:t>
      </w:r>
      <w:r>
        <w:rPr>
          <w:spacing w:val="-3"/>
        </w:rPr>
        <w:t> </w:t>
      </w:r>
      <w:r>
        <w:rPr/>
        <w:t>could</w:t>
      </w:r>
      <w:r>
        <w:rPr>
          <w:spacing w:val="-3"/>
        </w:rPr>
        <w:t> </w:t>
      </w:r>
      <w:r>
        <w:rPr/>
        <w:t>attempt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delay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prevent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change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control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us,</w:t>
      </w:r>
      <w:r>
        <w:rPr>
          <w:spacing w:val="-2"/>
        </w:rPr>
        <w:t> </w:t>
      </w:r>
      <w:r>
        <w:rPr/>
        <w:t>even</w:t>
      </w:r>
      <w:r>
        <w:rPr>
          <w:spacing w:val="-47"/>
        </w:rPr>
        <w:t> </w:t>
      </w:r>
      <w:r>
        <w:rPr/>
        <w:t>if such change in control would benefit our other stockholders, which could deprive our stockholders of an</w:t>
      </w:r>
      <w:r>
        <w:rPr>
          <w:spacing w:val="1"/>
        </w:rPr>
        <w:t> </w:t>
      </w:r>
      <w:r>
        <w:rPr/>
        <w:t>opportunity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receive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premium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their</w:t>
      </w:r>
      <w:r>
        <w:rPr>
          <w:spacing w:val="-1"/>
        </w:rPr>
        <w:t> </w:t>
      </w:r>
      <w:r>
        <w:rPr/>
        <w:t>common</w:t>
      </w:r>
      <w:r>
        <w:rPr>
          <w:spacing w:val="-1"/>
        </w:rPr>
        <w:t> </w:t>
      </w:r>
      <w:r>
        <w:rPr/>
        <w:t>stock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sale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us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our</w:t>
      </w:r>
      <w:r>
        <w:rPr>
          <w:spacing w:val="-2"/>
        </w:rPr>
        <w:t> </w:t>
      </w:r>
      <w:r>
        <w:rPr/>
        <w:t>assets,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might</w:t>
      </w:r>
      <w:r>
        <w:rPr>
          <w:spacing w:val="-3"/>
        </w:rPr>
        <w:t> </w:t>
      </w:r>
      <w:r>
        <w:rPr/>
        <w:t>affect</w:t>
      </w:r>
      <w:r>
        <w:rPr>
          <w:spacing w:val="-2"/>
        </w:rPr>
        <w:t> </w:t>
      </w:r>
      <w:r>
        <w:rPr/>
        <w:t>the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  <w:ind w:right="212" w:firstLine="0"/>
      </w:pPr>
      <w:r>
        <w:rPr/>
        <w:t>prevailing</w:t>
      </w:r>
      <w:r>
        <w:rPr>
          <w:spacing w:val="-3"/>
        </w:rPr>
        <w:t> </w:t>
      </w:r>
      <w:r>
        <w:rPr/>
        <w:t>market</w:t>
      </w:r>
      <w:r>
        <w:rPr>
          <w:spacing w:val="-3"/>
        </w:rPr>
        <w:t> </w:t>
      </w:r>
      <w:r>
        <w:rPr/>
        <w:t>price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our</w:t>
      </w:r>
      <w:r>
        <w:rPr>
          <w:spacing w:val="-3"/>
        </w:rPr>
        <w:t> </w:t>
      </w:r>
      <w:r>
        <w:rPr/>
        <w:t>common</w:t>
      </w:r>
      <w:r>
        <w:rPr>
          <w:spacing w:val="-2"/>
        </w:rPr>
        <w:t> </w:t>
      </w:r>
      <w:r>
        <w:rPr/>
        <w:t>stock</w:t>
      </w:r>
      <w:r>
        <w:rPr>
          <w:spacing w:val="-3"/>
        </w:rPr>
        <w:t> </w:t>
      </w:r>
      <w:r>
        <w:rPr/>
        <w:t>due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investors’</w:t>
      </w:r>
      <w:r>
        <w:rPr>
          <w:spacing w:val="-2"/>
        </w:rPr>
        <w:t> </w:t>
      </w:r>
      <w:r>
        <w:rPr/>
        <w:t>perceptions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conflicts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interest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exist</w:t>
      </w:r>
      <w:r>
        <w:rPr>
          <w:spacing w:val="-3"/>
        </w:rPr>
        <w:t> </w:t>
      </w:r>
      <w:r>
        <w:rPr/>
        <w:t>or</w:t>
      </w:r>
      <w:r>
        <w:rPr>
          <w:spacing w:val="-47"/>
        </w:rPr>
        <w:t> </w:t>
      </w:r>
      <w:r>
        <w:rPr/>
        <w:t>arise.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result,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concentration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ownership</w:t>
      </w:r>
      <w:r>
        <w:rPr>
          <w:spacing w:val="-1"/>
        </w:rPr>
        <w:t> </w:t>
      </w:r>
      <w:r>
        <w:rPr/>
        <w:t>may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best</w:t>
      </w:r>
      <w:r>
        <w:rPr>
          <w:spacing w:val="-3"/>
        </w:rPr>
        <w:t> </w:t>
      </w:r>
      <w:r>
        <w:rPr/>
        <w:t>interests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other</w:t>
      </w:r>
      <w:r>
        <w:rPr>
          <w:spacing w:val="-1"/>
        </w:rPr>
        <w:t> </w:t>
      </w:r>
      <w:r>
        <w:rPr/>
        <w:t>stockholders.</w:t>
      </w:r>
    </w:p>
    <w:p>
      <w:pPr>
        <w:pStyle w:val="Heading3"/>
        <w:spacing w:line="249" w:lineRule="auto" w:before="178"/>
      </w:pPr>
      <w:r>
        <w:rPr>
          <w:i/>
        </w:rPr>
        <w:t>Future</w:t>
      </w:r>
      <w:r>
        <w:rPr>
          <w:i/>
          <w:spacing w:val="-5"/>
        </w:rPr>
        <w:t> </w:t>
      </w:r>
      <w:r>
        <w:rPr>
          <w:i/>
        </w:rPr>
        <w:t>securities</w:t>
      </w:r>
      <w:r>
        <w:rPr>
          <w:i/>
          <w:spacing w:val="-5"/>
        </w:rPr>
        <w:t> </w:t>
      </w:r>
      <w:r>
        <w:rPr>
          <w:i/>
        </w:rPr>
        <w:t>issuances</w:t>
      </w:r>
      <w:r>
        <w:rPr>
          <w:i/>
          <w:spacing w:val="-4"/>
        </w:rPr>
        <w:t> </w:t>
      </w:r>
      <w:r>
        <w:rPr>
          <w:i/>
        </w:rPr>
        <w:t>could</w:t>
      </w:r>
      <w:r>
        <w:rPr>
          <w:i/>
          <w:spacing w:val="-4"/>
        </w:rPr>
        <w:t> </w:t>
      </w:r>
      <w:r>
        <w:rPr>
          <w:i/>
        </w:rPr>
        <w:t>result</w:t>
      </w:r>
      <w:r>
        <w:rPr>
          <w:i/>
          <w:spacing w:val="-5"/>
        </w:rPr>
        <w:t> </w:t>
      </w:r>
      <w:r>
        <w:rPr>
          <w:i/>
        </w:rPr>
        <w:t>in</w:t>
      </w:r>
      <w:r>
        <w:rPr>
          <w:i/>
          <w:spacing w:val="-4"/>
        </w:rPr>
        <w:t> </w:t>
      </w:r>
      <w:r>
        <w:rPr>
          <w:i/>
        </w:rPr>
        <w:t>significant</w:t>
      </w:r>
      <w:r>
        <w:rPr>
          <w:i/>
          <w:spacing w:val="-5"/>
        </w:rPr>
        <w:t> </w:t>
      </w:r>
      <w:r>
        <w:rPr>
          <w:i/>
        </w:rPr>
        <w:t>dilution</w:t>
      </w:r>
      <w:r>
        <w:rPr>
          <w:i/>
          <w:spacing w:val="-4"/>
        </w:rPr>
        <w:t> </w:t>
      </w:r>
      <w:r>
        <w:rPr>
          <w:i/>
        </w:rPr>
        <w:t>to</w:t>
      </w:r>
      <w:r>
        <w:rPr>
          <w:i/>
          <w:spacing w:val="-4"/>
        </w:rPr>
        <w:t> </w:t>
      </w:r>
      <w:r>
        <w:rPr>
          <w:i/>
        </w:rPr>
        <w:t>our</w:t>
      </w:r>
      <w:r>
        <w:rPr>
          <w:i/>
          <w:spacing w:val="-5"/>
        </w:rPr>
        <w:t> </w:t>
      </w:r>
      <w:r>
        <w:rPr>
          <w:i/>
        </w:rPr>
        <w:t>stockholders</w:t>
      </w:r>
      <w:r>
        <w:rPr>
          <w:i/>
          <w:spacing w:val="-4"/>
        </w:rPr>
        <w:t> </w:t>
      </w:r>
      <w:r>
        <w:rPr>
          <w:i/>
        </w:rPr>
        <w:t>and</w:t>
      </w:r>
      <w:r>
        <w:rPr>
          <w:i/>
          <w:spacing w:val="-4"/>
        </w:rPr>
        <w:t> </w:t>
      </w:r>
      <w:r>
        <w:rPr>
          <w:i/>
        </w:rPr>
        <w:t>impair</w:t>
      </w:r>
      <w:r>
        <w:rPr>
          <w:i/>
          <w:spacing w:val="-5"/>
        </w:rPr>
        <w:t> </w:t>
      </w:r>
      <w:r>
        <w:rPr>
          <w:i/>
        </w:rPr>
        <w:t>the</w:t>
      </w:r>
      <w:r>
        <w:rPr>
          <w:i/>
          <w:spacing w:val="-4"/>
        </w:rPr>
        <w:t> </w:t>
      </w:r>
      <w:r>
        <w:rPr>
          <w:i/>
        </w:rPr>
        <w:t>market</w:t>
      </w:r>
      <w:r>
        <w:rPr>
          <w:i/>
          <w:spacing w:val="-5"/>
        </w:rPr>
        <w:t> </w:t>
      </w:r>
      <w:r>
        <w:rPr>
          <w:i/>
        </w:rPr>
        <w:t>price</w:t>
      </w:r>
      <w:r>
        <w:rPr>
          <w:i/>
          <w:spacing w:val="-4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/>
        <w:t>our</w:t>
      </w:r>
      <w:r>
        <w:rPr>
          <w:spacing w:val="-2"/>
        </w:rPr>
        <w:t> </w:t>
      </w:r>
      <w:r>
        <w:rPr/>
        <w:t>common</w:t>
      </w:r>
      <w:r>
        <w:rPr>
          <w:spacing w:val="-1"/>
        </w:rPr>
        <w:t> </w:t>
      </w:r>
      <w:r>
        <w:rPr/>
        <w:t>stock.</w:t>
      </w:r>
    </w:p>
    <w:p>
      <w:pPr>
        <w:pStyle w:val="BodyText"/>
        <w:spacing w:line="249" w:lineRule="auto" w:before="185"/>
        <w:ind w:right="136"/>
      </w:pPr>
      <w:r>
        <w:rPr/>
        <w:t>Future issuances of shares of our common stock, or the perception that these sales may occur, could depress the</w:t>
      </w:r>
      <w:r>
        <w:rPr>
          <w:spacing w:val="1"/>
        </w:rPr>
        <w:t> </w:t>
      </w:r>
      <w:r>
        <w:rPr/>
        <w:t>market price of our common stock and result in dilution to existing holders of our common stock. Also, to the extent</w:t>
      </w:r>
      <w:r>
        <w:rPr>
          <w:spacing w:val="-47"/>
        </w:rPr>
        <w:t> </w:t>
      </w:r>
      <w:r>
        <w:rPr/>
        <w:t>outstanding options to purchase shares of our common stock are exercised or options, restricted stock units or other</w:t>
      </w:r>
      <w:r>
        <w:rPr>
          <w:spacing w:val="1"/>
        </w:rPr>
        <w:t> </w:t>
      </w:r>
      <w:r>
        <w:rPr/>
        <w:t>stock-based awards are issued or become vested, there will be further dilution. The amount of dilution could be</w:t>
      </w:r>
      <w:r>
        <w:rPr>
          <w:spacing w:val="1"/>
        </w:rPr>
        <w:t> </w:t>
      </w:r>
      <w:r>
        <w:rPr/>
        <w:t>substantial depending upon the size of the issuances or exercises. Furthermore, we may issue additional equity</w:t>
      </w:r>
      <w:r>
        <w:rPr>
          <w:spacing w:val="1"/>
        </w:rPr>
        <w:t> </w:t>
      </w:r>
      <w:r>
        <w:rPr/>
        <w:t>securities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could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rights</w:t>
      </w:r>
      <w:r>
        <w:rPr>
          <w:spacing w:val="-3"/>
        </w:rPr>
        <w:t> </w:t>
      </w:r>
      <w:r>
        <w:rPr/>
        <w:t>senior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those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common</w:t>
      </w:r>
      <w:r>
        <w:rPr>
          <w:spacing w:val="-2"/>
        </w:rPr>
        <w:t> </w:t>
      </w:r>
      <w:r>
        <w:rPr/>
        <w:t>stock.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result,</w:t>
      </w:r>
      <w:r>
        <w:rPr>
          <w:spacing w:val="-2"/>
        </w:rPr>
        <w:t> </w:t>
      </w:r>
      <w:r>
        <w:rPr/>
        <w:t>holders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common</w:t>
      </w:r>
      <w:r>
        <w:rPr>
          <w:spacing w:val="-2"/>
        </w:rPr>
        <w:t> </w:t>
      </w:r>
      <w:r>
        <w:rPr/>
        <w:t>stock</w:t>
      </w:r>
      <w:r>
        <w:rPr>
          <w:spacing w:val="46"/>
        </w:rPr>
        <w:t> </w:t>
      </w:r>
      <w:r>
        <w:rPr/>
        <w:t>bear</w:t>
      </w:r>
      <w:r>
        <w:rPr>
          <w:spacing w:val="-47"/>
        </w:rPr>
        <w:t> </w:t>
      </w:r>
      <w:r>
        <w:rPr/>
        <w:t>the risk that future issuances of debt or equity securities may reduce the value of our common stock and further</w:t>
      </w:r>
      <w:r>
        <w:rPr>
          <w:spacing w:val="1"/>
        </w:rPr>
        <w:t> </w:t>
      </w:r>
      <w:r>
        <w:rPr/>
        <w:t>dilute</w:t>
      </w:r>
      <w:r>
        <w:rPr>
          <w:spacing w:val="-2"/>
        </w:rPr>
        <w:t> </w:t>
      </w:r>
      <w:r>
        <w:rPr/>
        <w:t>their ownership interest.</w:t>
      </w:r>
    </w:p>
    <w:p>
      <w:pPr>
        <w:pStyle w:val="Heading3"/>
        <w:spacing w:line="249" w:lineRule="auto" w:before="183"/>
      </w:pPr>
      <w:r>
        <w:rPr>
          <w:i/>
        </w:rPr>
        <w:t>Delaware</w:t>
      </w:r>
      <w:r>
        <w:rPr>
          <w:i/>
          <w:spacing w:val="-4"/>
        </w:rPr>
        <w:t> </w:t>
      </w:r>
      <w:r>
        <w:rPr>
          <w:i/>
        </w:rPr>
        <w:t>law</w:t>
      </w:r>
      <w:r>
        <w:rPr>
          <w:i/>
          <w:spacing w:val="-4"/>
        </w:rPr>
        <w:t> </w:t>
      </w:r>
      <w:r>
        <w:rPr>
          <w:i/>
        </w:rPr>
        <w:t>and</w:t>
      </w:r>
      <w:r>
        <w:rPr>
          <w:i/>
          <w:spacing w:val="-3"/>
        </w:rPr>
        <w:t> </w:t>
      </w:r>
      <w:r>
        <w:rPr>
          <w:i/>
        </w:rPr>
        <w:t>provisions</w:t>
      </w:r>
      <w:r>
        <w:rPr>
          <w:i/>
          <w:spacing w:val="-4"/>
        </w:rPr>
        <w:t> </w:t>
      </w:r>
      <w:r>
        <w:rPr>
          <w:i/>
        </w:rPr>
        <w:t>in</w:t>
      </w:r>
      <w:r>
        <w:rPr>
          <w:i/>
          <w:spacing w:val="-4"/>
        </w:rPr>
        <w:t> </w:t>
      </w:r>
      <w:r>
        <w:rPr>
          <w:i/>
        </w:rPr>
        <w:t>our</w:t>
      </w:r>
      <w:r>
        <w:rPr>
          <w:i/>
          <w:spacing w:val="-4"/>
        </w:rPr>
        <w:t> </w:t>
      </w:r>
      <w:r>
        <w:rPr>
          <w:i/>
        </w:rPr>
        <w:t>amended</w:t>
      </w:r>
      <w:r>
        <w:rPr>
          <w:i/>
          <w:spacing w:val="-2"/>
        </w:rPr>
        <w:t> </w:t>
      </w:r>
      <w:r>
        <w:rPr>
          <w:i/>
        </w:rPr>
        <w:t>and</w:t>
      </w:r>
      <w:r>
        <w:rPr>
          <w:i/>
          <w:spacing w:val="-3"/>
        </w:rPr>
        <w:t> </w:t>
      </w:r>
      <w:r>
        <w:rPr>
          <w:i/>
        </w:rPr>
        <w:t>restated</w:t>
      </w:r>
      <w:r>
        <w:rPr>
          <w:i/>
          <w:spacing w:val="-3"/>
        </w:rPr>
        <w:t> </w:t>
      </w:r>
      <w:r>
        <w:rPr>
          <w:i/>
        </w:rPr>
        <w:t>certificate</w:t>
      </w:r>
      <w:r>
        <w:rPr>
          <w:i/>
          <w:spacing w:val="-4"/>
        </w:rPr>
        <w:t> </w:t>
      </w:r>
      <w:r>
        <w:rPr>
          <w:i/>
        </w:rPr>
        <w:t>of</w:t>
      </w:r>
      <w:r>
        <w:rPr>
          <w:i/>
          <w:spacing w:val="-3"/>
        </w:rPr>
        <w:t> </w:t>
      </w:r>
      <w:r>
        <w:rPr>
          <w:i/>
        </w:rPr>
        <w:t>incorporation</w:t>
      </w:r>
      <w:r>
        <w:rPr>
          <w:i/>
          <w:spacing w:val="-4"/>
        </w:rPr>
        <w:t> </w:t>
      </w:r>
      <w:r>
        <w:rPr>
          <w:i/>
        </w:rPr>
        <w:t>and</w:t>
      </w:r>
      <w:r>
        <w:rPr>
          <w:i/>
          <w:spacing w:val="-3"/>
        </w:rPr>
        <w:t> </w:t>
      </w:r>
      <w:r>
        <w:rPr>
          <w:i/>
        </w:rPr>
        <w:t>bylaws</w:t>
      </w:r>
      <w:r>
        <w:rPr>
          <w:i/>
          <w:spacing w:val="-4"/>
        </w:rPr>
        <w:t> </w:t>
      </w:r>
      <w:r>
        <w:rPr>
          <w:i/>
        </w:rPr>
        <w:t>could</w:t>
      </w:r>
      <w:r>
        <w:rPr>
          <w:i/>
          <w:spacing w:val="-3"/>
        </w:rPr>
        <w:t> </w:t>
      </w:r>
      <w:r>
        <w:rPr>
          <w:i/>
        </w:rPr>
        <w:t>make</w:t>
      </w:r>
      <w:r>
        <w:rPr>
          <w:i/>
          <w:spacing w:val="-3"/>
        </w:rPr>
        <w:t> </w:t>
      </w:r>
      <w:r>
        <w:rPr>
          <w:i/>
        </w:rPr>
        <w:t>a</w:t>
      </w:r>
      <w:r>
        <w:rPr>
          <w:i/>
          <w:spacing w:val="1"/>
        </w:rPr>
        <w:t> </w:t>
      </w:r>
      <w:r>
        <w:rPr/>
        <w:t>merger,</w:t>
      </w:r>
      <w:r>
        <w:rPr>
          <w:spacing w:val="-2"/>
        </w:rPr>
        <w:t> </w:t>
      </w:r>
      <w:r>
        <w:rPr/>
        <w:t>tender</w:t>
      </w:r>
      <w:r>
        <w:rPr>
          <w:spacing w:val="-3"/>
        </w:rPr>
        <w:t> </w:t>
      </w:r>
      <w:r>
        <w:rPr/>
        <w:t>offer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proxy</w:t>
      </w:r>
      <w:r>
        <w:rPr>
          <w:spacing w:val="-3"/>
        </w:rPr>
        <w:t> </w:t>
      </w:r>
      <w:r>
        <w:rPr/>
        <w:t>contest</w:t>
      </w:r>
      <w:r>
        <w:rPr>
          <w:spacing w:val="-2"/>
        </w:rPr>
        <w:t> </w:t>
      </w:r>
      <w:r>
        <w:rPr/>
        <w:t>difficult,</w:t>
      </w:r>
      <w:r>
        <w:rPr>
          <w:spacing w:val="-2"/>
        </w:rPr>
        <w:t> </w:t>
      </w:r>
      <w:r>
        <w:rPr/>
        <w:t>thereby</w:t>
      </w:r>
      <w:r>
        <w:rPr>
          <w:spacing w:val="-3"/>
        </w:rPr>
        <w:t> </w:t>
      </w:r>
      <w:r>
        <w:rPr/>
        <w:t>depressing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trading</w:t>
      </w:r>
      <w:r>
        <w:rPr>
          <w:spacing w:val="-2"/>
        </w:rPr>
        <w:t> </w:t>
      </w:r>
      <w:r>
        <w:rPr/>
        <w:t>price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our</w:t>
      </w:r>
      <w:r>
        <w:rPr>
          <w:spacing w:val="-3"/>
        </w:rPr>
        <w:t> </w:t>
      </w:r>
      <w:r>
        <w:rPr/>
        <w:t>common</w:t>
      </w:r>
      <w:r>
        <w:rPr>
          <w:spacing w:val="-3"/>
        </w:rPr>
        <w:t> </w:t>
      </w:r>
      <w:r>
        <w:rPr/>
        <w:t>stock.</w:t>
      </w:r>
    </w:p>
    <w:p>
      <w:pPr>
        <w:pStyle w:val="BodyText"/>
        <w:spacing w:line="249" w:lineRule="auto" w:before="185"/>
        <w:ind w:right="148"/>
      </w:pPr>
      <w:r>
        <w:rPr/>
        <w:t>Our amended and restated certificate of incorporation and bylaws currently in effect contain provisions that</w:t>
      </w:r>
      <w:r>
        <w:rPr>
          <w:spacing w:val="1"/>
        </w:rPr>
        <w:t> </w:t>
      </w:r>
      <w:r>
        <w:rPr/>
        <w:t>could</w:t>
      </w:r>
      <w:r>
        <w:rPr>
          <w:spacing w:val="-2"/>
        </w:rPr>
        <w:t> </w:t>
      </w:r>
      <w:r>
        <w:rPr/>
        <w:t>depress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trading</w:t>
      </w:r>
      <w:r>
        <w:rPr>
          <w:spacing w:val="-1"/>
        </w:rPr>
        <w:t> </w:t>
      </w:r>
      <w:r>
        <w:rPr/>
        <w:t>price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common</w:t>
      </w:r>
      <w:r>
        <w:rPr>
          <w:spacing w:val="-1"/>
        </w:rPr>
        <w:t> </w:t>
      </w:r>
      <w:r>
        <w:rPr/>
        <w:t>stock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acting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discourage,</w:t>
      </w:r>
      <w:r>
        <w:rPr>
          <w:spacing w:val="-2"/>
        </w:rPr>
        <w:t> </w:t>
      </w:r>
      <w:r>
        <w:rPr/>
        <w:t>delay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prevent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change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control</w:t>
      </w:r>
      <w:r>
        <w:rPr>
          <w:spacing w:val="-3"/>
        </w:rPr>
        <w:t> </w:t>
      </w:r>
      <w:r>
        <w:rPr/>
        <w:t>of</w:t>
      </w:r>
      <w:r>
        <w:rPr>
          <w:spacing w:val="-47"/>
        </w:rPr>
        <w:t> </w:t>
      </w:r>
      <w:r>
        <w:rPr/>
        <w:t>our company or changes in our management that the stockholders of our company may deem advantageous. These</w:t>
      </w:r>
      <w:r>
        <w:rPr>
          <w:spacing w:val="1"/>
        </w:rPr>
        <w:t> </w:t>
      </w:r>
      <w:r>
        <w:rPr/>
        <w:t>provisions</w:t>
      </w:r>
      <w:r>
        <w:rPr>
          <w:spacing w:val="-2"/>
        </w:rPr>
        <w:t> </w:t>
      </w:r>
      <w:r>
        <w:rPr/>
        <w:t>include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following: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9" w:lineRule="auto" w:before="183" w:after="0"/>
        <w:ind w:left="820" w:right="368" w:hanging="360"/>
        <w:jc w:val="left"/>
        <w:rPr>
          <w:sz w:val="20"/>
        </w:rPr>
      </w:pPr>
      <w:r>
        <w:rPr>
          <w:sz w:val="20"/>
        </w:rPr>
        <w:t>establishing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classified</w:t>
      </w:r>
      <w:r>
        <w:rPr>
          <w:spacing w:val="-2"/>
          <w:sz w:val="20"/>
        </w:rPr>
        <w:t> </w:t>
      </w:r>
      <w:r>
        <w:rPr>
          <w:sz w:val="20"/>
        </w:rPr>
        <w:t>board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directors</w:t>
      </w:r>
      <w:r>
        <w:rPr>
          <w:spacing w:val="-3"/>
          <w:sz w:val="20"/>
        </w:rPr>
        <w:t> </w:t>
      </w:r>
      <w:r>
        <w:rPr>
          <w:sz w:val="20"/>
        </w:rPr>
        <w:t>so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all</w:t>
      </w:r>
      <w:r>
        <w:rPr>
          <w:spacing w:val="-3"/>
          <w:sz w:val="20"/>
        </w:rPr>
        <w:t> </w:t>
      </w:r>
      <w:r>
        <w:rPr>
          <w:sz w:val="20"/>
        </w:rPr>
        <w:t>members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2"/>
          <w:sz w:val="20"/>
        </w:rPr>
        <w:t> </w:t>
      </w:r>
      <w:r>
        <w:rPr>
          <w:sz w:val="20"/>
        </w:rPr>
        <w:t>board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directors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elected</w:t>
      </w:r>
      <w:r>
        <w:rPr>
          <w:spacing w:val="-2"/>
          <w:sz w:val="20"/>
        </w:rPr>
        <w:t> </w:t>
      </w:r>
      <w:r>
        <w:rPr>
          <w:sz w:val="20"/>
        </w:rPr>
        <w:t>at</w:t>
      </w:r>
      <w:r>
        <w:rPr>
          <w:spacing w:val="-47"/>
          <w:sz w:val="20"/>
        </w:rPr>
        <w:t> </w:t>
      </w:r>
      <w:r>
        <w:rPr>
          <w:sz w:val="20"/>
        </w:rPr>
        <w:t>one</w:t>
      </w:r>
      <w:r>
        <w:rPr>
          <w:spacing w:val="-2"/>
          <w:sz w:val="20"/>
        </w:rPr>
        <w:t> </w:t>
      </w:r>
      <w:r>
        <w:rPr>
          <w:sz w:val="20"/>
        </w:rPr>
        <w:t>time;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9" w:lineRule="auto" w:before="182" w:after="0"/>
        <w:ind w:left="820" w:right="535" w:hanging="360"/>
        <w:jc w:val="left"/>
        <w:rPr>
          <w:sz w:val="20"/>
        </w:rPr>
      </w:pPr>
      <w:r>
        <w:rPr>
          <w:sz w:val="20"/>
        </w:rPr>
        <w:t>permitting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2"/>
          <w:sz w:val="20"/>
        </w:rPr>
        <w:t> </w:t>
      </w:r>
      <w:r>
        <w:rPr>
          <w:sz w:val="20"/>
        </w:rPr>
        <w:t>board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directors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establish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number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directors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fill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vacancies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newly-</w:t>
      </w:r>
      <w:r>
        <w:rPr>
          <w:spacing w:val="-47"/>
          <w:sz w:val="20"/>
        </w:rPr>
        <w:t> </w:t>
      </w:r>
      <w:r>
        <w:rPr>
          <w:sz w:val="20"/>
        </w:rPr>
        <w:t>created</w:t>
      </w:r>
      <w:r>
        <w:rPr>
          <w:spacing w:val="-1"/>
          <w:sz w:val="20"/>
        </w:rPr>
        <w:t> </w:t>
      </w:r>
      <w:r>
        <w:rPr>
          <w:sz w:val="20"/>
        </w:rPr>
        <w:t>directorships;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9" w:lineRule="auto" w:before="182" w:after="0"/>
        <w:ind w:left="820" w:right="139" w:hanging="360"/>
        <w:jc w:val="left"/>
        <w:rPr>
          <w:sz w:val="20"/>
        </w:rPr>
      </w:pPr>
      <w:r>
        <w:rPr>
          <w:sz w:val="20"/>
        </w:rPr>
        <w:t>providing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directors</w:t>
      </w:r>
      <w:r>
        <w:rPr>
          <w:spacing w:val="-2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only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removed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cause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only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affirmative</w:t>
      </w:r>
      <w:r>
        <w:rPr>
          <w:spacing w:val="-3"/>
          <w:sz w:val="20"/>
        </w:rPr>
        <w:t> </w:t>
      </w:r>
      <w:r>
        <w:rPr>
          <w:sz w:val="20"/>
        </w:rPr>
        <w:t>vote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holders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47"/>
          <w:sz w:val="20"/>
        </w:rPr>
        <w:t> </w:t>
      </w:r>
      <w:r>
        <w:rPr>
          <w:sz w:val="20"/>
        </w:rPr>
        <w:t>least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majority of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voting</w:t>
      </w:r>
      <w:r>
        <w:rPr>
          <w:spacing w:val="-1"/>
          <w:sz w:val="20"/>
        </w:rPr>
        <w:t> </w:t>
      </w:r>
      <w:r>
        <w:rPr>
          <w:sz w:val="20"/>
        </w:rPr>
        <w:t>power of</w:t>
      </w:r>
      <w:r>
        <w:rPr>
          <w:spacing w:val="-1"/>
          <w:sz w:val="20"/>
        </w:rPr>
        <w:t> </w:t>
      </w:r>
      <w:r>
        <w:rPr>
          <w:sz w:val="20"/>
        </w:rPr>
        <w:t>all</w:t>
      </w:r>
      <w:r>
        <w:rPr>
          <w:spacing w:val="-2"/>
          <w:sz w:val="20"/>
        </w:rPr>
        <w:t> </w:t>
      </w:r>
      <w:r>
        <w:rPr>
          <w:sz w:val="20"/>
        </w:rPr>
        <w:t>then outstanding</w:t>
      </w:r>
      <w:r>
        <w:rPr>
          <w:spacing w:val="-1"/>
          <w:sz w:val="20"/>
        </w:rPr>
        <w:t> </w:t>
      </w:r>
      <w:r>
        <w:rPr>
          <w:sz w:val="20"/>
        </w:rPr>
        <w:t>shares</w:t>
      </w:r>
      <w:r>
        <w:rPr>
          <w:spacing w:val="-2"/>
          <w:sz w:val="20"/>
        </w:rPr>
        <w:t> </w:t>
      </w:r>
      <w:r>
        <w:rPr>
          <w:sz w:val="20"/>
        </w:rPr>
        <w:t>of our</w:t>
      </w:r>
      <w:r>
        <w:rPr>
          <w:spacing w:val="-1"/>
          <w:sz w:val="20"/>
        </w:rPr>
        <w:t> </w:t>
      </w:r>
      <w:r>
        <w:rPr>
          <w:sz w:val="20"/>
        </w:rPr>
        <w:t>capital</w:t>
      </w:r>
      <w:r>
        <w:rPr>
          <w:spacing w:val="-2"/>
          <w:sz w:val="20"/>
        </w:rPr>
        <w:t> </w:t>
      </w:r>
      <w:r>
        <w:rPr>
          <w:sz w:val="20"/>
        </w:rPr>
        <w:t>stock;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9" w:lineRule="auto" w:before="181" w:after="0"/>
        <w:ind w:left="820" w:right="159" w:hanging="360"/>
        <w:jc w:val="left"/>
        <w:rPr>
          <w:sz w:val="20"/>
        </w:rPr>
      </w:pPr>
      <w:r>
        <w:rPr>
          <w:sz w:val="20"/>
        </w:rPr>
        <w:t>requiring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approval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holders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two-thirds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our</w:t>
      </w:r>
      <w:r>
        <w:rPr>
          <w:spacing w:val="-2"/>
          <w:sz w:val="20"/>
        </w:rPr>
        <w:t> </w:t>
      </w:r>
      <w:r>
        <w:rPr>
          <w:sz w:val="20"/>
        </w:rPr>
        <w:t>outstanding</w:t>
      </w:r>
      <w:r>
        <w:rPr>
          <w:spacing w:val="-2"/>
          <w:sz w:val="20"/>
        </w:rPr>
        <w:t> </w:t>
      </w:r>
      <w:r>
        <w:rPr>
          <w:sz w:val="20"/>
        </w:rPr>
        <w:t>common</w:t>
      </w:r>
      <w:r>
        <w:rPr>
          <w:spacing w:val="-2"/>
          <w:sz w:val="20"/>
        </w:rPr>
        <w:t> </w:t>
      </w:r>
      <w:r>
        <w:rPr>
          <w:sz w:val="20"/>
        </w:rPr>
        <w:t>stock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amend</w:t>
      </w:r>
      <w:r>
        <w:rPr>
          <w:spacing w:val="-2"/>
          <w:sz w:val="20"/>
        </w:rPr>
        <w:t> </w:t>
      </w:r>
      <w:r>
        <w:rPr>
          <w:sz w:val="20"/>
        </w:rPr>
        <w:t>some</w:t>
      </w:r>
      <w:r>
        <w:rPr>
          <w:spacing w:val="-3"/>
          <w:sz w:val="20"/>
        </w:rPr>
        <w:t> </w:t>
      </w:r>
      <w:r>
        <w:rPr>
          <w:sz w:val="20"/>
        </w:rPr>
        <w:t>provisions</w:t>
      </w:r>
      <w:r>
        <w:rPr>
          <w:spacing w:val="-47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our amended</w:t>
      </w:r>
      <w:r>
        <w:rPr>
          <w:spacing w:val="-1"/>
          <w:sz w:val="20"/>
        </w:rPr>
        <w:t> </w:t>
      </w:r>
      <w:r>
        <w:rPr>
          <w:sz w:val="20"/>
        </w:rPr>
        <w:t>and restated</w:t>
      </w:r>
      <w:r>
        <w:rPr>
          <w:spacing w:val="-1"/>
          <w:sz w:val="20"/>
        </w:rPr>
        <w:t> </w:t>
      </w:r>
      <w:r>
        <w:rPr>
          <w:sz w:val="20"/>
        </w:rPr>
        <w:t>certificate</w:t>
      </w:r>
      <w:r>
        <w:rPr>
          <w:spacing w:val="-1"/>
          <w:sz w:val="20"/>
        </w:rPr>
        <w:t> </w:t>
      </w:r>
      <w:r>
        <w:rPr>
          <w:sz w:val="20"/>
        </w:rPr>
        <w:t>of incorporation</w:t>
      </w:r>
      <w:r>
        <w:rPr>
          <w:spacing w:val="-1"/>
          <w:sz w:val="20"/>
        </w:rPr>
        <w:t> </w:t>
      </w:r>
      <w:r>
        <w:rPr>
          <w:sz w:val="20"/>
        </w:rPr>
        <w:t>and bylaws;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9" w:lineRule="auto" w:before="182" w:after="0"/>
        <w:ind w:left="820" w:right="1018" w:hanging="360"/>
        <w:jc w:val="left"/>
        <w:rPr>
          <w:sz w:val="20"/>
        </w:rPr>
      </w:pPr>
      <w:r>
        <w:rPr>
          <w:sz w:val="20"/>
        </w:rPr>
        <w:t>authorizing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issuance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“blank</w:t>
      </w:r>
      <w:r>
        <w:rPr>
          <w:spacing w:val="-2"/>
          <w:sz w:val="20"/>
        </w:rPr>
        <w:t> </w:t>
      </w:r>
      <w:r>
        <w:rPr>
          <w:sz w:val="20"/>
        </w:rPr>
        <w:t>check”</w:t>
      </w:r>
      <w:r>
        <w:rPr>
          <w:spacing w:val="-3"/>
          <w:sz w:val="20"/>
        </w:rPr>
        <w:t> </w:t>
      </w:r>
      <w:r>
        <w:rPr>
          <w:sz w:val="20"/>
        </w:rPr>
        <w:t>preferred</w:t>
      </w:r>
      <w:r>
        <w:rPr>
          <w:spacing w:val="-3"/>
          <w:sz w:val="20"/>
        </w:rPr>
        <w:t> </w:t>
      </w:r>
      <w:r>
        <w:rPr>
          <w:sz w:val="20"/>
        </w:rPr>
        <w:t>stock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2"/>
          <w:sz w:val="20"/>
        </w:rPr>
        <w:t> </w:t>
      </w:r>
      <w:r>
        <w:rPr>
          <w:sz w:val="20"/>
        </w:rPr>
        <w:t>board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directors</w:t>
      </w:r>
      <w:r>
        <w:rPr>
          <w:spacing w:val="-3"/>
          <w:sz w:val="20"/>
        </w:rPr>
        <w:t> </w:t>
      </w:r>
      <w:r>
        <w:rPr>
          <w:sz w:val="20"/>
        </w:rPr>
        <w:t>could</w:t>
      </w:r>
      <w:r>
        <w:rPr>
          <w:spacing w:val="-2"/>
          <w:sz w:val="20"/>
        </w:rPr>
        <w:t> </w:t>
      </w:r>
      <w:r>
        <w:rPr>
          <w:sz w:val="20"/>
        </w:rPr>
        <w:t>use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7"/>
          <w:sz w:val="20"/>
        </w:rPr>
        <w:t> </w:t>
      </w:r>
      <w:r>
        <w:rPr>
          <w:sz w:val="20"/>
        </w:rPr>
        <w:t>implement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stockholder rights</w:t>
      </w:r>
      <w:r>
        <w:rPr>
          <w:spacing w:val="-1"/>
          <w:sz w:val="20"/>
        </w:rPr>
        <w:t> </w:t>
      </w:r>
      <w:r>
        <w:rPr>
          <w:sz w:val="20"/>
        </w:rPr>
        <w:t>plan;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0" w:lineRule="auto" w:before="182" w:after="0"/>
        <w:ind w:left="820" w:right="0" w:hanging="360"/>
        <w:jc w:val="left"/>
        <w:rPr>
          <w:sz w:val="20"/>
        </w:rPr>
      </w:pPr>
      <w:r>
        <w:rPr>
          <w:sz w:val="20"/>
        </w:rPr>
        <w:t>prohibiting</w:t>
      </w:r>
      <w:r>
        <w:rPr>
          <w:spacing w:val="-4"/>
          <w:sz w:val="20"/>
        </w:rPr>
        <w:t> </w:t>
      </w:r>
      <w:r>
        <w:rPr>
          <w:sz w:val="20"/>
        </w:rPr>
        <w:t>stockholders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calling</w:t>
      </w:r>
      <w:r>
        <w:rPr>
          <w:spacing w:val="-4"/>
          <w:sz w:val="20"/>
        </w:rPr>
        <w:t> </w:t>
      </w:r>
      <w:r>
        <w:rPr>
          <w:sz w:val="20"/>
        </w:rPr>
        <w:t>special</w:t>
      </w:r>
      <w:r>
        <w:rPr>
          <w:spacing w:val="-4"/>
          <w:sz w:val="20"/>
        </w:rPr>
        <w:t> </w:t>
      </w:r>
      <w:r>
        <w:rPr>
          <w:sz w:val="20"/>
        </w:rPr>
        <w:t>meetings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stockholders;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9" w:lineRule="auto" w:before="190" w:after="0"/>
        <w:ind w:left="820" w:right="273" w:hanging="360"/>
        <w:jc w:val="left"/>
        <w:rPr>
          <w:sz w:val="20"/>
        </w:rPr>
      </w:pPr>
      <w:r>
        <w:rPr>
          <w:sz w:val="20"/>
        </w:rPr>
        <w:t>prohibiting</w:t>
      </w:r>
      <w:r>
        <w:rPr>
          <w:spacing w:val="-3"/>
          <w:sz w:val="20"/>
        </w:rPr>
        <w:t> </w:t>
      </w:r>
      <w:r>
        <w:rPr>
          <w:sz w:val="20"/>
        </w:rPr>
        <w:t>stockholder</w:t>
      </w:r>
      <w:r>
        <w:rPr>
          <w:spacing w:val="-3"/>
          <w:sz w:val="20"/>
        </w:rPr>
        <w:t> </w:t>
      </w:r>
      <w:r>
        <w:rPr>
          <w:sz w:val="20"/>
        </w:rPr>
        <w:t>action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written</w:t>
      </w:r>
      <w:r>
        <w:rPr>
          <w:spacing w:val="-3"/>
          <w:sz w:val="20"/>
        </w:rPr>
        <w:t> </w:t>
      </w:r>
      <w:r>
        <w:rPr>
          <w:sz w:val="20"/>
        </w:rPr>
        <w:t>consent,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effect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requiring</w:t>
      </w:r>
      <w:r>
        <w:rPr>
          <w:spacing w:val="-3"/>
          <w:sz w:val="20"/>
        </w:rPr>
        <w:t> </w:t>
      </w: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stockholder</w:t>
      </w:r>
      <w:r>
        <w:rPr>
          <w:spacing w:val="-3"/>
          <w:sz w:val="20"/>
        </w:rPr>
        <w:t> </w:t>
      </w:r>
      <w:r>
        <w:rPr>
          <w:sz w:val="20"/>
        </w:rPr>
        <w:t>actions</w:t>
      </w:r>
      <w:r>
        <w:rPr>
          <w:spacing w:val="-47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taken at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meeting of</w:t>
      </w:r>
      <w:r>
        <w:rPr>
          <w:spacing w:val="-1"/>
          <w:sz w:val="20"/>
        </w:rPr>
        <w:t> </w:t>
      </w:r>
      <w:r>
        <w:rPr>
          <w:sz w:val="20"/>
        </w:rPr>
        <w:t>our stockholders;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0" w:lineRule="auto" w:before="181" w:after="0"/>
        <w:ind w:left="820" w:right="0" w:hanging="360"/>
        <w:jc w:val="left"/>
        <w:rPr>
          <w:sz w:val="20"/>
        </w:rPr>
      </w:pPr>
      <w:r>
        <w:rPr>
          <w:sz w:val="20"/>
        </w:rPr>
        <w:t>providing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board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directors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expressly</w:t>
      </w:r>
      <w:r>
        <w:rPr>
          <w:spacing w:val="-2"/>
          <w:sz w:val="20"/>
        </w:rPr>
        <w:t> </w:t>
      </w:r>
      <w:r>
        <w:rPr>
          <w:sz w:val="20"/>
        </w:rPr>
        <w:t>authorized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make,</w:t>
      </w:r>
      <w:r>
        <w:rPr>
          <w:spacing w:val="-3"/>
          <w:sz w:val="20"/>
        </w:rPr>
        <w:t> </w:t>
      </w:r>
      <w:r>
        <w:rPr>
          <w:sz w:val="20"/>
        </w:rPr>
        <w:t>alter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repeal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bylaws;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restricting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forum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certain</w:t>
      </w:r>
      <w:r>
        <w:rPr>
          <w:spacing w:val="-3"/>
          <w:sz w:val="20"/>
        </w:rPr>
        <w:t> </w:t>
      </w:r>
      <w:r>
        <w:rPr>
          <w:sz w:val="20"/>
        </w:rPr>
        <w:t>litigation</w:t>
      </w:r>
      <w:r>
        <w:rPr>
          <w:spacing w:val="-3"/>
          <w:sz w:val="20"/>
        </w:rPr>
        <w:t> </w:t>
      </w:r>
      <w:r>
        <w:rPr>
          <w:sz w:val="20"/>
        </w:rPr>
        <w:t>involving</w:t>
      </w:r>
      <w:r>
        <w:rPr>
          <w:spacing w:val="-3"/>
          <w:sz w:val="20"/>
        </w:rPr>
        <w:t> </w:t>
      </w:r>
      <w:r>
        <w:rPr>
          <w:sz w:val="20"/>
        </w:rPr>
        <w:t>us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Delaware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federal</w:t>
      </w:r>
      <w:r>
        <w:rPr>
          <w:spacing w:val="-4"/>
          <w:sz w:val="20"/>
        </w:rPr>
        <w:t> </w:t>
      </w:r>
      <w:r>
        <w:rPr>
          <w:sz w:val="20"/>
        </w:rPr>
        <w:t>courts,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applicable;</w:t>
      </w:r>
      <w:r>
        <w:rPr>
          <w:spacing w:val="-4"/>
          <w:sz w:val="20"/>
        </w:rPr>
        <w:t> </w:t>
      </w:r>
      <w:r>
        <w:rPr>
          <w:sz w:val="20"/>
        </w:rPr>
        <w:t>and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9" w:lineRule="auto" w:before="190" w:after="0"/>
        <w:ind w:left="820" w:right="689" w:hanging="360"/>
        <w:jc w:val="left"/>
        <w:rPr>
          <w:sz w:val="20"/>
        </w:rPr>
      </w:pPr>
      <w:r>
        <w:rPr>
          <w:sz w:val="20"/>
        </w:rPr>
        <w:t>establishing</w:t>
      </w:r>
      <w:r>
        <w:rPr>
          <w:spacing w:val="-3"/>
          <w:sz w:val="20"/>
        </w:rPr>
        <w:t> </w:t>
      </w:r>
      <w:r>
        <w:rPr>
          <w:sz w:val="20"/>
        </w:rPr>
        <w:t>advance</w:t>
      </w:r>
      <w:r>
        <w:rPr>
          <w:spacing w:val="-3"/>
          <w:sz w:val="20"/>
        </w:rPr>
        <w:t> </w:t>
      </w:r>
      <w:r>
        <w:rPr>
          <w:sz w:val="20"/>
        </w:rPr>
        <w:t>notice</w:t>
      </w:r>
      <w:r>
        <w:rPr>
          <w:spacing w:val="-4"/>
          <w:sz w:val="20"/>
        </w:rPr>
        <w:t> </w:t>
      </w:r>
      <w:r>
        <w:rPr>
          <w:sz w:val="20"/>
        </w:rPr>
        <w:t>requirements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nominations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election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board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directors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47"/>
          <w:sz w:val="20"/>
        </w:rPr>
        <w:t> </w:t>
      </w:r>
      <w:r>
        <w:rPr>
          <w:sz w:val="20"/>
        </w:rPr>
        <w:t>proposing</w:t>
      </w:r>
      <w:r>
        <w:rPr>
          <w:spacing w:val="-2"/>
          <w:sz w:val="20"/>
        </w:rPr>
        <w:t> </w:t>
      </w:r>
      <w:r>
        <w:rPr>
          <w:sz w:val="20"/>
        </w:rPr>
        <w:t>matters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can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acted</w:t>
      </w:r>
      <w:r>
        <w:rPr>
          <w:spacing w:val="-1"/>
          <w:sz w:val="20"/>
        </w:rPr>
        <w:t> </w:t>
      </w:r>
      <w:r>
        <w:rPr>
          <w:sz w:val="20"/>
        </w:rPr>
        <w:t>upon</w:t>
      </w:r>
      <w:r>
        <w:rPr>
          <w:spacing w:val="-1"/>
          <w:sz w:val="20"/>
        </w:rPr>
        <w:t> </w:t>
      </w:r>
      <w:r>
        <w:rPr>
          <w:sz w:val="20"/>
        </w:rPr>
        <w:t>by</w:t>
      </w:r>
      <w:r>
        <w:rPr>
          <w:spacing w:val="-1"/>
          <w:sz w:val="20"/>
        </w:rPr>
        <w:t> </w:t>
      </w:r>
      <w:r>
        <w:rPr>
          <w:sz w:val="20"/>
        </w:rPr>
        <w:t>stockholders</w:t>
      </w:r>
      <w:r>
        <w:rPr>
          <w:spacing w:val="-2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annual</w:t>
      </w:r>
      <w:r>
        <w:rPr>
          <w:spacing w:val="-3"/>
          <w:sz w:val="20"/>
        </w:rPr>
        <w:t> </w:t>
      </w:r>
      <w:r>
        <w:rPr>
          <w:sz w:val="20"/>
        </w:rPr>
        <w:t>stockholder</w:t>
      </w:r>
      <w:r>
        <w:rPr>
          <w:spacing w:val="-1"/>
          <w:sz w:val="20"/>
        </w:rPr>
        <w:t> </w:t>
      </w:r>
      <w:r>
        <w:rPr>
          <w:sz w:val="20"/>
        </w:rPr>
        <w:t>meetings.</w:t>
      </w:r>
    </w:p>
    <w:p>
      <w:pPr>
        <w:pStyle w:val="BodyText"/>
        <w:spacing w:line="249" w:lineRule="auto" w:before="182"/>
        <w:ind w:right="196"/>
      </w:pPr>
      <w:r>
        <w:rPr/>
        <w:t>Any provision of our amended and restated certificate of incorporation currently in effect or Delaware law that</w:t>
      </w:r>
      <w:r>
        <w:rPr>
          <w:spacing w:val="1"/>
        </w:rPr>
        <w:t> </w:t>
      </w:r>
      <w:r>
        <w:rPr/>
        <w:t>has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effect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delaying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deterring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change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control</w:t>
      </w:r>
      <w:r>
        <w:rPr>
          <w:spacing w:val="-3"/>
        </w:rPr>
        <w:t> </w:t>
      </w:r>
      <w:r>
        <w:rPr/>
        <w:t>could</w:t>
      </w:r>
      <w:r>
        <w:rPr>
          <w:spacing w:val="-1"/>
        </w:rPr>
        <w:t> </w:t>
      </w:r>
      <w:r>
        <w:rPr/>
        <w:t>limit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opportunity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stockholders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receive</w:t>
      </w:r>
      <w:r>
        <w:rPr>
          <w:spacing w:val="-47"/>
        </w:rPr>
        <w:t> </w:t>
      </w:r>
      <w:r>
        <w:rPr/>
        <w:t>a premium for their shares of our common stock, and could also affect the price that some investors are willing to</w:t>
      </w:r>
      <w:r>
        <w:rPr>
          <w:spacing w:val="1"/>
        </w:rPr>
        <w:t> </w:t>
      </w:r>
      <w:r>
        <w:rPr/>
        <w:t>pay</w:t>
      </w:r>
      <w:r>
        <w:rPr>
          <w:spacing w:val="-1"/>
        </w:rPr>
        <w:t> </w:t>
      </w:r>
      <w:r>
        <w:rPr/>
        <w:t>for our common stock.</w:t>
      </w:r>
    </w:p>
    <w:p>
      <w:pPr>
        <w:pStyle w:val="BodyText"/>
        <w:spacing w:line="249" w:lineRule="auto" w:before="183"/>
        <w:ind w:right="212"/>
      </w:pPr>
      <w:r>
        <w:rPr/>
        <w:t>The provisions of our amended and restated certificate of incorporation requiring exclusive forum in the Court</w:t>
      </w:r>
      <w:r>
        <w:rPr>
          <w:spacing w:val="1"/>
        </w:rPr>
        <w:t> </w:t>
      </w:r>
      <w:r>
        <w:rPr/>
        <w:t>of</w:t>
      </w:r>
      <w:r>
        <w:rPr>
          <w:spacing w:val="-3"/>
        </w:rPr>
        <w:t> </w:t>
      </w:r>
      <w:r>
        <w:rPr/>
        <w:t>Chancery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State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Delaware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federal</w:t>
      </w:r>
      <w:r>
        <w:rPr>
          <w:spacing w:val="-3"/>
        </w:rPr>
        <w:t> </w:t>
      </w:r>
      <w:r>
        <w:rPr/>
        <w:t>district</w:t>
      </w:r>
      <w:r>
        <w:rPr>
          <w:spacing w:val="-4"/>
        </w:rPr>
        <w:t> </w:t>
      </w:r>
      <w:r>
        <w:rPr/>
        <w:t>courts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United</w:t>
      </w:r>
      <w:r>
        <w:rPr>
          <w:spacing w:val="-2"/>
        </w:rPr>
        <w:t> </w:t>
      </w:r>
      <w:r>
        <w:rPr/>
        <w:t>States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certain</w:t>
      </w:r>
      <w:r>
        <w:rPr>
          <w:spacing w:val="-2"/>
        </w:rPr>
        <w:t> </w:t>
      </w:r>
      <w:r>
        <w:rPr/>
        <w:t>types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lawsuits</w:t>
      </w:r>
      <w:r>
        <w:rPr>
          <w:spacing w:val="1"/>
        </w:rPr>
        <w:t> </w:t>
      </w:r>
      <w:r>
        <w:rPr/>
        <w:t>may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effect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discouraging lawsuits</w:t>
      </w:r>
      <w:r>
        <w:rPr>
          <w:spacing w:val="-2"/>
        </w:rPr>
        <w:t> </w:t>
      </w:r>
      <w:r>
        <w:rPr/>
        <w:t>against</w:t>
      </w:r>
      <w:r>
        <w:rPr>
          <w:spacing w:val="-1"/>
        </w:rPr>
        <w:t> </w:t>
      </w:r>
      <w:r>
        <w:rPr/>
        <w:t>our directors</w:t>
      </w:r>
      <w:r>
        <w:rPr>
          <w:spacing w:val="-2"/>
        </w:rPr>
        <w:t> </w:t>
      </w:r>
      <w:r>
        <w:rPr/>
        <w:t>and officers.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  <w:ind w:right="133"/>
      </w:pPr>
      <w:r>
        <w:rPr/>
        <w:t>Our amended and restated certificate of incorporation currently in effect provide that, unless we consent in</w:t>
      </w:r>
      <w:r>
        <w:rPr>
          <w:spacing w:val="1"/>
        </w:rPr>
        <w:t> </w:t>
      </w:r>
      <w:r>
        <w:rPr/>
        <w:t>writing to the selection of an alternative forum, the sole and exclusive forum, to the fullest extent permitted by law,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(i)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derivative action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proceeding</w:t>
      </w:r>
      <w:r>
        <w:rPr>
          <w:spacing w:val="1"/>
        </w:rPr>
        <w:t> </w:t>
      </w:r>
      <w:r>
        <w:rPr/>
        <w:t>brought on</w:t>
      </w:r>
      <w:r>
        <w:rPr>
          <w:spacing w:val="2"/>
        </w:rPr>
        <w:t> </w:t>
      </w:r>
      <w:r>
        <w:rPr/>
        <w:t>our</w:t>
      </w:r>
      <w:r>
        <w:rPr>
          <w:spacing w:val="1"/>
        </w:rPr>
        <w:t> </w:t>
      </w:r>
      <w:r>
        <w:rPr/>
        <w:t>behalf,</w:t>
      </w:r>
      <w:r>
        <w:rPr>
          <w:spacing w:val="1"/>
        </w:rPr>
        <w:t> </w:t>
      </w:r>
      <w:r>
        <w:rPr/>
        <w:t>(ii)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action</w:t>
      </w:r>
      <w:r>
        <w:rPr>
          <w:spacing w:val="1"/>
        </w:rPr>
        <w:t> </w:t>
      </w:r>
      <w:r>
        <w:rPr/>
        <w:t>asserting</w:t>
      </w:r>
      <w:r>
        <w:rPr>
          <w:spacing w:val="1"/>
        </w:rPr>
        <w:t> </w:t>
      </w:r>
      <w:r>
        <w:rPr/>
        <w:t>a breach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a fiduciary</w:t>
      </w:r>
      <w:r>
        <w:rPr>
          <w:spacing w:val="1"/>
        </w:rPr>
        <w:t> </w:t>
      </w:r>
      <w:r>
        <w:rPr/>
        <w:t>duty owed by any director, officer or other employee to us or our stockholders, (iii) any action asserting a claim</w:t>
      </w:r>
      <w:r>
        <w:rPr>
          <w:spacing w:val="1"/>
        </w:rPr>
        <w:t> </w:t>
      </w:r>
      <w:r>
        <w:rPr/>
        <w:t>against</w:t>
      </w:r>
      <w:r>
        <w:rPr>
          <w:spacing w:val="-4"/>
        </w:rPr>
        <w:t> </w:t>
      </w:r>
      <w:r>
        <w:rPr/>
        <w:t>us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/>
        <w:t>director,</w:t>
      </w:r>
      <w:r>
        <w:rPr>
          <w:spacing w:val="-3"/>
        </w:rPr>
        <w:t> </w:t>
      </w:r>
      <w:r>
        <w:rPr/>
        <w:t>officer,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other</w:t>
      </w:r>
      <w:r>
        <w:rPr>
          <w:spacing w:val="-2"/>
        </w:rPr>
        <w:t> </w:t>
      </w:r>
      <w:r>
        <w:rPr/>
        <w:t>employee</w:t>
      </w:r>
      <w:r>
        <w:rPr>
          <w:spacing w:val="-4"/>
        </w:rPr>
        <w:t> </w:t>
      </w:r>
      <w:r>
        <w:rPr/>
        <w:t>arising</w:t>
      </w:r>
      <w:r>
        <w:rPr>
          <w:spacing w:val="-2"/>
        </w:rPr>
        <w:t> </w:t>
      </w:r>
      <w:r>
        <w:rPr/>
        <w:t>pursuant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Delaware</w:t>
      </w:r>
      <w:r>
        <w:rPr>
          <w:spacing w:val="-4"/>
        </w:rPr>
        <w:t> </w:t>
      </w:r>
      <w:r>
        <w:rPr/>
        <w:t>General</w:t>
      </w:r>
      <w:r>
        <w:rPr>
          <w:spacing w:val="-3"/>
        </w:rPr>
        <w:t> </w:t>
      </w:r>
      <w:r>
        <w:rPr/>
        <w:t>Corporation</w:t>
      </w:r>
      <w:r>
        <w:rPr>
          <w:spacing w:val="-3"/>
        </w:rPr>
        <w:t> </w:t>
      </w:r>
      <w:r>
        <w:rPr/>
        <w:t>Law,</w:t>
      </w:r>
      <w:r>
        <w:rPr>
          <w:spacing w:val="-2"/>
        </w:rPr>
        <w:t> </w:t>
      </w:r>
      <w:r>
        <w:rPr/>
        <w:t>(iv)</w:t>
      </w:r>
      <w:r>
        <w:rPr>
          <w:spacing w:val="-47"/>
        </w:rPr>
        <w:t> </w:t>
      </w:r>
      <w:r>
        <w:rPr/>
        <w:t>any action to interpret, apply, enforce, or determine the validity of our second amended and restated certificate of</w:t>
      </w:r>
      <w:r>
        <w:rPr>
          <w:spacing w:val="1"/>
        </w:rPr>
        <w:t> </w:t>
      </w:r>
      <w:r>
        <w:rPr/>
        <w:t>incorporation or amended and restated bylaws, or (v) any other action asserting a claim that is governed by the</w:t>
      </w:r>
      <w:r>
        <w:rPr>
          <w:spacing w:val="1"/>
        </w:rPr>
        <w:t> </w:t>
      </w:r>
      <w:r>
        <w:rPr/>
        <w:t>internal</w:t>
      </w:r>
      <w:r>
        <w:rPr>
          <w:spacing w:val="-4"/>
        </w:rPr>
        <w:t> </w:t>
      </w:r>
      <w:r>
        <w:rPr/>
        <w:t>affairs</w:t>
      </w:r>
      <w:r>
        <w:rPr>
          <w:spacing w:val="-3"/>
        </w:rPr>
        <w:t> </w:t>
      </w:r>
      <w:r>
        <w:rPr/>
        <w:t>doctrine,</w:t>
      </w:r>
      <w:r>
        <w:rPr>
          <w:spacing w:val="-2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Court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Chancery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State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Delaware</w:t>
      </w:r>
      <w:r>
        <w:rPr>
          <w:spacing w:val="-3"/>
        </w:rPr>
        <w:t> </w:t>
      </w:r>
      <w:r>
        <w:rPr/>
        <w:t>(or</w:t>
      </w:r>
      <w:r>
        <w:rPr>
          <w:spacing w:val="-2"/>
        </w:rPr>
        <w:t> </w:t>
      </w:r>
      <w:r>
        <w:rPr/>
        <w:t>another</w:t>
      </w:r>
      <w:r>
        <w:rPr>
          <w:spacing w:val="-2"/>
        </w:rPr>
        <w:t> </w:t>
      </w:r>
      <w:r>
        <w:rPr/>
        <w:t>state</w:t>
      </w:r>
      <w:r>
        <w:rPr>
          <w:spacing w:val="-3"/>
        </w:rPr>
        <w:t> </w:t>
      </w:r>
      <w:r>
        <w:rPr/>
        <w:t>court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federal</w:t>
      </w:r>
      <w:r>
        <w:rPr>
          <w:spacing w:val="1"/>
        </w:rPr>
        <w:t> </w:t>
      </w:r>
      <w:r>
        <w:rPr/>
        <w:t>court located within the State of Delaware if the Court of Chancery does not have or declines to accept jurisdiction),</w:t>
      </w:r>
      <w:r>
        <w:rPr>
          <w:spacing w:val="1"/>
        </w:rPr>
        <w:t> </w:t>
      </w:r>
      <w:r>
        <w:rPr/>
        <w:t>in all cases subject to the court’s having jurisdiction over indispensable parties named as defendants. In addition, our</w:t>
      </w:r>
      <w:r>
        <w:rPr>
          <w:spacing w:val="-47"/>
        </w:rPr>
        <w:t> </w:t>
      </w:r>
      <w:r>
        <w:rPr/>
        <w:t>amended and restated certificate of incorporation will provide that the federal district courts of the United States will</w:t>
      </w:r>
      <w:r>
        <w:rPr>
          <w:spacing w:val="-47"/>
        </w:rPr>
        <w:t> </w:t>
      </w:r>
      <w:r>
        <w:rPr/>
        <w:t>be the exclusive forum for resolving any complaint asserting a cause of action arising under the Securities Act but</w:t>
      </w:r>
      <w:r>
        <w:rPr>
          <w:spacing w:val="1"/>
        </w:rPr>
        <w:t> </w:t>
      </w:r>
      <w:r>
        <w:rPr/>
        <w:t>that the forum selection provision will not apply to claims brought to enforce a duty or liability created by the</w:t>
      </w:r>
      <w:r>
        <w:rPr>
          <w:spacing w:val="1"/>
        </w:rPr>
        <w:t> </w:t>
      </w:r>
      <w:r>
        <w:rPr/>
        <w:t>Exchange</w:t>
      </w:r>
      <w:r>
        <w:rPr>
          <w:spacing w:val="-2"/>
        </w:rPr>
        <w:t> </w:t>
      </w:r>
      <w:r>
        <w:rPr/>
        <w:t>Act.</w:t>
      </w:r>
    </w:p>
    <w:p>
      <w:pPr>
        <w:pStyle w:val="BodyText"/>
        <w:spacing w:line="249" w:lineRule="auto" w:before="191"/>
        <w:ind w:right="148"/>
      </w:pPr>
      <w:r>
        <w:rPr/>
        <w:t>Although we believe these provisions benefit us by providing increased consistency in the application of</w:t>
      </w:r>
      <w:r>
        <w:rPr>
          <w:spacing w:val="1"/>
        </w:rPr>
        <w:t> </w:t>
      </w:r>
      <w:r>
        <w:rPr/>
        <w:t>Delaware law for the specified types of actions and proceedings, the provisions may have the effect of discouraging</w:t>
      </w:r>
      <w:r>
        <w:rPr>
          <w:spacing w:val="1"/>
        </w:rPr>
        <w:t> </w:t>
      </w:r>
      <w:r>
        <w:rPr/>
        <w:t>lawsuits against us or our directors and officers. Alternatively, if a court were to find the choice of forum provision</w:t>
      </w:r>
      <w:r>
        <w:rPr>
          <w:spacing w:val="1"/>
        </w:rPr>
        <w:t> </w:t>
      </w:r>
      <w:r>
        <w:rPr/>
        <w:t>contained in our amended and restated certificate of incorporation to be inapplicable or unenforceable in an action,</w:t>
      </w:r>
      <w:r>
        <w:rPr>
          <w:spacing w:val="1"/>
        </w:rPr>
        <w:t> </w:t>
      </w:r>
      <w:r>
        <w:rPr/>
        <w:t>we may incur additional costs associated with resolving such action in other jurisdictions, which could harm our</w:t>
      </w:r>
      <w:r>
        <w:rPr>
          <w:spacing w:val="1"/>
        </w:rPr>
        <w:t> </w:t>
      </w:r>
      <w:r>
        <w:rPr/>
        <w:t>business, financial condition, and operating results. For example, under the Securities Act, federal courts have</w:t>
      </w:r>
      <w:r>
        <w:rPr>
          <w:spacing w:val="1"/>
        </w:rPr>
        <w:t> </w:t>
      </w:r>
      <w:r>
        <w:rPr/>
        <w:t>concurrent jurisdiction over all suits brought to enforce any duty or liability created by the Securities Act, and</w:t>
      </w:r>
      <w:r>
        <w:rPr>
          <w:spacing w:val="1"/>
        </w:rPr>
        <w:t> </w:t>
      </w:r>
      <w:r>
        <w:rPr/>
        <w:t>investors cannot waive compliance with the federal securities laws and the rules and regulations thereunder. Any</w:t>
      </w:r>
      <w:r>
        <w:rPr>
          <w:spacing w:val="1"/>
        </w:rPr>
        <w:t> </w:t>
      </w:r>
      <w:r>
        <w:rPr/>
        <w:t>person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entity</w:t>
      </w:r>
      <w:r>
        <w:rPr>
          <w:spacing w:val="-2"/>
        </w:rPr>
        <w:t> </w:t>
      </w:r>
      <w:r>
        <w:rPr/>
        <w:t>purchasing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otherwise</w:t>
      </w:r>
      <w:r>
        <w:rPr>
          <w:spacing w:val="-3"/>
        </w:rPr>
        <w:t> </w:t>
      </w:r>
      <w:r>
        <w:rPr/>
        <w:t>acquiring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/>
        <w:t>interest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shares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capital</w:t>
      </w:r>
      <w:r>
        <w:rPr>
          <w:spacing w:val="-3"/>
        </w:rPr>
        <w:t> </w:t>
      </w:r>
      <w:r>
        <w:rPr/>
        <w:t>stock</w:t>
      </w:r>
      <w:r>
        <w:rPr>
          <w:spacing w:val="-2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deemed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have</w:t>
      </w:r>
      <w:r>
        <w:rPr>
          <w:spacing w:val="-47"/>
        </w:rPr>
        <w:t> </w:t>
      </w:r>
      <w:r>
        <w:rPr/>
        <w:t>notice of and consented to this exclusive forum provision, but will not be deemed to have waived our compliance</w:t>
      </w:r>
      <w:r>
        <w:rPr>
          <w:spacing w:val="1"/>
        </w:rPr>
        <w:t> </w:t>
      </w:r>
      <w:r>
        <w:rPr/>
        <w:t>with the federal securities laws and the rules and regulations thereunder. These provisions may also result in</w:t>
      </w:r>
      <w:r>
        <w:rPr>
          <w:spacing w:val="1"/>
        </w:rPr>
        <w:t> </w:t>
      </w:r>
      <w:r>
        <w:rPr/>
        <w:t>increased</w:t>
      </w:r>
      <w:r>
        <w:rPr>
          <w:spacing w:val="-3"/>
        </w:rPr>
        <w:t> </w:t>
      </w:r>
      <w:r>
        <w:rPr/>
        <w:t>costs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investors</w:t>
      </w:r>
      <w:r>
        <w:rPr>
          <w:spacing w:val="-3"/>
        </w:rPr>
        <w:t> </w:t>
      </w:r>
      <w:r>
        <w:rPr/>
        <w:t>seeking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bring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claim</w:t>
      </w:r>
      <w:r>
        <w:rPr>
          <w:spacing w:val="-3"/>
        </w:rPr>
        <w:t> </w:t>
      </w:r>
      <w:r>
        <w:rPr/>
        <w:t>against</w:t>
      </w:r>
      <w:r>
        <w:rPr>
          <w:spacing w:val="-3"/>
        </w:rPr>
        <w:t> </w:t>
      </w:r>
      <w:r>
        <w:rPr/>
        <w:t>us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directors,</w:t>
      </w:r>
      <w:r>
        <w:rPr>
          <w:spacing w:val="-3"/>
        </w:rPr>
        <w:t> </w:t>
      </w:r>
      <w:r>
        <w:rPr/>
        <w:t>officers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</w:t>
      </w:r>
      <w:r>
        <w:rPr/>
        <w:t>employees.</w:t>
      </w:r>
    </w:p>
    <w:p>
      <w:pPr>
        <w:pStyle w:val="Heading2"/>
        <w:spacing w:before="187"/>
      </w:pPr>
      <w:r>
        <w:rPr/>
        <w:t>Risks</w:t>
      </w:r>
      <w:r>
        <w:rPr>
          <w:spacing w:val="-4"/>
        </w:rPr>
        <w:t> </w:t>
      </w:r>
      <w:r>
        <w:rPr/>
        <w:t>Related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Being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Public</w:t>
      </w:r>
      <w:r>
        <w:rPr>
          <w:spacing w:val="-4"/>
        </w:rPr>
        <w:t> </w:t>
      </w:r>
      <w:r>
        <w:rPr/>
        <w:t>Company</w:t>
      </w:r>
    </w:p>
    <w:p>
      <w:pPr>
        <w:pStyle w:val="Heading3"/>
        <w:spacing w:line="249" w:lineRule="auto" w:before="190"/>
        <w:ind w:right="180"/>
      </w:pPr>
      <w:r>
        <w:rPr>
          <w:i/>
        </w:rPr>
        <w:t>We have identified a material weakness in our internal control over financial reporting and may identify</w:t>
      </w:r>
      <w:r>
        <w:rPr>
          <w:i/>
          <w:spacing w:val="1"/>
        </w:rPr>
        <w:t> </w:t>
      </w:r>
      <w:r>
        <w:rPr/>
        <w:t>additional</w:t>
      </w:r>
      <w:r>
        <w:rPr>
          <w:spacing w:val="-5"/>
        </w:rPr>
        <w:t> </w:t>
      </w:r>
      <w:r>
        <w:rPr/>
        <w:t>material</w:t>
      </w:r>
      <w:r>
        <w:rPr>
          <w:spacing w:val="-5"/>
        </w:rPr>
        <w:t> </w:t>
      </w:r>
      <w:r>
        <w:rPr/>
        <w:t>weaknesses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future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otherwise</w:t>
      </w:r>
      <w:r>
        <w:rPr>
          <w:spacing w:val="-5"/>
        </w:rPr>
        <w:t> </w:t>
      </w:r>
      <w:r>
        <w:rPr/>
        <w:t>fail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maintain</w:t>
      </w:r>
      <w:r>
        <w:rPr>
          <w:spacing w:val="-5"/>
        </w:rPr>
        <w:t> </w:t>
      </w:r>
      <w:r>
        <w:rPr/>
        <w:t>effective</w:t>
      </w:r>
      <w:r>
        <w:rPr>
          <w:spacing w:val="-5"/>
        </w:rPr>
        <w:t> </w:t>
      </w:r>
      <w:r>
        <w:rPr/>
        <w:t>internal</w:t>
      </w:r>
      <w:r>
        <w:rPr>
          <w:spacing w:val="-4"/>
        </w:rPr>
        <w:t> </w:t>
      </w:r>
      <w:r>
        <w:rPr/>
        <w:t>control</w:t>
      </w:r>
      <w:r>
        <w:rPr>
          <w:spacing w:val="-5"/>
        </w:rPr>
        <w:t> </w:t>
      </w:r>
      <w:r>
        <w:rPr/>
        <w:t>over</w:t>
      </w:r>
      <w:r>
        <w:rPr>
          <w:spacing w:val="-4"/>
        </w:rPr>
        <w:t> </w:t>
      </w:r>
      <w:r>
        <w:rPr/>
        <w:t>financial</w:t>
      </w:r>
      <w:r>
        <w:rPr>
          <w:spacing w:val="1"/>
        </w:rPr>
        <w:t> </w:t>
      </w:r>
      <w:r>
        <w:rPr/>
        <w:t>reporting, which may result in material misstatements of our financial statements or cause us to fail to meet our</w:t>
      </w:r>
      <w:r>
        <w:rPr>
          <w:spacing w:val="1"/>
        </w:rPr>
        <w:t> </w:t>
      </w:r>
      <w:r>
        <w:rPr/>
        <w:t>periodic</w:t>
      </w:r>
      <w:r>
        <w:rPr>
          <w:spacing w:val="-2"/>
        </w:rPr>
        <w:t> </w:t>
      </w:r>
      <w:r>
        <w:rPr/>
        <w:t>reporting obligations.</w:t>
      </w:r>
    </w:p>
    <w:p>
      <w:pPr>
        <w:pStyle w:val="BodyText"/>
        <w:spacing w:line="249" w:lineRule="auto" w:before="186"/>
        <w:ind w:right="127"/>
      </w:pPr>
      <w:r>
        <w:rPr/>
        <w:t>In connection with the preparation of our consolidated financial statements, a material weakness in our internal</w:t>
      </w:r>
      <w:r>
        <w:rPr>
          <w:spacing w:val="1"/>
        </w:rPr>
        <w:t> </w:t>
      </w:r>
      <w:r>
        <w:rPr/>
        <w:t>control over financial reporting was identified as of December 31, 2020. A material weakness is a deficiency, or a</w:t>
      </w:r>
      <w:r>
        <w:rPr>
          <w:spacing w:val="1"/>
        </w:rPr>
        <w:t> </w:t>
      </w:r>
      <w:r>
        <w:rPr/>
        <w:t>combination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deficiencies,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internal</w:t>
      </w:r>
      <w:r>
        <w:rPr>
          <w:spacing w:val="-4"/>
        </w:rPr>
        <w:t> </w:t>
      </w:r>
      <w:r>
        <w:rPr/>
        <w:t>control</w:t>
      </w:r>
      <w:r>
        <w:rPr>
          <w:spacing w:val="-4"/>
        </w:rPr>
        <w:t> </w:t>
      </w:r>
      <w:r>
        <w:rPr/>
        <w:t>over</w:t>
      </w:r>
      <w:r>
        <w:rPr>
          <w:spacing w:val="-3"/>
        </w:rPr>
        <w:t> </w:t>
      </w:r>
      <w:r>
        <w:rPr/>
        <w:t>financial</w:t>
      </w:r>
      <w:r>
        <w:rPr>
          <w:spacing w:val="-4"/>
        </w:rPr>
        <w:t> </w:t>
      </w:r>
      <w:r>
        <w:rPr/>
        <w:t>reporting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there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reasonable</w:t>
      </w:r>
      <w:r>
        <w:rPr>
          <w:spacing w:val="-4"/>
        </w:rPr>
        <w:t> </w:t>
      </w:r>
      <w:r>
        <w:rPr/>
        <w:t>possibility</w:t>
      </w:r>
      <w:r>
        <w:rPr>
          <w:spacing w:val="-3"/>
        </w:rPr>
        <w:t> </w:t>
      </w:r>
      <w:r>
        <w:rPr/>
        <w:t>that</w:t>
      </w:r>
      <w:r>
        <w:rPr>
          <w:spacing w:val="-47"/>
        </w:rPr>
        <w:t> </w:t>
      </w:r>
      <w:r>
        <w:rPr/>
        <w:t>a material misstatement of our annual or interim financial statements will not be prevented or detected on a timely</w:t>
      </w:r>
      <w:r>
        <w:rPr>
          <w:spacing w:val="1"/>
        </w:rPr>
        <w:t> </w:t>
      </w:r>
      <w:r>
        <w:rPr/>
        <w:t>basis. The material weakness is the result of our failure to design and maintain effective controls over certain</w:t>
      </w:r>
      <w:r>
        <w:rPr>
          <w:spacing w:val="1"/>
        </w:rPr>
        <w:t> </w:t>
      </w:r>
      <w:r>
        <w:rPr/>
        <w:t>information technology, or IT, general controls for information systems that are relevant to the preparation of our</w:t>
      </w:r>
      <w:r>
        <w:rPr>
          <w:spacing w:val="1"/>
        </w:rPr>
        <w:t> </w:t>
      </w:r>
      <w:r>
        <w:rPr/>
        <w:t>financial</w:t>
      </w:r>
      <w:r>
        <w:rPr>
          <w:spacing w:val="-2"/>
        </w:rPr>
        <w:t> </w:t>
      </w:r>
      <w:r>
        <w:rPr/>
        <w:t>statements. Specifically,</w:t>
      </w:r>
      <w:r>
        <w:rPr>
          <w:spacing w:val="-1"/>
        </w:rPr>
        <w:t> </w:t>
      </w:r>
      <w:r>
        <w:rPr/>
        <w:t>we</w:t>
      </w:r>
      <w:r>
        <w:rPr>
          <w:spacing w:val="-1"/>
        </w:rPr>
        <w:t> </w:t>
      </w:r>
      <w:r>
        <w:rPr/>
        <w:t>did not</w:t>
      </w:r>
      <w:r>
        <w:rPr>
          <w:spacing w:val="-2"/>
        </w:rPr>
        <w:t> </w:t>
      </w:r>
      <w:r>
        <w:rPr/>
        <w:t>design and</w:t>
      </w:r>
      <w:r>
        <w:rPr>
          <w:spacing w:val="-1"/>
        </w:rPr>
        <w:t> </w:t>
      </w:r>
      <w:r>
        <w:rPr/>
        <w:t>maintain: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9" w:lineRule="auto" w:before="186" w:after="0"/>
        <w:ind w:left="820" w:right="269" w:hanging="360"/>
        <w:jc w:val="left"/>
        <w:rPr>
          <w:sz w:val="20"/>
        </w:rPr>
      </w:pPr>
      <w:r>
        <w:rPr>
          <w:sz w:val="20"/>
        </w:rPr>
        <w:t>program change management controls to ensure that information technology program and data changes</w:t>
      </w:r>
      <w:r>
        <w:rPr>
          <w:spacing w:val="1"/>
          <w:sz w:val="20"/>
        </w:rPr>
        <w:t> </w:t>
      </w:r>
      <w:r>
        <w:rPr>
          <w:sz w:val="20"/>
        </w:rPr>
        <w:t>affecting</w:t>
      </w:r>
      <w:r>
        <w:rPr>
          <w:spacing w:val="-4"/>
          <w:sz w:val="20"/>
        </w:rPr>
        <w:t> </w:t>
      </w:r>
      <w:r>
        <w:rPr>
          <w:sz w:val="20"/>
        </w:rPr>
        <w:t>financial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applications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underlying</w:t>
      </w:r>
      <w:r>
        <w:rPr>
          <w:spacing w:val="-4"/>
          <w:sz w:val="20"/>
        </w:rPr>
        <w:t> </w:t>
      </w:r>
      <w:r>
        <w:rPr>
          <w:sz w:val="20"/>
        </w:rPr>
        <w:t>accounting</w:t>
      </w:r>
      <w:r>
        <w:rPr>
          <w:spacing w:val="-3"/>
          <w:sz w:val="20"/>
        </w:rPr>
        <w:t> </w:t>
      </w:r>
      <w:r>
        <w:rPr>
          <w:sz w:val="20"/>
        </w:rPr>
        <w:t>records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identified,</w:t>
      </w:r>
      <w:r>
        <w:rPr>
          <w:spacing w:val="-4"/>
          <w:sz w:val="20"/>
        </w:rPr>
        <w:t> </w:t>
      </w:r>
      <w:r>
        <w:rPr>
          <w:sz w:val="20"/>
        </w:rPr>
        <w:t>tested,</w:t>
      </w:r>
      <w:r>
        <w:rPr>
          <w:spacing w:val="-4"/>
          <w:sz w:val="20"/>
        </w:rPr>
        <w:t> </w:t>
      </w:r>
      <w:r>
        <w:rPr>
          <w:sz w:val="20"/>
        </w:rPr>
        <w:t>authorized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implemented</w:t>
      </w:r>
      <w:r>
        <w:rPr>
          <w:spacing w:val="-1"/>
          <w:sz w:val="20"/>
        </w:rPr>
        <w:t> </w:t>
      </w:r>
      <w:r>
        <w:rPr>
          <w:sz w:val="20"/>
        </w:rPr>
        <w:t>appropriately, and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9" w:lineRule="auto" w:before="182" w:after="0"/>
        <w:ind w:left="820" w:right="790" w:hanging="360"/>
        <w:jc w:val="left"/>
        <w:rPr>
          <w:sz w:val="20"/>
        </w:rPr>
      </w:pPr>
      <w:r>
        <w:rPr>
          <w:sz w:val="20"/>
        </w:rPr>
        <w:t>user</w:t>
      </w:r>
      <w:r>
        <w:rPr>
          <w:spacing w:val="-3"/>
          <w:sz w:val="20"/>
        </w:rPr>
        <w:t> </w:t>
      </w:r>
      <w:r>
        <w:rPr>
          <w:sz w:val="20"/>
        </w:rPr>
        <w:t>access</w:t>
      </w:r>
      <w:r>
        <w:rPr>
          <w:spacing w:val="-4"/>
          <w:sz w:val="20"/>
        </w:rPr>
        <w:t> </w:t>
      </w:r>
      <w:r>
        <w:rPr>
          <w:sz w:val="20"/>
        </w:rPr>
        <w:t>controls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ensure</w:t>
      </w:r>
      <w:r>
        <w:rPr>
          <w:spacing w:val="-4"/>
          <w:sz w:val="20"/>
        </w:rPr>
        <w:t> </w:t>
      </w:r>
      <w:r>
        <w:rPr>
          <w:sz w:val="20"/>
        </w:rPr>
        <w:t>appropriate</w:t>
      </w:r>
      <w:r>
        <w:rPr>
          <w:spacing w:val="-4"/>
          <w:sz w:val="20"/>
        </w:rPr>
        <w:t> </w:t>
      </w:r>
      <w:r>
        <w:rPr>
          <w:sz w:val="20"/>
        </w:rPr>
        <w:t>segregation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duties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adequately</w:t>
      </w:r>
      <w:r>
        <w:rPr>
          <w:spacing w:val="-3"/>
          <w:sz w:val="20"/>
        </w:rPr>
        <w:t> </w:t>
      </w:r>
      <w:r>
        <w:rPr>
          <w:sz w:val="20"/>
        </w:rPr>
        <w:t>restrict</w:t>
      </w:r>
      <w:r>
        <w:rPr>
          <w:spacing w:val="-4"/>
          <w:sz w:val="20"/>
        </w:rPr>
        <w:t> </w:t>
      </w:r>
      <w:r>
        <w:rPr>
          <w:sz w:val="20"/>
        </w:rPr>
        <w:t>user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privileged</w:t>
      </w:r>
      <w:r>
        <w:rPr>
          <w:spacing w:val="-3"/>
          <w:sz w:val="20"/>
        </w:rPr>
        <w:t> </w:t>
      </w:r>
      <w:r>
        <w:rPr>
          <w:sz w:val="20"/>
        </w:rPr>
        <w:t>access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financial</w:t>
      </w:r>
      <w:r>
        <w:rPr>
          <w:spacing w:val="-4"/>
          <w:sz w:val="20"/>
        </w:rPr>
        <w:t> </w:t>
      </w:r>
      <w:r>
        <w:rPr>
          <w:sz w:val="20"/>
        </w:rPr>
        <w:t>applications,</w:t>
      </w:r>
      <w:r>
        <w:rPr>
          <w:spacing w:val="-3"/>
          <w:sz w:val="20"/>
        </w:rPr>
        <w:t> </w:t>
      </w:r>
      <w:r>
        <w:rPr>
          <w:sz w:val="20"/>
        </w:rPr>
        <w:t>programs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appropriate</w:t>
      </w:r>
      <w:r>
        <w:rPr>
          <w:spacing w:val="-4"/>
          <w:sz w:val="20"/>
        </w:rPr>
        <w:t> </w:t>
      </w:r>
      <w:r>
        <w:rPr>
          <w:sz w:val="20"/>
        </w:rPr>
        <w:t>Company</w:t>
      </w:r>
      <w:r>
        <w:rPr>
          <w:spacing w:val="-3"/>
          <w:sz w:val="20"/>
        </w:rPr>
        <w:t> </w:t>
      </w:r>
      <w:r>
        <w:rPr>
          <w:sz w:val="20"/>
        </w:rPr>
        <w:t>personnel.</w:t>
      </w:r>
    </w:p>
    <w:p>
      <w:pPr>
        <w:pStyle w:val="BodyText"/>
        <w:spacing w:line="249" w:lineRule="auto" w:before="182"/>
      </w:pPr>
      <w:r>
        <w:rPr/>
        <w:t>These IT general control deficiencies did not result in a material misstatement to the financial statements;</w:t>
      </w:r>
      <w:r>
        <w:rPr>
          <w:spacing w:val="1"/>
        </w:rPr>
        <w:t> </w:t>
      </w:r>
      <w:r>
        <w:rPr/>
        <w:t>however,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deficiencies,</w:t>
      </w:r>
      <w:r>
        <w:rPr>
          <w:spacing w:val="-4"/>
        </w:rPr>
        <w:t> </w:t>
      </w:r>
      <w:r>
        <w:rPr/>
        <w:t>when</w:t>
      </w:r>
      <w:r>
        <w:rPr>
          <w:spacing w:val="-3"/>
        </w:rPr>
        <w:t> </w:t>
      </w:r>
      <w:r>
        <w:rPr/>
        <w:t>aggregated,</w:t>
      </w:r>
      <w:r>
        <w:rPr>
          <w:spacing w:val="-3"/>
        </w:rPr>
        <w:t> </w:t>
      </w:r>
      <w:r>
        <w:rPr/>
        <w:t>could</w:t>
      </w:r>
      <w:r>
        <w:rPr>
          <w:spacing w:val="-4"/>
        </w:rPr>
        <w:t> </w:t>
      </w:r>
      <w:r>
        <w:rPr/>
        <w:t>impact</w:t>
      </w:r>
      <w:r>
        <w:rPr>
          <w:spacing w:val="-4"/>
        </w:rPr>
        <w:t> </w:t>
      </w:r>
      <w:r>
        <w:rPr/>
        <w:t>maintaining</w:t>
      </w:r>
      <w:r>
        <w:rPr>
          <w:spacing w:val="-3"/>
        </w:rPr>
        <w:t> </w:t>
      </w:r>
      <w:r>
        <w:rPr/>
        <w:t>effective</w:t>
      </w:r>
      <w:r>
        <w:rPr>
          <w:spacing w:val="-5"/>
        </w:rPr>
        <w:t> </w:t>
      </w:r>
      <w:r>
        <w:rPr/>
        <w:t>segregation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duties,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well</w:t>
      </w:r>
      <w:r>
        <w:rPr>
          <w:spacing w:val="-5"/>
        </w:rPr>
        <w:t> </w:t>
      </w:r>
      <w:r>
        <w:rPr/>
        <w:t>as</w:t>
      </w:r>
      <w:r>
        <w:rPr>
          <w:spacing w:val="-4"/>
        </w:rPr>
        <w:t> </w:t>
      </w:r>
      <w:r>
        <w:rPr/>
        <w:t>the</w:t>
      </w:r>
      <w:r>
        <w:rPr>
          <w:spacing w:val="1"/>
        </w:rPr>
        <w:t> </w:t>
      </w:r>
      <w:r>
        <w:rPr/>
        <w:t>effectiveness of IT-dependent controls (such as automated controls that address the risk of material misstatement to</w:t>
      </w:r>
      <w:r>
        <w:rPr>
          <w:spacing w:val="-47"/>
        </w:rPr>
        <w:t> </w:t>
      </w:r>
      <w:r>
        <w:rPr/>
        <w:t>one or more assertions, along with the IT controls and underlying data that support the effectiveness of system-</w:t>
      </w:r>
      <w:r>
        <w:rPr>
          <w:spacing w:val="1"/>
        </w:rPr>
        <w:t> </w:t>
      </w:r>
      <w:r>
        <w:rPr/>
        <w:t>generated</w:t>
      </w:r>
      <w:r>
        <w:rPr>
          <w:spacing w:val="-4"/>
        </w:rPr>
        <w:t> </w:t>
      </w:r>
      <w:r>
        <w:rPr/>
        <w:t>data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reports)</w:t>
      </w:r>
      <w:r>
        <w:rPr>
          <w:spacing w:val="-3"/>
        </w:rPr>
        <w:t> </w:t>
      </w:r>
      <w:r>
        <w:rPr/>
        <w:t>that</w:t>
      </w:r>
      <w:r>
        <w:rPr>
          <w:spacing w:val="-5"/>
        </w:rPr>
        <w:t> </w:t>
      </w:r>
      <w:r>
        <w:rPr/>
        <w:t>could</w:t>
      </w:r>
      <w:r>
        <w:rPr>
          <w:spacing w:val="-4"/>
        </w:rPr>
        <w:t> </w:t>
      </w:r>
      <w:r>
        <w:rPr/>
        <w:t>result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misstatements</w:t>
      </w:r>
      <w:r>
        <w:rPr>
          <w:spacing w:val="-5"/>
        </w:rPr>
        <w:t> </w:t>
      </w:r>
      <w:r>
        <w:rPr/>
        <w:t>potentially</w:t>
      </w:r>
      <w:r>
        <w:rPr>
          <w:spacing w:val="-4"/>
        </w:rPr>
        <w:t> </w:t>
      </w:r>
      <w:r>
        <w:rPr/>
        <w:t>impacting</w:t>
      </w:r>
      <w:r>
        <w:rPr>
          <w:spacing w:val="-3"/>
        </w:rPr>
        <w:t> </w:t>
      </w:r>
      <w:r>
        <w:rPr/>
        <w:t>all</w:t>
      </w:r>
      <w:r>
        <w:rPr>
          <w:spacing w:val="-5"/>
        </w:rPr>
        <w:t> </w:t>
      </w:r>
      <w:r>
        <w:rPr/>
        <w:t>financial</w:t>
      </w:r>
      <w:r>
        <w:rPr>
          <w:spacing w:val="-5"/>
        </w:rPr>
        <w:t> </w:t>
      </w:r>
      <w:r>
        <w:rPr/>
        <w:t>statement</w:t>
      </w:r>
      <w:r>
        <w:rPr>
          <w:spacing w:val="-4"/>
        </w:rPr>
        <w:t> </w:t>
      </w:r>
      <w:r>
        <w:rPr/>
        <w:t>accounts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  <w:ind w:right="212" w:firstLine="0"/>
      </w:pPr>
      <w:r>
        <w:rPr/>
        <w:t>and</w:t>
      </w:r>
      <w:r>
        <w:rPr>
          <w:spacing w:val="-4"/>
        </w:rPr>
        <w:t> </w:t>
      </w:r>
      <w:r>
        <w:rPr/>
        <w:t>disclosures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would</w:t>
      </w:r>
      <w:r>
        <w:rPr>
          <w:spacing w:val="-3"/>
        </w:rPr>
        <w:t> </w:t>
      </w:r>
      <w:r>
        <w:rPr/>
        <w:t>result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material</w:t>
      </w:r>
      <w:r>
        <w:rPr>
          <w:spacing w:val="-4"/>
        </w:rPr>
        <w:t> </w:t>
      </w:r>
      <w:r>
        <w:rPr/>
        <w:t>misstatement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annual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interim</w:t>
      </w:r>
      <w:r>
        <w:rPr>
          <w:spacing w:val="-4"/>
        </w:rPr>
        <w:t> </w:t>
      </w:r>
      <w:r>
        <w:rPr/>
        <w:t>financial</w:t>
      </w:r>
      <w:r>
        <w:rPr>
          <w:spacing w:val="-4"/>
        </w:rPr>
        <w:t> </w:t>
      </w:r>
      <w:r>
        <w:rPr/>
        <w:t>statements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would</w:t>
      </w:r>
      <w:r>
        <w:rPr>
          <w:spacing w:val="1"/>
        </w:rPr>
        <w:t> </w:t>
      </w:r>
      <w:r>
        <w:rPr/>
        <w:t>not be prevented or detected. Accordingly, our management determined these deficiencies in the aggregate</w:t>
      </w:r>
      <w:r>
        <w:rPr>
          <w:spacing w:val="1"/>
        </w:rPr>
        <w:t> </w:t>
      </w:r>
      <w:r>
        <w:rPr/>
        <w:t>constitute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material</w:t>
      </w:r>
      <w:r>
        <w:rPr>
          <w:spacing w:val="-1"/>
        </w:rPr>
        <w:t> </w:t>
      </w:r>
      <w:r>
        <w:rPr/>
        <w:t>weakness.</w:t>
      </w:r>
    </w:p>
    <w:p>
      <w:pPr>
        <w:pStyle w:val="BodyText"/>
        <w:spacing w:line="249" w:lineRule="auto" w:before="182"/>
        <w:ind w:right="140"/>
      </w:pPr>
      <w:r>
        <w:rPr/>
        <w:t>We are in the process of designing and implementing measures to remediate the material weakness in our</w:t>
      </w:r>
      <w:r>
        <w:rPr>
          <w:spacing w:val="1"/>
        </w:rPr>
        <w:t> </w:t>
      </w:r>
      <w:r>
        <w:rPr/>
        <w:t>internal control over financial reporting, which includes designing and implementing controls over the review and</w:t>
      </w:r>
      <w:r>
        <w:rPr>
          <w:spacing w:val="1"/>
        </w:rPr>
        <w:t> </w:t>
      </w:r>
      <w:r>
        <w:rPr/>
        <w:t>update of</w:t>
      </w:r>
      <w:r>
        <w:rPr>
          <w:spacing w:val="2"/>
        </w:rPr>
        <w:t> </w:t>
      </w:r>
      <w:r>
        <w:rPr/>
        <w:t>user</w:t>
      </w:r>
      <w:r>
        <w:rPr>
          <w:spacing w:val="1"/>
        </w:rPr>
        <w:t> </w:t>
      </w:r>
      <w:r>
        <w:rPr/>
        <w:t>access</w:t>
      </w:r>
      <w:r>
        <w:rPr>
          <w:spacing w:val="1"/>
        </w:rPr>
        <w:t> </w:t>
      </w:r>
      <w:r>
        <w:rPr/>
        <w:t>rights and</w:t>
      </w:r>
      <w:r>
        <w:rPr>
          <w:spacing w:val="2"/>
        </w:rPr>
        <w:t> </w:t>
      </w:r>
      <w:r>
        <w:rPr/>
        <w:t>privileges,</w:t>
      </w:r>
      <w:r>
        <w:rPr>
          <w:spacing w:val="2"/>
        </w:rPr>
        <w:t> </w:t>
      </w:r>
      <w:r>
        <w:rPr/>
        <w:t>including</w:t>
      </w:r>
      <w:r>
        <w:rPr>
          <w:spacing w:val="1"/>
        </w:rPr>
        <w:t> </w:t>
      </w:r>
      <w:r>
        <w:rPr/>
        <w:t>segregation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/>
        <w:t>duties,</w:t>
      </w:r>
      <w:r>
        <w:rPr>
          <w:spacing w:val="2"/>
        </w:rPr>
        <w:t> </w:t>
      </w:r>
      <w:r>
        <w:rPr/>
        <w:t>and</w:t>
      </w:r>
      <w:r>
        <w:rPr>
          <w:spacing w:val="1"/>
        </w:rPr>
        <w:t> </w:t>
      </w:r>
      <w:r>
        <w:rPr/>
        <w:t>controls</w:t>
      </w:r>
      <w:r>
        <w:rPr>
          <w:spacing w:val="1"/>
        </w:rPr>
        <w:t> </w:t>
      </w:r>
      <w:r>
        <w:rPr/>
        <w:t>over</w:t>
      </w:r>
      <w:r>
        <w:rPr>
          <w:spacing w:val="2"/>
        </w:rPr>
        <w:t> </w:t>
      </w:r>
      <w:r>
        <w:rPr/>
        <w:t>program changes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our information systems that contain data used for financial reporting. While we are designing and implementing</w:t>
      </w:r>
      <w:r>
        <w:rPr>
          <w:spacing w:val="1"/>
        </w:rPr>
        <w:t> </w:t>
      </w:r>
      <w:r>
        <w:rPr/>
        <w:t>measures to remediate the material weakness, we cannot predict the success of such measures or the outcome of our</w:t>
      </w:r>
      <w:r>
        <w:rPr>
          <w:spacing w:val="1"/>
        </w:rPr>
        <w:t> </w:t>
      </w:r>
      <w:r>
        <w:rPr/>
        <w:t>assessment of these measures at this time. We can give no assurance that these measures will remediate the material</w:t>
      </w:r>
      <w:r>
        <w:rPr>
          <w:spacing w:val="1"/>
        </w:rPr>
        <w:t> </w:t>
      </w:r>
      <w:r>
        <w:rPr/>
        <w:t>weakness in our internal control over financial reporting or that additional material weaknesses in our internal</w:t>
      </w:r>
      <w:r>
        <w:rPr>
          <w:spacing w:val="1"/>
        </w:rPr>
        <w:t> </w:t>
      </w:r>
      <w:r>
        <w:rPr/>
        <w:t>control over financial reporting will not be identified in the future. The material weakness will not be considered</w:t>
      </w:r>
      <w:r>
        <w:rPr>
          <w:spacing w:val="1"/>
        </w:rPr>
        <w:t> </w:t>
      </w:r>
      <w:r>
        <w:rPr/>
        <w:t>remediated until management completes the design and implementation of the measures described above and the</w:t>
      </w:r>
      <w:r>
        <w:rPr>
          <w:spacing w:val="1"/>
        </w:rPr>
        <w:t> </w:t>
      </w:r>
      <w:r>
        <w:rPr/>
        <w:t>controls operate for a sufficient period of time and management has concluded, through testing, that these controls</w:t>
      </w:r>
      <w:r>
        <w:rPr>
          <w:spacing w:val="1"/>
        </w:rPr>
        <w:t> </w:t>
      </w:r>
      <w:r>
        <w:rPr/>
        <w:t>are effective. Our failure to design and maintain effective internal control over financial reporting could result in</w:t>
      </w:r>
      <w:r>
        <w:rPr>
          <w:spacing w:val="1"/>
        </w:rPr>
        <w:t> </w:t>
      </w:r>
      <w:r>
        <w:rPr/>
        <w:t>errors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our</w:t>
      </w:r>
      <w:r>
        <w:rPr>
          <w:spacing w:val="-3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statements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lead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restatement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financial</w:t>
      </w:r>
      <w:r>
        <w:rPr>
          <w:spacing w:val="-4"/>
        </w:rPr>
        <w:t> </w:t>
      </w:r>
      <w:r>
        <w:rPr/>
        <w:t>statements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cause</w:t>
      </w:r>
      <w:r>
        <w:rPr>
          <w:spacing w:val="-3"/>
        </w:rPr>
        <w:t> </w:t>
      </w:r>
      <w:r>
        <w:rPr/>
        <w:t>us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fail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meet</w:t>
      </w:r>
      <w:r>
        <w:rPr>
          <w:spacing w:val="1"/>
        </w:rPr>
        <w:t> </w:t>
      </w:r>
      <w:r>
        <w:rPr/>
        <w:t>our</w:t>
      </w:r>
      <w:r>
        <w:rPr>
          <w:spacing w:val="-1"/>
        </w:rPr>
        <w:t> </w:t>
      </w:r>
      <w:r>
        <w:rPr/>
        <w:t>reporting obligations.</w:t>
      </w:r>
    </w:p>
    <w:p>
      <w:pPr>
        <w:pStyle w:val="BodyText"/>
        <w:spacing w:line="249" w:lineRule="auto" w:before="191"/>
        <w:ind w:right="112"/>
      </w:pPr>
      <w:r>
        <w:rPr/>
        <w:t>As a public company, our management is required to report upon the effectiveness of our internal control over</w:t>
      </w:r>
      <w:r>
        <w:rPr>
          <w:spacing w:val="1"/>
        </w:rPr>
        <w:t> </w:t>
      </w:r>
      <w:r>
        <w:rPr/>
        <w:t>financial reporting beginning with the annual report for our fiscal year ending December 31, 2022. This assessment</w:t>
      </w:r>
      <w:r>
        <w:rPr>
          <w:spacing w:val="1"/>
        </w:rPr>
        <w:t> </w:t>
      </w:r>
      <w:r>
        <w:rPr/>
        <w:t>will need to include disclosure of any material weaknesses identified by our management in our internal control over</w:t>
      </w:r>
      <w:r>
        <w:rPr>
          <w:spacing w:val="-47"/>
        </w:rPr>
        <w:t> </w:t>
      </w:r>
      <w:r>
        <w:rPr/>
        <w:t>financial reporting. When we lose our status as an “emerging growth company,” our independent registered public</w:t>
      </w:r>
      <w:r>
        <w:rPr>
          <w:spacing w:val="1"/>
        </w:rPr>
        <w:t> </w:t>
      </w:r>
      <w:r>
        <w:rPr/>
        <w:t>accounting firm will be required to audit the effectiveness of our internal control over financial reporting. Failure to</w:t>
      </w:r>
      <w:r>
        <w:rPr>
          <w:spacing w:val="1"/>
        </w:rPr>
        <w:t> </w:t>
      </w:r>
      <w:r>
        <w:rPr/>
        <w:t>comply with the Sarbanes-Oxley Act could potentially subject us to sanctions or investigations by the SEC or other</w:t>
      </w:r>
      <w:r>
        <w:rPr>
          <w:spacing w:val="1"/>
        </w:rPr>
        <w:t> </w:t>
      </w:r>
      <w:r>
        <w:rPr/>
        <w:t>regulatory authorities, which would require additional financial and management resources. Failure to remediate any</w:t>
      </w:r>
      <w:r>
        <w:rPr>
          <w:spacing w:val="-47"/>
        </w:rPr>
        <w:t> </w:t>
      </w:r>
      <w:r>
        <w:rPr/>
        <w:t>material</w:t>
      </w:r>
      <w:r>
        <w:rPr>
          <w:spacing w:val="-4"/>
        </w:rPr>
        <w:t> </w:t>
      </w:r>
      <w:r>
        <w:rPr/>
        <w:t>weakness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internal</w:t>
      </w:r>
      <w:r>
        <w:rPr>
          <w:spacing w:val="-4"/>
        </w:rPr>
        <w:t> </w:t>
      </w:r>
      <w:r>
        <w:rPr/>
        <w:t>control</w:t>
      </w:r>
      <w:r>
        <w:rPr>
          <w:spacing w:val="-4"/>
        </w:rPr>
        <w:t> </w:t>
      </w:r>
      <w:r>
        <w:rPr/>
        <w:t>over</w:t>
      </w:r>
      <w:r>
        <w:rPr>
          <w:spacing w:val="-3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reporting,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design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maintain</w:t>
      </w:r>
      <w:r>
        <w:rPr>
          <w:spacing w:val="-3"/>
        </w:rPr>
        <w:t> </w:t>
      </w:r>
      <w:r>
        <w:rPr/>
        <w:t>effective</w:t>
      </w:r>
      <w:r>
        <w:rPr>
          <w:spacing w:val="-4"/>
        </w:rPr>
        <w:t> </w:t>
      </w:r>
      <w:r>
        <w:rPr/>
        <w:t>internal</w:t>
      </w:r>
      <w:r>
        <w:rPr>
          <w:spacing w:val="-4"/>
        </w:rPr>
        <w:t> </w:t>
      </w:r>
      <w:r>
        <w:rPr/>
        <w:t>control</w:t>
      </w:r>
      <w:r>
        <w:rPr>
          <w:spacing w:val="-47"/>
        </w:rPr>
        <w:t> </w:t>
      </w:r>
      <w:r>
        <w:rPr/>
        <w:t>over</w:t>
      </w:r>
      <w:r>
        <w:rPr>
          <w:spacing w:val="-1"/>
        </w:rPr>
        <w:t> </w:t>
      </w:r>
      <w:r>
        <w:rPr/>
        <w:t>financial</w:t>
      </w:r>
      <w:r>
        <w:rPr>
          <w:spacing w:val="-2"/>
        </w:rPr>
        <w:t> </w:t>
      </w:r>
      <w:r>
        <w:rPr/>
        <w:t>reporting, could</w:t>
      </w:r>
      <w:r>
        <w:rPr>
          <w:spacing w:val="-1"/>
        </w:rPr>
        <w:t> </w:t>
      </w:r>
      <w:r>
        <w:rPr/>
        <w:t>also restrict</w:t>
      </w:r>
      <w:r>
        <w:rPr>
          <w:spacing w:val="-2"/>
        </w:rPr>
        <w:t> </w:t>
      </w:r>
      <w:r>
        <w:rPr/>
        <w:t>our future</w:t>
      </w:r>
      <w:r>
        <w:rPr>
          <w:spacing w:val="-2"/>
        </w:rPr>
        <w:t> </w:t>
      </w:r>
      <w:r>
        <w:rPr/>
        <w:t>access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capital</w:t>
      </w:r>
      <w:r>
        <w:rPr>
          <w:spacing w:val="-2"/>
        </w:rPr>
        <w:t> </w:t>
      </w:r>
      <w:r>
        <w:rPr/>
        <w:t>markets.</w:t>
      </w:r>
    </w:p>
    <w:p>
      <w:pPr>
        <w:pStyle w:val="Heading3"/>
        <w:spacing w:before="184"/>
        <w:rPr>
          <w:i/>
        </w:rPr>
      </w:pPr>
      <w:r>
        <w:rPr>
          <w:i/>
        </w:rPr>
        <w:t>Our</w:t>
      </w:r>
      <w:r>
        <w:rPr>
          <w:i/>
          <w:spacing w:val="-4"/>
        </w:rPr>
        <w:t> </w:t>
      </w:r>
      <w:r>
        <w:rPr>
          <w:i/>
        </w:rPr>
        <w:t>disclosure</w:t>
      </w:r>
      <w:r>
        <w:rPr>
          <w:i/>
          <w:spacing w:val="-3"/>
        </w:rPr>
        <w:t> </w:t>
      </w:r>
      <w:r>
        <w:rPr>
          <w:i/>
        </w:rPr>
        <w:t>controls</w:t>
      </w:r>
      <w:r>
        <w:rPr>
          <w:i/>
          <w:spacing w:val="-4"/>
        </w:rPr>
        <w:t> </w:t>
      </w:r>
      <w:r>
        <w:rPr>
          <w:i/>
        </w:rPr>
        <w:t>and</w:t>
      </w:r>
      <w:r>
        <w:rPr>
          <w:i/>
          <w:spacing w:val="-3"/>
        </w:rPr>
        <w:t> </w:t>
      </w:r>
      <w:r>
        <w:rPr>
          <w:i/>
        </w:rPr>
        <w:t>procedures</w:t>
      </w:r>
      <w:r>
        <w:rPr>
          <w:i/>
          <w:spacing w:val="-3"/>
        </w:rPr>
        <w:t> </w:t>
      </w:r>
      <w:r>
        <w:rPr>
          <w:i/>
        </w:rPr>
        <w:t>may</w:t>
      </w:r>
      <w:r>
        <w:rPr>
          <w:i/>
          <w:spacing w:val="-4"/>
        </w:rPr>
        <w:t> </w:t>
      </w:r>
      <w:r>
        <w:rPr>
          <w:i/>
        </w:rPr>
        <w:t>not</w:t>
      </w:r>
      <w:r>
        <w:rPr>
          <w:i/>
          <w:spacing w:val="-3"/>
        </w:rPr>
        <w:t> </w:t>
      </w:r>
      <w:r>
        <w:rPr>
          <w:i/>
        </w:rPr>
        <w:t>prevent</w:t>
      </w:r>
      <w:r>
        <w:rPr>
          <w:i/>
          <w:spacing w:val="-4"/>
        </w:rPr>
        <w:t> </w:t>
      </w:r>
      <w:r>
        <w:rPr>
          <w:i/>
        </w:rPr>
        <w:t>or</w:t>
      </w:r>
      <w:r>
        <w:rPr>
          <w:i/>
          <w:spacing w:val="-3"/>
        </w:rPr>
        <w:t> </w:t>
      </w:r>
      <w:r>
        <w:rPr>
          <w:i/>
        </w:rPr>
        <w:t>detect</w:t>
      </w:r>
      <w:r>
        <w:rPr>
          <w:i/>
          <w:spacing w:val="-4"/>
        </w:rPr>
        <w:t> </w:t>
      </w:r>
      <w:r>
        <w:rPr>
          <w:i/>
        </w:rPr>
        <w:t>all</w:t>
      </w:r>
      <w:r>
        <w:rPr>
          <w:i/>
          <w:spacing w:val="-3"/>
        </w:rPr>
        <w:t> </w:t>
      </w:r>
      <w:r>
        <w:rPr>
          <w:i/>
        </w:rPr>
        <w:t>errors</w:t>
      </w:r>
      <w:r>
        <w:rPr>
          <w:i/>
          <w:spacing w:val="-4"/>
        </w:rPr>
        <w:t> </w:t>
      </w:r>
      <w:r>
        <w:rPr>
          <w:i/>
        </w:rPr>
        <w:t>or</w:t>
      </w:r>
      <w:r>
        <w:rPr>
          <w:i/>
          <w:spacing w:val="-3"/>
        </w:rPr>
        <w:t> </w:t>
      </w:r>
      <w:r>
        <w:rPr>
          <w:i/>
        </w:rPr>
        <w:t>acts</w:t>
      </w:r>
      <w:r>
        <w:rPr>
          <w:i/>
          <w:spacing w:val="-4"/>
        </w:rPr>
        <w:t> </w:t>
      </w:r>
      <w:r>
        <w:rPr>
          <w:i/>
        </w:rPr>
        <w:t>of</w:t>
      </w:r>
      <w:r>
        <w:rPr>
          <w:i/>
          <w:spacing w:val="-2"/>
        </w:rPr>
        <w:t> </w:t>
      </w:r>
      <w:r>
        <w:rPr>
          <w:i/>
        </w:rPr>
        <w:t>fraud.</w:t>
      </w:r>
    </w:p>
    <w:p>
      <w:pPr>
        <w:pStyle w:val="BodyText"/>
        <w:spacing w:line="249" w:lineRule="auto" w:before="193"/>
        <w:ind w:right="116"/>
      </w:pPr>
      <w:r>
        <w:rPr/>
        <w:t>We are subject to the periodic reporting requirements of the Exchange Act. We must design our disclosure</w:t>
      </w:r>
      <w:r>
        <w:rPr>
          <w:spacing w:val="1"/>
        </w:rPr>
        <w:t> </w:t>
      </w:r>
      <w:r>
        <w:rPr/>
        <w:t>controls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procedures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reasonably</w:t>
      </w:r>
      <w:r>
        <w:rPr>
          <w:spacing w:val="-3"/>
        </w:rPr>
        <w:t> </w:t>
      </w:r>
      <w:r>
        <w:rPr/>
        <w:t>assure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we</w:t>
      </w:r>
      <w:r>
        <w:rPr>
          <w:spacing w:val="-3"/>
        </w:rPr>
        <w:t> </w:t>
      </w:r>
      <w:r>
        <w:rPr/>
        <w:t>must</w:t>
      </w:r>
      <w:r>
        <w:rPr>
          <w:spacing w:val="-4"/>
        </w:rPr>
        <w:t> </w:t>
      </w:r>
      <w:r>
        <w:rPr/>
        <w:t>disclose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reports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file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submit</w:t>
      </w:r>
      <w:r>
        <w:rPr>
          <w:spacing w:val="-3"/>
        </w:rPr>
        <w:t> </w:t>
      </w:r>
      <w:r>
        <w:rPr/>
        <w:t>under</w:t>
      </w:r>
      <w:r>
        <w:rPr>
          <w:spacing w:val="-2"/>
        </w:rPr>
        <w:t> </w:t>
      </w:r>
      <w:r>
        <w:rPr/>
        <w:t>the</w:t>
      </w:r>
      <w:r>
        <w:rPr>
          <w:spacing w:val="-47"/>
        </w:rPr>
        <w:t> </w:t>
      </w:r>
      <w:r>
        <w:rPr/>
        <w:t>Exchange Act is accumulated and communicated to management, and recorded, processed, summarized, and</w:t>
      </w:r>
      <w:r>
        <w:rPr>
          <w:spacing w:val="1"/>
        </w:rPr>
        <w:t> </w:t>
      </w:r>
      <w:r>
        <w:rPr/>
        <w:t>reported within the time periods specified in the rules and forms of the SEC. Any disclosure controls and procedures</w:t>
      </w:r>
      <w:r>
        <w:rPr>
          <w:spacing w:val="-47"/>
        </w:rPr>
        <w:t> </w:t>
      </w:r>
      <w:r>
        <w:rPr/>
        <w:t>or internal controls and procedures, no matter how well-conceived and operated, can provide only reasonable, not</w:t>
      </w:r>
      <w:r>
        <w:rPr>
          <w:spacing w:val="1"/>
        </w:rPr>
        <w:t> </w:t>
      </w:r>
      <w:r>
        <w:rPr/>
        <w:t>absolute, assurance that the objectives of the control system are met. These inherent limitations include the realities</w:t>
      </w:r>
      <w:r>
        <w:rPr>
          <w:spacing w:val="1"/>
        </w:rPr>
        <w:t> </w:t>
      </w:r>
      <w:r>
        <w:rPr/>
        <w:t>that judgments in decision-making can be faulty, and that breakdowns can occur because of simple error or mistake.</w:t>
      </w:r>
      <w:r>
        <w:rPr>
          <w:spacing w:val="1"/>
        </w:rPr>
        <w:t> </w:t>
      </w:r>
      <w:r>
        <w:rPr/>
        <w:t>For example, our directors or executive officers could inadvertently fail to disclose a new relationship or</w:t>
      </w:r>
      <w:r>
        <w:rPr>
          <w:spacing w:val="1"/>
        </w:rPr>
        <w:t> </w:t>
      </w:r>
      <w:r>
        <w:rPr/>
        <w:t>arrangement causing us to fail to make a required related party transaction disclosure. Additionally, controls can be</w:t>
      </w:r>
      <w:r>
        <w:rPr>
          <w:spacing w:val="1"/>
        </w:rPr>
        <w:t> </w:t>
      </w:r>
      <w:r>
        <w:rPr/>
        <w:t>circumvented by the individual acts of some persons, by collusion of two or more people or by an unauthorized</w:t>
      </w:r>
      <w:r>
        <w:rPr>
          <w:spacing w:val="1"/>
        </w:rPr>
        <w:t> </w:t>
      </w:r>
      <w:r>
        <w:rPr/>
        <w:t>override of the controls. Accordingly, because of the inherent limitations in our control system, misstatements due to</w:t>
      </w:r>
      <w:r>
        <w:rPr>
          <w:spacing w:val="-47"/>
        </w:rPr>
        <w:t> </w:t>
      </w:r>
      <w:r>
        <w:rPr/>
        <w:t>error</w:t>
      </w:r>
      <w:r>
        <w:rPr>
          <w:spacing w:val="-1"/>
        </w:rPr>
        <w:t> </w:t>
      </w:r>
      <w:r>
        <w:rPr/>
        <w:t>or fraud may occur and not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detected.</w:t>
      </w:r>
    </w:p>
    <w:p>
      <w:pPr>
        <w:pStyle w:val="Heading3"/>
        <w:spacing w:line="249" w:lineRule="auto" w:before="187"/>
      </w:pPr>
      <w:r>
        <w:rPr>
          <w:i/>
        </w:rPr>
        <w:t>The</w:t>
      </w:r>
      <w:r>
        <w:rPr>
          <w:i/>
          <w:spacing w:val="-5"/>
        </w:rPr>
        <w:t> </w:t>
      </w:r>
      <w:r>
        <w:rPr>
          <w:i/>
        </w:rPr>
        <w:t>requirements</w:t>
      </w:r>
      <w:r>
        <w:rPr>
          <w:i/>
          <w:spacing w:val="-4"/>
        </w:rPr>
        <w:t> </w:t>
      </w:r>
      <w:r>
        <w:rPr>
          <w:i/>
        </w:rPr>
        <w:t>of</w:t>
      </w:r>
      <w:r>
        <w:rPr>
          <w:i/>
          <w:spacing w:val="-3"/>
        </w:rPr>
        <w:t> </w:t>
      </w:r>
      <w:r>
        <w:rPr>
          <w:i/>
        </w:rPr>
        <w:t>being</w:t>
      </w:r>
      <w:r>
        <w:rPr>
          <w:i/>
          <w:spacing w:val="-3"/>
        </w:rPr>
        <w:t> </w:t>
      </w:r>
      <w:r>
        <w:rPr>
          <w:i/>
        </w:rPr>
        <w:t>a</w:t>
      </w:r>
      <w:r>
        <w:rPr>
          <w:i/>
          <w:spacing w:val="-4"/>
        </w:rPr>
        <w:t> </w:t>
      </w:r>
      <w:r>
        <w:rPr>
          <w:i/>
        </w:rPr>
        <w:t>public</w:t>
      </w:r>
      <w:r>
        <w:rPr>
          <w:i/>
          <w:spacing w:val="-4"/>
        </w:rPr>
        <w:t> </w:t>
      </w:r>
      <w:r>
        <w:rPr>
          <w:i/>
        </w:rPr>
        <w:t>company</w:t>
      </w:r>
      <w:r>
        <w:rPr>
          <w:i/>
          <w:spacing w:val="-4"/>
        </w:rPr>
        <w:t> </w:t>
      </w:r>
      <w:r>
        <w:rPr>
          <w:i/>
        </w:rPr>
        <w:t>may</w:t>
      </w:r>
      <w:r>
        <w:rPr>
          <w:i/>
          <w:spacing w:val="-4"/>
        </w:rPr>
        <w:t> </w:t>
      </w:r>
      <w:r>
        <w:rPr>
          <w:i/>
        </w:rPr>
        <w:t>strain</w:t>
      </w:r>
      <w:r>
        <w:rPr>
          <w:i/>
          <w:spacing w:val="-4"/>
        </w:rPr>
        <w:t> </w:t>
      </w:r>
      <w:r>
        <w:rPr>
          <w:i/>
        </w:rPr>
        <w:t>our</w:t>
      </w:r>
      <w:r>
        <w:rPr>
          <w:i/>
          <w:spacing w:val="-4"/>
        </w:rPr>
        <w:t> </w:t>
      </w:r>
      <w:r>
        <w:rPr>
          <w:i/>
        </w:rPr>
        <w:t>resources,</w:t>
      </w:r>
      <w:r>
        <w:rPr>
          <w:i/>
          <w:spacing w:val="-4"/>
        </w:rPr>
        <w:t> </w:t>
      </w:r>
      <w:r>
        <w:rPr>
          <w:i/>
        </w:rPr>
        <w:t>result</w:t>
      </w:r>
      <w:r>
        <w:rPr>
          <w:i/>
          <w:spacing w:val="-4"/>
        </w:rPr>
        <w:t> </w:t>
      </w:r>
      <w:r>
        <w:rPr>
          <w:i/>
        </w:rPr>
        <w:t>in</w:t>
      </w:r>
      <w:r>
        <w:rPr>
          <w:i/>
          <w:spacing w:val="-4"/>
        </w:rPr>
        <w:t> </w:t>
      </w:r>
      <w:r>
        <w:rPr>
          <w:i/>
        </w:rPr>
        <w:t>more</w:t>
      </w:r>
      <w:r>
        <w:rPr>
          <w:i/>
          <w:spacing w:val="-4"/>
        </w:rPr>
        <w:t> </w:t>
      </w:r>
      <w:r>
        <w:rPr>
          <w:i/>
        </w:rPr>
        <w:t>litigation,</w:t>
      </w:r>
      <w:r>
        <w:rPr>
          <w:i/>
          <w:spacing w:val="-3"/>
        </w:rPr>
        <w:t> </w:t>
      </w:r>
      <w:r>
        <w:rPr>
          <w:i/>
        </w:rPr>
        <w:t>and</w:t>
      </w:r>
      <w:r>
        <w:rPr>
          <w:i/>
          <w:spacing w:val="-4"/>
        </w:rPr>
        <w:t> </w:t>
      </w:r>
      <w:r>
        <w:rPr>
          <w:i/>
        </w:rPr>
        <w:t>divert</w:t>
      </w:r>
      <w:r>
        <w:rPr>
          <w:i/>
          <w:spacing w:val="1"/>
        </w:rPr>
        <w:t> </w:t>
      </w:r>
      <w:r>
        <w:rPr/>
        <w:t>management’s</w:t>
      </w:r>
      <w:r>
        <w:rPr>
          <w:spacing w:val="-2"/>
        </w:rPr>
        <w:t> </w:t>
      </w:r>
      <w:r>
        <w:rPr/>
        <w:t>attention.</w:t>
      </w:r>
    </w:p>
    <w:p>
      <w:pPr>
        <w:pStyle w:val="BodyText"/>
        <w:spacing w:line="249" w:lineRule="auto" w:before="185"/>
        <w:ind w:right="148"/>
      </w:pPr>
      <w:r>
        <w:rPr/>
        <w:t>As a public company, we are subject to the reporting requirements of the Exchange Act, the Sarbanes-Oxley</w:t>
      </w:r>
      <w:r>
        <w:rPr>
          <w:spacing w:val="1"/>
        </w:rPr>
        <w:t> </w:t>
      </w:r>
      <w:r>
        <w:rPr/>
        <w:t>Act, the Dodd-Frank Wall Street Reform and Consumer Protection Act, or the Dodd-Frank Act, the listing</w:t>
      </w:r>
      <w:r>
        <w:rPr>
          <w:spacing w:val="1"/>
        </w:rPr>
        <w:t> </w:t>
      </w:r>
      <w:r>
        <w:rPr/>
        <w:t>requirements of The Nasdaq Stock Market, and other applicable securities rules and regulations. Complying with</w:t>
      </w:r>
      <w:r>
        <w:rPr>
          <w:spacing w:val="1"/>
        </w:rPr>
        <w:t> </w:t>
      </w:r>
      <w:r>
        <w:rPr/>
        <w:t>these rules and regulations has increased and will increase our legal and financial compliance costs, make some</w:t>
      </w:r>
      <w:r>
        <w:rPr>
          <w:spacing w:val="1"/>
        </w:rPr>
        <w:t> </w:t>
      </w:r>
      <w:r>
        <w:rPr/>
        <w:t>activities more difficult, time consuming or costly, and increase demand on our systems and resources. The</w:t>
      </w:r>
      <w:r>
        <w:rPr>
          <w:spacing w:val="1"/>
        </w:rPr>
        <w:t> </w:t>
      </w:r>
      <w:r>
        <w:rPr/>
        <w:t>Exchange Act requires, among other things, that we file annual, quarterly, and current reports with respect to our</w:t>
      </w:r>
      <w:r>
        <w:rPr>
          <w:spacing w:val="1"/>
        </w:rPr>
        <w:t> </w:t>
      </w:r>
      <w:r>
        <w:rPr/>
        <w:t>business and operating results. The Sarbanes-Oxley Act requires, among other things, that we maintain effective</w:t>
      </w:r>
      <w:r>
        <w:rPr>
          <w:spacing w:val="1"/>
        </w:rPr>
        <w:t> </w:t>
      </w:r>
      <w:r>
        <w:rPr/>
        <w:t>disclosure</w:t>
      </w:r>
      <w:r>
        <w:rPr>
          <w:spacing w:val="-4"/>
        </w:rPr>
        <w:t> </w:t>
      </w:r>
      <w:r>
        <w:rPr/>
        <w:t>controls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procedures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internal</w:t>
      </w:r>
      <w:r>
        <w:rPr>
          <w:spacing w:val="-3"/>
        </w:rPr>
        <w:t> </w:t>
      </w:r>
      <w:r>
        <w:rPr/>
        <w:t>control</w:t>
      </w:r>
      <w:r>
        <w:rPr>
          <w:spacing w:val="-4"/>
        </w:rPr>
        <w:t> </w:t>
      </w:r>
      <w:r>
        <w:rPr/>
        <w:t>over</w:t>
      </w:r>
      <w:r>
        <w:rPr>
          <w:spacing w:val="-3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reporting.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required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disclose</w:t>
      </w:r>
      <w:r>
        <w:rPr>
          <w:spacing w:val="-4"/>
        </w:rPr>
        <w:t> </w:t>
      </w:r>
      <w:r>
        <w:rPr/>
        <w:t>changes</w:t>
      </w:r>
      <w:r>
        <w:rPr>
          <w:spacing w:val="-47"/>
        </w:rPr>
        <w:t> </w:t>
      </w:r>
      <w:r>
        <w:rPr/>
        <w:t>made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our</w:t>
      </w:r>
      <w:r>
        <w:rPr>
          <w:spacing w:val="-1"/>
        </w:rPr>
        <w:t> </w:t>
      </w:r>
      <w:r>
        <w:rPr/>
        <w:t>internal</w:t>
      </w:r>
      <w:r>
        <w:rPr>
          <w:spacing w:val="-3"/>
        </w:rPr>
        <w:t> </w:t>
      </w:r>
      <w:r>
        <w:rPr/>
        <w:t>control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procedures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quarterly</w:t>
      </w:r>
      <w:r>
        <w:rPr>
          <w:spacing w:val="-1"/>
        </w:rPr>
        <w:t> </w:t>
      </w:r>
      <w:r>
        <w:rPr/>
        <w:t>basis.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maintain</w:t>
      </w:r>
      <w:r>
        <w:rPr>
          <w:spacing w:val="-1"/>
        </w:rPr>
        <w:t> </w:t>
      </w:r>
      <w:r>
        <w:rPr/>
        <w:t>and,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required,</w:t>
      </w:r>
      <w:r>
        <w:rPr>
          <w:spacing w:val="-1"/>
        </w:rPr>
        <w:t> </w:t>
      </w:r>
      <w:r>
        <w:rPr/>
        <w:t>improve</w:t>
      </w:r>
      <w:r>
        <w:rPr>
          <w:spacing w:val="-3"/>
        </w:rPr>
        <w:t> </w:t>
      </w:r>
      <w:r>
        <w:rPr/>
        <w:t>our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  <w:ind w:right="127" w:firstLine="0"/>
      </w:pPr>
      <w:r>
        <w:rPr/>
        <w:t>disclosure controls and procedures and internal control over financial reporting to meet this standard, significant</w:t>
      </w:r>
      <w:r>
        <w:rPr>
          <w:spacing w:val="1"/>
        </w:rPr>
        <w:t> </w:t>
      </w:r>
      <w:r>
        <w:rPr/>
        <w:t>resources and management oversight may be required. As a result, management’s attention may be diverted from</w:t>
      </w:r>
      <w:r>
        <w:rPr>
          <w:spacing w:val="1"/>
        </w:rPr>
        <w:t> </w:t>
      </w:r>
      <w:r>
        <w:rPr/>
        <w:t>other business concerns, which could adversely affect our business and operating results. We may also need to hire</w:t>
      </w:r>
      <w:r>
        <w:rPr>
          <w:spacing w:val="1"/>
        </w:rPr>
        <w:t> </w:t>
      </w:r>
      <w:r>
        <w:rPr/>
        <w:t>additional</w:t>
      </w:r>
      <w:r>
        <w:rPr>
          <w:spacing w:val="-5"/>
        </w:rPr>
        <w:t> </w:t>
      </w:r>
      <w:r>
        <w:rPr/>
        <w:t>employees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engage</w:t>
      </w:r>
      <w:r>
        <w:rPr>
          <w:spacing w:val="-4"/>
        </w:rPr>
        <w:t> </w:t>
      </w:r>
      <w:r>
        <w:rPr/>
        <w:t>outside</w:t>
      </w:r>
      <w:r>
        <w:rPr>
          <w:spacing w:val="-5"/>
        </w:rPr>
        <w:t> </w:t>
      </w:r>
      <w:r>
        <w:rPr/>
        <w:t>consultants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comply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these</w:t>
      </w:r>
      <w:r>
        <w:rPr>
          <w:spacing w:val="-4"/>
        </w:rPr>
        <w:t> </w:t>
      </w:r>
      <w:r>
        <w:rPr/>
        <w:t>requirements,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will</w:t>
      </w:r>
      <w:r>
        <w:rPr>
          <w:spacing w:val="-5"/>
        </w:rPr>
        <w:t> </w:t>
      </w:r>
      <w:r>
        <w:rPr/>
        <w:t>increase</w:t>
      </w:r>
      <w:r>
        <w:rPr>
          <w:spacing w:val="-4"/>
        </w:rPr>
        <w:t> </w:t>
      </w:r>
      <w:r>
        <w:rPr/>
        <w:t>our</w:t>
      </w:r>
      <w:r>
        <w:rPr>
          <w:spacing w:val="-3"/>
        </w:rPr>
        <w:t> </w:t>
      </w:r>
      <w:r>
        <w:rPr/>
        <w:t>costs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expenses.</w:t>
      </w:r>
    </w:p>
    <w:p>
      <w:pPr>
        <w:pStyle w:val="BodyText"/>
        <w:spacing w:line="249" w:lineRule="auto" w:before="184"/>
        <w:ind w:right="133"/>
      </w:pPr>
      <w:r>
        <w:rPr/>
        <w:t>In</w:t>
      </w:r>
      <w:r>
        <w:rPr>
          <w:spacing w:val="-3"/>
        </w:rPr>
        <w:t> </w:t>
      </w:r>
      <w:r>
        <w:rPr/>
        <w:t>addition,</w:t>
      </w:r>
      <w:r>
        <w:rPr>
          <w:spacing w:val="-3"/>
        </w:rPr>
        <w:t> </w:t>
      </w:r>
      <w:r>
        <w:rPr/>
        <w:t>changing</w:t>
      </w:r>
      <w:r>
        <w:rPr>
          <w:spacing w:val="-3"/>
        </w:rPr>
        <w:t> </w:t>
      </w:r>
      <w:r>
        <w:rPr/>
        <w:t>laws,</w:t>
      </w:r>
      <w:r>
        <w:rPr>
          <w:spacing w:val="-3"/>
        </w:rPr>
        <w:t> </w:t>
      </w:r>
      <w:r>
        <w:rPr/>
        <w:t>regulations,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standards</w:t>
      </w:r>
      <w:r>
        <w:rPr>
          <w:spacing w:val="-4"/>
        </w:rPr>
        <w:t> </w:t>
      </w:r>
      <w:r>
        <w:rPr/>
        <w:t>relating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corporate</w:t>
      </w:r>
      <w:r>
        <w:rPr>
          <w:spacing w:val="-3"/>
        </w:rPr>
        <w:t> </w:t>
      </w:r>
      <w:r>
        <w:rPr/>
        <w:t>governance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public</w:t>
      </w:r>
      <w:r>
        <w:rPr>
          <w:spacing w:val="-4"/>
        </w:rPr>
        <w:t> </w:t>
      </w:r>
      <w:r>
        <w:rPr/>
        <w:t>disclosure</w:t>
      </w:r>
      <w:r>
        <w:rPr>
          <w:spacing w:val="-4"/>
        </w:rPr>
        <w:t> </w:t>
      </w:r>
      <w:r>
        <w:rPr/>
        <w:t>are</w:t>
      </w:r>
      <w:r>
        <w:rPr>
          <w:spacing w:val="-47"/>
        </w:rPr>
        <w:t> </w:t>
      </w:r>
      <w:r>
        <w:rPr/>
        <w:t>creating uncertainty for public companies, increasing legal and financial compliance costs, and making some</w:t>
      </w:r>
      <w:r>
        <w:rPr>
          <w:spacing w:val="1"/>
        </w:rPr>
        <w:t> </w:t>
      </w:r>
      <w:r>
        <w:rPr/>
        <w:t>activities more time consuming. These laws, regulations, and standards are subject to varying interpretations, in</w:t>
      </w:r>
      <w:r>
        <w:rPr>
          <w:spacing w:val="1"/>
        </w:rPr>
        <w:t> </w:t>
      </w:r>
      <w:r>
        <w:rPr/>
        <w:t>many cases due to their lack of specificity and, as a result, their application in practice may evolve over time as new</w:t>
      </w:r>
      <w:r>
        <w:rPr>
          <w:spacing w:val="1"/>
        </w:rPr>
        <w:t> </w:t>
      </w:r>
      <w:r>
        <w:rPr/>
        <w:t>guidance is provided by regulatory and governing bodies. This could result in continuing uncertainty regarding</w:t>
      </w:r>
      <w:r>
        <w:rPr>
          <w:spacing w:val="1"/>
        </w:rPr>
        <w:t> </w:t>
      </w:r>
      <w:r>
        <w:rPr/>
        <w:t>compliance matters and higher costs necessitated by ongoing revisions to disclosure and governance practices. We</w:t>
      </w:r>
      <w:r>
        <w:rPr>
          <w:spacing w:val="1"/>
        </w:rPr>
        <w:t> </w:t>
      </w:r>
      <w:r>
        <w:rPr/>
        <w:t>intend to invest resources to comply with evolving laws, regulations, and standards, and this investment may result</w:t>
      </w:r>
      <w:r>
        <w:rPr>
          <w:spacing w:val="1"/>
        </w:rPr>
        <w:t> </w:t>
      </w:r>
      <w:r>
        <w:rPr/>
        <w:t>in increased general and administrative expenses and a diversion of management’s time and attention from revenue-</w:t>
      </w:r>
      <w:r>
        <w:rPr>
          <w:spacing w:val="1"/>
        </w:rPr>
        <w:t> </w:t>
      </w:r>
      <w:r>
        <w:rPr/>
        <w:t>generating activities to compliance activities. If our efforts to comply with new laws, regulations, and standards</w:t>
      </w:r>
      <w:r>
        <w:rPr>
          <w:spacing w:val="1"/>
        </w:rPr>
        <w:t> </w:t>
      </w:r>
      <w:r>
        <w:rPr/>
        <w:t>differ from the activities intended by regulatory or governing bodies due to ambiguities related to their application</w:t>
      </w:r>
      <w:r>
        <w:rPr>
          <w:spacing w:val="1"/>
        </w:rPr>
        <w:t> </w:t>
      </w:r>
      <w:r>
        <w:rPr/>
        <w:t>and practice, regulatory authorities may initiate legal proceedings against us and our business may be adversely</w:t>
      </w:r>
      <w:r>
        <w:rPr>
          <w:spacing w:val="1"/>
        </w:rPr>
        <w:t> </w:t>
      </w:r>
      <w:r>
        <w:rPr/>
        <w:t>affected.</w:t>
      </w:r>
    </w:p>
    <w:p>
      <w:pPr>
        <w:pStyle w:val="BodyText"/>
        <w:spacing w:line="249" w:lineRule="auto"/>
      </w:pPr>
      <w:r>
        <w:rPr/>
        <w:t>These new rules and regulations may make it more expensive for us to obtain director and officer liability</w:t>
      </w:r>
      <w:r>
        <w:rPr>
          <w:spacing w:val="1"/>
        </w:rPr>
        <w:t> </w:t>
      </w:r>
      <w:r>
        <w:rPr/>
        <w:t>insurance and, in the future, we may be required to accept reduced coverage or incur substantially higher costs to</w:t>
      </w:r>
      <w:r>
        <w:rPr>
          <w:spacing w:val="1"/>
        </w:rPr>
        <w:t> </w:t>
      </w:r>
      <w:r>
        <w:rPr/>
        <w:t>obtain</w:t>
      </w:r>
      <w:r>
        <w:rPr>
          <w:spacing w:val="-3"/>
        </w:rPr>
        <w:t> </w:t>
      </w:r>
      <w:r>
        <w:rPr/>
        <w:t>coverage.</w:t>
      </w:r>
      <w:r>
        <w:rPr>
          <w:spacing w:val="-2"/>
        </w:rPr>
        <w:t> </w:t>
      </w:r>
      <w:r>
        <w:rPr/>
        <w:t>These</w:t>
      </w:r>
      <w:r>
        <w:rPr>
          <w:spacing w:val="-3"/>
        </w:rPr>
        <w:t> </w:t>
      </w:r>
      <w:r>
        <w:rPr/>
        <w:t>factors</w:t>
      </w:r>
      <w:r>
        <w:rPr>
          <w:spacing w:val="-4"/>
        </w:rPr>
        <w:t> </w:t>
      </w:r>
      <w:r>
        <w:rPr/>
        <w:t>could</w:t>
      </w:r>
      <w:r>
        <w:rPr>
          <w:spacing w:val="-2"/>
        </w:rPr>
        <w:t> </w:t>
      </w:r>
      <w:r>
        <w:rPr/>
        <w:t>also</w:t>
      </w:r>
      <w:r>
        <w:rPr>
          <w:spacing w:val="-2"/>
        </w:rPr>
        <w:t> </w:t>
      </w:r>
      <w:r>
        <w:rPr/>
        <w:t>make</w:t>
      </w:r>
      <w:r>
        <w:rPr>
          <w:spacing w:val="-4"/>
        </w:rPr>
        <w:t> </w:t>
      </w:r>
      <w:r>
        <w:rPr/>
        <w:t>it</w:t>
      </w:r>
      <w:r>
        <w:rPr>
          <w:spacing w:val="-3"/>
        </w:rPr>
        <w:t> </w:t>
      </w:r>
      <w:r>
        <w:rPr/>
        <w:t>more</w:t>
      </w:r>
      <w:r>
        <w:rPr>
          <w:spacing w:val="-3"/>
        </w:rPr>
        <w:t> </w:t>
      </w:r>
      <w:r>
        <w:rPr/>
        <w:t>difficult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us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attract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retain</w:t>
      </w:r>
      <w:r>
        <w:rPr>
          <w:spacing w:val="-2"/>
        </w:rPr>
        <w:t> </w:t>
      </w:r>
      <w:r>
        <w:rPr/>
        <w:t>qualified</w:t>
      </w:r>
      <w:r>
        <w:rPr>
          <w:spacing w:val="-3"/>
        </w:rPr>
        <w:t> </w:t>
      </w:r>
      <w:r>
        <w:rPr/>
        <w:t>members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our</w:t>
      </w:r>
      <w:r>
        <w:rPr>
          <w:spacing w:val="-47"/>
        </w:rPr>
        <w:t> </w:t>
      </w:r>
      <w:r>
        <w:rPr/>
        <w:t>Board,</w:t>
      </w:r>
      <w:r>
        <w:rPr>
          <w:spacing w:val="-3"/>
        </w:rPr>
        <w:t> </w:t>
      </w:r>
      <w:r>
        <w:rPr/>
        <w:t>particularly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serve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audit</w:t>
      </w:r>
      <w:r>
        <w:rPr>
          <w:spacing w:val="-4"/>
        </w:rPr>
        <w:t> </w:t>
      </w:r>
      <w:r>
        <w:rPr/>
        <w:t>committee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compensation</w:t>
      </w:r>
      <w:r>
        <w:rPr>
          <w:spacing w:val="-3"/>
        </w:rPr>
        <w:t> </w:t>
      </w:r>
      <w:r>
        <w:rPr/>
        <w:t>committee,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qualified</w:t>
      </w:r>
      <w:r>
        <w:rPr>
          <w:spacing w:val="-3"/>
        </w:rPr>
        <w:t> </w:t>
      </w:r>
      <w:r>
        <w:rPr/>
        <w:t>executive</w:t>
      </w:r>
      <w:r>
        <w:rPr>
          <w:spacing w:val="-4"/>
        </w:rPr>
        <w:t> </w:t>
      </w:r>
      <w:r>
        <w:rPr/>
        <w:t>officers.</w:t>
      </w:r>
    </w:p>
    <w:p>
      <w:pPr>
        <w:pStyle w:val="BodyText"/>
        <w:spacing w:line="249" w:lineRule="auto" w:before="183"/>
        <w:ind w:right="212"/>
      </w:pPr>
      <w:r>
        <w:rPr/>
        <w:t>By disclosing information in this Quarterly Report on Form 10-Q and in future filings required of a public</w:t>
      </w:r>
      <w:r>
        <w:rPr>
          <w:spacing w:val="1"/>
        </w:rPr>
        <w:t> </w:t>
      </w:r>
      <w:r>
        <w:rPr/>
        <w:t>company,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business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financial</w:t>
      </w:r>
      <w:r>
        <w:rPr>
          <w:spacing w:val="-4"/>
        </w:rPr>
        <w:t> </w:t>
      </w:r>
      <w:r>
        <w:rPr/>
        <w:t>condition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become</w:t>
      </w:r>
      <w:r>
        <w:rPr>
          <w:spacing w:val="-4"/>
        </w:rPr>
        <w:t> </w:t>
      </w:r>
      <w:r>
        <w:rPr/>
        <w:t>more</w:t>
      </w:r>
      <w:r>
        <w:rPr>
          <w:spacing w:val="-3"/>
        </w:rPr>
        <w:t> </w:t>
      </w:r>
      <w:r>
        <w:rPr/>
        <w:t>visible,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we</w:t>
      </w:r>
      <w:r>
        <w:rPr>
          <w:spacing w:val="-4"/>
        </w:rPr>
        <w:t> </w:t>
      </w:r>
      <w:r>
        <w:rPr/>
        <w:t>believe</w:t>
      </w:r>
      <w:r>
        <w:rPr>
          <w:spacing w:val="-4"/>
        </w:rPr>
        <w:t> </w:t>
      </w:r>
      <w:r>
        <w:rPr/>
        <w:t>may</w:t>
      </w:r>
      <w:r>
        <w:rPr>
          <w:spacing w:val="-3"/>
        </w:rPr>
        <w:t> </w:t>
      </w:r>
      <w:r>
        <w:rPr/>
        <w:t>result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threatened</w:t>
      </w:r>
      <w:r>
        <w:rPr>
          <w:spacing w:val="-47"/>
        </w:rPr>
        <w:t> </w:t>
      </w:r>
      <w:r>
        <w:rPr/>
        <w:t>or actual litigation, including by competitors and other third parties. If those claims are successful, our business</w:t>
      </w:r>
      <w:r>
        <w:rPr>
          <w:spacing w:val="1"/>
        </w:rPr>
        <w:t> </w:t>
      </w:r>
      <w:r>
        <w:rPr/>
        <w:t>could be seriously harmed. Even if the claims do not result in litigation or are resolved in our favor, the time and</w:t>
      </w:r>
      <w:r>
        <w:rPr>
          <w:spacing w:val="1"/>
        </w:rPr>
        <w:t> </w:t>
      </w:r>
      <w:r>
        <w:rPr/>
        <w:t>resources</w:t>
      </w:r>
      <w:r>
        <w:rPr>
          <w:spacing w:val="-3"/>
        </w:rPr>
        <w:t> </w:t>
      </w:r>
      <w:r>
        <w:rPr/>
        <w:t>needed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resolve</w:t>
      </w:r>
      <w:r>
        <w:rPr>
          <w:spacing w:val="-2"/>
        </w:rPr>
        <w:t> </w:t>
      </w:r>
      <w:r>
        <w:rPr/>
        <w:t>them</w:t>
      </w:r>
      <w:r>
        <w:rPr>
          <w:spacing w:val="-3"/>
        </w:rPr>
        <w:t> </w:t>
      </w:r>
      <w:r>
        <w:rPr/>
        <w:t>could</w:t>
      </w:r>
      <w:r>
        <w:rPr>
          <w:spacing w:val="-1"/>
        </w:rPr>
        <w:t> </w:t>
      </w:r>
      <w:r>
        <w:rPr/>
        <w:t>divert</w:t>
      </w:r>
      <w:r>
        <w:rPr>
          <w:spacing w:val="-3"/>
        </w:rPr>
        <w:t> </w:t>
      </w:r>
      <w:r>
        <w:rPr/>
        <w:t>our</w:t>
      </w:r>
      <w:r>
        <w:rPr>
          <w:spacing w:val="-1"/>
        </w:rPr>
        <w:t> </w:t>
      </w:r>
      <w:r>
        <w:rPr/>
        <w:t>management’s</w:t>
      </w:r>
      <w:r>
        <w:rPr>
          <w:spacing w:val="-3"/>
        </w:rPr>
        <w:t> </w:t>
      </w:r>
      <w:r>
        <w:rPr/>
        <w:t>resources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seriously</w:t>
      </w:r>
      <w:r>
        <w:rPr>
          <w:spacing w:val="-1"/>
        </w:rPr>
        <w:t> </w:t>
      </w:r>
      <w:r>
        <w:rPr/>
        <w:t>harm</w:t>
      </w:r>
      <w:r>
        <w:rPr>
          <w:spacing w:val="-3"/>
        </w:rPr>
        <w:t> </w:t>
      </w:r>
      <w:r>
        <w:rPr/>
        <w:t>our</w:t>
      </w:r>
      <w:r>
        <w:rPr>
          <w:spacing w:val="-1"/>
        </w:rPr>
        <w:t> </w:t>
      </w:r>
      <w:r>
        <w:rPr/>
        <w:t>business.</w:t>
      </w:r>
    </w:p>
    <w:p>
      <w:pPr>
        <w:pStyle w:val="Heading2"/>
        <w:spacing w:before="181"/>
      </w:pPr>
      <w:r>
        <w:rPr/>
        <w:t>General</w:t>
      </w:r>
      <w:r>
        <w:rPr>
          <w:spacing w:val="-5"/>
        </w:rPr>
        <w:t> </w:t>
      </w:r>
      <w:r>
        <w:rPr/>
        <w:t>Risks</w:t>
      </w:r>
    </w:p>
    <w:p>
      <w:pPr>
        <w:pStyle w:val="Heading3"/>
        <w:spacing w:before="190"/>
        <w:rPr>
          <w:i/>
        </w:rPr>
      </w:pPr>
      <w:r>
        <w:rPr>
          <w:i/>
        </w:rPr>
        <w:t>Litigation</w:t>
      </w:r>
      <w:r>
        <w:rPr>
          <w:i/>
          <w:spacing w:val="-5"/>
        </w:rPr>
        <w:t> </w:t>
      </w:r>
      <w:r>
        <w:rPr>
          <w:i/>
        </w:rPr>
        <w:t>and</w:t>
      </w:r>
      <w:r>
        <w:rPr>
          <w:i/>
          <w:spacing w:val="-3"/>
        </w:rPr>
        <w:t> </w:t>
      </w:r>
      <w:r>
        <w:rPr>
          <w:i/>
        </w:rPr>
        <w:t>other</w:t>
      </w:r>
      <w:r>
        <w:rPr>
          <w:i/>
          <w:spacing w:val="-5"/>
        </w:rPr>
        <w:t> </w:t>
      </w:r>
      <w:r>
        <w:rPr>
          <w:i/>
        </w:rPr>
        <w:t>legal</w:t>
      </w:r>
      <w:r>
        <w:rPr>
          <w:i/>
          <w:spacing w:val="-4"/>
        </w:rPr>
        <w:t> </w:t>
      </w:r>
      <w:r>
        <w:rPr>
          <w:i/>
        </w:rPr>
        <w:t>proceedings</w:t>
      </w:r>
      <w:r>
        <w:rPr>
          <w:i/>
          <w:spacing w:val="-4"/>
        </w:rPr>
        <w:t> </w:t>
      </w:r>
      <w:r>
        <w:rPr>
          <w:i/>
        </w:rPr>
        <w:t>may</w:t>
      </w:r>
      <w:r>
        <w:rPr>
          <w:i/>
          <w:spacing w:val="-5"/>
        </w:rPr>
        <w:t> </w:t>
      </w:r>
      <w:r>
        <w:rPr>
          <w:i/>
        </w:rPr>
        <w:t>adversely</w:t>
      </w:r>
      <w:r>
        <w:rPr>
          <w:i/>
          <w:spacing w:val="-4"/>
        </w:rPr>
        <w:t> </w:t>
      </w:r>
      <w:r>
        <w:rPr>
          <w:i/>
        </w:rPr>
        <w:t>affect</w:t>
      </w:r>
      <w:r>
        <w:rPr>
          <w:i/>
          <w:spacing w:val="-5"/>
        </w:rPr>
        <w:t> </w:t>
      </w:r>
      <w:r>
        <w:rPr>
          <w:i/>
        </w:rPr>
        <w:t>our</w:t>
      </w:r>
      <w:r>
        <w:rPr>
          <w:i/>
          <w:spacing w:val="-4"/>
        </w:rPr>
        <w:t> </w:t>
      </w:r>
      <w:r>
        <w:rPr>
          <w:i/>
        </w:rPr>
        <w:t>business.</w:t>
      </w:r>
    </w:p>
    <w:p>
      <w:pPr>
        <w:pStyle w:val="BodyText"/>
        <w:spacing w:line="249" w:lineRule="auto" w:before="193"/>
        <w:ind w:right="145"/>
      </w:pPr>
      <w:r>
        <w:rPr/>
        <w:t>From time-to-time we may become involved in legal proceedings relating to patent and other intellectual</w:t>
      </w:r>
      <w:r>
        <w:rPr>
          <w:spacing w:val="1"/>
        </w:rPr>
        <w:t> </w:t>
      </w:r>
      <w:r>
        <w:rPr/>
        <w:t>property matters, product liability claims, employee claims, tort or contract claims, federal regulatory investigations,</w:t>
      </w:r>
      <w:r>
        <w:rPr>
          <w:spacing w:val="-47"/>
        </w:rPr>
        <w:t> </w:t>
      </w:r>
      <w:r>
        <w:rPr/>
        <w:t>securities class action and other legal proceedings or investigations, which could have an adverse impact on our</w:t>
      </w:r>
      <w:r>
        <w:rPr>
          <w:spacing w:val="1"/>
        </w:rPr>
        <w:t> </w:t>
      </w:r>
      <w:r>
        <w:rPr/>
        <w:t>reputation, business and financial condition and divert the attention of our management from the operation of our</w:t>
      </w:r>
      <w:r>
        <w:rPr>
          <w:spacing w:val="1"/>
        </w:rPr>
        <w:t> </w:t>
      </w:r>
      <w:r>
        <w:rPr/>
        <w:t>business.</w:t>
      </w:r>
      <w:r>
        <w:rPr>
          <w:spacing w:val="1"/>
        </w:rPr>
        <w:t> </w:t>
      </w:r>
      <w:r>
        <w:rPr/>
        <w:t>Litigation</w:t>
      </w:r>
      <w:r>
        <w:rPr>
          <w:spacing w:val="2"/>
        </w:rPr>
        <w:t> </w:t>
      </w:r>
      <w:r>
        <w:rPr/>
        <w:t>is inherently</w:t>
      </w:r>
      <w:r>
        <w:rPr>
          <w:spacing w:val="2"/>
        </w:rPr>
        <w:t> </w:t>
      </w:r>
      <w:r>
        <w:rPr/>
        <w:t>unpredictable and</w:t>
      </w:r>
      <w:r>
        <w:rPr>
          <w:spacing w:val="2"/>
        </w:rPr>
        <w:t> </w:t>
      </w:r>
      <w:r>
        <w:rPr/>
        <w:t>can</w:t>
      </w:r>
      <w:r>
        <w:rPr>
          <w:spacing w:val="2"/>
        </w:rPr>
        <w:t> </w:t>
      </w:r>
      <w:r>
        <w:rPr/>
        <w:t>result in</w:t>
      </w:r>
      <w:r>
        <w:rPr>
          <w:spacing w:val="2"/>
        </w:rPr>
        <w:t> </w:t>
      </w:r>
      <w:r>
        <w:rPr/>
        <w:t>excessive or</w:t>
      </w:r>
      <w:r>
        <w:rPr>
          <w:spacing w:val="2"/>
        </w:rPr>
        <w:t> </w:t>
      </w:r>
      <w:r>
        <w:rPr/>
        <w:t>unanticipated</w:t>
      </w:r>
      <w:r>
        <w:rPr>
          <w:spacing w:val="1"/>
        </w:rPr>
        <w:t> </w:t>
      </w:r>
      <w:r>
        <w:rPr/>
        <w:t>verdicts</w:t>
      </w:r>
      <w:r>
        <w:rPr>
          <w:spacing w:val="1"/>
        </w:rPr>
        <w:t> </w:t>
      </w:r>
      <w:r>
        <w:rPr/>
        <w:t>and/or</w:t>
      </w:r>
      <w:r>
        <w:rPr>
          <w:spacing w:val="1"/>
        </w:rPr>
        <w:t> </w:t>
      </w:r>
      <w:r>
        <w:rPr/>
        <w:t>injunctive relief that affect how we operate our business. We could incur judgments or enter into settlements of</w:t>
      </w:r>
      <w:r>
        <w:rPr>
          <w:spacing w:val="1"/>
        </w:rPr>
        <w:t> </w:t>
      </w:r>
      <w:r>
        <w:rPr/>
        <w:t>claims for monetary damages or for agreements to change the way we operate our business, or both. There may be</w:t>
      </w:r>
      <w:r>
        <w:rPr>
          <w:spacing w:val="1"/>
        </w:rPr>
        <w:t> </w:t>
      </w:r>
      <w:r>
        <w:rPr/>
        <w:t>an</w:t>
      </w:r>
      <w:r>
        <w:rPr>
          <w:spacing w:val="-3"/>
        </w:rPr>
        <w:t> </w:t>
      </w:r>
      <w:r>
        <w:rPr/>
        <w:t>increase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scope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these</w:t>
      </w:r>
      <w:r>
        <w:rPr>
          <w:spacing w:val="-4"/>
        </w:rPr>
        <w:t> </w:t>
      </w:r>
      <w:r>
        <w:rPr/>
        <w:t>matters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there</w:t>
      </w:r>
      <w:r>
        <w:rPr>
          <w:spacing w:val="-4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additional</w:t>
      </w:r>
      <w:r>
        <w:rPr>
          <w:spacing w:val="-3"/>
        </w:rPr>
        <w:t> </w:t>
      </w:r>
      <w:r>
        <w:rPr/>
        <w:t>lawsuits,</w:t>
      </w:r>
      <w:r>
        <w:rPr>
          <w:spacing w:val="-3"/>
        </w:rPr>
        <w:t> </w:t>
      </w:r>
      <w:r>
        <w:rPr/>
        <w:t>claims,</w:t>
      </w:r>
      <w:r>
        <w:rPr>
          <w:spacing w:val="-3"/>
        </w:rPr>
        <w:t> </w:t>
      </w:r>
      <w:r>
        <w:rPr/>
        <w:t>proceedings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investigations</w:t>
      </w:r>
      <w:r>
        <w:rPr>
          <w:spacing w:val="-3"/>
        </w:rPr>
        <w:t> </w:t>
      </w:r>
      <w:r>
        <w:rPr/>
        <w:t>in</w:t>
      </w:r>
      <w:r>
        <w:rPr>
          <w:spacing w:val="1"/>
        </w:rPr>
        <w:t> </w:t>
      </w:r>
      <w:r>
        <w:rPr/>
        <w:t>the future, which could have a material adverse effect on our business, financial condition and results of operations.</w:t>
      </w:r>
      <w:r>
        <w:rPr>
          <w:spacing w:val="1"/>
        </w:rPr>
        <w:t> </w:t>
      </w:r>
      <w:r>
        <w:rPr/>
        <w:t>Adverse publicity about regulatory or legal action against us could damage our reputation and brand image,</w:t>
      </w:r>
      <w:r>
        <w:rPr>
          <w:spacing w:val="1"/>
        </w:rPr>
        <w:t> </w:t>
      </w:r>
      <w:r>
        <w:rPr/>
        <w:t>undermine our customers’ confidence and reduce long-term demand for our AquaBeam Robotic System, even if the</w:t>
      </w:r>
      <w:r>
        <w:rPr>
          <w:spacing w:val="-47"/>
        </w:rPr>
        <w:t> </w:t>
      </w:r>
      <w:r>
        <w:rPr/>
        <w:t>regulatory</w:t>
      </w:r>
      <w:r>
        <w:rPr>
          <w:spacing w:val="-1"/>
        </w:rPr>
        <w:t> </w:t>
      </w:r>
      <w:r>
        <w:rPr/>
        <w:t>or legal</w:t>
      </w:r>
      <w:r>
        <w:rPr>
          <w:spacing w:val="-1"/>
        </w:rPr>
        <w:t> </w:t>
      </w:r>
      <w:r>
        <w:rPr/>
        <w:t>action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unfounded or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material</w:t>
      </w:r>
      <w:r>
        <w:rPr>
          <w:spacing w:val="-1"/>
        </w:rPr>
        <w:t> </w:t>
      </w:r>
      <w:r>
        <w:rPr/>
        <w:t>to our</w:t>
      </w:r>
      <w:r>
        <w:rPr>
          <w:spacing w:val="-1"/>
        </w:rPr>
        <w:t> </w:t>
      </w:r>
      <w:r>
        <w:rPr/>
        <w:t>operations.</w:t>
      </w:r>
    </w:p>
    <w:p>
      <w:pPr>
        <w:pStyle w:val="Heading3"/>
        <w:spacing w:before="187"/>
        <w:rPr>
          <w:i/>
        </w:rPr>
      </w:pPr>
      <w:r>
        <w:rPr>
          <w:i/>
        </w:rPr>
        <w:t>General</w:t>
      </w:r>
      <w:r>
        <w:rPr>
          <w:i/>
          <w:spacing w:val="-5"/>
        </w:rPr>
        <w:t> </w:t>
      </w:r>
      <w:r>
        <w:rPr>
          <w:i/>
        </w:rPr>
        <w:t>economic</w:t>
      </w:r>
      <w:r>
        <w:rPr>
          <w:i/>
          <w:spacing w:val="-5"/>
        </w:rPr>
        <w:t> </w:t>
      </w:r>
      <w:r>
        <w:rPr>
          <w:i/>
        </w:rPr>
        <w:t>and</w:t>
      </w:r>
      <w:r>
        <w:rPr>
          <w:i/>
          <w:spacing w:val="-4"/>
        </w:rPr>
        <w:t> </w:t>
      </w:r>
      <w:r>
        <w:rPr>
          <w:i/>
        </w:rPr>
        <w:t>financial</w:t>
      </w:r>
      <w:r>
        <w:rPr>
          <w:i/>
          <w:spacing w:val="-4"/>
        </w:rPr>
        <w:t> </w:t>
      </w:r>
      <w:r>
        <w:rPr>
          <w:i/>
        </w:rPr>
        <w:t>market</w:t>
      </w:r>
      <w:r>
        <w:rPr>
          <w:i/>
          <w:spacing w:val="-5"/>
        </w:rPr>
        <w:t> </w:t>
      </w:r>
      <w:r>
        <w:rPr>
          <w:i/>
        </w:rPr>
        <w:t>conditions</w:t>
      </w:r>
      <w:r>
        <w:rPr>
          <w:i/>
          <w:spacing w:val="-5"/>
        </w:rPr>
        <w:t> </w:t>
      </w:r>
      <w:r>
        <w:rPr>
          <w:i/>
        </w:rPr>
        <w:t>may</w:t>
      </w:r>
      <w:r>
        <w:rPr>
          <w:i/>
          <w:spacing w:val="-4"/>
        </w:rPr>
        <w:t> </w:t>
      </w:r>
      <w:r>
        <w:rPr>
          <w:i/>
        </w:rPr>
        <w:t>exacerbate</w:t>
      </w:r>
      <w:r>
        <w:rPr>
          <w:i/>
          <w:spacing w:val="-5"/>
        </w:rPr>
        <w:t> </w:t>
      </w:r>
      <w:r>
        <w:rPr>
          <w:i/>
        </w:rPr>
        <w:t>our</w:t>
      </w:r>
      <w:r>
        <w:rPr>
          <w:i/>
          <w:spacing w:val="-5"/>
        </w:rPr>
        <w:t> </w:t>
      </w:r>
      <w:r>
        <w:rPr>
          <w:i/>
        </w:rPr>
        <w:t>business</w:t>
      </w:r>
      <w:r>
        <w:rPr>
          <w:i/>
          <w:spacing w:val="-4"/>
        </w:rPr>
        <w:t> </w:t>
      </w:r>
      <w:r>
        <w:rPr>
          <w:i/>
        </w:rPr>
        <w:t>risks.</w:t>
      </w:r>
    </w:p>
    <w:p>
      <w:pPr>
        <w:pStyle w:val="BodyText"/>
        <w:spacing w:line="249" w:lineRule="auto" w:before="193"/>
      </w:pPr>
      <w:r>
        <w:rPr/>
        <w:t>Global macroeconomic conditions and the world’s financial markets remain susceptible to significant stresses,</w:t>
      </w:r>
      <w:r>
        <w:rPr>
          <w:spacing w:val="1"/>
        </w:rPr>
        <w:t> </w:t>
      </w:r>
      <w:r>
        <w:rPr/>
        <w:t>resulting in reductions in available credit and government spending, economic downturn or stagnation, foreign</w:t>
      </w:r>
      <w:r>
        <w:rPr>
          <w:spacing w:val="1"/>
        </w:rPr>
        <w:t> </w:t>
      </w:r>
      <w:r>
        <w:rPr/>
        <w:t>currency fluctuations and volatility in the valuations of securities generally. Our customers and distributors may</w:t>
      </w:r>
      <w:r>
        <w:rPr>
          <w:spacing w:val="1"/>
        </w:rPr>
        <w:t> </w:t>
      </w:r>
      <w:r>
        <w:rPr/>
        <w:t>respond to such economic pressures by reducing or deferring their capital spending or reducing staff. Furthermore,</w:t>
      </w:r>
      <w:r>
        <w:rPr>
          <w:spacing w:val="1"/>
        </w:rPr>
        <w:t> </w:t>
      </w:r>
      <w:r>
        <w:rPr/>
        <w:t>unfavorable</w:t>
      </w:r>
      <w:r>
        <w:rPr>
          <w:spacing w:val="-4"/>
        </w:rPr>
        <w:t> </w:t>
      </w:r>
      <w:r>
        <w:rPr/>
        <w:t>changes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foreign</w:t>
      </w:r>
      <w:r>
        <w:rPr>
          <w:spacing w:val="-2"/>
        </w:rPr>
        <w:t> </w:t>
      </w:r>
      <w:r>
        <w:rPr/>
        <w:t>exchange</w:t>
      </w:r>
      <w:r>
        <w:rPr>
          <w:spacing w:val="-3"/>
        </w:rPr>
        <w:t> </w:t>
      </w:r>
      <w:r>
        <w:rPr/>
        <w:t>rates</w:t>
      </w:r>
      <w:r>
        <w:rPr>
          <w:spacing w:val="-4"/>
        </w:rPr>
        <w:t> </w:t>
      </w:r>
      <w:r>
        <w:rPr/>
        <w:t>versus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U.S.</w:t>
      </w:r>
      <w:r>
        <w:rPr>
          <w:spacing w:val="-2"/>
        </w:rPr>
        <w:t> </w:t>
      </w:r>
      <w:r>
        <w:rPr/>
        <w:t>dollar</w:t>
      </w:r>
      <w:r>
        <w:rPr>
          <w:spacing w:val="-2"/>
        </w:rPr>
        <w:t> </w:t>
      </w:r>
      <w:r>
        <w:rPr/>
        <w:t>could</w:t>
      </w:r>
      <w:r>
        <w:rPr>
          <w:spacing w:val="-2"/>
        </w:rPr>
        <w:t> </w:t>
      </w:r>
      <w:r>
        <w:rPr/>
        <w:t>increase</w:t>
      </w:r>
      <w:r>
        <w:rPr>
          <w:spacing w:val="-4"/>
        </w:rPr>
        <w:t> </w:t>
      </w:r>
      <w:r>
        <w:rPr/>
        <w:t>our</w:t>
      </w:r>
      <w:r>
        <w:rPr>
          <w:spacing w:val="-2"/>
        </w:rPr>
        <w:t> </w:t>
      </w:r>
      <w:r>
        <w:rPr/>
        <w:t>product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labor</w:t>
      </w:r>
      <w:r>
        <w:rPr>
          <w:spacing w:val="-2"/>
        </w:rPr>
        <w:t> </w:t>
      </w:r>
      <w:r>
        <w:rPr/>
        <w:t>costs,</w:t>
      </w:r>
      <w:r>
        <w:rPr>
          <w:spacing w:val="-3"/>
        </w:rPr>
        <w:t> </w:t>
      </w:r>
      <w:r>
        <w:rPr/>
        <w:t>thus</w:t>
      </w:r>
      <w:r>
        <w:rPr>
          <w:spacing w:val="-47"/>
        </w:rPr>
        <w:t> </w:t>
      </w:r>
      <w:r>
        <w:rPr/>
        <w:t>reducing</w:t>
      </w:r>
      <w:r>
        <w:rPr>
          <w:spacing w:val="-1"/>
        </w:rPr>
        <w:t> </w:t>
      </w:r>
      <w:r>
        <w:rPr/>
        <w:t>our gross</w:t>
      </w:r>
      <w:r>
        <w:rPr>
          <w:spacing w:val="-1"/>
        </w:rPr>
        <w:t> </w:t>
      </w:r>
      <w:r>
        <w:rPr/>
        <w:t>profit.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Heading3"/>
        <w:spacing w:line="249" w:lineRule="auto" w:before="68"/>
      </w:pPr>
      <w:r>
        <w:rPr>
          <w:i/>
        </w:rPr>
        <w:t>If securities or industry analysts either do not publish research about us or publish inaccurate or unfavorable</w:t>
      </w:r>
      <w:r>
        <w:rPr>
          <w:i/>
          <w:spacing w:val="1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about</w:t>
      </w:r>
      <w:r>
        <w:rPr>
          <w:spacing w:val="-4"/>
        </w:rPr>
        <w:t> </w:t>
      </w:r>
      <w:r>
        <w:rPr/>
        <w:t>us,</w:t>
      </w:r>
      <w:r>
        <w:rPr>
          <w:spacing w:val="-3"/>
        </w:rPr>
        <w:t> </w:t>
      </w:r>
      <w:r>
        <w:rPr/>
        <w:t>our</w:t>
      </w:r>
      <w:r>
        <w:rPr>
          <w:spacing w:val="-4"/>
        </w:rPr>
        <w:t> </w:t>
      </w:r>
      <w:r>
        <w:rPr/>
        <w:t>business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our</w:t>
      </w:r>
      <w:r>
        <w:rPr>
          <w:spacing w:val="-4"/>
        </w:rPr>
        <w:t> </w:t>
      </w:r>
      <w:r>
        <w:rPr/>
        <w:t>market,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if</w:t>
      </w:r>
      <w:r>
        <w:rPr>
          <w:spacing w:val="-3"/>
        </w:rPr>
        <w:t> </w:t>
      </w:r>
      <w:r>
        <w:rPr/>
        <w:t>they</w:t>
      </w:r>
      <w:r>
        <w:rPr>
          <w:spacing w:val="-4"/>
        </w:rPr>
        <w:t> </w:t>
      </w:r>
      <w:r>
        <w:rPr/>
        <w:t>change</w:t>
      </w:r>
      <w:r>
        <w:rPr>
          <w:spacing w:val="-4"/>
        </w:rPr>
        <w:t> </w:t>
      </w:r>
      <w:r>
        <w:rPr/>
        <w:t>their</w:t>
      </w:r>
      <w:r>
        <w:rPr>
          <w:spacing w:val="-4"/>
        </w:rPr>
        <w:t> </w:t>
      </w:r>
      <w:r>
        <w:rPr/>
        <w:t>recommendations</w:t>
      </w:r>
      <w:r>
        <w:rPr>
          <w:spacing w:val="-4"/>
        </w:rPr>
        <w:t> </w:t>
      </w:r>
      <w:r>
        <w:rPr/>
        <w:t>regarding</w:t>
      </w:r>
      <w:r>
        <w:rPr>
          <w:spacing w:val="-3"/>
        </w:rPr>
        <w:t> </w:t>
      </w:r>
      <w:r>
        <w:rPr/>
        <w:t>our</w:t>
      </w:r>
      <w:r>
        <w:rPr>
          <w:spacing w:val="-4"/>
        </w:rPr>
        <w:t> </w:t>
      </w:r>
      <w:r>
        <w:rPr/>
        <w:t>common</w:t>
      </w:r>
      <w:r>
        <w:rPr>
          <w:spacing w:val="1"/>
        </w:rPr>
        <w:t> </w:t>
      </w:r>
      <w:r>
        <w:rPr/>
        <w:t>stock</w:t>
      </w:r>
      <w:r>
        <w:rPr>
          <w:spacing w:val="-1"/>
        </w:rPr>
        <w:t> </w:t>
      </w:r>
      <w:r>
        <w:rPr/>
        <w:t>adversely,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trading</w:t>
      </w:r>
      <w:r>
        <w:rPr>
          <w:spacing w:val="-1"/>
        </w:rPr>
        <w:t> </w:t>
      </w:r>
      <w:r>
        <w:rPr/>
        <w:t>price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trading</w:t>
      </w:r>
      <w:r>
        <w:rPr>
          <w:spacing w:val="-1"/>
        </w:rPr>
        <w:t> </w:t>
      </w:r>
      <w:r>
        <w:rPr/>
        <w:t>volume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our</w:t>
      </w:r>
      <w:r>
        <w:rPr>
          <w:spacing w:val="-1"/>
        </w:rPr>
        <w:t> </w:t>
      </w:r>
      <w:r>
        <w:rPr/>
        <w:t>common</w:t>
      </w:r>
      <w:r>
        <w:rPr>
          <w:spacing w:val="-2"/>
        </w:rPr>
        <w:t> </w:t>
      </w:r>
      <w:r>
        <w:rPr/>
        <w:t>stock</w:t>
      </w:r>
      <w:r>
        <w:rPr>
          <w:spacing w:val="-1"/>
        </w:rPr>
        <w:t> </w:t>
      </w:r>
      <w:r>
        <w:rPr/>
        <w:t>could</w:t>
      </w:r>
      <w:r>
        <w:rPr>
          <w:spacing w:val="-1"/>
        </w:rPr>
        <w:t> </w:t>
      </w:r>
      <w:r>
        <w:rPr/>
        <w:t>decline.</w:t>
      </w:r>
    </w:p>
    <w:p>
      <w:pPr>
        <w:pStyle w:val="BodyText"/>
        <w:spacing w:line="249" w:lineRule="auto" w:before="186"/>
        <w:ind w:right="129"/>
      </w:pPr>
      <w:r>
        <w:rPr/>
        <w:t>The</w:t>
      </w:r>
      <w:r>
        <w:rPr>
          <w:spacing w:val="-4"/>
        </w:rPr>
        <w:t> </w:t>
      </w:r>
      <w:r>
        <w:rPr/>
        <w:t>trading</w:t>
      </w:r>
      <w:r>
        <w:rPr>
          <w:spacing w:val="-2"/>
        </w:rPr>
        <w:t> </w:t>
      </w:r>
      <w:r>
        <w:rPr/>
        <w:t>market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common</w:t>
      </w:r>
      <w:r>
        <w:rPr>
          <w:spacing w:val="-2"/>
        </w:rPr>
        <w:t> </w:t>
      </w:r>
      <w:r>
        <w:rPr/>
        <w:t>stock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influenced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part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research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reports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securities</w:t>
      </w:r>
      <w:r>
        <w:rPr>
          <w:spacing w:val="-3"/>
        </w:rPr>
        <w:t> </w:t>
      </w:r>
      <w:r>
        <w:rPr/>
        <w:t>or</w:t>
      </w:r>
      <w:r>
        <w:rPr>
          <w:spacing w:val="-47"/>
        </w:rPr>
        <w:t> </w:t>
      </w:r>
      <w:r>
        <w:rPr/>
        <w:t>industry analysts may publish about us, our business, our market or our competitors. If one or more analysts initiate</w:t>
      </w:r>
      <w:r>
        <w:rPr>
          <w:spacing w:val="1"/>
        </w:rPr>
        <w:t> </w:t>
      </w:r>
      <w:r>
        <w:rPr/>
        <w:t>research with an unfavorable rating or downgrade our common stock, provide a more favorable recommendation</w:t>
      </w:r>
      <w:r>
        <w:rPr>
          <w:spacing w:val="1"/>
        </w:rPr>
        <w:t> </w:t>
      </w:r>
      <w:r>
        <w:rPr/>
        <w:t>about our competitors or publish inaccurate or unfavorable research about our business, our common stock price</w:t>
      </w:r>
      <w:r>
        <w:rPr>
          <w:spacing w:val="1"/>
        </w:rPr>
        <w:t> </w:t>
      </w:r>
      <w:r>
        <w:rPr/>
        <w:t>would likely decline. If any analyst who may cover us were to cease coverage of us or fail to regularly publish</w:t>
      </w:r>
      <w:r>
        <w:rPr>
          <w:spacing w:val="1"/>
        </w:rPr>
        <w:t> </w:t>
      </w:r>
      <w:r>
        <w:rPr/>
        <w:t>reports on us, we could lose visibility in the financial markets, which in turn could cause the trading price or trading</w:t>
      </w:r>
      <w:r>
        <w:rPr>
          <w:spacing w:val="1"/>
        </w:rPr>
        <w:t> </w:t>
      </w:r>
      <w:r>
        <w:rPr/>
        <w:t>volume</w:t>
      </w:r>
      <w:r>
        <w:rPr>
          <w:spacing w:val="-2"/>
        </w:rPr>
        <w:t> </w:t>
      </w:r>
      <w:r>
        <w:rPr/>
        <w:t>of our common stock to decline.</w:t>
      </w:r>
    </w:p>
    <w:p>
      <w:pPr>
        <w:pStyle w:val="Heading3"/>
        <w:spacing w:line="249" w:lineRule="auto" w:before="183"/>
        <w:ind w:right="212"/>
      </w:pPr>
      <w:r>
        <w:rPr>
          <w:i/>
        </w:rPr>
        <w:t>We</w:t>
      </w:r>
      <w:r>
        <w:rPr>
          <w:i/>
          <w:spacing w:val="-4"/>
        </w:rPr>
        <w:t> </w:t>
      </w:r>
      <w:r>
        <w:rPr>
          <w:i/>
        </w:rPr>
        <w:t>are</w:t>
      </w:r>
      <w:r>
        <w:rPr>
          <w:i/>
          <w:spacing w:val="-3"/>
        </w:rPr>
        <w:t> </w:t>
      </w:r>
      <w:r>
        <w:rPr>
          <w:i/>
        </w:rPr>
        <w:t>an</w:t>
      </w:r>
      <w:r>
        <w:rPr>
          <w:i/>
          <w:spacing w:val="-3"/>
        </w:rPr>
        <w:t> </w:t>
      </w:r>
      <w:r>
        <w:rPr>
          <w:i/>
        </w:rPr>
        <w:t>emerging</w:t>
      </w:r>
      <w:r>
        <w:rPr>
          <w:i/>
          <w:spacing w:val="-2"/>
        </w:rPr>
        <w:t> </w:t>
      </w:r>
      <w:r>
        <w:rPr>
          <w:i/>
        </w:rPr>
        <w:t>growth</w:t>
      </w:r>
      <w:r>
        <w:rPr>
          <w:i/>
          <w:spacing w:val="-4"/>
        </w:rPr>
        <w:t> </w:t>
      </w:r>
      <w:r>
        <w:rPr>
          <w:i/>
        </w:rPr>
        <w:t>company</w:t>
      </w:r>
      <w:r>
        <w:rPr>
          <w:i/>
          <w:spacing w:val="-3"/>
        </w:rPr>
        <w:t> </w:t>
      </w:r>
      <w:r>
        <w:rPr>
          <w:i/>
        </w:rPr>
        <w:t>and</w:t>
      </w:r>
      <w:r>
        <w:rPr>
          <w:i/>
          <w:spacing w:val="-2"/>
        </w:rPr>
        <w:t> </w:t>
      </w:r>
      <w:r>
        <w:rPr>
          <w:i/>
        </w:rPr>
        <w:t>a</w:t>
      </w:r>
      <w:r>
        <w:rPr>
          <w:i/>
          <w:spacing w:val="-2"/>
        </w:rPr>
        <w:t> </w:t>
      </w:r>
      <w:r>
        <w:rPr>
          <w:i/>
        </w:rPr>
        <w:t>“smaller</w:t>
      </w:r>
      <w:r>
        <w:rPr>
          <w:i/>
          <w:spacing w:val="-4"/>
        </w:rPr>
        <w:t> </w:t>
      </w:r>
      <w:r>
        <w:rPr>
          <w:i/>
        </w:rPr>
        <w:t>reporting</w:t>
      </w:r>
      <w:r>
        <w:rPr>
          <w:i/>
          <w:spacing w:val="-2"/>
        </w:rPr>
        <w:t> </w:t>
      </w:r>
      <w:r>
        <w:rPr>
          <w:i/>
        </w:rPr>
        <w:t>company,”</w:t>
      </w:r>
      <w:r>
        <w:rPr>
          <w:i/>
          <w:spacing w:val="-2"/>
        </w:rPr>
        <w:t> </w:t>
      </w:r>
      <w:r>
        <w:rPr>
          <w:i/>
        </w:rPr>
        <w:t>and</w:t>
      </w:r>
      <w:r>
        <w:rPr>
          <w:i/>
          <w:spacing w:val="-2"/>
        </w:rPr>
        <w:t> </w:t>
      </w:r>
      <w:r>
        <w:rPr>
          <w:i/>
        </w:rPr>
        <w:t>any</w:t>
      </w:r>
      <w:r>
        <w:rPr>
          <w:i/>
          <w:spacing w:val="-3"/>
        </w:rPr>
        <w:t> </w:t>
      </w:r>
      <w:r>
        <w:rPr>
          <w:i/>
        </w:rPr>
        <w:t>decision</w:t>
      </w:r>
      <w:r>
        <w:rPr>
          <w:i/>
          <w:spacing w:val="-4"/>
        </w:rPr>
        <w:t> </w:t>
      </w:r>
      <w:r>
        <w:rPr>
          <w:i/>
        </w:rPr>
        <w:t>on</w:t>
      </w:r>
      <w:r>
        <w:rPr>
          <w:i/>
          <w:spacing w:val="-3"/>
        </w:rPr>
        <w:t> </w:t>
      </w:r>
      <w:r>
        <w:rPr>
          <w:i/>
        </w:rPr>
        <w:t>our</w:t>
      </w:r>
      <w:r>
        <w:rPr>
          <w:i/>
          <w:spacing w:val="-3"/>
        </w:rPr>
        <w:t> </w:t>
      </w:r>
      <w:r>
        <w:rPr>
          <w:i/>
        </w:rPr>
        <w:t>part</w:t>
      </w:r>
      <w:r>
        <w:rPr>
          <w:i/>
          <w:spacing w:val="-3"/>
        </w:rPr>
        <w:t> </w:t>
      </w:r>
      <w:r>
        <w:rPr>
          <w:i/>
        </w:rPr>
        <w:t>to</w:t>
      </w:r>
      <w:r>
        <w:rPr>
          <w:i/>
          <w:spacing w:val="-47"/>
        </w:rPr>
        <w:t> </w:t>
      </w:r>
      <w:r>
        <w:rPr/>
        <w:t>comply only with certain reduced reporting and disclosure requirements applicable to emerging growth</w:t>
      </w:r>
      <w:r>
        <w:rPr>
          <w:spacing w:val="1"/>
        </w:rPr>
        <w:t> </w:t>
      </w:r>
      <w:r>
        <w:rPr/>
        <w:t>companies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smaller</w:t>
      </w:r>
      <w:r>
        <w:rPr>
          <w:spacing w:val="-3"/>
        </w:rPr>
        <w:t> </w:t>
      </w:r>
      <w:r>
        <w:rPr/>
        <w:t>growth</w:t>
      </w:r>
      <w:r>
        <w:rPr>
          <w:spacing w:val="-3"/>
        </w:rPr>
        <w:t> </w:t>
      </w:r>
      <w:r>
        <w:rPr/>
        <w:t>companies</w:t>
      </w:r>
      <w:r>
        <w:rPr>
          <w:spacing w:val="-3"/>
        </w:rPr>
        <w:t> </w:t>
      </w:r>
      <w:r>
        <w:rPr/>
        <w:t>could</w:t>
      </w:r>
      <w:r>
        <w:rPr>
          <w:spacing w:val="-2"/>
        </w:rPr>
        <w:t> </w:t>
      </w:r>
      <w:r>
        <w:rPr/>
        <w:t>make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common</w:t>
      </w:r>
      <w:r>
        <w:rPr>
          <w:spacing w:val="-3"/>
        </w:rPr>
        <w:t> </w:t>
      </w:r>
      <w:r>
        <w:rPr/>
        <w:t>stock</w:t>
      </w:r>
      <w:r>
        <w:rPr>
          <w:spacing w:val="-2"/>
        </w:rPr>
        <w:t> </w:t>
      </w:r>
      <w:r>
        <w:rPr/>
        <w:t>less</w:t>
      </w:r>
      <w:r>
        <w:rPr>
          <w:spacing w:val="-3"/>
        </w:rPr>
        <w:t> </w:t>
      </w:r>
      <w:r>
        <w:rPr/>
        <w:t>attractive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investors.</w:t>
      </w:r>
    </w:p>
    <w:p>
      <w:pPr>
        <w:pStyle w:val="BodyText"/>
        <w:spacing w:line="249" w:lineRule="auto" w:before="185"/>
        <w:ind w:right="180"/>
      </w:pPr>
      <w:r>
        <w:rPr/>
        <w:t>We are an “emerging growth company” as defined in the JOBS Act and, for as long as we continue to be an</w:t>
      </w:r>
      <w:r>
        <w:rPr>
          <w:spacing w:val="1"/>
        </w:rPr>
        <w:t> </w:t>
      </w:r>
      <w:r>
        <w:rPr/>
        <w:t>emerging</w:t>
      </w:r>
      <w:r>
        <w:rPr>
          <w:spacing w:val="-3"/>
        </w:rPr>
        <w:t> </w:t>
      </w:r>
      <w:r>
        <w:rPr/>
        <w:t>growth</w:t>
      </w:r>
      <w:r>
        <w:rPr>
          <w:spacing w:val="-3"/>
        </w:rPr>
        <w:t> </w:t>
      </w:r>
      <w:r>
        <w:rPr/>
        <w:t>company,</w:t>
      </w:r>
      <w:r>
        <w:rPr>
          <w:spacing w:val="-2"/>
        </w:rPr>
        <w:t> </w:t>
      </w:r>
      <w:r>
        <w:rPr/>
        <w:t>we</w:t>
      </w:r>
      <w:r>
        <w:rPr>
          <w:spacing w:val="-4"/>
        </w:rPr>
        <w:t> </w:t>
      </w:r>
      <w:r>
        <w:rPr/>
        <w:t>may</w:t>
      </w:r>
      <w:r>
        <w:rPr>
          <w:spacing w:val="-2"/>
        </w:rPr>
        <w:t> </w:t>
      </w:r>
      <w:r>
        <w:rPr/>
        <w:t>choose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take</w:t>
      </w:r>
      <w:r>
        <w:rPr>
          <w:spacing w:val="-4"/>
        </w:rPr>
        <w:t> </w:t>
      </w:r>
      <w:r>
        <w:rPr/>
        <w:t>advantage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exemptions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various</w:t>
      </w:r>
      <w:r>
        <w:rPr>
          <w:spacing w:val="-4"/>
        </w:rPr>
        <w:t> </w:t>
      </w:r>
      <w:r>
        <w:rPr/>
        <w:t>reporting</w:t>
      </w:r>
      <w:r>
        <w:rPr>
          <w:spacing w:val="-2"/>
        </w:rPr>
        <w:t> </w:t>
      </w:r>
      <w:r>
        <w:rPr/>
        <w:t>requirements</w:t>
      </w:r>
      <w:r>
        <w:rPr>
          <w:spacing w:val="-47"/>
        </w:rPr>
        <w:t> </w:t>
      </w:r>
      <w:r>
        <w:rPr/>
        <w:t>applicable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other public</w:t>
      </w:r>
      <w:r>
        <w:rPr>
          <w:spacing w:val="-2"/>
        </w:rPr>
        <w:t> </w:t>
      </w:r>
      <w:r>
        <w:rPr/>
        <w:t>companies</w:t>
      </w:r>
      <w:r>
        <w:rPr>
          <w:spacing w:val="-2"/>
        </w:rPr>
        <w:t> </w:t>
      </w:r>
      <w:r>
        <w:rPr/>
        <w:t>but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to emerging</w:t>
      </w:r>
      <w:r>
        <w:rPr>
          <w:spacing w:val="-1"/>
        </w:rPr>
        <w:t> </w:t>
      </w:r>
      <w:r>
        <w:rPr/>
        <w:t>growth</w:t>
      </w:r>
      <w:r>
        <w:rPr>
          <w:spacing w:val="-1"/>
        </w:rPr>
        <w:t> </w:t>
      </w:r>
      <w:r>
        <w:rPr/>
        <w:t>companies, including: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9" w:lineRule="auto" w:before="183" w:after="0"/>
        <w:ind w:left="820" w:right="162" w:hanging="360"/>
        <w:jc w:val="left"/>
        <w:rPr>
          <w:sz w:val="20"/>
        </w:rPr>
      </w:pP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2"/>
          <w:sz w:val="20"/>
        </w:rPr>
        <w:t> </w:t>
      </w:r>
      <w:r>
        <w:rPr>
          <w:sz w:val="20"/>
        </w:rPr>
        <w:t>required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2"/>
          <w:sz w:val="20"/>
        </w:rPr>
        <w:t> </w:t>
      </w:r>
      <w:r>
        <w:rPr>
          <w:sz w:val="20"/>
        </w:rPr>
        <w:t>independent</w:t>
      </w:r>
      <w:r>
        <w:rPr>
          <w:spacing w:val="-4"/>
          <w:sz w:val="20"/>
        </w:rPr>
        <w:t> </w:t>
      </w:r>
      <w:r>
        <w:rPr>
          <w:sz w:val="20"/>
        </w:rPr>
        <w:t>registered</w:t>
      </w:r>
      <w:r>
        <w:rPr>
          <w:spacing w:val="-2"/>
          <w:sz w:val="20"/>
        </w:rPr>
        <w:t> </w:t>
      </w:r>
      <w:r>
        <w:rPr>
          <w:sz w:val="20"/>
        </w:rPr>
        <w:t>public</w:t>
      </w:r>
      <w:r>
        <w:rPr>
          <w:spacing w:val="-3"/>
          <w:sz w:val="20"/>
        </w:rPr>
        <w:t> </w:t>
      </w:r>
      <w:r>
        <w:rPr>
          <w:sz w:val="20"/>
        </w:rPr>
        <w:t>accounting</w:t>
      </w:r>
      <w:r>
        <w:rPr>
          <w:spacing w:val="-2"/>
          <w:sz w:val="20"/>
        </w:rPr>
        <w:t> </w:t>
      </w:r>
      <w:r>
        <w:rPr>
          <w:sz w:val="20"/>
        </w:rPr>
        <w:t>firm</w:t>
      </w:r>
      <w:r>
        <w:rPr>
          <w:spacing w:val="-3"/>
          <w:sz w:val="20"/>
        </w:rPr>
        <w:t> </w:t>
      </w:r>
      <w:r>
        <w:rPr>
          <w:sz w:val="20"/>
        </w:rPr>
        <w:t>audit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internal</w:t>
      </w:r>
      <w:r>
        <w:rPr>
          <w:spacing w:val="-3"/>
          <w:sz w:val="20"/>
        </w:rPr>
        <w:t> </w:t>
      </w:r>
      <w:r>
        <w:rPr>
          <w:sz w:val="20"/>
        </w:rPr>
        <w:t>control</w:t>
      </w:r>
      <w:r>
        <w:rPr>
          <w:spacing w:val="-3"/>
          <w:sz w:val="20"/>
        </w:rPr>
        <w:t> </w:t>
      </w:r>
      <w:r>
        <w:rPr>
          <w:sz w:val="20"/>
        </w:rPr>
        <w:t>over</w:t>
      </w:r>
      <w:r>
        <w:rPr>
          <w:spacing w:val="-47"/>
          <w:sz w:val="20"/>
        </w:rPr>
        <w:t> </w:t>
      </w:r>
      <w:r>
        <w:rPr>
          <w:sz w:val="20"/>
        </w:rPr>
        <w:t>financial</w:t>
      </w:r>
      <w:r>
        <w:rPr>
          <w:spacing w:val="-2"/>
          <w:sz w:val="20"/>
        </w:rPr>
        <w:t> </w:t>
      </w:r>
      <w:r>
        <w:rPr>
          <w:sz w:val="20"/>
        </w:rPr>
        <w:t>reporting under</w:t>
      </w:r>
      <w:r>
        <w:rPr>
          <w:spacing w:val="-1"/>
          <w:sz w:val="20"/>
        </w:rPr>
        <w:t> </w:t>
      </w:r>
      <w:r>
        <w:rPr>
          <w:sz w:val="20"/>
        </w:rPr>
        <w:t>Section 404 of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Sarbanes-Oxley Act;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9" w:lineRule="auto" w:before="181" w:after="0"/>
        <w:ind w:left="820" w:right="256" w:hanging="360"/>
        <w:jc w:val="left"/>
        <w:rPr>
          <w:sz w:val="20"/>
        </w:rPr>
      </w:pPr>
      <w:r>
        <w:rPr>
          <w:sz w:val="20"/>
        </w:rPr>
        <w:t>reduced</w:t>
      </w:r>
      <w:r>
        <w:rPr>
          <w:spacing w:val="-3"/>
          <w:sz w:val="20"/>
        </w:rPr>
        <w:t> </w:t>
      </w:r>
      <w:r>
        <w:rPr>
          <w:sz w:val="20"/>
        </w:rPr>
        <w:t>disclosure</w:t>
      </w:r>
      <w:r>
        <w:rPr>
          <w:spacing w:val="-4"/>
          <w:sz w:val="20"/>
        </w:rPr>
        <w:t> </w:t>
      </w:r>
      <w:r>
        <w:rPr>
          <w:sz w:val="20"/>
        </w:rPr>
        <w:t>obligations</w:t>
      </w:r>
      <w:r>
        <w:rPr>
          <w:spacing w:val="-4"/>
          <w:sz w:val="20"/>
        </w:rPr>
        <w:t> </w:t>
      </w:r>
      <w:r>
        <w:rPr>
          <w:sz w:val="20"/>
        </w:rPr>
        <w:t>regarding</w:t>
      </w:r>
      <w:r>
        <w:rPr>
          <w:spacing w:val="-3"/>
          <w:sz w:val="20"/>
        </w:rPr>
        <w:t> </w:t>
      </w:r>
      <w:r>
        <w:rPr>
          <w:sz w:val="20"/>
        </w:rPr>
        <w:t>executive</w:t>
      </w:r>
      <w:r>
        <w:rPr>
          <w:spacing w:val="-4"/>
          <w:sz w:val="20"/>
        </w:rPr>
        <w:t> </w:t>
      </w:r>
      <w:r>
        <w:rPr>
          <w:sz w:val="20"/>
        </w:rPr>
        <w:t>compensation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our</w:t>
      </w:r>
      <w:r>
        <w:rPr>
          <w:spacing w:val="-3"/>
          <w:sz w:val="20"/>
        </w:rPr>
        <w:t> </w:t>
      </w:r>
      <w:r>
        <w:rPr>
          <w:sz w:val="20"/>
        </w:rPr>
        <w:t>periodic</w:t>
      </w:r>
      <w:r>
        <w:rPr>
          <w:spacing w:val="-4"/>
          <w:sz w:val="20"/>
        </w:rPr>
        <w:t> </w:t>
      </w:r>
      <w:r>
        <w:rPr>
          <w:sz w:val="20"/>
        </w:rPr>
        <w:t>reports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annual</w:t>
      </w:r>
      <w:r>
        <w:rPr>
          <w:spacing w:val="-4"/>
          <w:sz w:val="20"/>
        </w:rPr>
        <w:t> </w:t>
      </w:r>
      <w:r>
        <w:rPr>
          <w:sz w:val="20"/>
        </w:rPr>
        <w:t>report</w:t>
      </w:r>
      <w:r>
        <w:rPr>
          <w:spacing w:val="-47"/>
          <w:sz w:val="20"/>
        </w:rPr>
        <w:t> </w:t>
      </w:r>
      <w:r>
        <w:rPr>
          <w:sz w:val="20"/>
        </w:rPr>
        <w:t>on</w:t>
      </w:r>
      <w:r>
        <w:rPr>
          <w:spacing w:val="-1"/>
          <w:sz w:val="20"/>
        </w:rPr>
        <w:t> </w:t>
      </w:r>
      <w:r>
        <w:rPr>
          <w:sz w:val="20"/>
        </w:rPr>
        <w:t>Form</w:t>
      </w:r>
      <w:r>
        <w:rPr>
          <w:spacing w:val="-1"/>
          <w:sz w:val="20"/>
        </w:rPr>
        <w:t> </w:t>
      </w:r>
      <w:r>
        <w:rPr>
          <w:sz w:val="20"/>
        </w:rPr>
        <w:t>10-K;</w:t>
      </w:r>
      <w:r>
        <w:rPr>
          <w:spacing w:val="-1"/>
          <w:sz w:val="20"/>
        </w:rPr>
        <w:t> </w:t>
      </w:r>
      <w:r>
        <w:rPr>
          <w:sz w:val="20"/>
        </w:rPr>
        <w:t>and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9" w:lineRule="auto" w:before="182" w:after="0"/>
        <w:ind w:left="820" w:right="332" w:hanging="360"/>
        <w:jc w:val="left"/>
        <w:rPr>
          <w:sz w:val="20"/>
        </w:rPr>
      </w:pPr>
      <w:r>
        <w:rPr>
          <w:sz w:val="20"/>
        </w:rPr>
        <w:t>exemptions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requirements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holding</w:t>
      </w:r>
      <w:r>
        <w:rPr>
          <w:spacing w:val="-2"/>
          <w:sz w:val="20"/>
        </w:rPr>
        <w:t> </w:t>
      </w:r>
      <w:r>
        <w:rPr>
          <w:sz w:val="20"/>
        </w:rPr>
        <w:t>non-binding</w:t>
      </w:r>
      <w:r>
        <w:rPr>
          <w:spacing w:val="-3"/>
          <w:sz w:val="20"/>
        </w:rPr>
        <w:t> </w:t>
      </w:r>
      <w:r>
        <w:rPr>
          <w:sz w:val="20"/>
        </w:rPr>
        <w:t>advisory</w:t>
      </w:r>
      <w:r>
        <w:rPr>
          <w:spacing w:val="-3"/>
          <w:sz w:val="20"/>
        </w:rPr>
        <w:t> </w:t>
      </w:r>
      <w:r>
        <w:rPr>
          <w:sz w:val="20"/>
        </w:rPr>
        <w:t>votes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executive</w:t>
      </w:r>
      <w:r>
        <w:rPr>
          <w:spacing w:val="-4"/>
          <w:sz w:val="20"/>
        </w:rPr>
        <w:t> </w:t>
      </w:r>
      <w:r>
        <w:rPr>
          <w:sz w:val="20"/>
        </w:rPr>
        <w:t>compensation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stockholder</w:t>
      </w:r>
      <w:r>
        <w:rPr>
          <w:spacing w:val="-1"/>
          <w:sz w:val="20"/>
        </w:rPr>
        <w:t> </w:t>
      </w:r>
      <w:r>
        <w:rPr>
          <w:sz w:val="20"/>
        </w:rPr>
        <w:t>approval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any golden</w:t>
      </w:r>
      <w:r>
        <w:rPr>
          <w:spacing w:val="-1"/>
          <w:sz w:val="20"/>
        </w:rPr>
        <w:t> </w:t>
      </w:r>
      <w:r>
        <w:rPr>
          <w:sz w:val="20"/>
        </w:rPr>
        <w:t>parachute</w:t>
      </w:r>
      <w:r>
        <w:rPr>
          <w:spacing w:val="-1"/>
          <w:sz w:val="20"/>
        </w:rPr>
        <w:t> </w:t>
      </w:r>
      <w:r>
        <w:rPr>
          <w:sz w:val="20"/>
        </w:rPr>
        <w:t>payments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1"/>
          <w:sz w:val="20"/>
        </w:rPr>
        <w:t> </w:t>
      </w:r>
      <w:r>
        <w:rPr>
          <w:sz w:val="20"/>
        </w:rPr>
        <w:t>previously</w:t>
      </w:r>
      <w:r>
        <w:rPr>
          <w:spacing w:val="-1"/>
          <w:sz w:val="20"/>
        </w:rPr>
        <w:t> </w:t>
      </w:r>
      <w:r>
        <w:rPr>
          <w:sz w:val="20"/>
        </w:rPr>
        <w:t>approved.</w:t>
      </w:r>
    </w:p>
    <w:p>
      <w:pPr>
        <w:pStyle w:val="BodyText"/>
        <w:spacing w:line="249" w:lineRule="auto" w:before="182"/>
      </w:pPr>
      <w:r>
        <w:rPr/>
        <w:t>We</w:t>
      </w:r>
      <w:r>
        <w:rPr>
          <w:spacing w:val="-3"/>
        </w:rPr>
        <w:t> </w:t>
      </w:r>
      <w:r>
        <w:rPr/>
        <w:t>could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emerging</w:t>
      </w:r>
      <w:r>
        <w:rPr>
          <w:spacing w:val="-2"/>
        </w:rPr>
        <w:t> </w:t>
      </w:r>
      <w:r>
        <w:rPr/>
        <w:t>growth</w:t>
      </w:r>
      <w:r>
        <w:rPr>
          <w:spacing w:val="-2"/>
        </w:rPr>
        <w:t> </w:t>
      </w:r>
      <w:r>
        <w:rPr/>
        <w:t>company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up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five</w:t>
      </w:r>
      <w:r>
        <w:rPr>
          <w:spacing w:val="-3"/>
        </w:rPr>
        <w:t> </w:t>
      </w:r>
      <w:r>
        <w:rPr/>
        <w:t>years</w:t>
      </w:r>
      <w:r>
        <w:rPr>
          <w:spacing w:val="-3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completion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initial</w:t>
      </w:r>
      <w:r>
        <w:rPr>
          <w:spacing w:val="-3"/>
        </w:rPr>
        <w:t> </w:t>
      </w:r>
      <w:r>
        <w:rPr/>
        <w:t>public</w:t>
      </w:r>
      <w:r>
        <w:rPr>
          <w:spacing w:val="-47"/>
        </w:rPr>
        <w:t> </w:t>
      </w:r>
      <w:r>
        <w:rPr/>
        <w:t>offering.</w:t>
      </w:r>
      <w:r>
        <w:rPr>
          <w:spacing w:val="-2"/>
        </w:rPr>
        <w:t> </w:t>
      </w:r>
      <w:r>
        <w:rPr/>
        <w:t>Our</w:t>
      </w:r>
      <w:r>
        <w:rPr>
          <w:spacing w:val="-1"/>
        </w:rPr>
        <w:t> </w:t>
      </w:r>
      <w:r>
        <w:rPr/>
        <w:t>status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emerging</w:t>
      </w:r>
      <w:r>
        <w:rPr>
          <w:spacing w:val="-1"/>
        </w:rPr>
        <w:t> </w:t>
      </w:r>
      <w:r>
        <w:rPr/>
        <w:t>growth</w:t>
      </w:r>
      <w:r>
        <w:rPr>
          <w:spacing w:val="-1"/>
        </w:rPr>
        <w:t> </w:t>
      </w:r>
      <w:r>
        <w:rPr/>
        <w:t>company</w:t>
      </w:r>
      <w:r>
        <w:rPr>
          <w:spacing w:val="-1"/>
        </w:rPr>
        <w:t> </w:t>
      </w:r>
      <w:r>
        <w:rPr/>
        <w:t>will</w:t>
      </w:r>
      <w:r>
        <w:rPr>
          <w:spacing w:val="-2"/>
        </w:rPr>
        <w:t> </w:t>
      </w:r>
      <w:r>
        <w:rPr/>
        <w:t>end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soon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takes</w:t>
      </w:r>
      <w:r>
        <w:rPr>
          <w:spacing w:val="-2"/>
        </w:rPr>
        <w:t> </w:t>
      </w:r>
      <w:r>
        <w:rPr/>
        <w:t>place: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0" w:lineRule="auto" w:before="181" w:after="0"/>
        <w:ind w:left="820" w:right="0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last</w:t>
      </w:r>
      <w:r>
        <w:rPr>
          <w:spacing w:val="-3"/>
          <w:sz w:val="20"/>
        </w:rPr>
        <w:t> </w:t>
      </w:r>
      <w:r>
        <w:rPr>
          <w:sz w:val="20"/>
        </w:rPr>
        <w:t>day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fiscal</w:t>
      </w:r>
      <w:r>
        <w:rPr>
          <w:spacing w:val="-3"/>
          <w:sz w:val="20"/>
        </w:rPr>
        <w:t> </w:t>
      </w:r>
      <w:r>
        <w:rPr>
          <w:sz w:val="20"/>
        </w:rPr>
        <w:t>year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we</w:t>
      </w:r>
      <w:r>
        <w:rPr>
          <w:spacing w:val="-2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more</w:t>
      </w:r>
      <w:r>
        <w:rPr>
          <w:spacing w:val="-3"/>
          <w:sz w:val="20"/>
        </w:rPr>
        <w:t> </w:t>
      </w:r>
      <w:r>
        <w:rPr>
          <w:sz w:val="20"/>
        </w:rPr>
        <w:t>than</w:t>
      </w:r>
      <w:r>
        <w:rPr>
          <w:spacing w:val="-1"/>
          <w:sz w:val="20"/>
        </w:rPr>
        <w:t> </w:t>
      </w:r>
      <w:r>
        <w:rPr>
          <w:sz w:val="20"/>
        </w:rPr>
        <w:t>$1.07</w:t>
      </w:r>
      <w:r>
        <w:rPr>
          <w:spacing w:val="-2"/>
          <w:sz w:val="20"/>
        </w:rPr>
        <w:t> </w:t>
      </w:r>
      <w:r>
        <w:rPr>
          <w:sz w:val="20"/>
        </w:rPr>
        <w:t>billion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annual</w:t>
      </w:r>
      <w:r>
        <w:rPr>
          <w:spacing w:val="-2"/>
          <w:sz w:val="20"/>
        </w:rPr>
        <w:t> </w:t>
      </w:r>
      <w:r>
        <w:rPr>
          <w:sz w:val="20"/>
        </w:rPr>
        <w:t>revenue;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0" w:lineRule="auto" w:before="190" w:after="0"/>
        <w:ind w:left="820" w:right="0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date</w:t>
      </w:r>
      <w:r>
        <w:rPr>
          <w:spacing w:val="-4"/>
          <w:sz w:val="20"/>
        </w:rPr>
        <w:t> </w:t>
      </w:r>
      <w:r>
        <w:rPr>
          <w:sz w:val="20"/>
        </w:rPr>
        <w:t>we</w:t>
      </w:r>
      <w:r>
        <w:rPr>
          <w:spacing w:val="-3"/>
          <w:sz w:val="20"/>
        </w:rPr>
        <w:t> </w:t>
      </w:r>
      <w:r>
        <w:rPr>
          <w:sz w:val="20"/>
        </w:rPr>
        <w:t>qualify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“large</w:t>
      </w:r>
      <w:r>
        <w:rPr>
          <w:spacing w:val="-3"/>
          <w:sz w:val="20"/>
        </w:rPr>
        <w:t> </w:t>
      </w:r>
      <w:r>
        <w:rPr>
          <w:sz w:val="20"/>
        </w:rPr>
        <w:t>accelerated</w:t>
      </w:r>
      <w:r>
        <w:rPr>
          <w:spacing w:val="-3"/>
          <w:sz w:val="20"/>
        </w:rPr>
        <w:t> </w:t>
      </w:r>
      <w:r>
        <w:rPr>
          <w:sz w:val="20"/>
        </w:rPr>
        <w:t>filer;”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9" w:lineRule="auto" w:before="190" w:after="0"/>
        <w:ind w:left="820" w:right="278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date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we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issued,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2"/>
          <w:sz w:val="20"/>
        </w:rPr>
        <w:t> </w:t>
      </w:r>
      <w:r>
        <w:rPr>
          <w:sz w:val="20"/>
        </w:rPr>
        <w:t>three-year</w:t>
      </w:r>
      <w:r>
        <w:rPr>
          <w:spacing w:val="-2"/>
          <w:sz w:val="20"/>
        </w:rPr>
        <w:t> </w:t>
      </w:r>
      <w:r>
        <w:rPr>
          <w:sz w:val="20"/>
        </w:rPr>
        <w:t>period,</w:t>
      </w:r>
      <w:r>
        <w:rPr>
          <w:spacing w:val="-2"/>
          <w:sz w:val="20"/>
        </w:rPr>
        <w:t> </w:t>
      </w:r>
      <w:r>
        <w:rPr>
          <w:sz w:val="20"/>
        </w:rPr>
        <w:t>more</w:t>
      </w:r>
      <w:r>
        <w:rPr>
          <w:spacing w:val="-3"/>
          <w:sz w:val="20"/>
        </w:rPr>
        <w:t> </w:t>
      </w:r>
      <w:r>
        <w:rPr>
          <w:sz w:val="20"/>
        </w:rPr>
        <w:t>than</w:t>
      </w:r>
      <w:r>
        <w:rPr>
          <w:spacing w:val="-2"/>
          <w:sz w:val="20"/>
        </w:rPr>
        <w:t> </w:t>
      </w:r>
      <w:r>
        <w:rPr>
          <w:sz w:val="20"/>
        </w:rPr>
        <w:t>$1.0</w:t>
      </w:r>
      <w:r>
        <w:rPr>
          <w:spacing w:val="-2"/>
          <w:sz w:val="20"/>
        </w:rPr>
        <w:t> </w:t>
      </w:r>
      <w:r>
        <w:rPr>
          <w:sz w:val="20"/>
        </w:rPr>
        <w:t>billion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non-convertible</w:t>
      </w:r>
      <w:r>
        <w:rPr>
          <w:spacing w:val="-3"/>
          <w:sz w:val="20"/>
        </w:rPr>
        <w:t> </w:t>
      </w:r>
      <w:r>
        <w:rPr>
          <w:sz w:val="20"/>
        </w:rPr>
        <w:t>debt</w:t>
      </w:r>
      <w:r>
        <w:rPr>
          <w:spacing w:val="-47"/>
          <w:sz w:val="20"/>
        </w:rPr>
        <w:t> </w:t>
      </w:r>
      <w:r>
        <w:rPr>
          <w:sz w:val="20"/>
        </w:rPr>
        <w:t>securities;</w:t>
      </w:r>
      <w:r>
        <w:rPr>
          <w:spacing w:val="-2"/>
          <w:sz w:val="20"/>
        </w:rPr>
        <w:t> </w:t>
      </w:r>
      <w:r>
        <w:rPr>
          <w:sz w:val="20"/>
        </w:rPr>
        <w:t>or</w:t>
      </w:r>
    </w:p>
    <w:p>
      <w:pPr>
        <w:pStyle w:val="ListParagraph"/>
        <w:numPr>
          <w:ilvl w:val="0"/>
          <w:numId w:val="7"/>
        </w:numPr>
        <w:tabs>
          <w:tab w:pos="819" w:val="left" w:leader="none"/>
          <w:tab w:pos="820" w:val="left" w:leader="none"/>
        </w:tabs>
        <w:spacing w:line="240" w:lineRule="auto" w:before="182" w:after="0"/>
        <w:ind w:left="820" w:right="0" w:hanging="360"/>
        <w:jc w:val="left"/>
        <w:rPr>
          <w:sz w:val="20"/>
        </w:rPr>
      </w:pPr>
      <w:r>
        <w:rPr>
          <w:sz w:val="20"/>
        </w:rPr>
        <w:t>December</w:t>
      </w:r>
      <w:r>
        <w:rPr>
          <w:spacing w:val="-2"/>
          <w:sz w:val="20"/>
        </w:rPr>
        <w:t> </w:t>
      </w:r>
      <w:r>
        <w:rPr>
          <w:sz w:val="20"/>
        </w:rPr>
        <w:t>31,</w:t>
      </w:r>
      <w:r>
        <w:rPr>
          <w:spacing w:val="-2"/>
          <w:sz w:val="20"/>
        </w:rPr>
        <w:t> </w:t>
      </w:r>
      <w:r>
        <w:rPr>
          <w:sz w:val="20"/>
        </w:rPr>
        <w:t>2026.</w:t>
      </w:r>
    </w:p>
    <w:p>
      <w:pPr>
        <w:pStyle w:val="BodyText"/>
        <w:spacing w:line="249" w:lineRule="auto"/>
        <w:ind w:right="144"/>
      </w:pPr>
      <w:r>
        <w:rPr/>
        <w:t>We cannot predict if investors will find our common stock less attractive if we choose to rely on any of the</w:t>
      </w:r>
      <w:r>
        <w:rPr>
          <w:spacing w:val="1"/>
        </w:rPr>
        <w:t> </w:t>
      </w:r>
      <w:r>
        <w:rPr/>
        <w:t>exemptions afforded to emerging growth companies. If some investors find our common stock less attractive</w:t>
      </w:r>
      <w:r>
        <w:rPr>
          <w:spacing w:val="1"/>
        </w:rPr>
        <w:t> </w:t>
      </w:r>
      <w:r>
        <w:rPr/>
        <w:t>because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rely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these</w:t>
      </w:r>
      <w:r>
        <w:rPr>
          <w:spacing w:val="-3"/>
        </w:rPr>
        <w:t> </w:t>
      </w:r>
      <w:r>
        <w:rPr/>
        <w:t>exemptions,</w:t>
      </w:r>
      <w:r>
        <w:rPr>
          <w:spacing w:val="-2"/>
        </w:rPr>
        <w:t> </w:t>
      </w:r>
      <w:r>
        <w:rPr/>
        <w:t>there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less</w:t>
      </w:r>
      <w:r>
        <w:rPr>
          <w:spacing w:val="-3"/>
        </w:rPr>
        <w:t> </w:t>
      </w:r>
      <w:r>
        <w:rPr/>
        <w:t>active</w:t>
      </w:r>
      <w:r>
        <w:rPr>
          <w:spacing w:val="-3"/>
        </w:rPr>
        <w:t> </w:t>
      </w:r>
      <w:r>
        <w:rPr/>
        <w:t>trading</w:t>
      </w:r>
      <w:r>
        <w:rPr>
          <w:spacing w:val="-2"/>
        </w:rPr>
        <w:t> </w:t>
      </w:r>
      <w:r>
        <w:rPr/>
        <w:t>market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common</w:t>
      </w:r>
      <w:r>
        <w:rPr>
          <w:spacing w:val="-2"/>
        </w:rPr>
        <w:t> </w:t>
      </w:r>
      <w:r>
        <w:rPr/>
        <w:t>stock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47"/>
        </w:rPr>
        <w:t> </w:t>
      </w:r>
      <w:r>
        <w:rPr/>
        <w:t>market</w:t>
      </w:r>
      <w:r>
        <w:rPr>
          <w:spacing w:val="-2"/>
        </w:rPr>
        <w:t> </w:t>
      </w:r>
      <w:r>
        <w:rPr/>
        <w:t>price</w:t>
      </w:r>
      <w:r>
        <w:rPr>
          <w:spacing w:val="-1"/>
        </w:rPr>
        <w:t> </w:t>
      </w:r>
      <w:r>
        <w:rPr/>
        <w:t>of our common stock</w:t>
      </w:r>
      <w:r>
        <w:rPr>
          <w:spacing w:val="-1"/>
        </w:rPr>
        <w:t> </w:t>
      </w:r>
      <w:r>
        <w:rPr/>
        <w:t>may be</w:t>
      </w:r>
      <w:r>
        <w:rPr>
          <w:spacing w:val="-1"/>
        </w:rPr>
        <w:t> </w:t>
      </w:r>
      <w:r>
        <w:rPr/>
        <w:t>more</w:t>
      </w:r>
      <w:r>
        <w:rPr>
          <w:spacing w:val="-1"/>
        </w:rPr>
        <w:t> </w:t>
      </w:r>
      <w:r>
        <w:rPr/>
        <w:t>volatile.</w:t>
      </w:r>
    </w:p>
    <w:p>
      <w:pPr>
        <w:pStyle w:val="BodyText"/>
        <w:spacing w:line="249" w:lineRule="auto" w:before="183"/>
        <w:ind w:right="212"/>
      </w:pPr>
      <w:r>
        <w:rPr/>
        <w:t>We are an emerging growth company, as defined in the JOBS Act. Under the JOBS Act, emerging growth</w:t>
      </w:r>
      <w:r>
        <w:rPr>
          <w:spacing w:val="1"/>
        </w:rPr>
        <w:t> </w:t>
      </w:r>
      <w:r>
        <w:rPr/>
        <w:t>companies</w:t>
      </w:r>
      <w:r>
        <w:rPr>
          <w:spacing w:val="-4"/>
        </w:rPr>
        <w:t> </w:t>
      </w:r>
      <w:r>
        <w:rPr/>
        <w:t>can</w:t>
      </w:r>
      <w:r>
        <w:rPr>
          <w:spacing w:val="-3"/>
        </w:rPr>
        <w:t> </w:t>
      </w:r>
      <w:r>
        <w:rPr/>
        <w:t>delay</w:t>
      </w:r>
      <w:r>
        <w:rPr>
          <w:spacing w:val="-3"/>
        </w:rPr>
        <w:t> </w:t>
      </w:r>
      <w:r>
        <w:rPr/>
        <w:t>adopting</w:t>
      </w:r>
      <w:r>
        <w:rPr>
          <w:spacing w:val="-3"/>
        </w:rPr>
        <w:t> </w:t>
      </w:r>
      <w:r>
        <w:rPr/>
        <w:t>new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revised</w:t>
      </w:r>
      <w:r>
        <w:rPr>
          <w:spacing w:val="-3"/>
        </w:rPr>
        <w:t> </w:t>
      </w:r>
      <w:r>
        <w:rPr/>
        <w:t>accounting</w:t>
      </w:r>
      <w:r>
        <w:rPr>
          <w:spacing w:val="-3"/>
        </w:rPr>
        <w:t> </w:t>
      </w:r>
      <w:r>
        <w:rPr/>
        <w:t>standards</w:t>
      </w:r>
      <w:r>
        <w:rPr>
          <w:spacing w:val="-3"/>
        </w:rPr>
        <w:t> </w:t>
      </w:r>
      <w:r>
        <w:rPr/>
        <w:t>issued</w:t>
      </w:r>
      <w:r>
        <w:rPr>
          <w:spacing w:val="-3"/>
        </w:rPr>
        <w:t> </w:t>
      </w:r>
      <w:r>
        <w:rPr/>
        <w:t>subsequent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enactment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JOBS</w:t>
      </w:r>
      <w:r>
        <w:rPr>
          <w:spacing w:val="-47"/>
        </w:rPr>
        <w:t> </w:t>
      </w:r>
      <w:r>
        <w:rPr/>
        <w:t>Act until such time as those standards apply to private companies. We have elected to avail ourselves of this</w:t>
      </w:r>
      <w:r>
        <w:rPr>
          <w:spacing w:val="1"/>
        </w:rPr>
        <w:t> </w:t>
      </w:r>
      <w:r>
        <w:rPr/>
        <w:t>exemption and, therefore, for new or revised accounting standards applicable to public companies, we will be</w:t>
      </w:r>
      <w:r>
        <w:rPr>
          <w:spacing w:val="1"/>
        </w:rPr>
        <w:t> </w:t>
      </w:r>
      <w:r>
        <w:rPr/>
        <w:t>subject to an extended transition period until those standards would otherwise apply to private companies. As a</w:t>
      </w:r>
      <w:r>
        <w:rPr>
          <w:spacing w:val="1"/>
        </w:rPr>
        <w:t> </w:t>
      </w:r>
      <w:r>
        <w:rPr/>
        <w:t>result, our consolidated financial statements may not be comparable to the financial statements of issuers who are</w:t>
      </w:r>
      <w:r>
        <w:rPr>
          <w:spacing w:val="1"/>
        </w:rPr>
        <w:t> </w:t>
      </w:r>
      <w:r>
        <w:rPr/>
        <w:t>required to comply with the effective dates for new or revised accounting standards that are applicable to public</w:t>
      </w:r>
      <w:r>
        <w:rPr>
          <w:spacing w:val="1"/>
        </w:rPr>
        <w:t> </w:t>
      </w:r>
      <w:r>
        <w:rPr/>
        <w:t>companies,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</w:t>
      </w:r>
      <w:r>
        <w:rPr/>
        <w:t>make</w:t>
      </w:r>
      <w:r>
        <w:rPr>
          <w:spacing w:val="-3"/>
        </w:rPr>
        <w:t> </w:t>
      </w:r>
      <w:r>
        <w:rPr/>
        <w:t>comparison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our</w:t>
      </w:r>
      <w:r>
        <w:rPr>
          <w:spacing w:val="-1"/>
        </w:rPr>
        <w:t> </w:t>
      </w:r>
      <w:r>
        <w:rPr/>
        <w:t>financials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those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other</w:t>
      </w:r>
      <w:r>
        <w:rPr>
          <w:spacing w:val="-2"/>
        </w:rPr>
        <w:t> </w:t>
      </w:r>
      <w:r>
        <w:rPr/>
        <w:t>public</w:t>
      </w:r>
      <w:r>
        <w:rPr>
          <w:spacing w:val="-2"/>
        </w:rPr>
        <w:t> </w:t>
      </w:r>
      <w:r>
        <w:rPr/>
        <w:t>companies</w:t>
      </w:r>
      <w:r>
        <w:rPr>
          <w:spacing w:val="-3"/>
        </w:rPr>
        <w:t> </w:t>
      </w:r>
      <w:r>
        <w:rPr/>
        <w:t>more</w:t>
      </w:r>
      <w:r>
        <w:rPr>
          <w:spacing w:val="-2"/>
        </w:rPr>
        <w:t> </w:t>
      </w:r>
      <w:r>
        <w:rPr/>
        <w:t>difficult.</w:t>
      </w:r>
    </w:p>
    <w:p>
      <w:pPr>
        <w:pStyle w:val="BodyText"/>
        <w:spacing w:line="249" w:lineRule="auto" w:before="187"/>
        <w:ind w:right="180"/>
      </w:pPr>
      <w:r>
        <w:rPr/>
        <w:t>Even</w:t>
      </w:r>
      <w:r>
        <w:rPr>
          <w:spacing w:val="-3"/>
        </w:rPr>
        <w:t> </w:t>
      </w:r>
      <w:r>
        <w:rPr/>
        <w:t>after</w:t>
      </w:r>
      <w:r>
        <w:rPr>
          <w:spacing w:val="-2"/>
        </w:rPr>
        <w:t> </w:t>
      </w:r>
      <w:r>
        <w:rPr/>
        <w:t>we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longer</w:t>
      </w:r>
      <w:r>
        <w:rPr>
          <w:spacing w:val="-2"/>
        </w:rPr>
        <w:t> </w:t>
      </w:r>
      <w:r>
        <w:rPr/>
        <w:t>qualify</w:t>
      </w:r>
      <w:r>
        <w:rPr>
          <w:spacing w:val="-2"/>
        </w:rPr>
        <w:t> </w:t>
      </w:r>
      <w:r>
        <w:rPr/>
        <w:t>as</w:t>
      </w:r>
      <w:r>
        <w:rPr>
          <w:spacing w:val="-4"/>
        </w:rPr>
        <w:t> </w:t>
      </w:r>
      <w:r>
        <w:rPr/>
        <w:t>an</w:t>
      </w:r>
      <w:r>
        <w:rPr>
          <w:spacing w:val="-2"/>
        </w:rPr>
        <w:t> </w:t>
      </w:r>
      <w:r>
        <w:rPr/>
        <w:t>“emerging</w:t>
      </w:r>
      <w:r>
        <w:rPr>
          <w:spacing w:val="-2"/>
        </w:rPr>
        <w:t> </w:t>
      </w:r>
      <w:r>
        <w:rPr/>
        <w:t>growth</w:t>
      </w:r>
      <w:r>
        <w:rPr>
          <w:spacing w:val="-3"/>
        </w:rPr>
        <w:t> </w:t>
      </w:r>
      <w:r>
        <w:rPr/>
        <w:t>company,”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still</w:t>
      </w:r>
      <w:r>
        <w:rPr>
          <w:spacing w:val="-3"/>
        </w:rPr>
        <w:t> </w:t>
      </w:r>
      <w:r>
        <w:rPr/>
        <w:t>qualify</w:t>
      </w:r>
      <w:r>
        <w:rPr>
          <w:spacing w:val="-2"/>
        </w:rPr>
        <w:t> </w:t>
      </w:r>
      <w:r>
        <w:rPr/>
        <w:t>as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“smaller</w:t>
      </w:r>
      <w:r>
        <w:rPr>
          <w:spacing w:val="-2"/>
        </w:rPr>
        <w:t> </w:t>
      </w:r>
      <w:r>
        <w:rPr/>
        <w:t>reporting</w:t>
      </w:r>
      <w:r>
        <w:rPr>
          <w:spacing w:val="-47"/>
        </w:rPr>
        <w:t> </w:t>
      </w:r>
      <w:r>
        <w:rPr/>
        <w:t>company,”</w:t>
      </w:r>
      <w:r>
        <w:rPr>
          <w:spacing w:val="-3"/>
        </w:rPr>
        <w:t> </w:t>
      </w:r>
      <w:r>
        <w:rPr/>
        <w:t>which</w:t>
      </w:r>
      <w:r>
        <w:rPr>
          <w:spacing w:val="-2"/>
        </w:rPr>
        <w:t> </w:t>
      </w:r>
      <w:r>
        <w:rPr/>
        <w:t>would</w:t>
      </w:r>
      <w:r>
        <w:rPr>
          <w:spacing w:val="-1"/>
        </w:rPr>
        <w:t> </w:t>
      </w:r>
      <w:r>
        <w:rPr/>
        <w:t>allow</w:t>
      </w:r>
      <w:r>
        <w:rPr>
          <w:spacing w:val="-3"/>
        </w:rPr>
        <w:t> </w:t>
      </w:r>
      <w:r>
        <w:rPr/>
        <w:t>us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continue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take</w:t>
      </w:r>
      <w:r>
        <w:rPr>
          <w:spacing w:val="-2"/>
        </w:rPr>
        <w:t> </w:t>
      </w:r>
      <w:r>
        <w:rPr/>
        <w:t>advantage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many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same</w:t>
      </w:r>
      <w:r>
        <w:rPr>
          <w:spacing w:val="-3"/>
        </w:rPr>
        <w:t> </w:t>
      </w:r>
      <w:r>
        <w:rPr/>
        <w:t>exemptions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disclosure</w:t>
      </w:r>
    </w:p>
    <w:p>
      <w:pPr>
        <w:spacing w:after="0" w:line="249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spacing w:line="249" w:lineRule="auto" w:before="72"/>
        <w:ind w:right="212" w:firstLine="0"/>
      </w:pPr>
      <w:r>
        <w:rPr/>
        <w:t>requirements,</w:t>
      </w:r>
      <w:r>
        <w:rPr>
          <w:spacing w:val="-4"/>
        </w:rPr>
        <w:t> </w:t>
      </w:r>
      <w:r>
        <w:rPr/>
        <w:t>including,</w:t>
      </w:r>
      <w:r>
        <w:rPr>
          <w:spacing w:val="-3"/>
        </w:rPr>
        <w:t> </w:t>
      </w:r>
      <w:r>
        <w:rPr/>
        <w:t>among</w:t>
      </w:r>
      <w:r>
        <w:rPr>
          <w:spacing w:val="-3"/>
        </w:rPr>
        <w:t> </w:t>
      </w:r>
      <w:r>
        <w:rPr/>
        <w:t>other</w:t>
      </w:r>
      <w:r>
        <w:rPr>
          <w:spacing w:val="-4"/>
        </w:rPr>
        <w:t> </w:t>
      </w:r>
      <w:r>
        <w:rPr/>
        <w:t>things,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being</w:t>
      </w:r>
      <w:r>
        <w:rPr>
          <w:spacing w:val="-4"/>
        </w:rPr>
        <w:t> </w:t>
      </w:r>
      <w:r>
        <w:rPr/>
        <w:t>required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comply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auditor</w:t>
      </w:r>
      <w:r>
        <w:rPr>
          <w:spacing w:val="-3"/>
        </w:rPr>
        <w:t> </w:t>
      </w:r>
      <w:r>
        <w:rPr/>
        <w:t>attestation</w:t>
      </w:r>
      <w:r>
        <w:rPr>
          <w:spacing w:val="-4"/>
        </w:rPr>
        <w:t> </w:t>
      </w:r>
      <w:r>
        <w:rPr/>
        <w:t>requirements</w:t>
      </w:r>
      <w:r>
        <w:rPr>
          <w:spacing w:val="-47"/>
        </w:rPr>
        <w:t> </w:t>
      </w:r>
      <w:r>
        <w:rPr/>
        <w:t>of Section 404 of the Sarbanes-Oxley Act and reduced disclosure obligations regarding executive compensation in</w:t>
      </w:r>
      <w:r>
        <w:rPr>
          <w:spacing w:val="1"/>
        </w:rPr>
        <w:t> </w:t>
      </w:r>
      <w:r>
        <w:rPr/>
        <w:t>our</w:t>
      </w:r>
      <w:r>
        <w:rPr>
          <w:spacing w:val="-1"/>
        </w:rPr>
        <w:t> </w:t>
      </w:r>
      <w:r>
        <w:rPr/>
        <w:t>periodic</w:t>
      </w:r>
      <w:r>
        <w:rPr>
          <w:spacing w:val="-1"/>
        </w:rPr>
        <w:t> </w:t>
      </w:r>
      <w:r>
        <w:rPr/>
        <w:t>reports</w:t>
      </w:r>
      <w:r>
        <w:rPr>
          <w:spacing w:val="-1"/>
        </w:rPr>
        <w:t> </w:t>
      </w:r>
      <w:r>
        <w:rPr/>
        <w:t>and proxy statements.</w:t>
      </w:r>
    </w:p>
    <w:p>
      <w:pPr>
        <w:pStyle w:val="Heading2"/>
        <w:spacing w:before="179"/>
      </w:pPr>
      <w:bookmarkStart w:name="Item 2. Unregistered Sales of Equity Sec" w:id="60"/>
      <w:bookmarkEnd w:id="60"/>
      <w:r>
        <w:rPr>
          <w:b w:val="0"/>
        </w:rPr>
      </w:r>
      <w:bookmarkStart w:name="_bookmark13" w:id="61"/>
      <w:bookmarkEnd w:id="61"/>
      <w:r>
        <w:rPr>
          <w:b w:val="0"/>
        </w:rPr>
      </w:r>
      <w:r>
        <w:rPr/>
        <w:t>Item</w:t>
      </w:r>
      <w:r>
        <w:rPr>
          <w:spacing w:val="-4"/>
        </w:rPr>
        <w:t> </w:t>
      </w:r>
      <w:r>
        <w:rPr/>
        <w:t>2.</w:t>
      </w:r>
      <w:r>
        <w:rPr>
          <w:spacing w:val="-4"/>
        </w:rPr>
        <w:t> </w:t>
      </w:r>
      <w:r>
        <w:rPr/>
        <w:t>Unregistered</w:t>
      </w:r>
      <w:r>
        <w:rPr>
          <w:spacing w:val="-4"/>
        </w:rPr>
        <w:t> </w:t>
      </w:r>
      <w:r>
        <w:rPr/>
        <w:t>Sales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Equity</w:t>
      </w:r>
      <w:r>
        <w:rPr>
          <w:spacing w:val="-4"/>
        </w:rPr>
        <w:t> </w:t>
      </w:r>
      <w:r>
        <w:rPr/>
        <w:t>Securities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Use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Proceeds</w:t>
      </w:r>
    </w:p>
    <w:p>
      <w:pPr>
        <w:pStyle w:val="BodyText"/>
        <w:spacing w:line="249" w:lineRule="auto" w:before="193"/>
        <w:ind w:right="212"/>
      </w:pPr>
      <w:r>
        <w:rPr/>
        <w:t>On</w:t>
      </w:r>
      <w:r>
        <w:rPr>
          <w:spacing w:val="-3"/>
        </w:rPr>
        <w:t> </w:t>
      </w:r>
      <w:r>
        <w:rPr/>
        <w:t>September</w:t>
      </w:r>
      <w:r>
        <w:rPr>
          <w:spacing w:val="-2"/>
        </w:rPr>
        <w:t> </w:t>
      </w:r>
      <w:r>
        <w:rPr/>
        <w:t>17,</w:t>
      </w:r>
      <w:r>
        <w:rPr>
          <w:spacing w:val="-2"/>
        </w:rPr>
        <w:t> </w:t>
      </w:r>
      <w:r>
        <w:rPr/>
        <w:t>2021,</w:t>
      </w:r>
      <w:r>
        <w:rPr>
          <w:spacing w:val="-2"/>
        </w:rPr>
        <w:t> </w:t>
      </w:r>
      <w:r>
        <w:rPr/>
        <w:t>we</w:t>
      </w:r>
      <w:r>
        <w:rPr>
          <w:spacing w:val="-3"/>
        </w:rPr>
        <w:t> </w:t>
      </w:r>
      <w:r>
        <w:rPr/>
        <w:t>closed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initial</w:t>
      </w:r>
      <w:r>
        <w:rPr>
          <w:spacing w:val="-4"/>
        </w:rPr>
        <w:t> </w:t>
      </w:r>
      <w:r>
        <w:rPr/>
        <w:t>public</w:t>
      </w:r>
      <w:r>
        <w:rPr>
          <w:spacing w:val="-3"/>
        </w:rPr>
        <w:t> </w:t>
      </w:r>
      <w:r>
        <w:rPr/>
        <w:t>offering</w:t>
      </w:r>
      <w:r>
        <w:rPr>
          <w:spacing w:val="-2"/>
        </w:rPr>
        <w:t> </w:t>
      </w:r>
      <w:r>
        <w:rPr/>
        <w:t>(“IPO”)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common</w:t>
      </w:r>
      <w:r>
        <w:rPr>
          <w:spacing w:val="-2"/>
        </w:rPr>
        <w:t> </w:t>
      </w:r>
      <w:r>
        <w:rPr/>
        <w:t>stock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which</w:t>
      </w:r>
      <w:r>
        <w:rPr>
          <w:spacing w:val="-2"/>
        </w:rPr>
        <w:t> </w:t>
      </w:r>
      <w:r>
        <w:rPr/>
        <w:t>we</w:t>
      </w:r>
      <w:r>
        <w:rPr>
          <w:spacing w:val="-3"/>
        </w:rPr>
        <w:t> </w:t>
      </w:r>
      <w:r>
        <w:rPr/>
        <w:t>issued</w:t>
      </w:r>
      <w:r>
        <w:rPr>
          <w:spacing w:val="-47"/>
        </w:rPr>
        <w:t> </w:t>
      </w:r>
      <w:r>
        <w:rPr/>
        <w:t>and sold 6,556,000 shares of our common stock, and sold an additional 983,400 shares of common stock upon the</w:t>
      </w:r>
      <w:r>
        <w:rPr>
          <w:spacing w:val="1"/>
        </w:rPr>
        <w:t> </w:t>
      </w:r>
      <w:r>
        <w:rPr/>
        <w:t>full</w:t>
      </w:r>
      <w:r>
        <w:rPr>
          <w:spacing w:val="-3"/>
        </w:rPr>
        <w:t> </w:t>
      </w:r>
      <w:r>
        <w:rPr/>
        <w:t>exercise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underwriters’</w:t>
      </w:r>
      <w:r>
        <w:rPr>
          <w:spacing w:val="-1"/>
        </w:rPr>
        <w:t> </w:t>
      </w:r>
      <w:r>
        <w:rPr/>
        <w:t>option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purchase</w:t>
      </w:r>
      <w:r>
        <w:rPr>
          <w:spacing w:val="-3"/>
        </w:rPr>
        <w:t> </w:t>
      </w:r>
      <w:r>
        <w:rPr/>
        <w:t>additional</w:t>
      </w:r>
      <w:r>
        <w:rPr>
          <w:spacing w:val="-3"/>
        </w:rPr>
        <w:t> </w:t>
      </w:r>
      <w:r>
        <w:rPr/>
        <w:t>shares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price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public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$25.00</w:t>
      </w:r>
      <w:r>
        <w:rPr>
          <w:spacing w:val="-2"/>
        </w:rPr>
        <w:t> </w:t>
      </w:r>
      <w:r>
        <w:rPr/>
        <w:t>per</w:t>
      </w:r>
      <w:r>
        <w:rPr>
          <w:spacing w:val="-1"/>
        </w:rPr>
        <w:t> </w:t>
      </w:r>
      <w:r>
        <w:rPr/>
        <w:t>share.</w:t>
      </w:r>
    </w:p>
    <w:p>
      <w:pPr>
        <w:pStyle w:val="BodyText"/>
        <w:spacing w:line="249" w:lineRule="auto" w:before="3"/>
        <w:ind w:right="212" w:firstLine="0"/>
      </w:pPr>
      <w:r>
        <w:rPr/>
        <w:t>The shares were offered pursuant to registration statements on Form S-1 (File Nos. 333-258898 and 333-259527),</w:t>
      </w:r>
      <w:r>
        <w:rPr>
          <w:spacing w:val="1"/>
        </w:rPr>
        <w:t> </w:t>
      </w:r>
      <w:r>
        <w:rPr/>
        <w:t>which</w:t>
      </w:r>
      <w:r>
        <w:rPr>
          <w:spacing w:val="-3"/>
        </w:rPr>
        <w:t> </w:t>
      </w:r>
      <w:r>
        <w:rPr/>
        <w:t>became</w:t>
      </w:r>
      <w:r>
        <w:rPr>
          <w:spacing w:val="-3"/>
        </w:rPr>
        <w:t> </w:t>
      </w:r>
      <w:r>
        <w:rPr/>
        <w:t>effective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September</w:t>
      </w:r>
      <w:r>
        <w:rPr>
          <w:spacing w:val="-2"/>
        </w:rPr>
        <w:t> </w:t>
      </w:r>
      <w:r>
        <w:rPr/>
        <w:t>14,</w:t>
      </w:r>
      <w:r>
        <w:rPr>
          <w:spacing w:val="-2"/>
        </w:rPr>
        <w:t> </w:t>
      </w:r>
      <w:r>
        <w:rPr/>
        <w:t>2021.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underwriters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offering</w:t>
      </w:r>
      <w:r>
        <w:rPr>
          <w:spacing w:val="-2"/>
        </w:rPr>
        <w:t> </w:t>
      </w:r>
      <w:r>
        <w:rPr/>
        <w:t>were</w:t>
      </w:r>
      <w:r>
        <w:rPr>
          <w:spacing w:val="-3"/>
        </w:rPr>
        <w:t> </w:t>
      </w:r>
      <w:r>
        <w:rPr/>
        <w:t>led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BofA</w:t>
      </w:r>
      <w:r>
        <w:rPr>
          <w:spacing w:val="-3"/>
        </w:rPr>
        <w:t> </w:t>
      </w:r>
      <w:r>
        <w:rPr/>
        <w:t>Securities,</w:t>
      </w:r>
      <w:r>
        <w:rPr>
          <w:spacing w:val="-2"/>
        </w:rPr>
        <w:t> </w:t>
      </w:r>
      <w:r>
        <w:rPr/>
        <w:t>Inc.</w:t>
      </w:r>
      <w:r>
        <w:rPr>
          <w:spacing w:val="-47"/>
        </w:rPr>
        <w:t> </w:t>
      </w:r>
      <w:r>
        <w:rPr/>
        <w:t>and Goldman Sachs &amp; Co. LLC. The offering did not terminate until after the sale of all shares of common stock</w:t>
      </w:r>
      <w:r>
        <w:rPr>
          <w:spacing w:val="1"/>
        </w:rPr>
        <w:t> </w:t>
      </w:r>
      <w:r>
        <w:rPr/>
        <w:t>registered</w:t>
      </w:r>
      <w:r>
        <w:rPr>
          <w:spacing w:val="-1"/>
        </w:rPr>
        <w:t> </w:t>
      </w:r>
      <w:r>
        <w:rPr/>
        <w:t>on the</w:t>
      </w:r>
      <w:r>
        <w:rPr>
          <w:spacing w:val="-1"/>
        </w:rPr>
        <w:t> </w:t>
      </w:r>
      <w:r>
        <w:rPr/>
        <w:t>registration statements.</w:t>
      </w:r>
    </w:p>
    <w:p>
      <w:pPr>
        <w:pStyle w:val="BodyText"/>
        <w:spacing w:line="249" w:lineRule="auto" w:before="183"/>
        <w:ind w:right="180"/>
      </w:pPr>
      <w:r>
        <w:rPr/>
        <w:t>We raised approximately $172.4 million in proceeds, net of underwriting discounts and commissions of $13.2</w:t>
      </w:r>
      <w:r>
        <w:rPr>
          <w:spacing w:val="1"/>
        </w:rPr>
        <w:t> </w:t>
      </w:r>
      <w:r>
        <w:rPr/>
        <w:t>million and estimated offering costs of $2.9 million. No payments for such expenses were made directly or</w:t>
      </w:r>
      <w:r>
        <w:rPr>
          <w:spacing w:val="1"/>
        </w:rPr>
        <w:t> </w:t>
      </w:r>
      <w:r>
        <w:rPr/>
        <w:t>indirectly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(i)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officers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directors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their</w:t>
      </w:r>
      <w:r>
        <w:rPr>
          <w:spacing w:val="-2"/>
        </w:rPr>
        <w:t> </w:t>
      </w:r>
      <w:r>
        <w:rPr/>
        <w:t>associates,</w:t>
      </w:r>
      <w:r>
        <w:rPr>
          <w:spacing w:val="-2"/>
        </w:rPr>
        <w:t> </w:t>
      </w:r>
      <w:r>
        <w:rPr/>
        <w:t>(ii)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persons</w:t>
      </w:r>
      <w:r>
        <w:rPr>
          <w:spacing w:val="-3"/>
        </w:rPr>
        <w:t> </w:t>
      </w:r>
      <w:r>
        <w:rPr/>
        <w:t>owning</w:t>
      </w:r>
      <w:r>
        <w:rPr>
          <w:spacing w:val="-2"/>
        </w:rPr>
        <w:t> </w:t>
      </w:r>
      <w:r>
        <w:rPr/>
        <w:t>10%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more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class</w:t>
      </w:r>
      <w:r>
        <w:rPr>
          <w:spacing w:val="-47"/>
        </w:rPr>
        <w:t> </w:t>
      </w:r>
      <w:r>
        <w:rPr/>
        <w:t>of</w:t>
      </w:r>
      <w:r>
        <w:rPr>
          <w:spacing w:val="-1"/>
        </w:rPr>
        <w:t> </w:t>
      </w:r>
      <w:r>
        <w:rPr/>
        <w:t>our equity securities</w:t>
      </w:r>
      <w:r>
        <w:rPr>
          <w:spacing w:val="-1"/>
        </w:rPr>
        <w:t> </w:t>
      </w:r>
      <w:r>
        <w:rPr/>
        <w:t>or (iii)</w:t>
      </w:r>
      <w:r>
        <w:rPr>
          <w:spacing w:val="-1"/>
        </w:rPr>
        <w:t> </w:t>
      </w:r>
      <w:r>
        <w:rPr/>
        <w:t>any of our affiliates.</w:t>
      </w:r>
    </w:p>
    <w:p>
      <w:pPr>
        <w:pStyle w:val="BodyText"/>
        <w:spacing w:line="249" w:lineRule="auto" w:before="183"/>
        <w:ind w:right="118"/>
      </w:pPr>
      <w:r>
        <w:rPr/>
        <w:t>The</w:t>
      </w:r>
      <w:r>
        <w:rPr>
          <w:spacing w:val="-3"/>
        </w:rPr>
        <w:t> </w:t>
      </w:r>
      <w:r>
        <w:rPr/>
        <w:t>net</w:t>
      </w:r>
      <w:r>
        <w:rPr>
          <w:spacing w:val="-3"/>
        </w:rPr>
        <w:t> </w:t>
      </w:r>
      <w:r>
        <w:rPr/>
        <w:t>proceeds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IPO</w:t>
      </w:r>
      <w:r>
        <w:rPr>
          <w:spacing w:val="-3"/>
        </w:rPr>
        <w:t> </w:t>
      </w:r>
      <w:r>
        <w:rPr/>
        <w:t>have</w:t>
      </w:r>
      <w:r>
        <w:rPr>
          <w:spacing w:val="-2"/>
        </w:rPr>
        <w:t> </w:t>
      </w:r>
      <w:r>
        <w:rPr/>
        <w:t>been</w:t>
      </w:r>
      <w:r>
        <w:rPr>
          <w:spacing w:val="-2"/>
        </w:rPr>
        <w:t> </w:t>
      </w:r>
      <w:r>
        <w:rPr/>
        <w:t>used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used,</w:t>
      </w:r>
      <w:r>
        <w:rPr>
          <w:spacing w:val="-2"/>
        </w:rPr>
        <w:t> </w:t>
      </w:r>
      <w:r>
        <w:rPr/>
        <w:t>together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our</w:t>
      </w:r>
      <w:r>
        <w:rPr>
          <w:spacing w:val="-2"/>
        </w:rPr>
        <w:t> </w:t>
      </w:r>
      <w:r>
        <w:rPr/>
        <w:t>cash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cash</w:t>
      </w:r>
      <w:r>
        <w:rPr>
          <w:spacing w:val="-2"/>
        </w:rPr>
        <w:t> </w:t>
      </w:r>
      <w:r>
        <w:rPr/>
        <w:t>equivalents:</w:t>
      </w:r>
      <w:r>
        <w:rPr>
          <w:spacing w:val="-3"/>
        </w:rPr>
        <w:t> </w:t>
      </w:r>
      <w:r>
        <w:rPr/>
        <w:t>(i)</w:t>
      </w:r>
      <w:r>
        <w:rPr>
          <w:spacing w:val="-47"/>
        </w:rPr>
        <w:t> </w:t>
      </w:r>
      <w:r>
        <w:rPr/>
        <w:t>to hire additional sales and marketing personnel; (ii) to fund product development and research and development</w:t>
      </w:r>
      <w:r>
        <w:rPr>
          <w:spacing w:val="1"/>
        </w:rPr>
        <w:t> </w:t>
      </w:r>
      <w:r>
        <w:rPr/>
        <w:t>activities;</w:t>
      </w:r>
      <w:r>
        <w:rPr>
          <w:spacing w:val="-2"/>
        </w:rPr>
        <w:t> </w:t>
      </w:r>
      <w:r>
        <w:rPr/>
        <w:t>and (iii)</w:t>
      </w:r>
      <w:r>
        <w:rPr>
          <w:spacing w:val="-1"/>
        </w:rPr>
        <w:t> </w:t>
      </w:r>
      <w:r>
        <w:rPr/>
        <w:t>for working</w:t>
      </w:r>
      <w:r>
        <w:rPr>
          <w:spacing w:val="-1"/>
        </w:rPr>
        <w:t> </w:t>
      </w:r>
      <w:r>
        <w:rPr/>
        <w:t>capital</w:t>
      </w:r>
      <w:r>
        <w:rPr>
          <w:spacing w:val="-1"/>
        </w:rPr>
        <w:t> </w:t>
      </w:r>
      <w:r>
        <w:rPr/>
        <w:t>and other</w:t>
      </w:r>
      <w:r>
        <w:rPr>
          <w:spacing w:val="-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corporate</w:t>
      </w:r>
      <w:r>
        <w:rPr>
          <w:spacing w:val="-2"/>
        </w:rPr>
        <w:t> </w:t>
      </w:r>
      <w:r>
        <w:rPr/>
        <w:t>purposes.</w:t>
      </w:r>
    </w:p>
    <w:p>
      <w:pPr>
        <w:pStyle w:val="BodyText"/>
        <w:spacing w:line="249" w:lineRule="auto" w:before="183"/>
      </w:pPr>
      <w:r>
        <w:rPr/>
        <w:t>We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also</w:t>
      </w:r>
      <w:r>
        <w:rPr>
          <w:spacing w:val="-2"/>
        </w:rPr>
        <w:t> </w:t>
      </w:r>
      <w:r>
        <w:rPr/>
        <w:t>use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portion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net</w:t>
      </w:r>
      <w:r>
        <w:rPr>
          <w:spacing w:val="-3"/>
        </w:rPr>
        <w:t> </w:t>
      </w:r>
      <w:r>
        <w:rPr/>
        <w:t>proceeds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IPO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acquire,</w:t>
      </w:r>
      <w:r>
        <w:rPr>
          <w:spacing w:val="-2"/>
        </w:rPr>
        <w:t> </w:t>
      </w:r>
      <w:r>
        <w:rPr/>
        <w:t>in-license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invest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products,</w:t>
      </w:r>
      <w:r>
        <w:rPr>
          <w:spacing w:val="-47"/>
        </w:rPr>
        <w:t> </w:t>
      </w:r>
      <w:r>
        <w:rPr/>
        <w:t>technologies</w:t>
      </w:r>
      <w:r>
        <w:rPr>
          <w:spacing w:val="-2"/>
        </w:rPr>
        <w:t> </w:t>
      </w:r>
      <w:r>
        <w:rPr/>
        <w:t>or businesses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complementary</w:t>
      </w:r>
      <w:r>
        <w:rPr>
          <w:spacing w:val="-1"/>
        </w:rPr>
        <w:t> </w:t>
      </w:r>
      <w:r>
        <w:rPr/>
        <w:t>to our</w:t>
      </w:r>
      <w:r>
        <w:rPr>
          <w:spacing w:val="-1"/>
        </w:rPr>
        <w:t> </w:t>
      </w:r>
      <w:r>
        <w:rPr/>
        <w:t>business.</w:t>
      </w:r>
    </w:p>
    <w:p>
      <w:pPr>
        <w:pStyle w:val="BodyText"/>
        <w:spacing w:line="249" w:lineRule="auto" w:before="181"/>
        <w:ind w:right="180"/>
      </w:pPr>
      <w:r>
        <w:rPr/>
        <w:t>There has been no material change in the intended use of proceeds from our IPO as described in our final</w:t>
      </w:r>
      <w:r>
        <w:rPr>
          <w:spacing w:val="1"/>
        </w:rPr>
        <w:t> </w:t>
      </w:r>
      <w:r>
        <w:rPr/>
        <w:t>prospectus</w:t>
      </w:r>
      <w:r>
        <w:rPr>
          <w:spacing w:val="-3"/>
        </w:rPr>
        <w:t> </w:t>
      </w:r>
      <w:r>
        <w:rPr/>
        <w:t>dated</w:t>
      </w:r>
      <w:r>
        <w:rPr>
          <w:spacing w:val="-2"/>
        </w:rPr>
        <w:t> </w:t>
      </w:r>
      <w:r>
        <w:rPr/>
        <w:t>September</w:t>
      </w:r>
      <w:r>
        <w:rPr>
          <w:spacing w:val="-2"/>
        </w:rPr>
        <w:t> </w:t>
      </w:r>
      <w:r>
        <w:rPr/>
        <w:t>14,</w:t>
      </w:r>
      <w:r>
        <w:rPr>
          <w:spacing w:val="-2"/>
        </w:rPr>
        <w:t> </w:t>
      </w:r>
      <w:r>
        <w:rPr/>
        <w:t>2021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filed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SEC</w:t>
      </w:r>
      <w:r>
        <w:rPr>
          <w:spacing w:val="-3"/>
        </w:rPr>
        <w:t> </w:t>
      </w:r>
      <w:r>
        <w:rPr/>
        <w:t>pursuant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Rule</w:t>
      </w:r>
      <w:r>
        <w:rPr>
          <w:spacing w:val="-2"/>
        </w:rPr>
        <w:t> </w:t>
      </w:r>
      <w:r>
        <w:rPr/>
        <w:t>424(b)(4)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September</w:t>
      </w:r>
      <w:r>
        <w:rPr>
          <w:spacing w:val="-2"/>
        </w:rPr>
        <w:t> </w:t>
      </w:r>
      <w:r>
        <w:rPr/>
        <w:t>16,</w:t>
      </w:r>
      <w:r>
        <w:rPr>
          <w:spacing w:val="-2"/>
        </w:rPr>
        <w:t> </w:t>
      </w:r>
      <w:r>
        <w:rPr/>
        <w:t>2021.</w:t>
      </w:r>
    </w:p>
    <w:p>
      <w:pPr>
        <w:pStyle w:val="Heading2"/>
        <w:spacing w:before="179"/>
      </w:pPr>
      <w:bookmarkStart w:name="Item 3. Defaults Upon Senior Securities" w:id="62"/>
      <w:bookmarkEnd w:id="62"/>
      <w:r>
        <w:rPr>
          <w:b w:val="0"/>
        </w:rPr>
      </w:r>
      <w:r>
        <w:rPr/>
        <w:t>Item</w:t>
      </w:r>
      <w:r>
        <w:rPr>
          <w:spacing w:val="-5"/>
        </w:rPr>
        <w:t> </w:t>
      </w:r>
      <w:r>
        <w:rPr/>
        <w:t>3.</w:t>
      </w:r>
      <w:r>
        <w:rPr>
          <w:spacing w:val="-4"/>
        </w:rPr>
        <w:t> </w:t>
      </w:r>
      <w:r>
        <w:rPr/>
        <w:t>Defaults</w:t>
      </w:r>
      <w:r>
        <w:rPr>
          <w:spacing w:val="-5"/>
        </w:rPr>
        <w:t> </w:t>
      </w:r>
      <w:r>
        <w:rPr/>
        <w:t>Upon</w:t>
      </w:r>
      <w:r>
        <w:rPr>
          <w:spacing w:val="-5"/>
        </w:rPr>
        <w:t> </w:t>
      </w:r>
      <w:r>
        <w:rPr/>
        <w:t>Senior</w:t>
      </w:r>
      <w:r>
        <w:rPr>
          <w:spacing w:val="-4"/>
        </w:rPr>
        <w:t> </w:t>
      </w:r>
      <w:r>
        <w:rPr/>
        <w:t>Securities</w:t>
      </w:r>
    </w:p>
    <w:p>
      <w:pPr>
        <w:pStyle w:val="BodyText"/>
        <w:spacing w:before="193"/>
        <w:ind w:left="460" w:firstLine="0"/>
      </w:pPr>
      <w:r>
        <w:rPr/>
        <w:t>None.</w:t>
      </w:r>
    </w:p>
    <w:p>
      <w:pPr>
        <w:pStyle w:val="Heading2"/>
        <w:spacing w:before="187"/>
      </w:pPr>
      <w:bookmarkStart w:name="Item 4. Mine Safety Disclosures" w:id="63"/>
      <w:bookmarkEnd w:id="63"/>
      <w:r>
        <w:rPr>
          <w:b w:val="0"/>
        </w:rPr>
      </w:r>
      <w:r>
        <w:rPr/>
        <w:t>Item</w:t>
      </w:r>
      <w:r>
        <w:rPr>
          <w:spacing w:val="-5"/>
        </w:rPr>
        <w:t> </w:t>
      </w:r>
      <w:r>
        <w:rPr/>
        <w:t>4.</w:t>
      </w:r>
      <w:r>
        <w:rPr>
          <w:spacing w:val="-4"/>
        </w:rPr>
        <w:t> </w:t>
      </w:r>
      <w:r>
        <w:rPr/>
        <w:t>Mine</w:t>
      </w:r>
      <w:r>
        <w:rPr>
          <w:spacing w:val="-4"/>
        </w:rPr>
        <w:t> </w:t>
      </w:r>
      <w:r>
        <w:rPr/>
        <w:t>Safety</w:t>
      </w:r>
      <w:r>
        <w:rPr>
          <w:spacing w:val="-4"/>
        </w:rPr>
        <w:t> </w:t>
      </w:r>
      <w:r>
        <w:rPr/>
        <w:t>Disclosures</w:t>
      </w:r>
    </w:p>
    <w:p>
      <w:pPr>
        <w:pStyle w:val="BodyText"/>
        <w:spacing w:before="193"/>
        <w:ind w:left="460" w:firstLine="0"/>
      </w:pPr>
      <w:r>
        <w:rPr/>
        <w:t>None.</w:t>
      </w:r>
    </w:p>
    <w:p>
      <w:pPr>
        <w:pStyle w:val="Heading2"/>
        <w:spacing w:before="187"/>
      </w:pPr>
      <w:bookmarkStart w:name="Item 5. Other Information" w:id="64"/>
      <w:bookmarkEnd w:id="64"/>
      <w:r>
        <w:rPr>
          <w:b w:val="0"/>
        </w:rPr>
      </w:r>
      <w:r>
        <w:rPr/>
        <w:t>Item</w:t>
      </w:r>
      <w:r>
        <w:rPr>
          <w:spacing w:val="-4"/>
        </w:rPr>
        <w:t> </w:t>
      </w:r>
      <w:r>
        <w:rPr/>
        <w:t>5.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Information</w:t>
      </w:r>
    </w:p>
    <w:p>
      <w:pPr>
        <w:pStyle w:val="BodyText"/>
        <w:spacing w:before="193"/>
        <w:ind w:left="460" w:firstLine="0"/>
      </w:pPr>
      <w:r>
        <w:rPr/>
        <w:t>None.</w:t>
      </w:r>
    </w:p>
    <w:p>
      <w:pPr>
        <w:spacing w:after="0"/>
        <w:sectPr>
          <w:pgSz w:w="12240" w:h="15840"/>
          <w:pgMar w:header="0" w:footer="741" w:top="1320" w:bottom="940" w:left="1340" w:right="1320"/>
        </w:sectPr>
      </w:pPr>
    </w:p>
    <w:p>
      <w:pPr>
        <w:pStyle w:val="Heading2"/>
      </w:pPr>
      <w:bookmarkStart w:name="Item 6. Exhibits" w:id="65"/>
      <w:bookmarkEnd w:id="65"/>
      <w:r>
        <w:rPr>
          <w:b w:val="0"/>
        </w:rPr>
      </w:r>
      <w:bookmarkStart w:name="_bookmark14" w:id="66"/>
      <w:bookmarkEnd w:id="66"/>
      <w:r>
        <w:rPr>
          <w:b w:val="0"/>
        </w:rPr>
      </w:r>
      <w:r>
        <w:rPr/>
        <w:t>Item</w:t>
      </w:r>
      <w:r>
        <w:rPr>
          <w:spacing w:val="-4"/>
        </w:rPr>
        <w:t> </w:t>
      </w:r>
      <w:r>
        <w:rPr/>
        <w:t>6.</w:t>
      </w:r>
      <w:r>
        <w:rPr>
          <w:spacing w:val="-3"/>
        </w:rPr>
        <w:t> </w:t>
      </w:r>
      <w:r>
        <w:rPr/>
        <w:t>Exhibits</w:t>
      </w:r>
    </w:p>
    <w:p>
      <w:pPr>
        <w:spacing w:line="249" w:lineRule="auto" w:before="194"/>
        <w:ind w:left="100" w:right="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following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exhibits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furnished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incorporated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reference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into,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Quarterly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Report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10-Q.</w:t>
      </w:r>
    </w:p>
    <w:p>
      <w:pPr>
        <w:pStyle w:val="BodyText"/>
        <w:spacing w:before="2"/>
        <w:ind w:left="0" w:firstLine="0"/>
        <w:rPr>
          <w:i/>
          <w:sz w:val="22"/>
        </w:rPr>
      </w:pPr>
    </w:p>
    <w:p>
      <w:pPr>
        <w:tabs>
          <w:tab w:pos="1307" w:val="left" w:leader="none"/>
        </w:tabs>
        <w:spacing w:before="1"/>
        <w:ind w:left="152" w:right="0" w:firstLine="0"/>
        <w:jc w:val="left"/>
        <w:rPr>
          <w:b/>
          <w:sz w:val="16"/>
        </w:rPr>
      </w:pPr>
      <w:r>
        <w:rPr/>
        <w:pict>
          <v:group style="position:absolute;margin-left:72pt;margin-top:9.653857pt;width:54.75pt;height:1pt;mso-position-horizontal-relative:page;mso-position-vertical-relative:paragraph;z-index:-15709184;mso-wrap-distance-left:0;mso-wrap-distance-right:0" id="docshapegroup104" coordorigin="1440,193" coordsize="1095,20">
            <v:shape style="position:absolute;left:1440;top:203;width:1095;height:2" id="docshape105" coordorigin="1440,203" coordsize="1095,0" path="m2535,203l1440,203e" filled="true" fillcolor="#000000" stroked="false">
              <v:path arrowok="t"/>
              <v:fill opacity="0f" type="solid"/>
            </v:shape>
            <v:line style="position:absolute" from="1440,203" to="2535,203" stroked="true" strokeweight="1pt" strokecolor="#000000">
              <v:stroke dashstyle="solid"/>
            </v:line>
            <w10:wrap type="topAndBottom"/>
          </v:group>
        </w:pict>
      </w:r>
      <w:r>
        <w:rPr>
          <w:b/>
          <w:sz w:val="16"/>
        </w:rPr>
        <w:t>Exhibit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No.</w:t>
        <w:tab/>
        <w:t>Exhibit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Description</w:t>
      </w:r>
    </w:p>
    <w:p>
      <w:pPr>
        <w:pStyle w:val="ListParagraph"/>
        <w:numPr>
          <w:ilvl w:val="1"/>
          <w:numId w:val="8"/>
        </w:numPr>
        <w:tabs>
          <w:tab w:pos="1307" w:val="left" w:leader="none"/>
          <w:tab w:pos="1308" w:val="left" w:leader="none"/>
        </w:tabs>
        <w:spacing w:line="232" w:lineRule="auto" w:before="8" w:after="0"/>
        <w:ind w:left="1307" w:right="358" w:hanging="786"/>
        <w:jc w:val="left"/>
        <w:rPr>
          <w:sz w:val="20"/>
        </w:rPr>
      </w:pPr>
      <w:hyperlink r:id="rId11">
        <w:r>
          <w:rPr>
            <w:color w:val="0000FF"/>
            <w:sz w:val="20"/>
            <w:u w:val="single" w:color="0000FF"/>
          </w:rPr>
          <w:t>Amended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and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Restated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Certificate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of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Incorporation</w:t>
        </w:r>
      </w:hyperlink>
      <w:r>
        <w:rPr>
          <w:color w:val="0000FF"/>
          <w:spacing w:val="-3"/>
          <w:sz w:val="20"/>
        </w:rPr>
        <w:t> </w:t>
      </w:r>
      <w:r>
        <w:rPr>
          <w:sz w:val="20"/>
        </w:rPr>
        <w:t>(incorporated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reference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Exhibit</w:t>
      </w:r>
      <w:r>
        <w:rPr>
          <w:spacing w:val="-4"/>
          <w:sz w:val="20"/>
        </w:rPr>
        <w:t> </w:t>
      </w:r>
      <w:r>
        <w:rPr>
          <w:sz w:val="20"/>
        </w:rPr>
        <w:t>3.1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7"/>
          <w:sz w:val="20"/>
        </w:rPr>
        <w:t> </w:t>
      </w:r>
      <w:r>
        <w:rPr>
          <w:sz w:val="20"/>
        </w:rPr>
        <w:t>registrant’s</w:t>
      </w:r>
      <w:r>
        <w:rPr>
          <w:spacing w:val="-2"/>
          <w:sz w:val="20"/>
        </w:rPr>
        <w:t> </w:t>
      </w:r>
      <w:r>
        <w:rPr>
          <w:sz w:val="20"/>
        </w:rPr>
        <w:t>Current</w:t>
      </w:r>
      <w:r>
        <w:rPr>
          <w:spacing w:val="-1"/>
          <w:sz w:val="20"/>
        </w:rPr>
        <w:t> </w:t>
      </w:r>
      <w:r>
        <w:rPr>
          <w:sz w:val="20"/>
        </w:rPr>
        <w:t>Report</w:t>
      </w:r>
      <w:r>
        <w:rPr>
          <w:spacing w:val="-2"/>
          <w:sz w:val="20"/>
        </w:rPr>
        <w:t> </w:t>
      </w:r>
      <w:r>
        <w:rPr>
          <w:sz w:val="20"/>
        </w:rPr>
        <w:t>on Form</w:t>
      </w:r>
      <w:r>
        <w:rPr>
          <w:spacing w:val="-1"/>
          <w:sz w:val="20"/>
        </w:rPr>
        <w:t> </w:t>
      </w:r>
      <w:r>
        <w:rPr>
          <w:sz w:val="20"/>
        </w:rPr>
        <w:t>8-K</w:t>
      </w:r>
      <w:r>
        <w:rPr>
          <w:spacing w:val="-2"/>
          <w:sz w:val="20"/>
        </w:rPr>
        <w:t> </w:t>
      </w:r>
      <w:r>
        <w:rPr>
          <w:sz w:val="20"/>
        </w:rPr>
        <w:t>filed on September</w:t>
      </w:r>
      <w:r>
        <w:rPr>
          <w:spacing w:val="-1"/>
          <w:sz w:val="20"/>
        </w:rPr>
        <w:t> </w:t>
      </w:r>
      <w:r>
        <w:rPr>
          <w:sz w:val="20"/>
        </w:rPr>
        <w:t>21, 2021)</w:t>
      </w:r>
    </w:p>
    <w:p>
      <w:pPr>
        <w:pStyle w:val="ListParagraph"/>
        <w:numPr>
          <w:ilvl w:val="1"/>
          <w:numId w:val="8"/>
        </w:numPr>
        <w:tabs>
          <w:tab w:pos="1307" w:val="left" w:leader="none"/>
          <w:tab w:pos="1308" w:val="left" w:leader="none"/>
        </w:tabs>
        <w:spacing w:line="232" w:lineRule="auto" w:before="144" w:after="0"/>
        <w:ind w:left="1307" w:right="346" w:hanging="786"/>
        <w:jc w:val="left"/>
        <w:rPr>
          <w:sz w:val="20"/>
        </w:rPr>
      </w:pPr>
      <w:hyperlink r:id="rId12">
        <w:r>
          <w:rPr>
            <w:color w:val="0000FF"/>
            <w:sz w:val="20"/>
            <w:u w:val="single" w:color="0000FF"/>
          </w:rPr>
          <w:t>Amended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and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Restated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Bylaws</w:t>
        </w:r>
        <w:r>
          <w:rPr>
            <w:color w:val="0000FF"/>
            <w:spacing w:val="-4"/>
            <w:sz w:val="20"/>
          </w:rPr>
          <w:t> </w:t>
        </w:r>
      </w:hyperlink>
      <w:r>
        <w:rPr>
          <w:sz w:val="20"/>
        </w:rPr>
        <w:t>(incorporated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reference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Exhibit</w:t>
      </w:r>
      <w:r>
        <w:rPr>
          <w:spacing w:val="-4"/>
          <w:sz w:val="20"/>
        </w:rPr>
        <w:t> </w:t>
      </w:r>
      <w:r>
        <w:rPr>
          <w:sz w:val="20"/>
        </w:rPr>
        <w:t>3.2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registrant’s</w:t>
      </w:r>
      <w:r>
        <w:rPr>
          <w:spacing w:val="-4"/>
          <w:sz w:val="20"/>
        </w:rPr>
        <w:t> </w:t>
      </w:r>
      <w:r>
        <w:rPr>
          <w:sz w:val="20"/>
        </w:rPr>
        <w:t>Current</w:t>
      </w:r>
      <w:r>
        <w:rPr>
          <w:spacing w:val="-47"/>
          <w:sz w:val="20"/>
        </w:rPr>
        <w:t> </w:t>
      </w:r>
      <w:r>
        <w:rPr>
          <w:sz w:val="20"/>
        </w:rPr>
        <w:t>Report</w:t>
      </w:r>
      <w:r>
        <w:rPr>
          <w:spacing w:val="-2"/>
          <w:sz w:val="20"/>
        </w:rPr>
        <w:t> </w:t>
      </w:r>
      <w:r>
        <w:rPr>
          <w:sz w:val="20"/>
        </w:rPr>
        <w:t>on Form</w:t>
      </w:r>
      <w:r>
        <w:rPr>
          <w:spacing w:val="-1"/>
          <w:sz w:val="20"/>
        </w:rPr>
        <w:t> </w:t>
      </w:r>
      <w:r>
        <w:rPr>
          <w:sz w:val="20"/>
        </w:rPr>
        <w:t>8-K</w:t>
      </w:r>
      <w:r>
        <w:rPr>
          <w:spacing w:val="-1"/>
          <w:sz w:val="20"/>
        </w:rPr>
        <w:t> </w:t>
      </w:r>
      <w:r>
        <w:rPr>
          <w:sz w:val="20"/>
        </w:rPr>
        <w:t>filed on September 21,</w:t>
      </w:r>
      <w:r>
        <w:rPr>
          <w:spacing w:val="-1"/>
          <w:sz w:val="20"/>
        </w:rPr>
        <w:t> </w:t>
      </w:r>
      <w:r>
        <w:rPr>
          <w:sz w:val="20"/>
        </w:rPr>
        <w:t>2021)</w:t>
      </w:r>
    </w:p>
    <w:p>
      <w:pPr>
        <w:pStyle w:val="BodyText"/>
        <w:spacing w:before="148"/>
        <w:ind w:left="1307" w:firstLine="0"/>
      </w:pPr>
      <w:hyperlink r:id="rId13">
        <w:r>
          <w:rPr>
            <w:color w:val="0000FF"/>
            <w:u w:val="single" w:color="0000FF"/>
          </w:rPr>
          <w:t>Non-Employee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Director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Compensation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Program</w:t>
        </w:r>
        <w:r>
          <w:rPr>
            <w:color w:val="0000FF"/>
            <w:spacing w:val="-3"/>
          </w:rPr>
          <w:t> </w:t>
        </w:r>
      </w:hyperlink>
      <w:r>
        <w:rPr/>
        <w:t>(incorporated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reference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Exhibit</w:t>
      </w:r>
      <w:r>
        <w:rPr>
          <w:spacing w:val="-3"/>
        </w:rPr>
        <w:t> </w:t>
      </w:r>
      <w:r>
        <w:rPr/>
        <w:t>10.10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</w:p>
    <w:p>
      <w:pPr>
        <w:pStyle w:val="ListParagraph"/>
        <w:numPr>
          <w:ilvl w:val="1"/>
          <w:numId w:val="9"/>
        </w:numPr>
        <w:tabs>
          <w:tab w:pos="768" w:val="left" w:leader="none"/>
          <w:tab w:pos="1307" w:val="left" w:leader="none"/>
        </w:tabs>
        <w:spacing w:line="225" w:lineRule="exact" w:before="0" w:after="0"/>
        <w:ind w:left="767" w:right="0" w:hanging="352"/>
        <w:jc w:val="left"/>
        <w:rPr>
          <w:sz w:val="20"/>
        </w:rPr>
      </w:pPr>
      <w:r>
        <w:rPr>
          <w:sz w:val="20"/>
        </w:rPr>
        <w:t>+</w:t>
        <w:tab/>
        <w:t>registrant’s</w:t>
      </w:r>
      <w:r>
        <w:rPr>
          <w:spacing w:val="-4"/>
          <w:sz w:val="20"/>
        </w:rPr>
        <w:t> </w:t>
      </w:r>
      <w:r>
        <w:rPr>
          <w:sz w:val="20"/>
        </w:rPr>
        <w:t>registration</w:t>
      </w:r>
      <w:r>
        <w:rPr>
          <w:spacing w:val="-3"/>
          <w:sz w:val="20"/>
        </w:rPr>
        <w:t> </w:t>
      </w:r>
      <w:r>
        <w:rPr>
          <w:sz w:val="20"/>
        </w:rPr>
        <w:t>statement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Form</w:t>
      </w:r>
      <w:r>
        <w:rPr>
          <w:spacing w:val="-3"/>
          <w:sz w:val="20"/>
        </w:rPr>
        <w:t> </w:t>
      </w:r>
      <w:r>
        <w:rPr>
          <w:sz w:val="20"/>
        </w:rPr>
        <w:t>S-1</w:t>
      </w:r>
      <w:r>
        <w:rPr>
          <w:spacing w:val="-3"/>
          <w:sz w:val="20"/>
        </w:rPr>
        <w:t> </w:t>
      </w:r>
      <w:r>
        <w:rPr>
          <w:sz w:val="20"/>
        </w:rPr>
        <w:t>(File</w:t>
      </w:r>
      <w:r>
        <w:rPr>
          <w:spacing w:val="-4"/>
          <w:sz w:val="20"/>
        </w:rPr>
        <w:t> </w:t>
      </w:r>
      <w:r>
        <w:rPr>
          <w:sz w:val="20"/>
        </w:rPr>
        <w:t>No.</w:t>
      </w:r>
      <w:r>
        <w:rPr>
          <w:spacing w:val="-3"/>
          <w:sz w:val="20"/>
        </w:rPr>
        <w:t> </w:t>
      </w:r>
      <w:r>
        <w:rPr>
          <w:sz w:val="20"/>
        </w:rPr>
        <w:t>333-258898))</w:t>
      </w:r>
    </w:p>
    <w:p>
      <w:pPr>
        <w:pStyle w:val="ListParagraph"/>
        <w:numPr>
          <w:ilvl w:val="1"/>
          <w:numId w:val="9"/>
        </w:numPr>
        <w:tabs>
          <w:tab w:pos="768" w:val="left" w:leader="none"/>
          <w:tab w:pos="1307" w:val="left" w:leader="none"/>
        </w:tabs>
        <w:spacing w:line="225" w:lineRule="auto" w:before="140" w:after="0"/>
        <w:ind w:left="1307" w:right="534" w:hanging="892"/>
        <w:jc w:val="left"/>
        <w:rPr>
          <w:sz w:val="20"/>
        </w:rPr>
      </w:pPr>
      <w:r>
        <w:rPr>
          <w:sz w:val="20"/>
        </w:rPr>
        <w:t>+</w:t>
        <w:tab/>
      </w:r>
      <w:hyperlink r:id="rId14">
        <w:r>
          <w:rPr>
            <w:color w:val="0000FF"/>
            <w:position w:val="1"/>
            <w:sz w:val="20"/>
            <w:u w:val="single" w:color="0000FF"/>
          </w:rPr>
          <w:t>2021</w:t>
        </w:r>
        <w:r>
          <w:rPr>
            <w:color w:val="0000FF"/>
            <w:spacing w:val="-3"/>
            <w:position w:val="1"/>
            <w:sz w:val="20"/>
            <w:u w:val="single" w:color="0000FF"/>
          </w:rPr>
          <w:t> </w:t>
        </w:r>
        <w:r>
          <w:rPr>
            <w:color w:val="0000FF"/>
            <w:position w:val="1"/>
            <w:sz w:val="20"/>
            <w:u w:val="single" w:color="0000FF"/>
          </w:rPr>
          <w:t>Equity</w:t>
        </w:r>
        <w:r>
          <w:rPr>
            <w:color w:val="0000FF"/>
            <w:spacing w:val="-2"/>
            <w:position w:val="1"/>
            <w:sz w:val="20"/>
            <w:u w:val="single" w:color="0000FF"/>
          </w:rPr>
          <w:t> </w:t>
        </w:r>
        <w:r>
          <w:rPr>
            <w:color w:val="0000FF"/>
            <w:position w:val="1"/>
            <w:sz w:val="20"/>
            <w:u w:val="single" w:color="0000FF"/>
          </w:rPr>
          <w:t>Incentive</w:t>
        </w:r>
        <w:r>
          <w:rPr>
            <w:color w:val="0000FF"/>
            <w:spacing w:val="-4"/>
            <w:position w:val="1"/>
            <w:sz w:val="20"/>
            <w:u w:val="single" w:color="0000FF"/>
          </w:rPr>
          <w:t> </w:t>
        </w:r>
        <w:r>
          <w:rPr>
            <w:color w:val="0000FF"/>
            <w:position w:val="1"/>
            <w:sz w:val="20"/>
            <w:u w:val="single" w:color="0000FF"/>
          </w:rPr>
          <w:t>Award</w:t>
        </w:r>
        <w:r>
          <w:rPr>
            <w:color w:val="0000FF"/>
            <w:spacing w:val="-2"/>
            <w:position w:val="1"/>
            <w:sz w:val="20"/>
            <w:u w:val="single" w:color="0000FF"/>
          </w:rPr>
          <w:t> </w:t>
        </w:r>
        <w:r>
          <w:rPr>
            <w:color w:val="0000FF"/>
            <w:position w:val="1"/>
            <w:sz w:val="20"/>
            <w:u w:val="single" w:color="0000FF"/>
          </w:rPr>
          <w:t>Plan</w:t>
        </w:r>
      </w:hyperlink>
      <w:r>
        <w:rPr>
          <w:color w:val="0000FF"/>
          <w:spacing w:val="-3"/>
          <w:position w:val="1"/>
          <w:sz w:val="20"/>
        </w:rPr>
        <w:t> </w:t>
      </w:r>
      <w:r>
        <w:rPr>
          <w:position w:val="1"/>
          <w:sz w:val="20"/>
        </w:rPr>
        <w:t>(incorporated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by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reference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to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Exhibit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10.11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to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the</w:t>
      </w:r>
      <w:r>
        <w:rPr>
          <w:spacing w:val="-4"/>
          <w:position w:val="1"/>
          <w:sz w:val="20"/>
        </w:rPr>
        <w:t> </w:t>
      </w:r>
      <w:r>
        <w:rPr>
          <w:position w:val="1"/>
          <w:sz w:val="20"/>
        </w:rPr>
        <w:t>registrant’s</w:t>
      </w:r>
      <w:r>
        <w:rPr>
          <w:spacing w:val="-47"/>
          <w:position w:val="1"/>
          <w:sz w:val="20"/>
        </w:rPr>
        <w:t> </w:t>
      </w:r>
      <w:r>
        <w:rPr>
          <w:sz w:val="20"/>
        </w:rPr>
        <w:t>registration</w:t>
      </w:r>
      <w:r>
        <w:rPr>
          <w:spacing w:val="-1"/>
          <w:sz w:val="20"/>
        </w:rPr>
        <w:t> </w:t>
      </w:r>
      <w:r>
        <w:rPr>
          <w:sz w:val="20"/>
        </w:rPr>
        <w:t>statement</w:t>
      </w:r>
      <w:r>
        <w:rPr>
          <w:spacing w:val="-1"/>
          <w:sz w:val="20"/>
        </w:rPr>
        <w:t> </w:t>
      </w:r>
      <w:r>
        <w:rPr>
          <w:sz w:val="20"/>
        </w:rPr>
        <w:t>on Form</w:t>
      </w:r>
      <w:r>
        <w:rPr>
          <w:spacing w:val="-2"/>
          <w:sz w:val="20"/>
        </w:rPr>
        <w:t> </w:t>
      </w:r>
      <w:r>
        <w:rPr>
          <w:sz w:val="20"/>
        </w:rPr>
        <w:t>S-1 (File</w:t>
      </w:r>
      <w:r>
        <w:rPr>
          <w:spacing w:val="-1"/>
          <w:sz w:val="20"/>
        </w:rPr>
        <w:t> </w:t>
      </w:r>
      <w:r>
        <w:rPr>
          <w:sz w:val="20"/>
        </w:rPr>
        <w:t>No.</w:t>
      </w:r>
      <w:r>
        <w:rPr>
          <w:spacing w:val="-1"/>
          <w:sz w:val="20"/>
        </w:rPr>
        <w:t> </w:t>
      </w:r>
      <w:r>
        <w:rPr>
          <w:sz w:val="20"/>
        </w:rPr>
        <w:t>333-258898))</w:t>
      </w:r>
    </w:p>
    <w:p>
      <w:pPr>
        <w:pStyle w:val="BodyText"/>
        <w:tabs>
          <w:tab w:pos="1307" w:val="left" w:leader="none"/>
        </w:tabs>
        <w:spacing w:before="157"/>
        <w:ind w:left="1307" w:right="571" w:hanging="1003"/>
      </w:pPr>
      <w:r>
        <w:rPr>
          <w:position w:val="1"/>
        </w:rPr>
        <w:t>10.2(a)+</w:t>
        <w:tab/>
      </w:r>
      <w:hyperlink r:id="rId15">
        <w:r>
          <w:rPr>
            <w:color w:val="0000FF"/>
            <w:u w:val="single" w:color="0000FF"/>
          </w:rPr>
          <w:t>Form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Stock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Option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Agreement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under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the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2021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Equity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Incentive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Award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Plan</w:t>
        </w:r>
      </w:hyperlink>
      <w:r>
        <w:rPr>
          <w:color w:val="0000FF"/>
          <w:spacing w:val="-3"/>
        </w:rPr>
        <w:t> </w:t>
      </w:r>
      <w:r>
        <w:rPr/>
        <w:t>(incorporated</w:t>
      </w:r>
      <w:r>
        <w:rPr>
          <w:spacing w:val="-2"/>
        </w:rPr>
        <w:t> </w:t>
      </w:r>
      <w:r>
        <w:rPr/>
        <w:t>by</w:t>
      </w:r>
      <w:r>
        <w:rPr>
          <w:spacing w:val="-47"/>
        </w:rPr>
        <w:t> </w:t>
      </w:r>
      <w:r>
        <w:rPr/>
        <w:t>reference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Exhibit</w:t>
      </w:r>
      <w:r>
        <w:rPr>
          <w:spacing w:val="-3"/>
        </w:rPr>
        <w:t> </w:t>
      </w:r>
      <w:r>
        <w:rPr/>
        <w:t>10.11(a)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registrant’s</w:t>
      </w:r>
      <w:r>
        <w:rPr>
          <w:spacing w:val="-3"/>
        </w:rPr>
        <w:t> </w:t>
      </w:r>
      <w:r>
        <w:rPr/>
        <w:t>registration</w:t>
      </w:r>
      <w:r>
        <w:rPr>
          <w:spacing w:val="-2"/>
        </w:rPr>
        <w:t> </w:t>
      </w:r>
      <w:r>
        <w:rPr/>
        <w:t>statement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</w:t>
      </w:r>
      <w:r>
        <w:rPr/>
        <w:t>Form</w:t>
      </w:r>
      <w:r>
        <w:rPr>
          <w:spacing w:val="-3"/>
        </w:rPr>
        <w:t> </w:t>
      </w:r>
      <w:r>
        <w:rPr/>
        <w:t>S-1</w:t>
      </w:r>
      <w:r>
        <w:rPr>
          <w:spacing w:val="-2"/>
        </w:rPr>
        <w:t> </w:t>
      </w:r>
      <w:r>
        <w:rPr/>
        <w:t>(File</w:t>
      </w:r>
      <w:r>
        <w:rPr>
          <w:spacing w:val="-3"/>
        </w:rPr>
        <w:t> </w:t>
      </w:r>
      <w:r>
        <w:rPr/>
        <w:t>No.</w:t>
      </w:r>
    </w:p>
    <w:p>
      <w:pPr>
        <w:pStyle w:val="BodyText"/>
        <w:spacing w:before="0"/>
        <w:ind w:left="1307" w:firstLine="0"/>
      </w:pPr>
      <w:r>
        <w:rPr/>
        <w:t>333-258898))</w:t>
      </w:r>
    </w:p>
    <w:p>
      <w:pPr>
        <w:pStyle w:val="BodyText"/>
        <w:tabs>
          <w:tab w:pos="1307" w:val="left" w:leader="none"/>
        </w:tabs>
        <w:spacing w:line="232" w:lineRule="auto" w:before="143"/>
        <w:ind w:left="1307" w:right="290" w:hanging="1008"/>
      </w:pPr>
      <w:r>
        <w:rPr>
          <w:position w:val="1"/>
        </w:rPr>
        <w:t>10.2(b)+</w:t>
        <w:tab/>
      </w:r>
      <w:hyperlink r:id="rId16">
        <w:r>
          <w:rPr>
            <w:color w:val="0000FF"/>
            <w:u w:val="single" w:color="0000FF"/>
          </w:rPr>
          <w:t>Form of Restricted Stock Unit Agreement under the 2021 Equity Incentive Award Plan</w:t>
        </w:r>
      </w:hyperlink>
      <w:r>
        <w:rPr>
          <w:color w:val="0000FF"/>
          <w:spacing w:val="1"/>
        </w:rPr>
        <w:t> </w:t>
      </w:r>
      <w:r>
        <w:rPr/>
        <w:t>(incorporated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reference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Exhibit</w:t>
      </w:r>
      <w:r>
        <w:rPr>
          <w:spacing w:val="-4"/>
        </w:rPr>
        <w:t> </w:t>
      </w:r>
      <w:r>
        <w:rPr/>
        <w:t>10.11(b)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registrant’s</w:t>
      </w:r>
      <w:r>
        <w:rPr>
          <w:spacing w:val="-4"/>
        </w:rPr>
        <w:t> </w:t>
      </w:r>
      <w:r>
        <w:rPr/>
        <w:t>registration</w:t>
      </w:r>
      <w:r>
        <w:rPr>
          <w:spacing w:val="-2"/>
        </w:rPr>
        <w:t> </w:t>
      </w:r>
      <w:r>
        <w:rPr/>
        <w:t>statement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Form</w:t>
      </w:r>
      <w:r>
        <w:rPr>
          <w:spacing w:val="-3"/>
        </w:rPr>
        <w:t> </w:t>
      </w:r>
      <w:r>
        <w:rPr/>
        <w:t>S-1</w:t>
      </w:r>
      <w:r>
        <w:rPr>
          <w:spacing w:val="-47"/>
        </w:rPr>
        <w:t> </w:t>
      </w:r>
      <w:r>
        <w:rPr/>
        <w:t>(File</w:t>
      </w:r>
      <w:r>
        <w:rPr>
          <w:spacing w:val="-2"/>
        </w:rPr>
        <w:t> </w:t>
      </w:r>
      <w:r>
        <w:rPr/>
        <w:t>No. 333-258898))</w:t>
      </w:r>
    </w:p>
    <w:p>
      <w:pPr>
        <w:pStyle w:val="ListParagraph"/>
        <w:numPr>
          <w:ilvl w:val="1"/>
          <w:numId w:val="9"/>
        </w:numPr>
        <w:tabs>
          <w:tab w:pos="768" w:val="left" w:leader="none"/>
          <w:tab w:pos="1307" w:val="left" w:leader="none"/>
        </w:tabs>
        <w:spacing w:line="232" w:lineRule="auto" w:before="160" w:after="0"/>
        <w:ind w:left="1307" w:right="367" w:hanging="892"/>
        <w:jc w:val="left"/>
        <w:rPr>
          <w:sz w:val="20"/>
        </w:rPr>
      </w:pPr>
      <w:r>
        <w:rPr>
          <w:position w:val="1"/>
          <w:sz w:val="20"/>
        </w:rPr>
        <w:t>+</w:t>
        <w:tab/>
      </w:r>
      <w:hyperlink r:id="rId17">
        <w:r>
          <w:rPr>
            <w:color w:val="0000FF"/>
            <w:sz w:val="20"/>
            <w:u w:val="single" w:color="0000FF"/>
          </w:rPr>
          <w:t>2021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Employee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Stock</w:t>
        </w:r>
        <w:r>
          <w:rPr>
            <w:color w:val="0000FF"/>
            <w:spacing w:val="-2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Purchase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Plan</w:t>
        </w:r>
      </w:hyperlink>
      <w:r>
        <w:rPr>
          <w:color w:val="0000FF"/>
          <w:spacing w:val="-2"/>
          <w:sz w:val="20"/>
        </w:rPr>
        <w:t> </w:t>
      </w:r>
      <w:r>
        <w:rPr>
          <w:sz w:val="20"/>
        </w:rPr>
        <w:t>(incorporated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reference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Exhibit</w:t>
      </w:r>
      <w:r>
        <w:rPr>
          <w:spacing w:val="-4"/>
          <w:sz w:val="20"/>
        </w:rPr>
        <w:t> </w:t>
      </w:r>
      <w:r>
        <w:rPr>
          <w:sz w:val="20"/>
        </w:rPr>
        <w:t>10.12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registrant’s</w:t>
      </w:r>
      <w:r>
        <w:rPr>
          <w:spacing w:val="-47"/>
          <w:sz w:val="20"/>
        </w:rPr>
        <w:t> </w:t>
      </w:r>
      <w:r>
        <w:rPr>
          <w:sz w:val="20"/>
        </w:rPr>
        <w:t>registration</w:t>
      </w:r>
      <w:r>
        <w:rPr>
          <w:spacing w:val="-1"/>
          <w:sz w:val="20"/>
        </w:rPr>
        <w:t> </w:t>
      </w:r>
      <w:r>
        <w:rPr>
          <w:sz w:val="20"/>
        </w:rPr>
        <w:t>statement</w:t>
      </w:r>
      <w:r>
        <w:rPr>
          <w:spacing w:val="-1"/>
          <w:sz w:val="20"/>
        </w:rPr>
        <w:t> </w:t>
      </w:r>
      <w:r>
        <w:rPr>
          <w:sz w:val="20"/>
        </w:rPr>
        <w:t>on Form</w:t>
      </w:r>
      <w:r>
        <w:rPr>
          <w:spacing w:val="-2"/>
          <w:sz w:val="20"/>
        </w:rPr>
        <w:t> </w:t>
      </w:r>
      <w:r>
        <w:rPr>
          <w:sz w:val="20"/>
        </w:rPr>
        <w:t>S-1 (File</w:t>
      </w:r>
      <w:r>
        <w:rPr>
          <w:spacing w:val="-1"/>
          <w:sz w:val="20"/>
        </w:rPr>
        <w:t> </w:t>
      </w:r>
      <w:r>
        <w:rPr>
          <w:sz w:val="20"/>
        </w:rPr>
        <w:t>No. 333-258898))</w:t>
      </w:r>
    </w:p>
    <w:p>
      <w:pPr>
        <w:pStyle w:val="ListParagraph"/>
        <w:numPr>
          <w:ilvl w:val="1"/>
          <w:numId w:val="9"/>
        </w:numPr>
        <w:tabs>
          <w:tab w:pos="768" w:val="left" w:leader="none"/>
          <w:tab w:pos="1307" w:val="left" w:leader="none"/>
        </w:tabs>
        <w:spacing w:line="240" w:lineRule="auto" w:before="142" w:after="0"/>
        <w:ind w:left="1307" w:right="213" w:hanging="892"/>
        <w:jc w:val="left"/>
        <w:rPr>
          <w:sz w:val="20"/>
        </w:rPr>
      </w:pPr>
      <w:r>
        <w:rPr>
          <w:position w:val="1"/>
          <w:sz w:val="20"/>
        </w:rPr>
        <w:t>+</w:t>
        <w:tab/>
      </w:r>
      <w:hyperlink r:id="rId18">
        <w:r>
          <w:rPr>
            <w:color w:val="0000FF"/>
            <w:sz w:val="20"/>
            <w:u w:val="single" w:color="0000FF"/>
          </w:rPr>
          <w:t>Amended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and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Restated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Change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of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Control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Severance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Agreement,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by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and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between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the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Registrant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and</w:t>
        </w:r>
      </w:hyperlink>
      <w:r>
        <w:rPr>
          <w:color w:val="0000FF"/>
          <w:spacing w:val="-47"/>
          <w:sz w:val="20"/>
        </w:rPr>
        <w:t> </w:t>
      </w:r>
      <w:hyperlink r:id="rId18">
        <w:r>
          <w:rPr>
            <w:color w:val="0000FF"/>
            <w:sz w:val="20"/>
            <w:u w:val="single" w:color="0000FF"/>
          </w:rPr>
          <w:t>Reza Zadno, Ph.D., dated September 17, 2021</w:t>
        </w:r>
      </w:hyperlink>
      <w:r>
        <w:rPr>
          <w:color w:val="0000FF"/>
          <w:sz w:val="20"/>
        </w:rPr>
        <w:t> </w:t>
      </w:r>
      <w:r>
        <w:rPr>
          <w:sz w:val="20"/>
        </w:rPr>
        <w:t>(incorporated by reference to Exhibit 10.13 to the</w:t>
      </w:r>
      <w:r>
        <w:rPr>
          <w:spacing w:val="1"/>
          <w:sz w:val="20"/>
        </w:rPr>
        <w:t> </w:t>
      </w:r>
      <w:r>
        <w:rPr>
          <w:sz w:val="20"/>
        </w:rPr>
        <w:t>registrant’s</w:t>
      </w:r>
      <w:r>
        <w:rPr>
          <w:spacing w:val="-2"/>
          <w:sz w:val="20"/>
        </w:rPr>
        <w:t> </w:t>
      </w:r>
      <w:r>
        <w:rPr>
          <w:sz w:val="20"/>
        </w:rPr>
        <w:t>registration statement</w:t>
      </w:r>
      <w:r>
        <w:rPr>
          <w:spacing w:val="-2"/>
          <w:sz w:val="20"/>
        </w:rPr>
        <w:t> </w:t>
      </w:r>
      <w:r>
        <w:rPr>
          <w:sz w:val="20"/>
        </w:rPr>
        <w:t>on Form</w:t>
      </w:r>
      <w:r>
        <w:rPr>
          <w:spacing w:val="-2"/>
          <w:sz w:val="20"/>
        </w:rPr>
        <w:t> </w:t>
      </w:r>
      <w:r>
        <w:rPr>
          <w:sz w:val="20"/>
        </w:rPr>
        <w:t>S-1 (File</w:t>
      </w:r>
      <w:r>
        <w:rPr>
          <w:spacing w:val="-2"/>
          <w:sz w:val="20"/>
        </w:rPr>
        <w:t> </w:t>
      </w:r>
      <w:r>
        <w:rPr>
          <w:sz w:val="20"/>
        </w:rPr>
        <w:t>No. 333-258898)).</w:t>
      </w:r>
    </w:p>
    <w:p>
      <w:pPr>
        <w:pStyle w:val="ListParagraph"/>
        <w:numPr>
          <w:ilvl w:val="1"/>
          <w:numId w:val="9"/>
        </w:numPr>
        <w:tabs>
          <w:tab w:pos="768" w:val="left" w:leader="none"/>
          <w:tab w:pos="1307" w:val="left" w:leader="none"/>
        </w:tabs>
        <w:spacing w:line="240" w:lineRule="auto" w:before="170" w:after="0"/>
        <w:ind w:left="1307" w:right="213" w:hanging="892"/>
        <w:jc w:val="left"/>
        <w:rPr>
          <w:sz w:val="20"/>
        </w:rPr>
      </w:pPr>
      <w:r>
        <w:rPr>
          <w:position w:val="1"/>
          <w:sz w:val="20"/>
        </w:rPr>
        <w:t>+</w:t>
        <w:tab/>
      </w:r>
      <w:hyperlink r:id="rId19">
        <w:r>
          <w:rPr>
            <w:color w:val="0000FF"/>
            <w:sz w:val="20"/>
            <w:u w:val="single" w:color="0000FF"/>
          </w:rPr>
          <w:t>Amended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and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Restated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Change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of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Control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Severance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Agreement,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by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and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between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the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Registrant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and</w:t>
        </w:r>
      </w:hyperlink>
      <w:r>
        <w:rPr>
          <w:color w:val="0000FF"/>
          <w:spacing w:val="-47"/>
          <w:sz w:val="20"/>
        </w:rPr>
        <w:t> </w:t>
      </w:r>
      <w:hyperlink r:id="rId19">
        <w:r>
          <w:rPr>
            <w:color w:val="0000FF"/>
            <w:sz w:val="20"/>
            <w:u w:val="single" w:color="0000FF"/>
          </w:rPr>
          <w:t>Kevin Waters, dated September 17, 2021</w:t>
        </w:r>
      </w:hyperlink>
      <w:r>
        <w:rPr>
          <w:color w:val="0000FF"/>
          <w:sz w:val="20"/>
        </w:rPr>
        <w:t> </w:t>
      </w:r>
      <w:r>
        <w:rPr>
          <w:sz w:val="20"/>
        </w:rPr>
        <w:t>(incorporated by reference to Exhibit 10.14 to the</w:t>
      </w:r>
      <w:r>
        <w:rPr>
          <w:spacing w:val="1"/>
          <w:sz w:val="20"/>
        </w:rPr>
        <w:t> </w:t>
      </w:r>
      <w:r>
        <w:rPr>
          <w:sz w:val="20"/>
        </w:rPr>
        <w:t>registrant’s</w:t>
      </w:r>
      <w:r>
        <w:rPr>
          <w:spacing w:val="-2"/>
          <w:sz w:val="20"/>
        </w:rPr>
        <w:t> </w:t>
      </w:r>
      <w:r>
        <w:rPr>
          <w:sz w:val="20"/>
        </w:rPr>
        <w:t>registration statement</w:t>
      </w:r>
      <w:r>
        <w:rPr>
          <w:spacing w:val="-2"/>
          <w:sz w:val="20"/>
        </w:rPr>
        <w:t> </w:t>
      </w:r>
      <w:r>
        <w:rPr>
          <w:sz w:val="20"/>
        </w:rPr>
        <w:t>on Form</w:t>
      </w:r>
      <w:r>
        <w:rPr>
          <w:spacing w:val="-2"/>
          <w:sz w:val="20"/>
        </w:rPr>
        <w:t> </w:t>
      </w:r>
      <w:r>
        <w:rPr>
          <w:sz w:val="20"/>
        </w:rPr>
        <w:t>S-1 (File</w:t>
      </w:r>
      <w:r>
        <w:rPr>
          <w:spacing w:val="-2"/>
          <w:sz w:val="20"/>
        </w:rPr>
        <w:t> </w:t>
      </w:r>
      <w:r>
        <w:rPr>
          <w:sz w:val="20"/>
        </w:rPr>
        <w:t>No. 333-258898))</w:t>
      </w:r>
    </w:p>
    <w:p>
      <w:pPr>
        <w:pStyle w:val="ListParagraph"/>
        <w:numPr>
          <w:ilvl w:val="1"/>
          <w:numId w:val="9"/>
        </w:numPr>
        <w:tabs>
          <w:tab w:pos="768" w:val="left" w:leader="none"/>
          <w:tab w:pos="1307" w:val="left" w:leader="none"/>
        </w:tabs>
        <w:spacing w:line="240" w:lineRule="auto" w:before="140" w:after="0"/>
        <w:ind w:left="1307" w:right="213" w:hanging="892"/>
        <w:jc w:val="left"/>
        <w:rPr>
          <w:sz w:val="20"/>
        </w:rPr>
      </w:pPr>
      <w:r>
        <w:rPr>
          <w:position w:val="1"/>
          <w:sz w:val="20"/>
        </w:rPr>
        <w:t>+</w:t>
        <w:tab/>
      </w:r>
      <w:hyperlink r:id="rId20">
        <w:r>
          <w:rPr>
            <w:color w:val="0000FF"/>
            <w:sz w:val="20"/>
            <w:u w:val="single" w:color="0000FF"/>
          </w:rPr>
          <w:t>Amended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and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Restated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Change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of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Control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Severance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Agreement,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by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and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between</w:t>
        </w:r>
        <w:r>
          <w:rPr>
            <w:color w:val="0000FF"/>
            <w:spacing w:val="-3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the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Registrant</w:t>
        </w:r>
        <w:r>
          <w:rPr>
            <w:color w:val="0000FF"/>
            <w:spacing w:val="-4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and</w:t>
        </w:r>
      </w:hyperlink>
      <w:r>
        <w:rPr>
          <w:color w:val="0000FF"/>
          <w:spacing w:val="-47"/>
          <w:sz w:val="20"/>
        </w:rPr>
        <w:t> </w:t>
      </w:r>
      <w:hyperlink r:id="rId20">
        <w:r>
          <w:rPr>
            <w:color w:val="0000FF"/>
            <w:sz w:val="20"/>
            <w:u w:val="single" w:color="0000FF"/>
          </w:rPr>
          <w:t>Hisham Shiblaq, dated September 17, 2021</w:t>
        </w:r>
      </w:hyperlink>
      <w:r>
        <w:rPr>
          <w:color w:val="0000FF"/>
          <w:sz w:val="20"/>
        </w:rPr>
        <w:t> </w:t>
      </w:r>
      <w:r>
        <w:rPr>
          <w:sz w:val="20"/>
        </w:rPr>
        <w:t>(incorporated by reference to Exhibit 10.15 to the</w:t>
      </w:r>
      <w:r>
        <w:rPr>
          <w:spacing w:val="1"/>
          <w:sz w:val="20"/>
        </w:rPr>
        <w:t> </w:t>
      </w:r>
      <w:r>
        <w:rPr>
          <w:sz w:val="20"/>
        </w:rPr>
        <w:t>registrant’s</w:t>
      </w:r>
      <w:r>
        <w:rPr>
          <w:spacing w:val="-2"/>
          <w:sz w:val="20"/>
        </w:rPr>
        <w:t> </w:t>
      </w:r>
      <w:r>
        <w:rPr>
          <w:sz w:val="20"/>
        </w:rPr>
        <w:t>registration statement</w:t>
      </w:r>
      <w:r>
        <w:rPr>
          <w:spacing w:val="-2"/>
          <w:sz w:val="20"/>
        </w:rPr>
        <w:t> </w:t>
      </w:r>
      <w:r>
        <w:rPr>
          <w:sz w:val="20"/>
        </w:rPr>
        <w:t>on Form</w:t>
      </w:r>
      <w:r>
        <w:rPr>
          <w:spacing w:val="-2"/>
          <w:sz w:val="20"/>
        </w:rPr>
        <w:t> </w:t>
      </w:r>
      <w:r>
        <w:rPr>
          <w:sz w:val="20"/>
        </w:rPr>
        <w:t>S-1 (File</w:t>
      </w:r>
      <w:r>
        <w:rPr>
          <w:spacing w:val="-2"/>
          <w:sz w:val="20"/>
        </w:rPr>
        <w:t> </w:t>
      </w:r>
      <w:r>
        <w:rPr>
          <w:sz w:val="20"/>
        </w:rPr>
        <w:t>No. 333-258898))</w:t>
      </w:r>
      <w:r>
        <w:rPr>
          <w:color w:val="0000FF"/>
          <w:sz w:val="20"/>
        </w:rPr>
        <w:t>.</w:t>
      </w:r>
    </w:p>
    <w:p>
      <w:pPr>
        <w:pStyle w:val="ListParagraph"/>
        <w:numPr>
          <w:ilvl w:val="1"/>
          <w:numId w:val="10"/>
        </w:numPr>
        <w:tabs>
          <w:tab w:pos="724" w:val="left" w:leader="none"/>
          <w:tab w:pos="1307" w:val="left" w:leader="none"/>
        </w:tabs>
        <w:spacing w:line="208" w:lineRule="auto" w:before="164" w:after="0"/>
        <w:ind w:left="1307" w:right="290" w:hanging="936"/>
        <w:jc w:val="left"/>
        <w:rPr>
          <w:sz w:val="20"/>
        </w:rPr>
      </w:pPr>
      <w:r>
        <w:rPr>
          <w:position w:val="1"/>
          <w:sz w:val="20"/>
        </w:rPr>
        <w:t>**</w:t>
        <w:tab/>
      </w:r>
      <w:r>
        <w:rPr>
          <w:color w:val="0000FF"/>
          <w:sz w:val="20"/>
          <w:u w:val="single" w:color="0000FF"/>
        </w:rPr>
        <w:t>Certification of Principal Executive Officer Pursuant to Rules 13a-14(a) and 15d-14(a) under the</w:t>
      </w:r>
      <w:r>
        <w:rPr>
          <w:color w:val="0000FF"/>
          <w:spacing w:val="1"/>
          <w:sz w:val="20"/>
        </w:rPr>
        <w:t> </w:t>
      </w:r>
      <w:r>
        <w:rPr>
          <w:color w:val="0000FF"/>
          <w:sz w:val="20"/>
          <w:u w:val="single" w:color="0000FF"/>
        </w:rPr>
        <w:t>Securities</w:t>
      </w:r>
      <w:r>
        <w:rPr>
          <w:color w:val="0000FF"/>
          <w:spacing w:val="-4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Exchange</w:t>
      </w:r>
      <w:r>
        <w:rPr>
          <w:color w:val="0000FF"/>
          <w:spacing w:val="-3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Act</w:t>
      </w:r>
      <w:r>
        <w:rPr>
          <w:color w:val="0000FF"/>
          <w:spacing w:val="-3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of</w:t>
      </w:r>
      <w:r>
        <w:rPr>
          <w:color w:val="0000FF"/>
          <w:spacing w:val="-3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1934,</w:t>
      </w:r>
      <w:r>
        <w:rPr>
          <w:color w:val="0000FF"/>
          <w:spacing w:val="-2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as</w:t>
      </w:r>
      <w:r>
        <w:rPr>
          <w:color w:val="0000FF"/>
          <w:spacing w:val="-3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Adopted</w:t>
      </w:r>
      <w:r>
        <w:rPr>
          <w:color w:val="0000FF"/>
          <w:spacing w:val="-2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Pursuant</w:t>
      </w:r>
      <w:r>
        <w:rPr>
          <w:color w:val="0000FF"/>
          <w:spacing w:val="-4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to</w:t>
      </w:r>
      <w:r>
        <w:rPr>
          <w:color w:val="0000FF"/>
          <w:spacing w:val="-2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Section</w:t>
      </w:r>
      <w:r>
        <w:rPr>
          <w:color w:val="0000FF"/>
          <w:spacing w:val="-2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302</w:t>
      </w:r>
      <w:r>
        <w:rPr>
          <w:color w:val="0000FF"/>
          <w:spacing w:val="-3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of</w:t>
      </w:r>
      <w:r>
        <w:rPr>
          <w:color w:val="0000FF"/>
          <w:spacing w:val="-2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the</w:t>
      </w:r>
      <w:r>
        <w:rPr>
          <w:color w:val="0000FF"/>
          <w:spacing w:val="-3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Sarbanes-Oxley</w:t>
      </w:r>
      <w:r>
        <w:rPr>
          <w:color w:val="0000FF"/>
          <w:spacing w:val="-2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Act</w:t>
      </w:r>
      <w:r>
        <w:rPr>
          <w:color w:val="0000FF"/>
          <w:spacing w:val="-4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of</w:t>
      </w:r>
      <w:r>
        <w:rPr>
          <w:color w:val="0000FF"/>
          <w:spacing w:val="-47"/>
          <w:sz w:val="20"/>
        </w:rPr>
        <w:t> </w:t>
      </w:r>
      <w:r>
        <w:rPr>
          <w:color w:val="0000FF"/>
          <w:sz w:val="20"/>
          <w:u w:val="single" w:color="0000FF"/>
        </w:rPr>
        <w:t>2002.</w:t>
      </w:r>
    </w:p>
    <w:p>
      <w:pPr>
        <w:pStyle w:val="ListParagraph"/>
        <w:numPr>
          <w:ilvl w:val="1"/>
          <w:numId w:val="10"/>
        </w:numPr>
        <w:tabs>
          <w:tab w:pos="724" w:val="left" w:leader="none"/>
          <w:tab w:pos="1307" w:val="left" w:leader="none"/>
        </w:tabs>
        <w:spacing w:line="208" w:lineRule="auto" w:before="170" w:after="0"/>
        <w:ind w:left="1307" w:right="290" w:hanging="936"/>
        <w:jc w:val="left"/>
        <w:rPr>
          <w:sz w:val="20"/>
        </w:rPr>
      </w:pPr>
      <w:r>
        <w:rPr>
          <w:position w:val="4"/>
          <w:sz w:val="20"/>
        </w:rPr>
        <w:t>**</w:t>
        <w:tab/>
      </w:r>
      <w:r>
        <w:rPr>
          <w:color w:val="0000FF"/>
          <w:sz w:val="20"/>
          <w:u w:val="single" w:color="0000FF"/>
        </w:rPr>
        <w:t>Certification of Principal Financial Officer Pursuant to Rules 13a-14(a) and 15d-14(a) under the</w:t>
      </w:r>
      <w:r>
        <w:rPr>
          <w:color w:val="0000FF"/>
          <w:spacing w:val="1"/>
          <w:sz w:val="20"/>
        </w:rPr>
        <w:t> </w:t>
      </w:r>
      <w:r>
        <w:rPr>
          <w:color w:val="0000FF"/>
          <w:sz w:val="20"/>
          <w:u w:val="single" w:color="0000FF"/>
        </w:rPr>
        <w:t>Securities</w:t>
      </w:r>
      <w:r>
        <w:rPr>
          <w:color w:val="0000FF"/>
          <w:spacing w:val="-4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Exchange</w:t>
      </w:r>
      <w:r>
        <w:rPr>
          <w:color w:val="0000FF"/>
          <w:spacing w:val="-3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Act</w:t>
      </w:r>
      <w:r>
        <w:rPr>
          <w:color w:val="0000FF"/>
          <w:spacing w:val="-3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of</w:t>
      </w:r>
      <w:r>
        <w:rPr>
          <w:color w:val="0000FF"/>
          <w:spacing w:val="-3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1934,</w:t>
      </w:r>
      <w:r>
        <w:rPr>
          <w:color w:val="0000FF"/>
          <w:spacing w:val="-2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as</w:t>
      </w:r>
      <w:r>
        <w:rPr>
          <w:color w:val="0000FF"/>
          <w:spacing w:val="-3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Adopted</w:t>
      </w:r>
      <w:r>
        <w:rPr>
          <w:color w:val="0000FF"/>
          <w:spacing w:val="-2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Pursuant</w:t>
      </w:r>
      <w:r>
        <w:rPr>
          <w:color w:val="0000FF"/>
          <w:spacing w:val="-4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to</w:t>
      </w:r>
      <w:r>
        <w:rPr>
          <w:color w:val="0000FF"/>
          <w:spacing w:val="-2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Section</w:t>
      </w:r>
      <w:r>
        <w:rPr>
          <w:color w:val="0000FF"/>
          <w:spacing w:val="-2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302</w:t>
      </w:r>
      <w:r>
        <w:rPr>
          <w:color w:val="0000FF"/>
          <w:spacing w:val="-3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of</w:t>
      </w:r>
      <w:r>
        <w:rPr>
          <w:color w:val="0000FF"/>
          <w:spacing w:val="-2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the</w:t>
      </w:r>
      <w:r>
        <w:rPr>
          <w:color w:val="0000FF"/>
          <w:spacing w:val="-3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Sarbanes-Oxley</w:t>
      </w:r>
      <w:r>
        <w:rPr>
          <w:color w:val="0000FF"/>
          <w:spacing w:val="-2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Act</w:t>
      </w:r>
      <w:r>
        <w:rPr>
          <w:color w:val="0000FF"/>
          <w:spacing w:val="-4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of</w:t>
      </w:r>
      <w:r>
        <w:rPr>
          <w:color w:val="0000FF"/>
          <w:spacing w:val="-47"/>
          <w:sz w:val="20"/>
        </w:rPr>
        <w:t> </w:t>
      </w:r>
      <w:r>
        <w:rPr>
          <w:color w:val="0000FF"/>
          <w:sz w:val="20"/>
          <w:u w:val="single" w:color="0000FF"/>
        </w:rPr>
        <w:t>2002.</w:t>
      </w:r>
    </w:p>
    <w:p>
      <w:pPr>
        <w:pStyle w:val="ListParagraph"/>
        <w:numPr>
          <w:ilvl w:val="1"/>
          <w:numId w:val="11"/>
        </w:numPr>
        <w:tabs>
          <w:tab w:pos="724" w:val="left" w:leader="none"/>
          <w:tab w:pos="1307" w:val="left" w:leader="none"/>
        </w:tabs>
        <w:spacing w:line="208" w:lineRule="auto" w:before="170" w:after="0"/>
        <w:ind w:left="1307" w:right="900" w:hanging="936"/>
        <w:jc w:val="left"/>
        <w:rPr>
          <w:sz w:val="20"/>
        </w:rPr>
      </w:pPr>
      <w:r>
        <w:rPr>
          <w:position w:val="6"/>
          <w:sz w:val="20"/>
        </w:rPr>
        <w:t>**</w:t>
        <w:tab/>
      </w:r>
      <w:r>
        <w:rPr>
          <w:color w:val="0000FF"/>
          <w:sz w:val="20"/>
          <w:u w:val="single" w:color="0000FF"/>
        </w:rPr>
        <w:t>Certification</w:t>
      </w:r>
      <w:r>
        <w:rPr>
          <w:color w:val="0000FF"/>
          <w:spacing w:val="-4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of</w:t>
      </w:r>
      <w:r>
        <w:rPr>
          <w:color w:val="0000FF"/>
          <w:spacing w:val="-3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Principal</w:t>
      </w:r>
      <w:r>
        <w:rPr>
          <w:color w:val="0000FF"/>
          <w:spacing w:val="-4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Executive</w:t>
      </w:r>
      <w:r>
        <w:rPr>
          <w:color w:val="0000FF"/>
          <w:spacing w:val="-4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Officer</w:t>
      </w:r>
      <w:r>
        <w:rPr>
          <w:color w:val="0000FF"/>
          <w:spacing w:val="-3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Pursuant</w:t>
      </w:r>
      <w:r>
        <w:rPr>
          <w:color w:val="0000FF"/>
          <w:spacing w:val="-4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to</w:t>
      </w:r>
      <w:r>
        <w:rPr>
          <w:color w:val="0000FF"/>
          <w:spacing w:val="-3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18</w:t>
      </w:r>
      <w:r>
        <w:rPr>
          <w:color w:val="0000FF"/>
          <w:spacing w:val="-3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U.S.C.</w:t>
      </w:r>
      <w:r>
        <w:rPr>
          <w:color w:val="0000FF"/>
          <w:spacing w:val="-3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Section</w:t>
      </w:r>
      <w:r>
        <w:rPr>
          <w:color w:val="0000FF"/>
          <w:spacing w:val="-3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1350,</w:t>
      </w:r>
      <w:r>
        <w:rPr>
          <w:color w:val="0000FF"/>
          <w:spacing w:val="-3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as</w:t>
      </w:r>
      <w:r>
        <w:rPr>
          <w:color w:val="0000FF"/>
          <w:spacing w:val="-4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Adopted</w:t>
      </w:r>
      <w:r>
        <w:rPr>
          <w:color w:val="0000FF"/>
          <w:spacing w:val="-47"/>
          <w:sz w:val="20"/>
        </w:rPr>
        <w:t> </w:t>
      </w:r>
      <w:r>
        <w:rPr>
          <w:color w:val="0000FF"/>
          <w:sz w:val="20"/>
          <w:u w:val="single" w:color="0000FF"/>
        </w:rPr>
        <w:t>Pursuant</w:t>
      </w:r>
      <w:r>
        <w:rPr>
          <w:color w:val="0000FF"/>
          <w:spacing w:val="-2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to Section 906</w:t>
      </w:r>
      <w:r>
        <w:rPr>
          <w:color w:val="0000FF"/>
          <w:spacing w:val="-1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of the</w:t>
      </w:r>
      <w:r>
        <w:rPr>
          <w:color w:val="0000FF"/>
          <w:spacing w:val="-1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Sarbanes-Oxley</w:t>
      </w:r>
      <w:r>
        <w:rPr>
          <w:color w:val="0000FF"/>
          <w:spacing w:val="-1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Act</w:t>
      </w:r>
      <w:r>
        <w:rPr>
          <w:color w:val="0000FF"/>
          <w:spacing w:val="-1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of 2002.</w:t>
      </w:r>
    </w:p>
    <w:p>
      <w:pPr>
        <w:pStyle w:val="ListParagraph"/>
        <w:numPr>
          <w:ilvl w:val="1"/>
          <w:numId w:val="11"/>
        </w:numPr>
        <w:tabs>
          <w:tab w:pos="724" w:val="left" w:leader="none"/>
          <w:tab w:pos="1307" w:val="left" w:leader="none"/>
        </w:tabs>
        <w:spacing w:line="208" w:lineRule="auto" w:before="165" w:after="0"/>
        <w:ind w:left="1307" w:right="205" w:hanging="936"/>
        <w:jc w:val="left"/>
        <w:rPr>
          <w:sz w:val="20"/>
        </w:rPr>
      </w:pPr>
      <w:r>
        <w:rPr>
          <w:position w:val="2"/>
          <w:sz w:val="20"/>
        </w:rPr>
        <w:t>**</w:t>
        <w:tab/>
      </w:r>
      <w:r>
        <w:rPr>
          <w:color w:val="0000FF"/>
          <w:sz w:val="20"/>
          <w:u w:val="single" w:color="0000FF"/>
        </w:rPr>
        <w:t>Certification</w:t>
      </w:r>
      <w:r>
        <w:rPr>
          <w:color w:val="0000FF"/>
          <w:spacing w:val="-4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of</w:t>
      </w:r>
      <w:r>
        <w:rPr>
          <w:color w:val="0000FF"/>
          <w:spacing w:val="-3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Principal</w:t>
      </w:r>
      <w:r>
        <w:rPr>
          <w:color w:val="0000FF"/>
          <w:spacing w:val="-4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Financial</w:t>
      </w:r>
      <w:r>
        <w:rPr>
          <w:color w:val="0000FF"/>
          <w:spacing w:val="-4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Officer</w:t>
      </w:r>
      <w:r>
        <w:rPr>
          <w:color w:val="0000FF"/>
          <w:spacing w:val="-3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Pursuant</w:t>
      </w:r>
      <w:r>
        <w:rPr>
          <w:color w:val="0000FF"/>
          <w:spacing w:val="-4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to</w:t>
      </w:r>
      <w:r>
        <w:rPr>
          <w:color w:val="0000FF"/>
          <w:spacing w:val="-3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18</w:t>
      </w:r>
      <w:r>
        <w:rPr>
          <w:color w:val="0000FF"/>
          <w:spacing w:val="-3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U.S.C.</w:t>
      </w:r>
      <w:r>
        <w:rPr>
          <w:color w:val="0000FF"/>
          <w:spacing w:val="-3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Section</w:t>
      </w:r>
      <w:r>
        <w:rPr>
          <w:color w:val="0000FF"/>
          <w:spacing w:val="-3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1350,</w:t>
      </w:r>
      <w:r>
        <w:rPr>
          <w:color w:val="0000FF"/>
          <w:spacing w:val="-4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as</w:t>
      </w:r>
      <w:r>
        <w:rPr>
          <w:color w:val="0000FF"/>
          <w:spacing w:val="-4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Adopted</w:t>
      </w:r>
      <w:r>
        <w:rPr>
          <w:color w:val="0000FF"/>
          <w:spacing w:val="-3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Pursuant</w:t>
      </w:r>
      <w:r>
        <w:rPr>
          <w:color w:val="0000FF"/>
          <w:spacing w:val="-47"/>
          <w:sz w:val="20"/>
        </w:rPr>
        <w:t> </w:t>
      </w:r>
      <w:r>
        <w:rPr>
          <w:color w:val="0000FF"/>
          <w:sz w:val="20"/>
          <w:u w:val="single" w:color="0000FF"/>
        </w:rPr>
        <w:t>to</w:t>
      </w:r>
      <w:r>
        <w:rPr>
          <w:color w:val="0000FF"/>
          <w:spacing w:val="-1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Section 906 of the</w:t>
      </w:r>
      <w:r>
        <w:rPr>
          <w:color w:val="0000FF"/>
          <w:spacing w:val="-1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Sarbanes-Oxley</w:t>
      </w:r>
      <w:r>
        <w:rPr>
          <w:color w:val="0000FF"/>
          <w:spacing w:val="-1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Act</w:t>
      </w:r>
      <w:r>
        <w:rPr>
          <w:color w:val="0000FF"/>
          <w:spacing w:val="-1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of 2002.</w:t>
      </w:r>
    </w:p>
    <w:p>
      <w:pPr>
        <w:pStyle w:val="BodyText"/>
        <w:tabs>
          <w:tab w:pos="1307" w:val="left" w:leader="none"/>
        </w:tabs>
        <w:spacing w:line="232" w:lineRule="auto" w:before="42"/>
        <w:ind w:left="1307" w:right="186" w:hanging="997"/>
      </w:pPr>
      <w:r>
        <w:rPr>
          <w:position w:val="1"/>
        </w:rPr>
        <w:t>101.INS</w:t>
        <w:tab/>
      </w:r>
      <w:r>
        <w:rPr/>
        <w:t>Inline</w:t>
      </w:r>
      <w:r>
        <w:rPr>
          <w:spacing w:val="-4"/>
        </w:rPr>
        <w:t> </w:t>
      </w:r>
      <w:r>
        <w:rPr/>
        <w:t>XBRL</w:t>
      </w:r>
      <w:r>
        <w:rPr>
          <w:spacing w:val="-3"/>
        </w:rPr>
        <w:t> </w:t>
      </w:r>
      <w:r>
        <w:rPr/>
        <w:t>Instance</w:t>
      </w:r>
      <w:r>
        <w:rPr>
          <w:spacing w:val="-4"/>
        </w:rPr>
        <w:t> </w:t>
      </w:r>
      <w:r>
        <w:rPr/>
        <w:t>Document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instance</w:t>
      </w:r>
      <w:r>
        <w:rPr>
          <w:spacing w:val="-4"/>
        </w:rPr>
        <w:t> </w:t>
      </w:r>
      <w:r>
        <w:rPr/>
        <w:t>document</w:t>
      </w:r>
      <w:r>
        <w:rPr>
          <w:spacing w:val="-3"/>
        </w:rPr>
        <w:t> </w:t>
      </w:r>
      <w:r>
        <w:rPr/>
        <w:t>does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appear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Interactive</w:t>
      </w:r>
      <w:r>
        <w:rPr>
          <w:spacing w:val="-4"/>
        </w:rPr>
        <w:t> </w:t>
      </w:r>
      <w:r>
        <w:rPr/>
        <w:t>Data</w:t>
      </w:r>
      <w:r>
        <w:rPr>
          <w:spacing w:val="-3"/>
        </w:rPr>
        <w:t> </w:t>
      </w:r>
      <w:r>
        <w:rPr/>
        <w:t>file</w:t>
      </w:r>
      <w:r>
        <w:rPr>
          <w:spacing w:val="-47"/>
        </w:rPr>
        <w:t> </w:t>
      </w:r>
      <w:r>
        <w:rPr/>
        <w:t>because</w:t>
      </w:r>
      <w:r>
        <w:rPr>
          <w:spacing w:val="-2"/>
        </w:rPr>
        <w:t> </w:t>
      </w:r>
      <w:r>
        <w:rPr/>
        <w:t>its</w:t>
      </w:r>
      <w:r>
        <w:rPr>
          <w:spacing w:val="-2"/>
        </w:rPr>
        <w:t> </w:t>
      </w:r>
      <w:r>
        <w:rPr/>
        <w:t>XBRL</w:t>
      </w:r>
      <w:r>
        <w:rPr>
          <w:spacing w:val="-1"/>
        </w:rPr>
        <w:t> </w:t>
      </w:r>
      <w:r>
        <w:rPr/>
        <w:t>tags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embedded</w:t>
      </w:r>
      <w:r>
        <w:rPr>
          <w:spacing w:val="-1"/>
        </w:rPr>
        <w:t> </w:t>
      </w:r>
      <w:r>
        <w:rPr/>
        <w:t>within the</w:t>
      </w:r>
      <w:r>
        <w:rPr>
          <w:spacing w:val="-2"/>
        </w:rPr>
        <w:t> </w:t>
      </w:r>
      <w:r>
        <w:rPr/>
        <w:t>Inline</w:t>
      </w:r>
      <w:r>
        <w:rPr>
          <w:spacing w:val="-1"/>
        </w:rPr>
        <w:t> </w:t>
      </w:r>
      <w:r>
        <w:rPr/>
        <w:t>XBRL</w:t>
      </w:r>
      <w:r>
        <w:rPr>
          <w:spacing w:val="-2"/>
        </w:rPr>
        <w:t> </w:t>
      </w:r>
      <w:r>
        <w:rPr/>
        <w:t>document.</w:t>
      </w:r>
    </w:p>
    <w:p>
      <w:pPr>
        <w:pStyle w:val="BodyText"/>
        <w:tabs>
          <w:tab w:pos="1307" w:val="left" w:leader="none"/>
        </w:tabs>
        <w:spacing w:before="32"/>
        <w:ind w:left="278" w:firstLine="0"/>
      </w:pPr>
      <w:r>
        <w:rPr>
          <w:position w:val="1"/>
        </w:rPr>
        <w:t>101.SCH</w:t>
        <w:tab/>
      </w:r>
      <w:r>
        <w:rPr/>
        <w:t>Inline</w:t>
      </w:r>
      <w:r>
        <w:rPr>
          <w:spacing w:val="-5"/>
        </w:rPr>
        <w:t> </w:t>
      </w:r>
      <w:r>
        <w:rPr/>
        <w:t>XBRL</w:t>
      </w:r>
      <w:r>
        <w:rPr>
          <w:spacing w:val="-4"/>
        </w:rPr>
        <w:t> </w:t>
      </w:r>
      <w:r>
        <w:rPr/>
        <w:t>Taxonomy</w:t>
      </w:r>
      <w:r>
        <w:rPr>
          <w:spacing w:val="-4"/>
        </w:rPr>
        <w:t> </w:t>
      </w:r>
      <w:r>
        <w:rPr/>
        <w:t>Extension</w:t>
      </w:r>
      <w:r>
        <w:rPr>
          <w:spacing w:val="-3"/>
        </w:rPr>
        <w:t> </w:t>
      </w:r>
      <w:r>
        <w:rPr/>
        <w:t>Schema</w:t>
      </w:r>
      <w:r>
        <w:rPr>
          <w:spacing w:val="-5"/>
        </w:rPr>
        <w:t> </w:t>
      </w:r>
      <w:r>
        <w:rPr/>
        <w:t>Document.</w:t>
      </w:r>
    </w:p>
    <w:p>
      <w:pPr>
        <w:pStyle w:val="BodyText"/>
        <w:tabs>
          <w:tab w:pos="1296" w:val="left" w:leader="none"/>
        </w:tabs>
        <w:spacing w:line="271" w:lineRule="auto" w:before="30"/>
        <w:ind w:left="272" w:right="2772" w:firstLine="0"/>
      </w:pPr>
      <w:r>
        <w:rPr>
          <w:position w:val="1"/>
        </w:rPr>
        <w:t>101.CAL</w:t>
        <w:tab/>
      </w:r>
      <w:r>
        <w:rPr/>
        <w:t>Inline</w:t>
      </w:r>
      <w:r>
        <w:rPr>
          <w:spacing w:val="-6"/>
        </w:rPr>
        <w:t> </w:t>
      </w:r>
      <w:r>
        <w:rPr/>
        <w:t>XBRL</w:t>
      </w:r>
      <w:r>
        <w:rPr>
          <w:spacing w:val="-5"/>
        </w:rPr>
        <w:t> </w:t>
      </w:r>
      <w:r>
        <w:rPr/>
        <w:t>Taxonomy</w:t>
      </w:r>
      <w:r>
        <w:rPr>
          <w:spacing w:val="-5"/>
        </w:rPr>
        <w:t> </w:t>
      </w:r>
      <w:r>
        <w:rPr/>
        <w:t>Extension</w:t>
      </w:r>
      <w:r>
        <w:rPr>
          <w:spacing w:val="-5"/>
        </w:rPr>
        <w:t> </w:t>
      </w:r>
      <w:r>
        <w:rPr/>
        <w:t>Calculation</w:t>
      </w:r>
      <w:r>
        <w:rPr>
          <w:spacing w:val="-4"/>
        </w:rPr>
        <w:t> </w:t>
      </w:r>
      <w:r>
        <w:rPr/>
        <w:t>Linkbase</w:t>
      </w:r>
      <w:r>
        <w:rPr>
          <w:spacing w:val="-6"/>
        </w:rPr>
        <w:t> </w:t>
      </w:r>
      <w:r>
        <w:rPr/>
        <w:t>Document.</w:t>
      </w:r>
      <w:r>
        <w:rPr>
          <w:spacing w:val="-47"/>
        </w:rPr>
        <w:t> </w:t>
      </w:r>
      <w:r>
        <w:rPr>
          <w:position w:val="1"/>
        </w:rPr>
        <w:t>101.DEF</w:t>
        <w:tab/>
      </w:r>
      <w:r>
        <w:rPr/>
        <w:t>Inline XBRL Taxonomy Extension Definition Linkbase Document.</w:t>
      </w:r>
      <w:r>
        <w:rPr>
          <w:spacing w:val="1"/>
        </w:rPr>
        <w:t> </w:t>
      </w:r>
      <w:r>
        <w:rPr>
          <w:position w:val="1"/>
        </w:rPr>
        <w:t>101.LAB</w:t>
        <w:tab/>
      </w:r>
      <w:r>
        <w:rPr/>
        <w:t>Inline</w:t>
      </w:r>
      <w:r>
        <w:rPr>
          <w:spacing w:val="-3"/>
        </w:rPr>
        <w:t> </w:t>
      </w:r>
      <w:r>
        <w:rPr/>
        <w:t>XBRL</w:t>
      </w:r>
      <w:r>
        <w:rPr>
          <w:spacing w:val="-3"/>
        </w:rPr>
        <w:t> </w:t>
      </w:r>
      <w:r>
        <w:rPr/>
        <w:t>Taxonomy</w:t>
      </w:r>
      <w:r>
        <w:rPr>
          <w:spacing w:val="-1"/>
        </w:rPr>
        <w:t> </w:t>
      </w:r>
      <w:r>
        <w:rPr/>
        <w:t>Extension</w:t>
      </w:r>
      <w:r>
        <w:rPr>
          <w:spacing w:val="-2"/>
        </w:rPr>
        <w:t> </w:t>
      </w:r>
      <w:r>
        <w:rPr/>
        <w:t>Label</w:t>
      </w:r>
      <w:r>
        <w:rPr>
          <w:spacing w:val="-2"/>
        </w:rPr>
        <w:t> </w:t>
      </w:r>
      <w:r>
        <w:rPr/>
        <w:t>Linkbase</w:t>
      </w:r>
      <w:r>
        <w:rPr>
          <w:spacing w:val="-3"/>
        </w:rPr>
        <w:t> </w:t>
      </w:r>
      <w:r>
        <w:rPr/>
        <w:t>Document.</w:t>
      </w:r>
    </w:p>
    <w:p>
      <w:pPr>
        <w:spacing w:after="0" w:line="271" w:lineRule="auto"/>
        <w:sectPr>
          <w:pgSz w:w="12240" w:h="15840"/>
          <w:pgMar w:header="0" w:footer="741" w:top="1320" w:bottom="940" w:left="1340" w:right="1320"/>
        </w:sectPr>
      </w:pPr>
    </w:p>
    <w:p>
      <w:pPr>
        <w:pStyle w:val="BodyText"/>
        <w:tabs>
          <w:tab w:pos="1307" w:val="left" w:leader="none"/>
        </w:tabs>
        <w:spacing w:before="60"/>
        <w:ind w:left="289" w:firstLine="0"/>
      </w:pPr>
      <w:r>
        <w:rPr>
          <w:position w:val="1"/>
        </w:rPr>
        <w:t>101.PRE</w:t>
        <w:tab/>
      </w:r>
      <w:r>
        <w:rPr/>
        <w:t>Inline</w:t>
      </w:r>
      <w:r>
        <w:rPr>
          <w:spacing w:val="-6"/>
        </w:rPr>
        <w:t> </w:t>
      </w:r>
      <w:r>
        <w:rPr/>
        <w:t>XBRL</w:t>
      </w:r>
      <w:r>
        <w:rPr>
          <w:spacing w:val="-5"/>
        </w:rPr>
        <w:t> </w:t>
      </w:r>
      <w:r>
        <w:rPr/>
        <w:t>Taxonomy</w:t>
      </w:r>
      <w:r>
        <w:rPr>
          <w:spacing w:val="-4"/>
        </w:rPr>
        <w:t> </w:t>
      </w:r>
      <w:r>
        <w:rPr/>
        <w:t>Extension</w:t>
      </w:r>
      <w:r>
        <w:rPr>
          <w:spacing w:val="-4"/>
        </w:rPr>
        <w:t> </w:t>
      </w:r>
      <w:r>
        <w:rPr/>
        <w:t>Presentation</w:t>
      </w:r>
      <w:r>
        <w:rPr>
          <w:spacing w:val="-4"/>
        </w:rPr>
        <w:t> </w:t>
      </w:r>
      <w:r>
        <w:rPr/>
        <w:t>Linkbase</w:t>
      </w:r>
      <w:r>
        <w:rPr>
          <w:spacing w:val="-5"/>
        </w:rPr>
        <w:t> </w:t>
      </w:r>
      <w:r>
        <w:rPr/>
        <w:t>Document.</w:t>
      </w:r>
    </w:p>
    <w:p>
      <w:pPr>
        <w:pStyle w:val="BodyText"/>
        <w:tabs>
          <w:tab w:pos="1307" w:val="left" w:leader="none"/>
        </w:tabs>
        <w:spacing w:before="30"/>
        <w:ind w:left="447" w:firstLine="0"/>
      </w:pPr>
      <w:r>
        <w:rPr>
          <w:position w:val="1"/>
        </w:rPr>
        <w:t>104*</w:t>
        <w:tab/>
      </w:r>
      <w:r>
        <w:rPr/>
        <w:t>Cover</w:t>
      </w:r>
      <w:r>
        <w:rPr>
          <w:spacing w:val="-4"/>
        </w:rPr>
        <w:t> </w:t>
      </w:r>
      <w:r>
        <w:rPr/>
        <w:t>Page</w:t>
      </w:r>
      <w:r>
        <w:rPr>
          <w:spacing w:val="-4"/>
        </w:rPr>
        <w:t> </w:t>
      </w:r>
      <w:r>
        <w:rPr/>
        <w:t>Interactive</w:t>
      </w:r>
      <w:r>
        <w:rPr>
          <w:spacing w:val="-3"/>
        </w:rPr>
        <w:t> </w:t>
      </w:r>
      <w:r>
        <w:rPr/>
        <w:t>Data</w:t>
      </w:r>
      <w:r>
        <w:rPr>
          <w:spacing w:val="-4"/>
        </w:rPr>
        <w:t> </w:t>
      </w:r>
      <w:r>
        <w:rPr/>
        <w:t>File</w:t>
      </w:r>
      <w:r>
        <w:rPr>
          <w:spacing w:val="-4"/>
        </w:rPr>
        <w:t> </w:t>
      </w:r>
      <w:r>
        <w:rPr/>
        <w:t>(embedded</w:t>
      </w:r>
      <w:r>
        <w:rPr>
          <w:spacing w:val="-3"/>
        </w:rPr>
        <w:t> </w:t>
      </w:r>
      <w:r>
        <w:rPr/>
        <w:t>within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Inline</w:t>
      </w:r>
      <w:r>
        <w:rPr>
          <w:spacing w:val="-4"/>
        </w:rPr>
        <w:t> </w:t>
      </w:r>
      <w:r>
        <w:rPr/>
        <w:t>XBRL</w:t>
      </w:r>
      <w:r>
        <w:rPr>
          <w:spacing w:val="-4"/>
        </w:rPr>
        <w:t> </w:t>
      </w:r>
      <w:r>
        <w:rPr/>
        <w:t>document)</w:t>
      </w:r>
    </w:p>
    <w:p>
      <w:pPr>
        <w:pStyle w:val="BodyText"/>
        <w:spacing w:before="6"/>
        <w:ind w:left="0" w:firstLine="0"/>
        <w:rPr>
          <w:sz w:val="21"/>
        </w:rPr>
      </w:pPr>
      <w:r>
        <w:rPr/>
        <w:pict>
          <v:shape style="position:absolute;margin-left:72pt;margin-top:13.609931pt;width:72pt;height:.1pt;mso-position-horizontal-relative:page;mso-position-vertical-relative:paragraph;z-index:-15708672;mso-wrap-distance-left:0;mso-wrap-distance-right:0" id="docshape106" coordorigin="1440,272" coordsize="1440,0" path="m1440,272l2880,272e" filled="false" stroked="true" strokeweight=".32pt" strokecolor="#000000">
            <v:path arrowok="t"/>
            <v:stroke dashstyle="solid"/>
            <w10:wrap type="topAndBottom"/>
          </v:shape>
        </w:pict>
      </w:r>
    </w:p>
    <w:p>
      <w:pPr>
        <w:tabs>
          <w:tab w:pos="459" w:val="left" w:leader="none"/>
        </w:tabs>
        <w:spacing w:before="8"/>
        <w:ind w:left="100" w:right="0" w:firstLine="0"/>
        <w:jc w:val="left"/>
        <w:rPr>
          <w:sz w:val="16"/>
        </w:rPr>
      </w:pPr>
      <w:r>
        <w:rPr>
          <w:sz w:val="16"/>
        </w:rPr>
        <w:t>*</w:t>
        <w:tab/>
        <w:t>Filed</w:t>
      </w:r>
      <w:r>
        <w:rPr>
          <w:spacing w:val="-1"/>
          <w:sz w:val="16"/>
        </w:rPr>
        <w:t> </w:t>
      </w:r>
      <w:r>
        <w:rPr>
          <w:sz w:val="16"/>
        </w:rPr>
        <w:t>herewith.</w:t>
      </w:r>
    </w:p>
    <w:p>
      <w:pPr>
        <w:spacing w:before="8"/>
        <w:ind w:left="100" w:right="0" w:firstLine="0"/>
        <w:jc w:val="left"/>
        <w:rPr>
          <w:sz w:val="16"/>
        </w:rPr>
      </w:pPr>
      <w:r>
        <w:rPr>
          <w:sz w:val="16"/>
        </w:rPr>
        <w:t>**     Furnished</w:t>
      </w:r>
      <w:r>
        <w:rPr>
          <w:spacing w:val="-2"/>
          <w:sz w:val="16"/>
        </w:rPr>
        <w:t> </w:t>
      </w:r>
      <w:r>
        <w:rPr>
          <w:sz w:val="16"/>
        </w:rPr>
        <w:t>herewith.</w:t>
      </w:r>
    </w:p>
    <w:p>
      <w:pPr>
        <w:tabs>
          <w:tab w:pos="459" w:val="left" w:leader="none"/>
        </w:tabs>
        <w:spacing w:before="8"/>
        <w:ind w:left="100" w:right="0" w:firstLine="0"/>
        <w:jc w:val="left"/>
        <w:rPr>
          <w:sz w:val="16"/>
        </w:rPr>
      </w:pPr>
      <w:r>
        <w:rPr>
          <w:sz w:val="16"/>
        </w:rPr>
        <w:t>+</w:t>
        <w:tab/>
        <w:t>Indicates</w:t>
      </w:r>
      <w:r>
        <w:rPr>
          <w:spacing w:val="-2"/>
          <w:sz w:val="16"/>
        </w:rPr>
        <w:t> </w:t>
      </w:r>
      <w:r>
        <w:rPr>
          <w:sz w:val="16"/>
        </w:rPr>
        <w:t>management contract or compensatory plan.</w:t>
      </w:r>
    </w:p>
    <w:p>
      <w:pPr>
        <w:spacing w:after="0"/>
        <w:jc w:val="left"/>
        <w:rPr>
          <w:sz w:val="16"/>
        </w:rPr>
        <w:sectPr>
          <w:pgSz w:w="12240" w:h="15840"/>
          <w:pgMar w:header="0" w:footer="741" w:top="1380" w:bottom="940" w:left="1340" w:right="1320"/>
        </w:sectPr>
      </w:pPr>
    </w:p>
    <w:p>
      <w:pPr>
        <w:pStyle w:val="Heading1"/>
        <w:spacing w:before="68"/>
        <w:ind w:left="269" w:right="286"/>
      </w:pPr>
      <w:bookmarkStart w:name="Signatures" w:id="67"/>
      <w:bookmarkEnd w:id="67"/>
      <w:r>
        <w:rPr>
          <w:b w:val="0"/>
        </w:rPr>
      </w:r>
      <w:bookmarkStart w:name="_bookmark15" w:id="68"/>
      <w:bookmarkEnd w:id="68"/>
      <w:r>
        <w:rPr>
          <w:b w:val="0"/>
        </w:rPr>
      </w:r>
      <w:r>
        <w:rPr/>
        <w:t>SIGNATURES</w:t>
      </w:r>
    </w:p>
    <w:p>
      <w:pPr>
        <w:pStyle w:val="BodyText"/>
        <w:spacing w:line="249" w:lineRule="auto" w:before="194"/>
      </w:pPr>
      <w:r>
        <w:rPr/>
        <w:t>Pursuant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requirements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Section</w:t>
      </w:r>
      <w:r>
        <w:rPr>
          <w:spacing w:val="-2"/>
        </w:rPr>
        <w:t> </w:t>
      </w:r>
      <w:r>
        <w:rPr/>
        <w:t>13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15(d)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Securities</w:t>
      </w:r>
      <w:r>
        <w:rPr>
          <w:spacing w:val="-3"/>
        </w:rPr>
        <w:t> </w:t>
      </w:r>
      <w:r>
        <w:rPr/>
        <w:t>Exchange</w:t>
      </w:r>
      <w:r>
        <w:rPr>
          <w:spacing w:val="-3"/>
        </w:rPr>
        <w:t> </w:t>
      </w:r>
      <w:r>
        <w:rPr/>
        <w:t>Act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1934,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amended,</w:t>
      </w:r>
      <w:r>
        <w:rPr>
          <w:spacing w:val="-2"/>
        </w:rPr>
        <w:t> </w:t>
      </w:r>
      <w:r>
        <w:rPr/>
        <w:t>the</w:t>
      </w:r>
      <w:r>
        <w:rPr>
          <w:spacing w:val="-47"/>
        </w:rPr>
        <w:t> </w:t>
      </w:r>
      <w:r>
        <w:rPr/>
        <w:t>Registrant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duly</w:t>
      </w:r>
      <w:r>
        <w:rPr>
          <w:spacing w:val="-2"/>
        </w:rPr>
        <w:t> </w:t>
      </w:r>
      <w:r>
        <w:rPr/>
        <w:t>caused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report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signed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its</w:t>
      </w:r>
      <w:r>
        <w:rPr>
          <w:spacing w:val="-3"/>
        </w:rPr>
        <w:t> </w:t>
      </w:r>
      <w:r>
        <w:rPr/>
        <w:t>behalf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undersigned,</w:t>
      </w:r>
      <w:r>
        <w:rPr>
          <w:spacing w:val="-2"/>
        </w:rPr>
        <w:t> </w:t>
      </w:r>
      <w:r>
        <w:rPr/>
        <w:t>thereunto</w:t>
      </w:r>
      <w:r>
        <w:rPr>
          <w:spacing w:val="-2"/>
        </w:rPr>
        <w:t> </w:t>
      </w:r>
      <w:r>
        <w:rPr/>
        <w:t>duly</w:t>
      </w:r>
      <w:r>
        <w:rPr>
          <w:spacing w:val="-2"/>
        </w:rPr>
        <w:t> </w:t>
      </w:r>
      <w:r>
        <w:rPr/>
        <w:t>authorized.</w:t>
      </w:r>
    </w:p>
    <w:p>
      <w:pPr>
        <w:pStyle w:val="BodyText"/>
        <w:spacing w:before="181"/>
        <w:ind w:left="460" w:firstLine="0"/>
      </w:pPr>
      <w:r>
        <w:rPr/>
        <w:t>Dated:</w:t>
      </w:r>
      <w:r>
        <w:rPr>
          <w:spacing w:val="-3"/>
        </w:rPr>
        <w:t> </w:t>
      </w:r>
      <w:r>
        <w:rPr/>
        <w:t>November</w:t>
      </w:r>
      <w:r>
        <w:rPr>
          <w:spacing w:val="-2"/>
        </w:rPr>
        <w:t> </w:t>
      </w:r>
      <w:r>
        <w:rPr/>
        <w:t>5,</w:t>
      </w:r>
      <w:r>
        <w:rPr>
          <w:spacing w:val="-2"/>
        </w:rPr>
        <w:t> </w:t>
      </w:r>
      <w:r>
        <w:rPr/>
        <w:t>2021</w:t>
      </w:r>
    </w:p>
    <w:p>
      <w:pPr>
        <w:pStyle w:val="BodyText"/>
        <w:spacing w:before="7"/>
        <w:ind w:left="0" w:firstLine="0"/>
        <w:rPr>
          <w:sz w:val="21"/>
        </w:rPr>
      </w:pPr>
    </w:p>
    <w:p>
      <w:pPr>
        <w:pStyle w:val="Heading1"/>
        <w:spacing w:before="0"/>
        <w:ind w:left="4712"/>
        <w:jc w:val="left"/>
      </w:pPr>
      <w:r>
        <w:rPr/>
        <w:t>PROCEPT</w:t>
      </w:r>
      <w:r>
        <w:rPr>
          <w:spacing w:val="-9"/>
        </w:rPr>
        <w:t> </w:t>
      </w:r>
      <w:r>
        <w:rPr/>
        <w:t>BIOROBOTICS</w:t>
      </w:r>
      <w:r>
        <w:rPr>
          <w:spacing w:val="-9"/>
        </w:rPr>
        <w:t> </w:t>
      </w:r>
      <w:r>
        <w:rPr/>
        <w:t>CORPORATION</w:t>
      </w:r>
    </w:p>
    <w:p>
      <w:pPr>
        <w:pStyle w:val="BodyText"/>
        <w:spacing w:before="40"/>
        <w:ind w:left="4712" w:firstLine="0"/>
      </w:pPr>
      <w:r>
        <w:rPr/>
        <w:t>(Registrant)</w:t>
      </w:r>
    </w:p>
    <w:p>
      <w:pPr>
        <w:pStyle w:val="BodyText"/>
        <w:spacing w:before="0"/>
        <w:ind w:left="0" w:firstLine="0"/>
        <w:rPr>
          <w:sz w:val="22"/>
        </w:rPr>
      </w:pPr>
    </w:p>
    <w:p>
      <w:pPr>
        <w:pStyle w:val="BodyText"/>
        <w:spacing w:before="0"/>
        <w:ind w:left="0" w:firstLine="0"/>
        <w:rPr>
          <w:sz w:val="22"/>
        </w:rPr>
      </w:pPr>
    </w:p>
    <w:p>
      <w:pPr>
        <w:pStyle w:val="BodyText"/>
        <w:spacing w:before="11"/>
        <w:ind w:left="0" w:firstLine="0"/>
        <w:rPr>
          <w:sz w:val="29"/>
        </w:rPr>
      </w:pPr>
    </w:p>
    <w:p>
      <w:pPr>
        <w:pStyle w:val="BodyText"/>
        <w:spacing w:line="280" w:lineRule="auto" w:before="0"/>
        <w:ind w:left="4712" w:right="3347" w:firstLine="0"/>
      </w:pPr>
      <w:r>
        <w:rPr/>
        <w:pict>
          <v:group style="position:absolute;margin-left:300pt;margin-top:12.485962pt;width:240pt;height:1pt;mso-position-horizontal-relative:page;mso-position-vertical-relative:paragraph;z-index:-19242496" id="docshapegroup107" coordorigin="6000,250" coordsize="4800,20">
            <v:shape style="position:absolute;left:6000;top:259;width:4800;height:2" id="docshape108" coordorigin="6000,260" coordsize="4800,0" path="m10800,260l6000,260e" filled="true" fillcolor="#000000" stroked="false">
              <v:path arrowok="t"/>
              <v:fill opacity="0f" type="solid"/>
            </v:shape>
            <v:line style="position:absolute" from="6000,260" to="10800,260" stroked="true" strokeweight="1pt" strokecolor="#000000">
              <v:stroke dashstyle="solid"/>
            </v:line>
            <w10:wrap type="none"/>
          </v:group>
        </w:pict>
      </w:r>
      <w:r>
        <w:rPr/>
        <w:t>/s/ Reza Zadno</w:t>
      </w:r>
      <w:r>
        <w:rPr>
          <w:spacing w:val="1"/>
        </w:rPr>
        <w:t> </w:t>
      </w:r>
      <w:r>
        <w:rPr/>
        <w:t>Reza</w:t>
      </w:r>
      <w:r>
        <w:rPr>
          <w:spacing w:val="-9"/>
        </w:rPr>
        <w:t> </w:t>
      </w:r>
      <w:r>
        <w:rPr/>
        <w:t>Zadno,</w:t>
      </w:r>
      <w:r>
        <w:rPr>
          <w:spacing w:val="-7"/>
        </w:rPr>
        <w:t> </w:t>
      </w:r>
      <w:r>
        <w:rPr/>
        <w:t>Ph.D.</w:t>
      </w:r>
    </w:p>
    <w:p>
      <w:pPr>
        <w:pStyle w:val="BodyText"/>
        <w:spacing w:line="280" w:lineRule="auto" w:before="2"/>
        <w:ind w:left="4712" w:right="1812" w:firstLine="0"/>
      </w:pPr>
      <w:r>
        <w:rPr/>
        <w:t>President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Chief</w:t>
      </w:r>
      <w:r>
        <w:rPr>
          <w:spacing w:val="-4"/>
        </w:rPr>
        <w:t> </w:t>
      </w:r>
      <w:r>
        <w:rPr/>
        <w:t>Executive</w:t>
      </w:r>
      <w:r>
        <w:rPr>
          <w:spacing w:val="-5"/>
        </w:rPr>
        <w:t> </w:t>
      </w:r>
      <w:r>
        <w:rPr/>
        <w:t>Officer</w:t>
      </w:r>
      <w:r>
        <w:rPr>
          <w:spacing w:val="-47"/>
        </w:rPr>
        <w:t> </w:t>
      </w:r>
      <w:r>
        <w:rPr/>
        <w:t>(principal</w:t>
      </w:r>
      <w:r>
        <w:rPr>
          <w:spacing w:val="-2"/>
        </w:rPr>
        <w:t> </w:t>
      </w:r>
      <w:r>
        <w:rPr/>
        <w:t>executive</w:t>
      </w:r>
      <w:r>
        <w:rPr>
          <w:spacing w:val="-2"/>
        </w:rPr>
        <w:t> </w:t>
      </w:r>
      <w:r>
        <w:rPr/>
        <w:t>officer)</w:t>
      </w:r>
    </w:p>
    <w:p>
      <w:pPr>
        <w:pStyle w:val="BodyText"/>
        <w:spacing w:before="7"/>
        <w:ind w:left="0" w:firstLine="0"/>
        <w:rPr>
          <w:sz w:val="23"/>
        </w:rPr>
      </w:pPr>
    </w:p>
    <w:p>
      <w:pPr>
        <w:pStyle w:val="BodyText"/>
        <w:spacing w:line="280" w:lineRule="auto" w:before="0"/>
        <w:ind w:left="4712" w:right="3513" w:firstLine="0"/>
      </w:pPr>
      <w:r>
        <w:rPr/>
        <w:pict>
          <v:group style="position:absolute;margin-left:300pt;margin-top:12.485931pt;width:240pt;height:1pt;mso-position-horizontal-relative:page;mso-position-vertical-relative:paragraph;z-index:-19241984" id="docshapegroup109" coordorigin="6000,250" coordsize="4800,20">
            <v:shape style="position:absolute;left:6000;top:259;width:4800;height:2" id="docshape110" coordorigin="6000,260" coordsize="4800,0" path="m10800,260l6000,260e" filled="true" fillcolor="#000000" stroked="false">
              <v:path arrowok="t"/>
              <v:fill opacity="0f" type="solid"/>
            </v:shape>
            <v:line style="position:absolute" from="6000,260" to="10800,260" stroked="true" strokeweight="1pt" strokecolor="#000000">
              <v:stroke dashstyle="solid"/>
            </v:line>
            <w10:wrap type="none"/>
          </v:group>
        </w:pict>
      </w:r>
      <w:r>
        <w:rPr/>
        <w:t>/s/</w:t>
      </w:r>
      <w:r>
        <w:rPr>
          <w:spacing w:val="-5"/>
        </w:rPr>
        <w:t> </w:t>
      </w:r>
      <w:r>
        <w:rPr/>
        <w:t>Kevin</w:t>
      </w:r>
      <w:r>
        <w:rPr>
          <w:spacing w:val="-5"/>
        </w:rPr>
        <w:t> </w:t>
      </w:r>
      <w:r>
        <w:rPr/>
        <w:t>Waters</w:t>
      </w:r>
      <w:r>
        <w:rPr>
          <w:spacing w:val="-47"/>
        </w:rPr>
        <w:t> </w:t>
      </w:r>
      <w:r>
        <w:rPr/>
        <w:t>Kevin</w:t>
      </w:r>
      <w:r>
        <w:rPr>
          <w:spacing w:val="-2"/>
        </w:rPr>
        <w:t> </w:t>
      </w:r>
      <w:r>
        <w:rPr/>
        <w:t>Waters</w:t>
      </w:r>
    </w:p>
    <w:p>
      <w:pPr>
        <w:pStyle w:val="BodyText"/>
        <w:spacing w:before="2"/>
        <w:ind w:left="4712" w:firstLine="0"/>
      </w:pPr>
      <w:r>
        <w:rPr/>
        <w:t>SVP,</w:t>
      </w:r>
      <w:r>
        <w:rPr>
          <w:spacing w:val="-4"/>
        </w:rPr>
        <w:t> </w:t>
      </w:r>
      <w:r>
        <w:rPr/>
        <w:t>Chief</w:t>
      </w:r>
      <w:r>
        <w:rPr>
          <w:spacing w:val="-4"/>
        </w:rPr>
        <w:t> </w:t>
      </w:r>
      <w:r>
        <w:rPr/>
        <w:t>Financial</w:t>
      </w:r>
      <w:r>
        <w:rPr>
          <w:spacing w:val="-5"/>
        </w:rPr>
        <w:t> </w:t>
      </w:r>
      <w:r>
        <w:rPr/>
        <w:t>Officer</w:t>
      </w:r>
    </w:p>
    <w:p>
      <w:pPr>
        <w:pStyle w:val="BodyText"/>
        <w:spacing w:before="40"/>
        <w:ind w:left="4712" w:firstLine="0"/>
      </w:pPr>
      <w:r>
        <w:rPr/>
        <w:t>(principal</w:t>
      </w:r>
      <w:r>
        <w:rPr>
          <w:spacing w:val="-5"/>
        </w:rPr>
        <w:t> </w:t>
      </w:r>
      <w:r>
        <w:rPr/>
        <w:t>financial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accounting</w:t>
      </w:r>
      <w:r>
        <w:rPr>
          <w:spacing w:val="-3"/>
        </w:rPr>
        <w:t> </w:t>
      </w:r>
      <w:r>
        <w:rPr/>
        <w:t>officer)</w:t>
      </w:r>
    </w:p>
    <w:sectPr>
      <w:pgSz w:w="12240" w:h="15840"/>
      <w:pgMar w:header="0" w:footer="741" w:top="1320" w:bottom="94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S UI Gothic">
    <w:altName w:val="MS UI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</w:pPr>
    <w:r>
      <w:rPr/>
      <w:pict>
        <v:shape style="position:absolute;margin-left:300.5pt;margin-top:739.438843pt;width:12pt;height:13.1pt;mso-position-horizontal-relative:page;mso-position-vertical-relative:page;z-index:-19262976" type="#_x0000_t202" id="docshape6" filled="false" stroked="false">
          <v:textbox inset="0,0,0,0">
            <w:txbxContent>
              <w:p>
                <w:pPr>
                  <w:pStyle w:val="BodyText"/>
                  <w:spacing w:before="11"/>
                  <w:ind w:left="60" w:firstLine="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</w:pPr>
    <w:r>
      <w:rPr/>
      <w:pict>
        <v:shape style="position:absolute;margin-left:300.5pt;margin-top:739.438843pt;width:12pt;height:13.1pt;mso-position-horizontal-relative:page;mso-position-vertical-relative:page;z-index:-19262464" type="#_x0000_t202" id="docshape8" filled="false" stroked="false">
          <v:textbox inset="0,0,0,0">
            <w:txbxContent>
              <w:p>
                <w:pPr>
                  <w:pStyle w:val="BodyText"/>
                  <w:spacing w:before="11"/>
                  <w:ind w:left="60" w:firstLine="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5pt;margin-top:741.01886pt;width:25.6pt;height:13.1pt;mso-position-horizontal-relative:page;mso-position-vertical-relative:page;z-index:-19261952" type="#_x0000_t202" id="docshape9" filled="false" stroked="false">
          <v:textbox inset="0,0,0,0">
            <w:txbxContent>
              <w:p>
                <w:pPr>
                  <w:pStyle w:val="BodyText"/>
                  <w:spacing w:before="11"/>
                  <w:ind w:left="20" w:firstLine="0"/>
                </w:pPr>
                <w:r>
                  <w:rPr/>
                  <w:t>stock.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</w:pPr>
    <w:r>
      <w:rPr/>
      <w:pict>
        <v:shape style="position:absolute;margin-left:300.5pt;margin-top:739.438843pt;width:12pt;height:13.1pt;mso-position-horizontal-relative:page;mso-position-vertical-relative:page;z-index:-19261440" type="#_x0000_t202" id="docshape10" filled="false" stroked="false">
          <v:textbox inset="0,0,0,0">
            <w:txbxContent>
              <w:p>
                <w:pPr>
                  <w:pStyle w:val="BodyText"/>
                  <w:spacing w:before="11"/>
                  <w:ind w:left="60" w:firstLine="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</w:pPr>
    <w:r>
      <w:rPr/>
      <w:pict>
        <v:shape style="position:absolute;margin-left:390.5pt;margin-top:577.438843pt;width:12pt;height:13.1pt;mso-position-horizontal-relative:page;mso-position-vertical-relative:page;z-index:-19260928" type="#_x0000_t202" id="docshape22" filled="false" stroked="false">
          <v:textbox inset="0,0,0,0">
            <w:txbxContent>
              <w:p>
                <w:pPr>
                  <w:pStyle w:val="BodyText"/>
                  <w:spacing w:before="11"/>
                  <w:ind w:left="60" w:firstLine="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</w:pPr>
    <w:r>
      <w:rPr/>
      <w:pict>
        <v:shape style="position:absolute;margin-left:298pt;margin-top:757.438843pt;width:17pt;height:13.1pt;mso-position-horizontal-relative:page;mso-position-vertical-relative:page;z-index:-19260416" type="#_x0000_t202" id="docshape53" filled="false" stroked="false">
          <v:textbox inset="0,0,0,0">
            <w:txbxContent>
              <w:p>
                <w:pPr>
                  <w:pStyle w:val="BodyText"/>
                  <w:spacing w:before="11"/>
                  <w:ind w:left="60" w:firstLine="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</w:pPr>
    <w:r>
      <w:rPr/>
      <w:pict>
        <v:shape style="position:absolute;margin-left:295.5pt;margin-top:743.938843pt;width:22pt;height:13.1pt;mso-position-horizontal-relative:page;mso-position-vertical-relative:page;z-index:-19259904" type="#_x0000_t202" id="docshape59" filled="false" stroked="false">
          <v:textbox inset="0,0,0,0">
            <w:txbxContent>
              <w:p>
                <w:pPr>
                  <w:pStyle w:val="BodyText"/>
                  <w:spacing w:before="11"/>
                  <w:ind w:left="60" w:firstLine="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32"/>
      <w:numFmt w:val="decimal"/>
      <w:lvlText w:val="%1"/>
      <w:lvlJc w:val="left"/>
      <w:pPr>
        <w:ind w:left="1307" w:hanging="35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7" w:hanging="35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6"/>
        <w:sz w:val="18"/>
        <w:szCs w:val="18"/>
      </w:rPr>
    </w:lvl>
    <w:lvl w:ilvl="2">
      <w:start w:val="0"/>
      <w:numFmt w:val="bullet"/>
      <w:lvlText w:val="•"/>
      <w:lvlJc w:val="left"/>
      <w:pPr>
        <w:ind w:left="2956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84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12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40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68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96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4" w:hanging="351"/>
      </w:pPr>
      <w:rPr>
        <w:rFonts w:hint="default"/>
      </w:rPr>
    </w:lvl>
  </w:abstractNum>
  <w:abstractNum w:abstractNumId="9">
    <w:multiLevelType w:val="hybridMultilevel"/>
    <w:lvl w:ilvl="0">
      <w:start w:val="31"/>
      <w:numFmt w:val="decimal"/>
      <w:lvlText w:val="%1"/>
      <w:lvlJc w:val="left"/>
      <w:pPr>
        <w:ind w:left="1307" w:hanging="35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7" w:hanging="35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1"/>
        <w:sz w:val="18"/>
        <w:szCs w:val="18"/>
      </w:rPr>
    </w:lvl>
    <w:lvl w:ilvl="2">
      <w:start w:val="0"/>
      <w:numFmt w:val="bullet"/>
      <w:lvlText w:val="•"/>
      <w:lvlJc w:val="left"/>
      <w:pPr>
        <w:ind w:left="2956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84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12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40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68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96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4" w:hanging="351"/>
      </w:pPr>
      <w:rPr>
        <w:rFonts w:hint="default"/>
      </w:rPr>
    </w:lvl>
  </w:abstractNum>
  <w:abstractNum w:abstractNumId="8">
    <w:multiLevelType w:val="hybridMultilevel"/>
    <w:lvl w:ilvl="0">
      <w:start w:val="10"/>
      <w:numFmt w:val="decimal"/>
      <w:lvlText w:val="%1"/>
      <w:lvlJc w:val="left"/>
      <w:pPr>
        <w:ind w:left="767" w:hanging="35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7" w:hanging="35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18"/>
        <w:szCs w:val="18"/>
      </w:rPr>
    </w:lvl>
    <w:lvl w:ilvl="2">
      <w:start w:val="0"/>
      <w:numFmt w:val="bullet"/>
      <w:lvlText w:val="•"/>
      <w:lvlJc w:val="left"/>
      <w:pPr>
        <w:ind w:left="2524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6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88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70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52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34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16" w:hanging="351"/>
      </w:pPr>
      <w:rPr>
        <w:rFonts w:hint="default"/>
      </w:rPr>
    </w:lvl>
  </w:abstractNum>
  <w:abstractNum w:abstractNumId="7">
    <w:multiLevelType w:val="hybridMultilevel"/>
    <w:lvl w:ilvl="0">
      <w:start w:val="3"/>
      <w:numFmt w:val="decimal"/>
      <w:lvlText w:val="%1"/>
      <w:lvlJc w:val="left"/>
      <w:pPr>
        <w:ind w:left="1307" w:hanging="78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7" w:hanging="7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1"/>
        <w:sz w:val="20"/>
        <w:szCs w:val="20"/>
      </w:rPr>
    </w:lvl>
    <w:lvl w:ilvl="2">
      <w:start w:val="0"/>
      <w:numFmt w:val="bullet"/>
      <w:lvlText w:val="•"/>
      <w:lvlJc w:val="left"/>
      <w:pPr>
        <w:ind w:left="2956" w:hanging="78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84" w:hanging="78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12" w:hanging="78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40" w:hanging="78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68" w:hanging="78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96" w:hanging="78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4" w:hanging="786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82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696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4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2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0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82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696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4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2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0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82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696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4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2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0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."/>
      <w:lvlJc w:val="left"/>
      <w:pPr>
        <w:ind w:left="820" w:hanging="7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300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20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40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60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8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00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20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40" w:hanging="720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82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696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4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2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0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20" w:hanging="7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696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72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4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2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0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28" w:hanging="72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460" w:hanging="345"/>
      </w:pPr>
      <w:rPr>
        <w:rFonts w:hint="default" w:ascii="MS UI Gothic" w:hAnsi="MS UI Gothic" w:eastAsia="MS UI Gothic" w:cs="MS UI Gothic"/>
        <w:b w:val="0"/>
        <w:bCs w:val="0"/>
        <w:i w:val="0"/>
        <w:iCs w:val="0"/>
        <w:w w:val="78"/>
        <w:position w:val="2"/>
        <w:sz w:val="20"/>
        <w:szCs w:val="20"/>
      </w:rPr>
    </w:lvl>
    <w:lvl w:ilvl="1">
      <w:start w:val="0"/>
      <w:numFmt w:val="bullet"/>
      <w:lvlText w:val="•"/>
      <w:lvlJc w:val="left"/>
      <w:pPr>
        <w:ind w:left="10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1631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73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44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1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8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57" w:hanging="360"/>
      </w:pPr>
      <w:rPr>
        <w:rFonts w:hint="default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190"/>
      <w:ind w:left="100" w:firstLine="360"/>
    </w:pPr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10"/>
      <w:jc w:val="center"/>
      <w:outlineLvl w:val="1"/>
    </w:pPr>
    <w:rPr>
      <w:rFonts w:ascii="Times New Roman" w:hAnsi="Times New Roman" w:eastAsia="Times New Roman" w:cs="Times New Roman"/>
      <w:b/>
      <w:bCs/>
      <w:sz w:val="20"/>
      <w:szCs w:val="20"/>
    </w:rPr>
  </w:style>
  <w:style w:styleId="Heading2" w:type="paragraph">
    <w:name w:val="Heading 2"/>
    <w:basedOn w:val="Normal"/>
    <w:uiPriority w:val="1"/>
    <w:qFormat/>
    <w:pPr>
      <w:spacing w:before="68"/>
      <w:ind w:left="100"/>
      <w:outlineLvl w:val="2"/>
    </w:pPr>
    <w:rPr>
      <w:rFonts w:ascii="Times New Roman" w:hAnsi="Times New Roman" w:eastAsia="Times New Roman" w:cs="Times New Roman"/>
      <w:b/>
      <w:bCs/>
      <w:sz w:val="20"/>
      <w:szCs w:val="20"/>
    </w:rPr>
  </w:style>
  <w:style w:styleId="Heading3" w:type="paragraph">
    <w:name w:val="Heading 3"/>
    <w:basedOn w:val="Normal"/>
    <w:uiPriority w:val="1"/>
    <w:qFormat/>
    <w:pPr>
      <w:spacing w:before="180"/>
      <w:ind w:left="100"/>
      <w:outlineLvl w:val="3"/>
    </w:pPr>
    <w:rPr>
      <w:rFonts w:ascii="Times New Roman" w:hAnsi="Times New Roman" w:eastAsia="Times New Roman" w:cs="Times New Roman"/>
      <w:b/>
      <w:bCs/>
      <w:i/>
      <w:iCs/>
      <w:sz w:val="20"/>
      <w:szCs w:val="20"/>
    </w:rPr>
  </w:style>
  <w:style w:styleId="ListParagraph" w:type="paragraph">
    <w:name w:val="List Paragraph"/>
    <w:basedOn w:val="Normal"/>
    <w:uiPriority w:val="1"/>
    <w:qFormat/>
    <w:pPr>
      <w:spacing w:before="190"/>
      <w:ind w:left="820" w:hanging="36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hyperlink" Target="https://www.sec.gov/Archives/edgar/data/0001588978/000162828021018923/exhibit31-closing8xk.htm" TargetMode="External"/><Relationship Id="rId12" Type="http://schemas.openxmlformats.org/officeDocument/2006/relationships/hyperlink" Target="https://www.sec.gov/Archives/edgar/data/0001588978/000162828021018923/exhibit32-closing8xk.htm" TargetMode="External"/><Relationship Id="rId13" Type="http://schemas.openxmlformats.org/officeDocument/2006/relationships/hyperlink" Target="https://www.sec.gov/Archives/edgar/data/0001588978/000162828021018188/ex1010-sx1a1.htm" TargetMode="External"/><Relationship Id="rId14" Type="http://schemas.openxmlformats.org/officeDocument/2006/relationships/hyperlink" Target="https://www.sec.gov/Archives/edgar/data/1588978/000162828021018188/exhibit1011-sx1a1.htm" TargetMode="External"/><Relationship Id="rId15" Type="http://schemas.openxmlformats.org/officeDocument/2006/relationships/hyperlink" Target="https://www.sec.gov/Archives/edgar/data/1588978/000162828021018188/ex1011a-sx1a1.htm" TargetMode="External"/><Relationship Id="rId16" Type="http://schemas.openxmlformats.org/officeDocument/2006/relationships/hyperlink" Target="https://www.sec.gov/Archives/edgar/data/1588978/000162828021018188/exhibit1011b-sx1a1.htm" TargetMode="External"/><Relationship Id="rId17" Type="http://schemas.openxmlformats.org/officeDocument/2006/relationships/hyperlink" Target="https://www.sec.gov/Archives/edgar/data/1588978/000162828021018188/exhibit1012-sx1a1.htm" TargetMode="External"/><Relationship Id="rId18" Type="http://schemas.openxmlformats.org/officeDocument/2006/relationships/hyperlink" Target="https://www.sec.gov/Archives/edgar/data/0001588978/000162828021018188/exhibit1013-sx1a1.htm" TargetMode="External"/><Relationship Id="rId19" Type="http://schemas.openxmlformats.org/officeDocument/2006/relationships/hyperlink" Target="https://www.sec.gov/Archives/edgar/data/0001588978/000162828021018188/exhibit1014-sx1a1.htm" TargetMode="External"/><Relationship Id="rId20" Type="http://schemas.openxmlformats.org/officeDocument/2006/relationships/hyperlink" Target="https://www.sec.gov/Archives/edgar/data/0001588978/000162828021018188/exhibit1015-sx1a1.htm" TargetMode="External"/><Relationship Id="rId2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title>Procept Biorobotics  10-Q (2021-Q3)</dc:title>
  <dcterms:created xsi:type="dcterms:W3CDTF">2021-11-09T01:56:17Z</dcterms:created>
  <dcterms:modified xsi:type="dcterms:W3CDTF">2021-11-09T01:56:17Z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Workiva</vt:lpwstr>
  </property>
  <property fmtid="{D5CDD505-2E9C-101B-9397-08002B2CF9AE}" pid="4" name="LastSaved">
    <vt:filetime>2021-11-09T00:00:00Z</vt:filetime>
  </property>
</Properties>
</file>