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001-40797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PROCEPT BioRobotics Corporation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209" w:type="dxa"/>
        <w:jc w:val="left"/>
        <w:tblInd w:w="0" w:type="dxa"/>
        <w:tblLayout w:type="fixed"/>
        <w:tblCellMar>
          <w:top w:w="28" w:type="dxa"/>
          <w:left w:w="28" w:type="dxa"/>
          <w:bottom w:w="28" w:type="dxa"/>
          <w:right w:w="28" w:type="dxa"/>
        </w:tblCellMar>
      </w:tblPr>
      <w:tblGrid>
        <w:gridCol w:w="1795"/>
        <w:gridCol w:w="1577"/>
        <w:gridCol w:w="1593"/>
        <w:gridCol w:w="279"/>
        <w:gridCol w:w="279"/>
        <w:gridCol w:w="281"/>
        <w:gridCol w:w="125"/>
        <w:gridCol w:w="125"/>
        <w:gridCol w:w="126"/>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26-0199180</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2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8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150 Baytech Drive</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San Jose</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95134</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2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(650) 232-7200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104" w:type="dxa"/>
        <w:jc w:val="left"/>
        <w:tblInd w:w="0" w:type="dxa"/>
        <w:tblLayout w:type="fixed"/>
        <w:tblCellMar>
          <w:top w:w="28" w:type="dxa"/>
          <w:left w:w="28" w:type="dxa"/>
          <w:bottom w:w="28" w:type="dxa"/>
          <w:right w:w="28" w:type="dxa"/>
        </w:tblCellMar>
      </w:tblPr>
      <w:tblGrid>
        <w:gridCol w:w="1369"/>
        <w:gridCol w:w="1198"/>
        <w:gridCol w:w="1213"/>
        <w:gridCol w:w="539"/>
        <w:gridCol w:w="539"/>
        <w:gridCol w:w="541"/>
        <w:gridCol w:w="1085"/>
        <w:gridCol w:w="1085"/>
        <w:gridCol w:w="1535"/>
      </w:tblGrid>
      <w:tr>
        <w:trPr/>
        <w:tc>
          <w:tcPr>
            <w:tcW w:w="13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$0.00001 par value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PRCT</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56,918,844 shares of common stock as of April 24,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PROCEPT BioRobotics Corporation </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Form 10-Q – QUARTERLY REPORT </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For the Quarter Ended March 31, 2026</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9299" w:type="dxa"/>
        <w:jc w:val="left"/>
        <w:tblInd w:w="0" w:type="dxa"/>
        <w:tblLayout w:type="fixed"/>
        <w:tblCellMar>
          <w:top w:w="28" w:type="dxa"/>
          <w:left w:w="28" w:type="dxa"/>
          <w:bottom w:w="28" w:type="dxa"/>
          <w:right w:w="28" w:type="dxa"/>
        </w:tblCellMar>
      </w:tblPr>
      <w:tblGrid>
        <w:gridCol w:w="293"/>
        <w:gridCol w:w="258"/>
        <w:gridCol w:w="258"/>
        <w:gridCol w:w="2453"/>
        <w:gridCol w:w="2453"/>
        <w:gridCol w:w="2459"/>
        <w:gridCol w:w="329"/>
        <w:gridCol w:w="329"/>
        <w:gridCol w:w="46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2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99ace3bbd584de3bf3930f71ce2a320_13">
              <w:r>
                <w:rPr>
                  <w:rStyle w:val="InternetLink"/>
                  <w:rFonts w:ascii="Times New Roman;serif" w:hAnsi="Times New Roman;serif"/>
                  <w:b w:val="false"/>
                  <w:color w:val="0000FF"/>
                  <w:sz w:val="20"/>
                  <w:u w:val="single"/>
                </w:rPr>
                <w:t>Part I. Financial Information</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6">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6">
              <w:r>
                <w:rPr>
                  <w:rStyle w:val="InternetLink"/>
                  <w:rFonts w:ascii="Times New Roman;serif" w:hAnsi="Times New Roman;serif"/>
                  <w:b w:val="false"/>
                  <w:color w:val="0000FF"/>
                  <w:sz w:val="20"/>
                  <w:u w:val="single"/>
                </w:rPr>
                <w:t>Condensed Consolidated Financial Statements (unaudited)</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9">
              <w:r>
                <w:rPr>
                  <w:rStyle w:val="InternetLink"/>
                  <w:rFonts w:ascii="Times New Roman;serif" w:hAnsi="Times New Roman;serif"/>
                  <w:b w:val="false"/>
                  <w:color w:val="0000FF"/>
                  <w:sz w:val="20"/>
                  <w:u w:val="single"/>
                </w:rPr>
                <w:t>4</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9">
              <w:r>
                <w:rPr>
                  <w:rStyle w:val="InternetLink"/>
                  <w:rFonts w:ascii="Times New Roman;serif" w:hAnsi="Times New Roman;serif"/>
                  <w:b w:val="false"/>
                  <w:color w:val="0000FF"/>
                  <w:sz w:val="20"/>
                  <w:u w:val="single"/>
                </w:rPr>
                <w:t>Condensed Consolidated Balance Sheets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9">
              <w:r>
                <w:rPr>
                  <w:rStyle w:val="InternetLink"/>
                  <w:rFonts w:ascii="Times New Roman;serif" w:hAnsi="Times New Roman;serif"/>
                  <w:b w:val="false"/>
                  <w:color w:val="0000FF"/>
                  <w:sz w:val="20"/>
                  <w:u w:val="single"/>
                </w:rPr>
                <w:t>4</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22">
              <w:r>
                <w:rPr>
                  <w:rStyle w:val="InternetLink"/>
                  <w:rFonts w:ascii="Times New Roman;serif" w:hAnsi="Times New Roman;serif"/>
                  <w:b w:val="false"/>
                  <w:color w:val="0000FF"/>
                  <w:sz w:val="20"/>
                  <w:u w:val="single"/>
                </w:rPr>
                <w:t>Condensed Consolidated Statements of Operations and Comprehensive Loss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22">
              <w:r>
                <w:rPr>
                  <w:rStyle w:val="InternetLink"/>
                  <w:rFonts w:ascii="Times New Roman;serif" w:hAnsi="Times New Roman;serif"/>
                  <w:b w:val="false"/>
                  <w:color w:val="0000FF"/>
                  <w:sz w:val="20"/>
                  <w:u w:val="single"/>
                </w:rPr>
                <w:t>5</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25">
              <w:r>
                <w:rPr>
                  <w:rStyle w:val="InternetLink"/>
                  <w:rFonts w:ascii="Times New Roman;serif" w:hAnsi="Times New Roman;serif"/>
                  <w:b w:val="false"/>
                  <w:color w:val="0000FF"/>
                  <w:sz w:val="20"/>
                  <w:u w:val="single"/>
                </w:rPr>
                <w:t>Condensed Consolidated Statements of Stockholders’ Equity</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25">
              <w:r>
                <w:rPr>
                  <w:rStyle w:val="InternetLink"/>
                  <w:rFonts w:ascii="Times New Roman;serif" w:hAnsi="Times New Roman;serif"/>
                  <w:b w:val="false"/>
                  <w:color w:val="0000FF"/>
                  <w:sz w:val="20"/>
                  <w:u w:val="single"/>
                </w:rPr>
                <w:t>6</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25">
              <w:r>
                <w:rPr>
                  <w:rStyle w:val="InternetLink"/>
                  <w:rFonts w:ascii="Times New Roman;serif" w:hAnsi="Times New Roman;serif"/>
                  <w:b w:val="false"/>
                  <w:color w:val="0000FF"/>
                  <w:sz w:val="20"/>
                  <w:u w:val="single"/>
                </w:rPr>
                <w:t>Condensed Consolidated Statements of Cash Flows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28">
              <w:r>
                <w:rPr>
                  <w:rStyle w:val="InternetLink"/>
                  <w:rFonts w:ascii="Times New Roman;serif" w:hAnsi="Times New Roman;serif"/>
                  <w:b w:val="false"/>
                  <w:color w:val="0000FF"/>
                  <w:sz w:val="20"/>
                  <w:u w:val="single"/>
                </w:rPr>
                <w:t>7</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31">
              <w:r>
                <w:rPr>
                  <w:rStyle w:val="InternetLink"/>
                  <w:rFonts w:ascii="Times New Roman;serif" w:hAnsi="Times New Roman;serif"/>
                  <w:b w:val="false"/>
                  <w:color w:val="0000FF"/>
                  <w:sz w:val="20"/>
                  <w:u w:val="single"/>
                </w:rPr>
                <w:t>Notes to Condensed Consolidated Financial Statements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31">
              <w:r>
                <w:rPr>
                  <w:rStyle w:val="InternetLink"/>
                  <w:rFonts w:ascii="Times New Roman;serif" w:hAnsi="Times New Roman;serif"/>
                  <w:b w:val="false"/>
                  <w:color w:val="0000FF"/>
                  <w:sz w:val="20"/>
                  <w:u w:val="single"/>
                </w:rPr>
                <w:t>8</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73">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73">
              <w:r>
                <w:rPr>
                  <w:rStyle w:val="InternetLink"/>
                  <w:rFonts w:ascii="Times New Roman;serif" w:hAnsi="Times New Roman;serif"/>
                  <w:b w:val="false"/>
                  <w:color w:val="0000FF"/>
                  <w:sz w:val="20"/>
                  <w:u w:val="single"/>
                </w:rPr>
                <w:t>18</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06">
              <w:r>
                <w:rPr>
                  <w:rStyle w:val="InternetLink"/>
                  <w:rFonts w:ascii="Times New Roman;serif" w:hAnsi="Times New Roman;serif"/>
                  <w:b w:val="false"/>
                  <w:color w:val="0000FF"/>
                  <w:sz w:val="20"/>
                  <w:u w:val="singl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06">
              <w:r>
                <w:rPr>
                  <w:rStyle w:val="InternetLink"/>
                  <w:rFonts w:ascii="Times New Roman;serif" w:hAnsi="Times New Roman;serif"/>
                  <w:b w:val="false"/>
                  <w:color w:val="0000FF"/>
                  <w:sz w:val="20"/>
                  <w:u w:val="single"/>
                </w:rPr>
                <w:t>Quantitative and Qualitative Disclosure About Market Risk</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06">
              <w:r>
                <w:rPr>
                  <w:rStyle w:val="InternetLink"/>
                  <w:rFonts w:ascii="Times New Roman;serif" w:hAnsi="Times New Roman;serif"/>
                  <w:b w:val="false"/>
                  <w:color w:val="0000FF"/>
                  <w:sz w:val="20"/>
                  <w:u w:val="single"/>
                </w:rPr>
                <w:t>26</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09">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09">
              <w:r>
                <w:rPr>
                  <w:rStyle w:val="InternetLink"/>
                  <w:rFonts w:ascii="Times New Roman;serif" w:hAnsi="Times New Roman;serif"/>
                  <w:b w:val="false"/>
                  <w:color w:val="0000FF"/>
                  <w:sz w:val="20"/>
                  <w:u w:val="single"/>
                </w:rPr>
                <w:t>Controls and Procedures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09">
              <w:r>
                <w:rPr>
                  <w:rStyle w:val="InternetLink"/>
                  <w:rFonts w:ascii="Times New Roman;serif" w:hAnsi="Times New Roman;serif"/>
                  <w:b w:val="false"/>
                  <w:color w:val="0000FF"/>
                  <w:sz w:val="20"/>
                  <w:u w:val="single"/>
                </w:rPr>
                <w:t>26</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99ace3bbd584de3bf3930f71ce2a320_112">
              <w:r>
                <w:rPr>
                  <w:rStyle w:val="InternetLink"/>
                  <w:rFonts w:ascii="Times New Roman;serif" w:hAnsi="Times New Roman;serif"/>
                  <w:b w:val="false"/>
                  <w:color w:val="0000FF"/>
                  <w:sz w:val="20"/>
                  <w:u w:val="single"/>
                </w:rPr>
                <w:t>Part II. Other Information</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15">
              <w:r>
                <w:rPr>
                  <w:rStyle w:val="InternetLink"/>
                  <w:rFonts w:ascii="Times New Roman;serif" w:hAnsi="Times New Roman;serif"/>
                  <w:b w:val="false"/>
                  <w:color w:val="0000FF"/>
                  <w:sz w:val="20"/>
                  <w:u w:val="singl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15">
              <w:r>
                <w:rPr>
                  <w:rStyle w:val="InternetLink"/>
                  <w:rFonts w:ascii="Times New Roman;serif" w:hAnsi="Times New Roman;serif"/>
                  <w:b w:val="false"/>
                  <w:color w:val="0000FF"/>
                  <w:sz w:val="20"/>
                  <w:u w:val="single"/>
                </w:rPr>
                <w:t>Legal Proceedings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15">
              <w:r>
                <w:rPr>
                  <w:rStyle w:val="InternetLink"/>
                  <w:rFonts w:ascii="Times New Roman;serif" w:hAnsi="Times New Roman;serif"/>
                  <w:b w:val="false"/>
                  <w:color w:val="0000FF"/>
                  <w:sz w:val="20"/>
                  <w:u w:val="single"/>
                </w:rPr>
                <w:t>27</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18">
              <w:r>
                <w:rPr>
                  <w:rStyle w:val="InternetLink"/>
                  <w:rFonts w:ascii="Times New Roman;serif" w:hAnsi="Times New Roman;serif"/>
                  <w:b w:val="false"/>
                  <w:color w:val="0000FF"/>
                  <w:sz w:val="20"/>
                  <w:u w:val="singl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18">
              <w:r>
                <w:rPr>
                  <w:rStyle w:val="InternetLink"/>
                  <w:rFonts w:ascii="Times New Roman;serif" w:hAnsi="Times New Roman;serif"/>
                  <w:b w:val="false"/>
                  <w:color w:val="0000FF"/>
                  <w:sz w:val="20"/>
                  <w:u w:val="single"/>
                </w:rPr>
                <w:t>Risk Factors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18">
              <w:r>
                <w:rPr>
                  <w:rStyle w:val="InternetLink"/>
                  <w:rFonts w:ascii="Times New Roman;serif" w:hAnsi="Times New Roman;serif"/>
                  <w:b w:val="false"/>
                  <w:color w:val="0000FF"/>
                  <w:sz w:val="20"/>
                  <w:u w:val="single"/>
                </w:rPr>
                <w:t>27</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21">
              <w:r>
                <w:rPr>
                  <w:rStyle w:val="InternetLink"/>
                  <w:rFonts w:ascii="Times New Roman;serif" w:hAnsi="Times New Roman;serif"/>
                  <w:b w:val="false"/>
                  <w:color w:val="0000FF"/>
                  <w:sz w:val="20"/>
                  <w:u w:val="singl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21">
              <w:r>
                <w:rPr>
                  <w:rStyle w:val="InternetLink"/>
                  <w:rFonts w:ascii="Times New Roman;serif" w:hAnsi="Times New Roman;serif"/>
                  <w:b w:val="false"/>
                  <w:color w:val="0000FF"/>
                  <w:sz w:val="20"/>
                  <w:u w:val="single"/>
                </w:rPr>
                <w:t>Unregistered Sales of Equity Securities and Use of Proceeds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21">
              <w:r>
                <w:rPr>
                  <w:rStyle w:val="InternetLink"/>
                  <w:rFonts w:ascii="Times New Roman;serif" w:hAnsi="Times New Roman;serif"/>
                  <w:b w:val="false"/>
                  <w:color w:val="0000FF"/>
                  <w:sz w:val="20"/>
                  <w:u w:val="single"/>
                </w:rPr>
                <w:t>27</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21">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21">
              <w:r>
                <w:rPr>
                  <w:rStyle w:val="InternetLink"/>
                  <w:rFonts w:ascii="Times New Roman;serif" w:hAnsi="Times New Roman;serif"/>
                  <w:b w:val="false"/>
                  <w:color w:val="0000FF"/>
                  <w:sz w:val="20"/>
                  <w:u w:val="single"/>
                </w:rPr>
                <w:t>Defaults Upon Senior Securities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21">
              <w:r>
                <w:rPr>
                  <w:rStyle w:val="InternetLink"/>
                  <w:rFonts w:ascii="Times New Roman;serif" w:hAnsi="Times New Roman;serif"/>
                  <w:b w:val="false"/>
                  <w:color w:val="0000FF"/>
                  <w:sz w:val="20"/>
                  <w:u w:val="single"/>
                </w:rPr>
                <w:t>27</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21">
              <w:r>
                <w:rPr>
                  <w:rStyle w:val="InternetLink"/>
                  <w:rFonts w:ascii="Times New Roman;serif" w:hAnsi="Times New Roman;serif"/>
                  <w:b w:val="false"/>
                  <w:color w:val="0000FF"/>
                  <w:sz w:val="20"/>
                  <w:u w:val="singl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21">
              <w:r>
                <w:rPr>
                  <w:rStyle w:val="InternetLink"/>
                  <w:rFonts w:ascii="Times New Roman;serif" w:hAnsi="Times New Roman;serif"/>
                  <w:b w:val="false"/>
                  <w:color w:val="0000FF"/>
                  <w:sz w:val="20"/>
                  <w:u w:val="single"/>
                </w:rPr>
                <w:t>Mine Safety Disclosures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21">
              <w:r>
                <w:rPr>
                  <w:rStyle w:val="InternetLink"/>
                  <w:rFonts w:ascii="Times New Roman;serif" w:hAnsi="Times New Roman;serif"/>
                  <w:b w:val="false"/>
                  <w:color w:val="0000FF"/>
                  <w:sz w:val="20"/>
                  <w:u w:val="single"/>
                </w:rPr>
                <w:t>27</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21">
              <w:r>
                <w:rPr>
                  <w:rStyle w:val="InternetLink"/>
                  <w:rFonts w:ascii="Times New Roman;serif" w:hAnsi="Times New Roman;serif"/>
                  <w:b w:val="false"/>
                  <w:color w:val="0000FF"/>
                  <w:sz w:val="20"/>
                  <w:u w:val="singl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21">
              <w:r>
                <w:rPr>
                  <w:rStyle w:val="InternetLink"/>
                  <w:rFonts w:ascii="Times New Roman;serif" w:hAnsi="Times New Roman;serif"/>
                  <w:b w:val="false"/>
                  <w:color w:val="0000FF"/>
                  <w:sz w:val="20"/>
                  <w:u w:val="single"/>
                </w:rPr>
                <w:t>Other Information</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21">
              <w:r>
                <w:rPr>
                  <w:rStyle w:val="InternetLink"/>
                  <w:rFonts w:ascii="Times New Roman;serif" w:hAnsi="Times New Roman;serif"/>
                  <w:b w:val="false"/>
                  <w:color w:val="0000FF"/>
                  <w:sz w:val="20"/>
                  <w:u w:val="single"/>
                </w:rPr>
                <w:t>27</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36">
              <w:r>
                <w:rPr>
                  <w:rStyle w:val="InternetLink"/>
                  <w:rFonts w:ascii="Times New Roman;serif" w:hAnsi="Times New Roman;serif"/>
                  <w:b w:val="false"/>
                  <w:color w:val="0000FF"/>
                  <w:sz w:val="20"/>
                  <w:u w:val="single"/>
                </w:rPr>
                <w:t>Item 6.</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36">
              <w:r>
                <w:rPr>
                  <w:rStyle w:val="InternetLink"/>
                  <w:rFonts w:ascii="Times New Roman;serif" w:hAnsi="Times New Roman;serif"/>
                  <w:b w:val="false"/>
                  <w:color w:val="0000FF"/>
                  <w:sz w:val="20"/>
                  <w:u w:val="single"/>
                </w:rPr>
                <w:t>Exhibits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9ace3bbd584de3bf3930f71ce2a320_136">
              <w:r>
                <w:rPr>
                  <w:rStyle w:val="InternetLink"/>
                  <w:rFonts w:ascii="Times New Roman;serif" w:hAnsi="Times New Roman;serif"/>
                  <w:b w:val="false"/>
                  <w:color w:val="0000FF"/>
                  <w:sz w:val="20"/>
                  <w:u w:val="single"/>
                </w:rPr>
                <w:t>28</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9ace3bbd584de3bf3930f71ce2a320_139">
              <w:r>
                <w:rPr>
                  <w:rStyle w:val="InternetLink"/>
                  <w:rFonts w:ascii="Times New Roman;serif" w:hAnsi="Times New Roman;serif"/>
                  <w:b w:val="false"/>
                  <w:color w:val="0000FF"/>
                  <w:sz w:val="20"/>
                  <w:u w:val="single"/>
                </w:rPr>
                <w:t>Signatures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before="0" w:after="180"/>
        <w:ind w:left="0" w:right="0" w:firstLine="36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All statements other than statements of historical facts contained in this Quarterly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Quarterly Report, including without limitation statements regarding our business model and strategic plans for our products, technologies and business, including our implementation thereof, the timing of and our ability to obtain and maintain regulatory approvals, our commercialization, marketing and manufacturing capabilities and strategy, our expectations about the commercial success and market acceptance of our products, the sufficiency of our cash, cash equivalents and short-term investments, and the plans and objectives of management for future operations and capital expenditures are forward-looking statements.</w:t>
      </w:r>
    </w:p>
    <w:p>
      <w:pPr>
        <w:pStyle w:val="TextBody"/>
        <w:bidi w:val="0"/>
        <w:spacing w:before="0" w:after="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Quarterly Report and are subject to a number of known and unknown risks, uncertainties, and assumptions, including those described under the sections in this Quarterly Report entitled “Risk Factors” and “Management’s Discussion and Analysis of Financial Condition and Results of Operations” and elsewhere in this Quarterly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may not occur and actual results could differ materially and adversely from those anticipated or implied in the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 </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18"/>
        <w:gridCol w:w="2389"/>
        <w:gridCol w:w="2424"/>
        <w:gridCol w:w="196"/>
        <w:gridCol w:w="736"/>
        <w:gridCol w:w="109"/>
        <w:gridCol w:w="109"/>
        <w:gridCol w:w="109"/>
        <w:gridCol w:w="109"/>
        <w:gridCol w:w="196"/>
        <w:gridCol w:w="736"/>
        <w:gridCol w:w="109"/>
        <w:gridCol w:w="109"/>
        <w:gridCol w:w="156"/>
      </w:tblGrid>
      <w:tr>
        <w:trPr/>
        <w:tc>
          <w:tcPr>
            <w:tcW w:w="2718"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11)</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$0.00001 par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Authorized shares: 10,000 at March 31, 2026 and December 31,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Issued and outstanding shares: none at March 31,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$0.00001 par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Authorized shares: 300,000 at March 31, 2026 and December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Issued and outstanding shares: 56,897 and 56,323 at March 31,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gain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456" w:type="dxa"/>
        <w:jc w:val="left"/>
        <w:tblInd w:w="0" w:type="dxa"/>
        <w:tblLayout w:type="fixed"/>
        <w:tblCellMar>
          <w:top w:w="28" w:type="dxa"/>
          <w:left w:w="28" w:type="dxa"/>
          <w:bottom w:w="28" w:type="dxa"/>
          <w:right w:w="28" w:type="dxa"/>
        </w:tblCellMar>
      </w:tblPr>
      <w:tblGrid>
        <w:gridCol w:w="1276"/>
        <w:gridCol w:w="1123"/>
        <w:gridCol w:w="1126"/>
        <w:gridCol w:w="211"/>
        <w:gridCol w:w="796"/>
        <w:gridCol w:w="109"/>
        <w:gridCol w:w="109"/>
        <w:gridCol w:w="109"/>
        <w:gridCol w:w="109"/>
        <w:gridCol w:w="211"/>
        <w:gridCol w:w="796"/>
        <w:gridCol w:w="109"/>
        <w:gridCol w:w="109"/>
        <w:gridCol w:w="109"/>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 net loss per share attributable to</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shareholders, basic and diluted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827"/>
        <w:gridCol w:w="505"/>
        <w:gridCol w:w="508"/>
        <w:gridCol w:w="360"/>
        <w:gridCol w:w="361"/>
        <w:gridCol w:w="196"/>
        <w:gridCol w:w="109"/>
        <w:gridCol w:w="109"/>
        <w:gridCol w:w="109"/>
        <w:gridCol w:w="211"/>
        <w:gridCol w:w="406"/>
        <w:gridCol w:w="109"/>
        <w:gridCol w:w="109"/>
        <w:gridCol w:w="109"/>
        <w:gridCol w:w="109"/>
        <w:gridCol w:w="211"/>
        <w:gridCol w:w="976"/>
        <w:gridCol w:w="109"/>
        <w:gridCol w:w="109"/>
        <w:gridCol w:w="109"/>
        <w:gridCol w:w="109"/>
        <w:gridCol w:w="430"/>
        <w:gridCol w:w="768"/>
        <w:gridCol w:w="224"/>
        <w:gridCol w:w="109"/>
        <w:gridCol w:w="109"/>
        <w:gridCol w:w="109"/>
        <w:gridCol w:w="211"/>
        <w:gridCol w:w="855"/>
        <w:gridCol w:w="109"/>
        <w:gridCol w:w="109"/>
        <w:gridCol w:w="109"/>
        <w:gridCol w:w="109"/>
        <w:gridCol w:w="211"/>
        <w:gridCol w:w="826"/>
        <w:gridCol w:w="157"/>
      </w:tblGrid>
      <w:tr>
        <w:trPr/>
        <w:tc>
          <w:tcPr>
            <w:tcW w:w="82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7"/>
        <w:gridCol w:w="544"/>
        <w:gridCol w:w="547"/>
        <w:gridCol w:w="360"/>
        <w:gridCol w:w="361"/>
        <w:gridCol w:w="196"/>
        <w:gridCol w:w="109"/>
        <w:gridCol w:w="109"/>
        <w:gridCol w:w="109"/>
        <w:gridCol w:w="211"/>
        <w:gridCol w:w="406"/>
        <w:gridCol w:w="109"/>
        <w:gridCol w:w="109"/>
        <w:gridCol w:w="109"/>
        <w:gridCol w:w="109"/>
        <w:gridCol w:w="211"/>
        <w:gridCol w:w="826"/>
        <w:gridCol w:w="109"/>
        <w:gridCol w:w="109"/>
        <w:gridCol w:w="109"/>
        <w:gridCol w:w="109"/>
        <w:gridCol w:w="392"/>
        <w:gridCol w:w="866"/>
        <w:gridCol w:w="204"/>
        <w:gridCol w:w="109"/>
        <w:gridCol w:w="109"/>
        <w:gridCol w:w="109"/>
        <w:gridCol w:w="211"/>
        <w:gridCol w:w="857"/>
        <w:gridCol w:w="109"/>
        <w:gridCol w:w="109"/>
        <w:gridCol w:w="109"/>
        <w:gridCol w:w="109"/>
        <w:gridCol w:w="211"/>
        <w:gridCol w:w="826"/>
        <w:gridCol w:w="157"/>
      </w:tblGrid>
      <w:tr>
        <w:trPr/>
        <w:tc>
          <w:tcPr>
            <w:tcW w:w="85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389,157 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8440" w:type="dxa"/>
        <w:jc w:val="left"/>
        <w:tblInd w:w="0" w:type="dxa"/>
        <w:tblLayout w:type="fixed"/>
        <w:tblCellMar>
          <w:top w:w="28" w:type="dxa"/>
          <w:left w:w="28" w:type="dxa"/>
          <w:bottom w:w="28" w:type="dxa"/>
          <w:right w:w="28" w:type="dxa"/>
        </w:tblCellMar>
      </w:tblPr>
      <w:tblGrid>
        <w:gridCol w:w="2011"/>
        <w:gridCol w:w="1763"/>
        <w:gridCol w:w="1776"/>
        <w:gridCol w:w="196"/>
        <w:gridCol w:w="736"/>
        <w:gridCol w:w="109"/>
        <w:gridCol w:w="109"/>
        <w:gridCol w:w="109"/>
        <w:gridCol w:w="109"/>
        <w:gridCol w:w="196"/>
        <w:gridCol w:w="736"/>
        <w:gridCol w:w="109"/>
        <w:gridCol w:w="109"/>
        <w:gridCol w:w="109"/>
        <w:gridCol w:w="109"/>
        <w:gridCol w:w="154"/>
      </w:tblGrid>
      <w:tr>
        <w:trPr/>
        <w:tc>
          <w:tcPr>
            <w:tcW w:w="201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(24,737)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Non-cash lease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Inventory write-down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Loss on foreign currency transactions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(38,127)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(2,914)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from the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(40,861)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336,763 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248,679 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319,245 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to balance sheets: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245,641 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316,207 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in balance sheets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248,679 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319,245 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Property and equipment included in accounts payable and accrued expenses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    Organization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lineRule="auto" w:line="276" w:before="0" w:after="0"/>
        <w:ind w:left="0" w:right="0" w:firstLine="490"/>
        <w:jc w:val="left"/>
        <w:rPr/>
      </w:pPr>
      <w:r>
        <w:rPr>
          <w:rFonts w:ascii="Times New Roman;serif" w:hAnsi="Times New Roman;serif"/>
          <w:b w:val="false"/>
          <w:color w:val="000000"/>
          <w:sz w:val="20"/>
        </w:rPr>
        <w:t>PROCEPT BioRobotics Corporation, or the Company, was incorporated in the state of California in 2007 and its headquarters are located in San Jose, California. In April 2021, the Company re-incorporated in the state of Delaware. The Company received U.S. Food and Drug Administration clearance in December 2017 to market its AquaBeam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Robotic System, an automated surgical robot providing tissue removal for the treatment of benign prostatic hyperplasia, a prostate gland enlargement condition. On August 20, 2024, the Company received 510(k) clearance from the FDA for its next generation robot system, HYDROS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Robotic System.</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Basis of Preparation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in accordance with U.S. generally accepted accounting principles, or U.S. GAAP, and pursuant to the rules and regulations of the United States Securities and Exchange Commission or SEC. These condensed consolidated financial statements include the accounts of the Company and its consolidated subsidiaries. All intercompany balances and transactions have been eliminated upon consolidation. </w:t>
      </w:r>
    </w:p>
    <w:p>
      <w:pPr>
        <w:pStyle w:val="TextBody"/>
        <w:bidi w:val="0"/>
        <w:spacing w:before="0" w:after="0"/>
        <w:ind w:left="0" w:right="0" w:firstLine="49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Unaudited Interim Financial Statements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accompanying balance sheet as of March 31, 2026, the statements of operations and comprehensive loss and cash flows for the three months ended March 31, 2026 and 2025, and the statements of stockholders’ equity as of March 31, 2026 and 2025, are unaudited. The financial data and other information disclosed in these notes to the financial statements related to March 31, 2026, and the three months ended March 31, 2026 and 2025, are also unaudited. The accompanying balance sheet as of December 31, 2025 has been derived from the audited consolidated financial statements included in the Company’s Annual Report on Form 10-K (“Annual Report”) filed with the Securities and Exchange Commission.</w:t>
      </w:r>
    </w:p>
    <w:p>
      <w:pPr>
        <w:pStyle w:val="TextBody"/>
        <w:bidi w:val="0"/>
        <w:spacing w:before="0" w:after="0"/>
        <w:ind w:left="0" w:right="0" w:firstLine="49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unaudited interim financial statements have been prepared on the same basis as the annual financial statements and, in the opinion of management, reflect all adjustments, which include only normal recurring adjustments, necessary to a fair statement of the Company’s financial position as of March 31, 2026, and the results of its operations and cash flows for the three months ended March 31, 2026 and 2025. The results for the three months ended March 31, 2026, are not necessarily indicative of results to be expected for the year ending December 31, 2026, or for any other interim period or for any future year and should be read in conjunction with the annual consolidated financial statements included in the Company’s Annual Report.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condensed consolidated financial statements in conformity with U.S. GAAP requires management to make estimates and assumptions that affect the amounts and disclosures reported in the condensed consolidated financial statements. Management uses significant judgment when making estimates related to its allowance for credit losses, excess and obsolete inventory reserves, stock-based compensation expense, right-of-use lease asset, lease liability, as well as certain accrued liabilities. Management bases its estimates on historical experience and on various other assumptions that are believed to be reasonable under the circumstances, the results of which form the basis for making judgments about the carrying values of assets and liabilities. Actual results could differ from those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ASU 2025-05 provides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yet been issued or made available for issuance. The Company adopted this ASU effective January 1, 2026. The ASU did not have a material impact to the Company’s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In January 2025, the FASB issued ASU 2025-01, Income Statement-Reporting Comprehensive Income-Expense Disaggregation Disclosures (Subtopic 220-40): Clarifying the Effective Date. The ASUs require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evaluating the impact this ASU will have on its financial statement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 Use Software (Subtopic 350-40): Targeted Improvements to the Accounting for Internal-Use Software. The ASU removes all references to prescriptive and sequential software development stages (referred to as “project stages”) and requires companies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 complete recognition threshold”). ASU 2025-06 is effective for fiscal years beginning after December 15, 2027, and interim reporting periods within those annual reporting periods. Early adoption is permitted. The adoption of this ASU is not expected to have a material impact to the Company’s financial statements.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9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assets and liabilities measured at fair value on a recurring basis (in thousands):</w:t>
      </w:r>
    </w:p>
    <w:tbl>
      <w:tblPr>
        <w:tblW w:w="10410" w:type="dxa"/>
        <w:jc w:val="left"/>
        <w:tblInd w:w="0" w:type="dxa"/>
        <w:tblLayout w:type="fixed"/>
        <w:tblCellMar>
          <w:top w:w="28" w:type="dxa"/>
          <w:left w:w="28" w:type="dxa"/>
          <w:bottom w:w="28" w:type="dxa"/>
          <w:right w:w="28" w:type="dxa"/>
        </w:tblCellMar>
      </w:tblPr>
      <w:tblGrid>
        <w:gridCol w:w="288"/>
        <w:gridCol w:w="253"/>
        <w:gridCol w:w="255"/>
        <w:gridCol w:w="181"/>
        <w:gridCol w:w="616"/>
        <w:gridCol w:w="109"/>
        <w:gridCol w:w="109"/>
        <w:gridCol w:w="109"/>
        <w:gridCol w:w="109"/>
        <w:gridCol w:w="181"/>
        <w:gridCol w:w="406"/>
        <w:gridCol w:w="109"/>
        <w:gridCol w:w="109"/>
        <w:gridCol w:w="109"/>
        <w:gridCol w:w="109"/>
        <w:gridCol w:w="181"/>
        <w:gridCol w:w="406"/>
        <w:gridCol w:w="109"/>
        <w:gridCol w:w="109"/>
        <w:gridCol w:w="109"/>
        <w:gridCol w:w="109"/>
        <w:gridCol w:w="181"/>
        <w:gridCol w:w="616"/>
        <w:gridCol w:w="109"/>
        <w:gridCol w:w="109"/>
        <w:gridCol w:w="109"/>
        <w:gridCol w:w="109"/>
        <w:gridCol w:w="181"/>
        <w:gridCol w:w="616"/>
        <w:gridCol w:w="109"/>
        <w:gridCol w:w="109"/>
        <w:gridCol w:w="109"/>
        <w:gridCol w:w="109"/>
        <w:gridCol w:w="181"/>
        <w:gridCol w:w="406"/>
        <w:gridCol w:w="109"/>
        <w:gridCol w:w="109"/>
        <w:gridCol w:w="109"/>
        <w:gridCol w:w="109"/>
        <w:gridCol w:w="181"/>
        <w:gridCol w:w="406"/>
        <w:gridCol w:w="109"/>
        <w:gridCol w:w="109"/>
        <w:gridCol w:w="109"/>
        <w:gridCol w:w="109"/>
        <w:gridCol w:w="181"/>
        <w:gridCol w:w="616"/>
        <w:gridCol w:w="109"/>
        <w:gridCol w:w="109"/>
        <w:gridCol w:w="109"/>
        <w:gridCol w:w="109"/>
        <w:gridCol w:w="109"/>
        <w:gridCol w:w="109"/>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equivalents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cash and cash equivalents</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 primarily of money market deposit funds.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value of the Company’s long-term debt approximates fair value as the debt bears interest at variable SOFR rates at March 31, 2026 and December 31, 2025, which is observable at commonly quoted intervals for the full term of the loan, and therefore, is considered a Level 2 item in the fair value hierarchy.</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Balance Sheet Components</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Allowance for credit losses (in thousands):</w:t>
      </w:r>
    </w:p>
    <w:tbl>
      <w:tblPr>
        <w:tblW w:w="5076" w:type="dxa"/>
        <w:jc w:val="left"/>
        <w:tblInd w:w="0" w:type="dxa"/>
        <w:tblLayout w:type="fixed"/>
        <w:tblCellMar>
          <w:top w:w="28" w:type="dxa"/>
          <w:left w:w="28" w:type="dxa"/>
          <w:bottom w:w="28" w:type="dxa"/>
          <w:right w:w="28" w:type="dxa"/>
        </w:tblCellMar>
      </w:tblPr>
      <w:tblGrid>
        <w:gridCol w:w="929"/>
        <w:gridCol w:w="815"/>
        <w:gridCol w:w="820"/>
        <w:gridCol w:w="109"/>
        <w:gridCol w:w="211"/>
        <w:gridCol w:w="616"/>
        <w:gridCol w:w="109"/>
        <w:gridCol w:w="109"/>
        <w:gridCol w:w="109"/>
        <w:gridCol w:w="109"/>
        <w:gridCol w:w="245"/>
        <w:gridCol w:w="716"/>
        <w:gridCol w:w="179"/>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Inventory (in thousands):</w:t>
      </w:r>
    </w:p>
    <w:tbl>
      <w:tblPr>
        <w:tblW w:w="4182" w:type="dxa"/>
        <w:jc w:val="left"/>
        <w:tblInd w:w="0" w:type="dxa"/>
        <w:tblLayout w:type="fixed"/>
        <w:tblCellMar>
          <w:top w:w="28" w:type="dxa"/>
          <w:left w:w="28" w:type="dxa"/>
          <w:bottom w:w="28" w:type="dxa"/>
          <w:right w:w="28" w:type="dxa"/>
        </w:tblCellMar>
      </w:tblPr>
      <w:tblGrid>
        <w:gridCol w:w="527"/>
        <w:gridCol w:w="462"/>
        <w:gridCol w:w="467"/>
        <w:gridCol w:w="211"/>
        <w:gridCol w:w="721"/>
        <w:gridCol w:w="109"/>
        <w:gridCol w:w="109"/>
        <w:gridCol w:w="109"/>
        <w:gridCol w:w="109"/>
        <w:gridCol w:w="222"/>
        <w:gridCol w:w="759"/>
        <w:gridCol w:w="114"/>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net, (in thousands):</w:t>
      </w:r>
    </w:p>
    <w:tbl>
      <w:tblPr>
        <w:tblW w:w="8056" w:type="dxa"/>
        <w:jc w:val="left"/>
        <w:tblInd w:w="0" w:type="dxa"/>
        <w:tblLayout w:type="fixed"/>
        <w:tblCellMar>
          <w:top w:w="28" w:type="dxa"/>
          <w:left w:w="28" w:type="dxa"/>
          <w:bottom w:w="28" w:type="dxa"/>
          <w:right w:w="28" w:type="dxa"/>
        </w:tblCellMar>
      </w:tblPr>
      <w:tblGrid>
        <w:gridCol w:w="2010"/>
        <w:gridCol w:w="1765"/>
        <w:gridCol w:w="1774"/>
        <w:gridCol w:w="211"/>
        <w:gridCol w:w="721"/>
        <w:gridCol w:w="109"/>
        <w:gridCol w:w="109"/>
        <w:gridCol w:w="109"/>
        <w:gridCol w:w="109"/>
        <w:gridCol w:w="221"/>
        <w:gridCol w:w="757"/>
        <w:gridCol w:w="161"/>
      </w:tblGrid>
      <w:tr>
        <w:trPr/>
        <w:tc>
          <w:tcPr>
            <w:tcW w:w="201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computer equipment, and furniture and fixtures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left"/>
        <w:rPr/>
      </w:pPr>
      <w:r>
        <w:rPr/>
      </w:r>
    </w:p>
    <w:p>
      <w:pPr>
        <w:pStyle w:val="TextBody"/>
        <w:bidi w:val="0"/>
        <w:spacing w:lineRule="auto" w:line="288" w:before="90" w:after="283"/>
        <w:jc w:val="left"/>
        <w:rPr>
          <w:rFonts w:ascii="Times New Roman;serif" w:hAnsi="Times New Roman;serif"/>
          <w:b/>
          <w:i/>
          <w:color w:val="000000"/>
          <w:sz w:val="20"/>
        </w:rPr>
      </w:pPr>
      <w:r>
        <w:rPr>
          <w:rFonts w:ascii="Times New Roman;serif" w:hAnsi="Times New Roman;serif"/>
          <w:b/>
          <w:i/>
          <w:color w:val="000000"/>
          <w:sz w:val="20"/>
        </w:rPr>
        <w:t>Deferred commission costs, (in thousands):</w:t>
      </w:r>
    </w:p>
    <w:tbl>
      <w:tblPr>
        <w:tblW w:w="6288" w:type="dxa"/>
        <w:jc w:val="left"/>
        <w:tblInd w:w="0" w:type="dxa"/>
        <w:tblLayout w:type="fixed"/>
        <w:tblCellMar>
          <w:top w:w="28" w:type="dxa"/>
          <w:left w:w="28" w:type="dxa"/>
          <w:bottom w:w="28" w:type="dxa"/>
          <w:right w:w="28" w:type="dxa"/>
        </w:tblCellMar>
      </w:tblPr>
      <w:tblGrid>
        <w:gridCol w:w="1248"/>
        <w:gridCol w:w="1096"/>
        <w:gridCol w:w="1105"/>
        <w:gridCol w:w="109"/>
        <w:gridCol w:w="109"/>
        <w:gridCol w:w="109"/>
        <w:gridCol w:w="109"/>
        <w:gridCol w:w="211"/>
        <w:gridCol w:w="616"/>
        <w:gridCol w:w="109"/>
        <w:gridCol w:w="109"/>
        <w:gridCol w:w="109"/>
        <w:gridCol w:w="109"/>
        <w:gridCol w:w="245"/>
        <w:gridCol w:w="716"/>
        <w:gridCol w:w="179"/>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Long-Term Debt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Term Loan Facility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2022, the Company entered into a loan and security agreement (as amended, “the Agreement”) with Canadian Imperial Bank of Commerce, or CIBC. The Agreement provides for a senior secured term loan facility in the aggregate principal amount of $52.0 million (the "Term Loan Facility") which was borrowed in full.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Facility is scheduled to mature on the fifth anniversary of the closing date (the “Maturity Date”). The Company has the option to prepay the Term Loan Facility without any prepayment charge or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loan borrowed under the Term Loan Facility bears interest at an annual rate equal to the secured overnight financing rate or SOFR (calculated based on an adjustment of .10%, .15% and .25%, respectively, for one-month, three-month or six-month term SOFR as of a specified date, subject to a floor of 1.5%) plus an applicable margin of 2.25%. The weighted-average interest rate for the periods ending March 31, 2026 and 2025 were 5.9%, and 6.6%,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Agreement are secured by substantially all of the Company's assets, including its intellectual property and by a pledge all of the Company's equity interests in its U.S. subsidiaries and 65% of the Company's equity interests in its non-U.S. subsidiaries that are directly owned by the Company. </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2025, the Company entered into a second amendment to the Agreement (the “Second Amendment”), which, among other things, modified the repayment terms such that the entire principal amount outstanding is now due on the Maturity Date, replacing the prior repayment schedule of interest-only payments followed by monthly principal amortization payments. Additionally, the Second Amendment modified the Company’s minimum cash holdings requirement at CIBC as follows: (a) if the Company’s cash and cash equivalents is less than $50.0 million, then the Company is required to maintain 100% of its cash and cash equivalents at CIBC; or (b) if the Company’s cash and cash equivalents is greater than or equal to $50.0 million, then the Company is required to maintain the greater of $50.0 million or 50% of its cash and cash equivalents at CIBC, with amounts exceeding $50.0 million permitted to be held outside of CIBC in collateral accounts managed by CIBC.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Loan Agreement, if the Company maintains less than $100.0 million in available cash, then the Company is required to meet either one of two financial covenants: a minimum unrestricted cash covenant or a minimum revenue and growth covenant. If the Company maintains at least $100.0 million in available cash, then it is not required to meet such financial covenants. As of March 31, 2026, the Company was in compliance with all debt covenants.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Future minimum annual debt repayments are as follows (in thousands): </w:t>
      </w:r>
    </w:p>
    <w:p>
      <w:pPr>
        <w:pStyle w:val="TextBody"/>
        <w:bidi w:val="0"/>
        <w:spacing w:before="180" w:after="283"/>
        <w:jc w:val="left"/>
        <w:rPr/>
      </w:pPr>
      <w:r>
        <w:rPr/>
      </w:r>
    </w:p>
    <w:tbl>
      <w:tblPr>
        <w:tblW w:w="5556" w:type="dxa"/>
        <w:jc w:val="left"/>
        <w:tblInd w:w="0" w:type="dxa"/>
        <w:tblLayout w:type="fixed"/>
        <w:tblCellMar>
          <w:top w:w="28" w:type="dxa"/>
          <w:left w:w="28" w:type="dxa"/>
          <w:bottom w:w="28" w:type="dxa"/>
          <w:right w:w="28" w:type="dxa"/>
        </w:tblCellMar>
      </w:tblPr>
      <w:tblGrid>
        <w:gridCol w:w="1620"/>
        <w:gridCol w:w="1421"/>
        <w:gridCol w:w="1429"/>
        <w:gridCol w:w="211"/>
        <w:gridCol w:w="721"/>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Fiscal Year</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amount representing unamortized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Facility Lease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entered into a lease for two existing buildings, comprising approximately 158,221 square feet of space, located in San Jose, California. The lease commenced in July 2022, and will continue for 122 months following thereafter, with two five year options to extend the term of the lease.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Rent expense recognized under the lease, including additional rent charges for utilities, parking, maintenance, and real estate taxes, was $1.4 million and $1.6 million for the three months ended March 31, 2026 and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Future minimum annual operating lease payments are as follows (in thousands): </w:t>
      </w:r>
    </w:p>
    <w:tbl>
      <w:tblPr>
        <w:tblW w:w="6215" w:type="dxa"/>
        <w:jc w:val="left"/>
        <w:tblInd w:w="0" w:type="dxa"/>
        <w:tblLayout w:type="fixed"/>
        <w:tblCellMar>
          <w:top w:w="28" w:type="dxa"/>
          <w:left w:w="28" w:type="dxa"/>
          <w:bottom w:w="28" w:type="dxa"/>
          <w:right w:w="28" w:type="dxa"/>
        </w:tblCellMar>
      </w:tblPr>
      <w:tblGrid>
        <w:gridCol w:w="1855"/>
        <w:gridCol w:w="1631"/>
        <w:gridCol w:w="1643"/>
        <w:gridCol w:w="211"/>
        <w:gridCol w:w="721"/>
        <w:gridCol w:w="154"/>
      </w:tblGrid>
      <w:tr>
        <w:trPr/>
        <w:tc>
          <w:tcPr>
            <w:tcW w:w="185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 of March 31, 2026</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interest/unamortized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Company’s security deposit is in the form of, and recorded as, restricted cash.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Lessor Information for Robotic Systems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Contractual maturities of gross lease receivables as of March 31, 2026 are as follows (in thousands):</w:t>
      </w:r>
    </w:p>
    <w:tbl>
      <w:tblPr>
        <w:tblW w:w="3002" w:type="dxa"/>
        <w:jc w:val="left"/>
        <w:tblInd w:w="0" w:type="dxa"/>
        <w:tblLayout w:type="fixed"/>
        <w:tblCellMar>
          <w:top w:w="28" w:type="dxa"/>
          <w:left w:w="28" w:type="dxa"/>
          <w:bottom w:w="28" w:type="dxa"/>
          <w:right w:w="28" w:type="dxa"/>
        </w:tblCellMar>
      </w:tblPr>
      <w:tblGrid>
        <w:gridCol w:w="614"/>
        <w:gridCol w:w="538"/>
        <w:gridCol w:w="542"/>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79" w:type="dxa"/>
        <w:jc w:val="left"/>
        <w:tblInd w:w="0" w:type="dxa"/>
        <w:tblLayout w:type="fixed"/>
        <w:tblCellMar>
          <w:top w:w="28" w:type="dxa"/>
          <w:left w:w="28" w:type="dxa"/>
          <w:bottom w:w="28" w:type="dxa"/>
          <w:right w:w="28" w:type="dxa"/>
        </w:tblCellMar>
      </w:tblPr>
      <w:tblGrid>
        <w:gridCol w:w="1064"/>
        <w:gridCol w:w="936"/>
        <w:gridCol w:w="940"/>
        <w:gridCol w:w="109"/>
        <w:gridCol w:w="109"/>
        <w:gridCol w:w="109"/>
        <w:gridCol w:w="109"/>
        <w:gridCol w:w="211"/>
        <w:gridCol w:w="616"/>
        <w:gridCol w:w="109"/>
        <w:gridCol w:w="109"/>
        <w:gridCol w:w="109"/>
        <w:gridCol w:w="109"/>
        <w:gridCol w:w="245"/>
        <w:gridCol w:w="716"/>
        <w:gridCol w:w="179"/>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receivables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Unearned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components of income from sales-type leases are as follows:</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left"/>
        <w:rPr/>
      </w:pPr>
      <w:r>
        <w:rPr/>
      </w:r>
    </w:p>
    <w:tbl>
      <w:tblPr>
        <w:tblW w:w="5268" w:type="dxa"/>
        <w:jc w:val="left"/>
        <w:tblInd w:w="0" w:type="dxa"/>
        <w:tblLayout w:type="fixed"/>
        <w:tblCellMar>
          <w:top w:w="28" w:type="dxa"/>
          <w:left w:w="28" w:type="dxa"/>
          <w:bottom w:w="28" w:type="dxa"/>
          <w:right w:w="28" w:type="dxa"/>
        </w:tblCellMar>
      </w:tblPr>
      <w:tblGrid>
        <w:gridCol w:w="760"/>
        <w:gridCol w:w="668"/>
        <w:gridCol w:w="671"/>
        <w:gridCol w:w="435"/>
        <w:gridCol w:w="838"/>
        <w:gridCol w:w="225"/>
        <w:gridCol w:w="225"/>
        <w:gridCol w:w="225"/>
        <w:gridCol w:w="225"/>
        <w:gridCol w:w="225"/>
        <w:gridCol w:w="211"/>
        <w:gridCol w:w="40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771" w:type="dxa"/>
            <w:gridSpan w:val="3"/>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Sales-type lease revenue</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Leases receivable relating to sales-type lease arrangements are presented on the Company’s consolidated balance sheets as follows (in thousands):</w:t>
      </w:r>
    </w:p>
    <w:tbl>
      <w:tblPr>
        <w:tblW w:w="5779" w:type="dxa"/>
        <w:jc w:val="left"/>
        <w:tblInd w:w="0" w:type="dxa"/>
        <w:tblLayout w:type="fixed"/>
        <w:tblCellMar>
          <w:top w:w="28" w:type="dxa"/>
          <w:left w:w="28" w:type="dxa"/>
          <w:bottom w:w="28" w:type="dxa"/>
          <w:right w:w="28" w:type="dxa"/>
        </w:tblCellMar>
      </w:tblPr>
      <w:tblGrid>
        <w:gridCol w:w="1064"/>
        <w:gridCol w:w="934"/>
        <w:gridCol w:w="942"/>
        <w:gridCol w:w="109"/>
        <w:gridCol w:w="109"/>
        <w:gridCol w:w="109"/>
        <w:gridCol w:w="109"/>
        <w:gridCol w:w="211"/>
        <w:gridCol w:w="616"/>
        <w:gridCol w:w="109"/>
        <w:gridCol w:w="109"/>
        <w:gridCol w:w="109"/>
        <w:gridCol w:w="109"/>
        <w:gridCol w:w="245"/>
        <w:gridCol w:w="716"/>
        <w:gridCol w:w="17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recognized, before taxes, are as follows (in thousands): </w:t>
      </w:r>
    </w:p>
    <w:tbl>
      <w:tblPr>
        <w:tblW w:w="7070" w:type="dxa"/>
        <w:jc w:val="left"/>
        <w:tblInd w:w="0" w:type="dxa"/>
        <w:tblLayout w:type="fixed"/>
        <w:tblCellMar>
          <w:top w:w="28" w:type="dxa"/>
          <w:left w:w="28" w:type="dxa"/>
          <w:bottom w:w="28" w:type="dxa"/>
          <w:right w:w="28" w:type="dxa"/>
        </w:tblCellMar>
      </w:tblPr>
      <w:tblGrid>
        <w:gridCol w:w="1551"/>
        <w:gridCol w:w="1356"/>
        <w:gridCol w:w="1382"/>
        <w:gridCol w:w="211"/>
        <w:gridCol w:w="721"/>
        <w:gridCol w:w="109"/>
        <w:gridCol w:w="109"/>
        <w:gridCol w:w="109"/>
        <w:gridCol w:w="109"/>
        <w:gridCol w:w="211"/>
        <w:gridCol w:w="721"/>
        <w:gridCol w:w="109"/>
        <w:gridCol w:w="109"/>
        <w:gridCol w:w="109"/>
        <w:gridCol w:w="154"/>
      </w:tblGrid>
      <w:tr>
        <w:trPr/>
        <w:tc>
          <w:tcPr>
            <w:tcW w:w="15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capitalized in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8.0 million shares available for grant as of March 31, 2026 under the 2021 Equity Incentive Award Plan, or 2021 Plan.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stock option activity and related information are as follows (options in thousands): </w:t>
      </w:r>
    </w:p>
    <w:tbl>
      <w:tblPr>
        <w:tblW w:w="8024" w:type="dxa"/>
        <w:jc w:val="left"/>
        <w:tblInd w:w="0" w:type="dxa"/>
        <w:tblLayout w:type="fixed"/>
        <w:tblCellMar>
          <w:top w:w="28" w:type="dxa"/>
          <w:left w:w="28" w:type="dxa"/>
          <w:bottom w:w="28" w:type="dxa"/>
          <w:right w:w="28" w:type="dxa"/>
        </w:tblCellMar>
      </w:tblPr>
      <w:tblGrid>
        <w:gridCol w:w="1026"/>
        <w:gridCol w:w="903"/>
        <w:gridCol w:w="905"/>
        <w:gridCol w:w="469"/>
        <w:gridCol w:w="469"/>
        <w:gridCol w:w="471"/>
        <w:gridCol w:w="110"/>
        <w:gridCol w:w="110"/>
        <w:gridCol w:w="110"/>
        <w:gridCol w:w="570"/>
        <w:gridCol w:w="1668"/>
        <w:gridCol w:w="296"/>
        <w:gridCol w:w="109"/>
        <w:gridCol w:w="109"/>
        <w:gridCol w:w="109"/>
        <w:gridCol w:w="109"/>
        <w:gridCol w:w="109"/>
        <w:gridCol w:w="109"/>
        <w:gridCol w:w="109"/>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beginning of period</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end of period</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9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93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4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aggregate pre-tax intrinsic value of options outstanding and exercisable was $44.7 million and $61.0 million, respectively, and the aggregate pre-tax intrinsic value of options outstanding were $44.7 million and $61.0 million, respectively. The aggregate pre-tax intrinsic value of options exercised was $1.4 million and $8.7 million during the three months ended March 31, 2026 and 2025,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a total of $16.9 million of unrecognized stock-based compensation expense related to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options granted to employees or directors was estimated as of the grant date using the Black-Scholes model assuming the weighted-average assumptions listed in the following table: </w:t>
      </w:r>
    </w:p>
    <w:tbl>
      <w:tblPr>
        <w:tblW w:w="5309" w:type="dxa"/>
        <w:jc w:val="left"/>
        <w:tblInd w:w="0" w:type="dxa"/>
        <w:tblLayout w:type="fixed"/>
        <w:tblCellMar>
          <w:top w:w="28" w:type="dxa"/>
          <w:left w:w="28" w:type="dxa"/>
          <w:bottom w:w="28" w:type="dxa"/>
          <w:right w:w="28" w:type="dxa"/>
        </w:tblCellMar>
      </w:tblPr>
      <w:tblGrid>
        <w:gridCol w:w="875"/>
        <w:gridCol w:w="768"/>
        <w:gridCol w:w="771"/>
        <w:gridCol w:w="211"/>
        <w:gridCol w:w="616"/>
        <w:gridCol w:w="271"/>
        <w:gridCol w:w="109"/>
        <w:gridCol w:w="109"/>
        <w:gridCol w:w="109"/>
        <w:gridCol w:w="211"/>
        <w:gridCol w:w="616"/>
        <w:gridCol w:w="271"/>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volatility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Risk-free interest rate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dividend rate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unit, or RSU, activity and related information are as follows (RSUs in thousands):</w:t>
      </w:r>
    </w:p>
    <w:tbl>
      <w:tblPr>
        <w:tblW w:w="7544" w:type="dxa"/>
        <w:jc w:val="left"/>
        <w:tblInd w:w="0" w:type="dxa"/>
        <w:tblLayout w:type="fixed"/>
        <w:tblCellMar>
          <w:top w:w="28" w:type="dxa"/>
          <w:left w:w="28" w:type="dxa"/>
          <w:bottom w:w="28" w:type="dxa"/>
          <w:right w:w="28" w:type="dxa"/>
        </w:tblCellMar>
      </w:tblPr>
      <w:tblGrid>
        <w:gridCol w:w="939"/>
        <w:gridCol w:w="825"/>
        <w:gridCol w:w="830"/>
        <w:gridCol w:w="469"/>
        <w:gridCol w:w="469"/>
        <w:gridCol w:w="471"/>
        <w:gridCol w:w="110"/>
        <w:gridCol w:w="110"/>
        <w:gridCol w:w="110"/>
        <w:gridCol w:w="516"/>
        <w:gridCol w:w="1510"/>
        <w:gridCol w:w="268"/>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beginning of period</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end of period</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a total of $130.3 million of unrecognized stock-based compensation expense related to RSUs.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2021 Plan provides for issuance of performance stock units, or PSUs. PSUs granted are contingent upon the achievement of predetermined market, performance, and service conditions. PSUs are awarded to executives of the Company and generally time vest over a period of up to three years. Vesting is also generally contingent upon achievement of applicable performance metrics. PSU expense is recognized over the requisite service period.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awarded PSU shares with both a performance and service condition.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PSU activity and related information are as follows (PSUs in thousands):</w:t>
      </w:r>
    </w:p>
    <w:p>
      <w:pPr>
        <w:pStyle w:val="TextBody"/>
        <w:bidi w:val="0"/>
        <w:spacing w:before="0" w:after="0"/>
        <w:ind w:left="0" w:right="0" w:firstLine="360"/>
        <w:jc w:val="left"/>
        <w:rPr/>
      </w:pPr>
      <w:r>
        <w:rPr/>
      </w:r>
    </w:p>
    <w:tbl>
      <w:tblPr>
        <w:tblW w:w="7544" w:type="dxa"/>
        <w:jc w:val="left"/>
        <w:tblInd w:w="0" w:type="dxa"/>
        <w:tblLayout w:type="fixed"/>
        <w:tblCellMar>
          <w:top w:w="28" w:type="dxa"/>
          <w:left w:w="28" w:type="dxa"/>
          <w:bottom w:w="28" w:type="dxa"/>
          <w:right w:w="28" w:type="dxa"/>
        </w:tblCellMar>
      </w:tblPr>
      <w:tblGrid>
        <w:gridCol w:w="939"/>
        <w:gridCol w:w="825"/>
        <w:gridCol w:w="830"/>
        <w:gridCol w:w="469"/>
        <w:gridCol w:w="469"/>
        <w:gridCol w:w="471"/>
        <w:gridCol w:w="110"/>
        <w:gridCol w:w="110"/>
        <w:gridCol w:w="110"/>
        <w:gridCol w:w="516"/>
        <w:gridCol w:w="1510"/>
        <w:gridCol w:w="268"/>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beginning of period</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change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end of period</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total unrecognized stock-based compensation related to unvested PSUs was $7.6 million.</w:t>
      </w:r>
    </w:p>
    <w:p>
      <w:pPr>
        <w:pStyle w:val="TextBody"/>
        <w:bidi w:val="0"/>
        <w:spacing w:before="0" w:after="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period ended March 31, 2026, there were no stock purchases under the Employee Stock Purchase Plan, or ESPP. As of March 31, 2026, there was approximately $2.1 million of unrecognized cost related to the Employee Stock Purchase Plan, or ESPP. This cost is expected to be recognized over a weighted average period of 0.4 years. As of March 31, 2026, a total of 2.4 million shares were available for issuance under the ESPP.</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Net Loss Per Share</w:t>
      </w:r>
    </w:p>
    <w:p>
      <w:pPr>
        <w:pStyle w:val="TextBody"/>
        <w:bidi w:val="0"/>
        <w:spacing w:lineRule="auto" w:line="288" w:before="9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was determined as follows (in thousands, except per share amounts): </w:t>
      </w:r>
    </w:p>
    <w:p>
      <w:pPr>
        <w:pStyle w:val="TextBody"/>
        <w:bidi w:val="0"/>
        <w:spacing w:before="0" w:after="180"/>
        <w:ind w:left="0" w:right="0" w:firstLine="360"/>
        <w:jc w:val="left"/>
        <w:rPr/>
      </w:pPr>
      <w:r>
        <w:rPr/>
      </w:r>
    </w:p>
    <w:tbl>
      <w:tblPr>
        <w:tblW w:w="7003" w:type="dxa"/>
        <w:jc w:val="left"/>
        <w:tblInd w:w="0" w:type="dxa"/>
        <w:tblLayout w:type="fixed"/>
        <w:tblCellMar>
          <w:top w:w="28" w:type="dxa"/>
          <w:left w:w="28" w:type="dxa"/>
          <w:bottom w:w="28" w:type="dxa"/>
          <w:right w:w="28" w:type="dxa"/>
        </w:tblCellMar>
      </w:tblPr>
      <w:tblGrid>
        <w:gridCol w:w="1394"/>
        <w:gridCol w:w="1219"/>
        <w:gridCol w:w="1241"/>
        <w:gridCol w:w="211"/>
        <w:gridCol w:w="796"/>
        <w:gridCol w:w="109"/>
        <w:gridCol w:w="109"/>
        <w:gridCol w:w="109"/>
        <w:gridCol w:w="109"/>
        <w:gridCol w:w="211"/>
        <w:gridCol w:w="796"/>
        <w:gridCol w:w="109"/>
        <w:gridCol w:w="109"/>
        <w:gridCol w:w="109"/>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securities outstanding have been excluded from the computations of weighted-average shares outstanding because such securities have an antidilutive impact due to losses reported (in common stock equivalent shares, in thousands): </w:t>
      </w:r>
    </w:p>
    <w:tbl>
      <w:tblPr>
        <w:tblW w:w="5622" w:type="dxa"/>
        <w:jc w:val="left"/>
        <w:tblInd w:w="0" w:type="dxa"/>
        <w:tblLayout w:type="fixed"/>
        <w:tblCellMar>
          <w:top w:w="28" w:type="dxa"/>
          <w:left w:w="28" w:type="dxa"/>
          <w:bottom w:w="28" w:type="dxa"/>
          <w:right w:w="28" w:type="dxa"/>
        </w:tblCellMar>
      </w:tblPr>
      <w:tblGrid>
        <w:gridCol w:w="1182"/>
        <w:gridCol w:w="1040"/>
        <w:gridCol w:w="1048"/>
        <w:gridCol w:w="308"/>
        <w:gridCol w:w="308"/>
        <w:gridCol w:w="156"/>
        <w:gridCol w:w="109"/>
        <w:gridCol w:w="109"/>
        <w:gridCol w:w="109"/>
        <w:gridCol w:w="308"/>
        <w:gridCol w:w="308"/>
        <w:gridCol w:w="156"/>
        <w:gridCol w:w="109"/>
        <w:gridCol w:w="109"/>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performance stock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disaggregated by type and geography (in thousands):</w:t>
      </w:r>
    </w:p>
    <w:tbl>
      <w:tblPr>
        <w:tblW w:w="5750" w:type="dxa"/>
        <w:jc w:val="left"/>
        <w:tblInd w:w="0" w:type="dxa"/>
        <w:tblLayout w:type="fixed"/>
        <w:tblCellMar>
          <w:top w:w="28" w:type="dxa"/>
          <w:left w:w="28" w:type="dxa"/>
          <w:bottom w:w="28" w:type="dxa"/>
          <w:right w:w="28" w:type="dxa"/>
        </w:tblCellMar>
      </w:tblPr>
      <w:tblGrid>
        <w:gridCol w:w="1073"/>
        <w:gridCol w:w="938"/>
        <w:gridCol w:w="958"/>
        <w:gridCol w:w="211"/>
        <w:gridCol w:w="721"/>
        <w:gridCol w:w="109"/>
        <w:gridCol w:w="109"/>
        <w:gridCol w:w="109"/>
        <w:gridCol w:w="109"/>
        <w:gridCol w:w="211"/>
        <w:gridCol w:w="721"/>
        <w:gridCol w:w="109"/>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 sales and rentals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Handpieces and other consumables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of U.S.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 sales and rentals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Handpieces and other consumables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outside of U.S.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recognized $5.2 million of revenue, that was included in the deferred revenue balance as of December 31, 2025. During the three months ended March 31, 2025, the Company recognized $4.0 million of revenue, that was included in the deferred revenue balance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Segment, Geographical, and Customer Concentration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The Company’s chief operating decision maker, or CODM, its Chief Executive Officer, reviews the Company’s forecast, as well as budget to actual financial information, as key inputs to making decisions on resource allocation and assessing the performance of the business. The CODM monitors budget versus actual results using income (loss) from operations, income (loss) before provision for income taxes, and net income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expenses within income from operations, as well as within net income (loss), include cost of goods sold, research and development expenses, and selling, general and administrative expenses, which are each separately presented on the Company’s consolidated statements of operations. Other segment items within net income (loss) include interest expense, and interest and other income, net on an aggregate basis for the purposes of allocating resources and evaluating financial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assets are primarily based in the United States.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 customers accounted for more than 10% of revenue during the three months ended March 31, 2026 and 2025.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 customer accounted for more than 10% of accounts receivable at March 31, 2026 and December 31,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by significant geographical locations for the periods indicated:</w:t>
      </w:r>
    </w:p>
    <w:tbl>
      <w:tblPr>
        <w:tblW w:w="5379" w:type="dxa"/>
        <w:jc w:val="left"/>
        <w:tblInd w:w="0" w:type="dxa"/>
        <w:tblLayout w:type="fixed"/>
        <w:tblCellMar>
          <w:top w:w="28" w:type="dxa"/>
          <w:left w:w="28" w:type="dxa"/>
          <w:bottom w:w="28" w:type="dxa"/>
          <w:right w:w="28" w:type="dxa"/>
        </w:tblCellMar>
      </w:tblPr>
      <w:tblGrid>
        <w:gridCol w:w="789"/>
        <w:gridCol w:w="691"/>
        <w:gridCol w:w="695"/>
        <w:gridCol w:w="109"/>
        <w:gridCol w:w="109"/>
        <w:gridCol w:w="109"/>
        <w:gridCol w:w="200"/>
        <w:gridCol w:w="200"/>
        <w:gridCol w:w="498"/>
        <w:gridCol w:w="200"/>
        <w:gridCol w:w="200"/>
        <w:gridCol w:w="200"/>
        <w:gridCol w:w="200"/>
        <w:gridCol w:w="200"/>
        <w:gridCol w:w="498"/>
        <w:gridCol w:w="109"/>
        <w:gridCol w:w="109"/>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the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individual country outside the United States accounted for more than 10% of the Company’s revenue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Guarantees and Indemnifications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material claims or been required to defend any action related to its indemnification obligations. As of March 31, 2026 and December 31, 2025, the Company does not have any material indemnification claims that were probable or reasonably possible and consequently has not recorded related liabilities.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legal proceedings arising in the ordinary course of our business. The Company is not presently a party to any legal proceedings that, in the opinion of management, would have a material adverse effect on the business. Regardless of outcome, litigation can have an adverse impact on the Company due to defense and settlement costs, diversion of management resources, negative publicity and reputation harm, and other factors.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liability and related charge to earnings are recorded in the financial statements for legal contingencies when the loss is considered probable and the amount can be reasonably estimated. The assessment is re-evaluated each accounting period and is based on all available information.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Defined Contribution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defined contribution retirement savings plan under Section 401(k) of the Internal Revenue Code. This plan allows eligible employees to defer a portion of their annual compensation on both a pre-tax and after-tax basis. Employer contributions were $1.2 million and $0.9 million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together with our financial statements and related notes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the section titled “Risk Factors” and elsewhere in this report. Please also see the section titled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surgical robotics company focused on advancing patient care by developing transformative solutions in urology. We develop, manufacture and sell the AquaBeam Robotic System and HYDROS Robotic System, which are advanced, image-guided, surgical robotic systems for use in minimally invasive urologic surgery, with an initial focus on treating benign prostatic hyperplasia, or BPH. BPH is the most common prostate disease and impacts approximately 40 million men in the United States. Each of our robotic systems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robotic systems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is independent of prostate size and shape, and delivers resection independent of surgeon experience. We have developed a significant and growing body of clinical evidence, which includes nine clinical studies and over 150 peer-reviewed publications, supporting the benefits and clinical advantages of Aquablation therapy. As of March 31, 2026, we had an install base of 971 AquaBeam Robotic Systems and HYDROS Robotic Systems globally, including 765 in the United States.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U.S. pivotal trial, the WATER study, is the only FDA pivotal study randomized against transurethral resection of prostate, or TURP, which is the historical standard of care for the surgical treatment of BPH.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manufacture the robotic systems, the single-use disposable handpiece, integrated scope and other accessories at our facility in San Jose, California. This includes supporting the supply chain distribution and logistics of the various components. Components, sub-assemblies and services required to manufacture our products are purchased from numerous global suppliers. Each robotic system is shipped to our customers with a third-party manufactured ultrasound system and probe. We utilize a well-known third-party logistics provider located in the United States and the Netherlands to ship our products to our customers globally.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generated revenue of $83.1 million and incurred a net loss of $31.6 million for the three months ended March 31, 2026, compared to revenue of $69.2 million and a net loss of $24.7 million for the three months ended March 31, 2025. As of March 31, 2026, we had cash and cash equivalents of $245.6 million and an accumulated deficit of $673.2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before="180" w:after="283"/>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Factors Affecting Our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there are several important factors that have impacted and that we expect will impact our operating performance and results of operations for the foreseeable future. While these factors may present significant opportunities for us, they also pose significant risks and challenges that we must address. See the section titled “Risk Factors” for more information. These factors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Grow our install base of robotic systems:</w:t>
      </w:r>
      <w:r>
        <w:rPr>
          <w:color w:val="000000"/>
        </w:rPr>
        <w:t xml:space="preserve"> </w:t>
      </w:r>
      <w:r>
        <w:rPr>
          <w:rFonts w:ascii="Times New Roman;serif" w:hAnsi="Times New Roman;serif"/>
          <w:b w:val="false"/>
          <w:color w:val="000000"/>
          <w:sz w:val="20"/>
        </w:rPr>
        <w:t>As of March 31, 2026, we had an install base of 971 robotic systems globally, including 765 in the United States. In the United States, we are initially focused on driving adoption of Aquablation therapy among urologists that perform hospital-based resective BPH surgery. We target approximately 2,700 hospitals that perform resective BPH procedures in the United States. To penetrate these hospitals, we expect to continue to increase our direct team of capital sales representatives, who are focused on driving system placement within hospitals by engaging with key surgeons and decision makers to educate them about the compelling value proposition of Aquablation therapy. As we increase our install base of robotic systems, we expect our revenue to increase as a result of the system sale and resulting utilization.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Increase system utilization:</w:t>
      </w:r>
      <w:r>
        <w:rPr>
          <w:color w:val="000000"/>
        </w:rPr>
        <w:t xml:space="preserve"> </w:t>
      </w:r>
      <w:r>
        <w:rPr>
          <w:rFonts w:ascii="Times New Roman;serif" w:hAnsi="Times New Roman;serif"/>
          <w:b w:val="false"/>
          <w:color w:val="000000"/>
          <w:sz w:val="20"/>
        </w:rPr>
        <w:t xml:space="preserve">Our revenue is significantly impacted by the utilization of our robotic systems. Once we place a system within a hospital our 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expect to leverage their experiences to capture more surgical volumes and establish Aquablation therapy as the surgical standard of care.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Reimbursement and coverage decisions by third-party payors.</w:t>
      </w:r>
      <w:r>
        <w:rPr>
          <w:color w:val="000000"/>
        </w:rPr>
        <w:t xml:space="preserve"> </w:t>
      </w:r>
      <w:r>
        <w:rPr>
          <w:rFonts w:ascii="Times New Roman;serif" w:hAnsi="Times New Roman;serif"/>
          <w:b w:val="false"/>
          <w:color w:val="000000"/>
          <w:sz w:val="20"/>
        </w:rPr>
        <w:t>Healthcare providers in the United States generally rely on third-party payors, principally federal Medicare, state Medicaid and private health insurance plans, to cover all or part of the cost of procedures using our robotic system. The revenue we are able to generate from sales of our products depends in large part on the availability of sufficient reimbursement from such payors. Effective in 2021, all local MACs, representing 100% of eligible Medicare patients, issued final positive local coverage determinations to provide Medicare beneficiaries with access to Aquablation therapy in all 50 states. We believe that these favorable coverage decisions have been a catalyst for hospital adoption of our robotic systems. We believe our strong body of clinical evidence and support from key societies, supplemented by the momentum from Medicare coverage, have led to favorable coverage decisions from many large commercial payors. We plan to leverage these successes in our active discussions with commercial payors to establish additional positive national and regional coverage policies. We believe that additional commercial payor coverage will contribute to increasing utilization of our system over time. Outside of the United States, we have ongoing efforts in key markets to expand established coverage and further improve patient access to Aquablation therapy.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 xml:space="preserve">The results of our operations will depend, in part, on our ability to increase our gross margins by more effectively managing our costs to produce our robotic systems and single-use disposable handpieces, and to scale our manufacturing operations efficiently. We anticipate that as we expand our sales and marketing efforts and drive further sales growth, our purchasing costs on a per unit basis may decrease, and in turn improve our gross margin. As our commercial operations continue to grow, we expect to continue to realize operating leverage through increased scale efficiencies.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Investment in research and development to drive continuous improvements and innovation.</w:t>
      </w:r>
      <w:r>
        <w:rPr>
          <w:color w:val="000000"/>
        </w:rPr>
        <w:t xml:space="preserve"> </w:t>
      </w:r>
      <w:r>
        <w:rPr>
          <w:rFonts w:ascii="Times New Roman;serif" w:hAnsi="Times New Roman;serif"/>
          <w:b w:val="false"/>
          <w:color w:val="000000"/>
          <w:sz w:val="20"/>
        </w:rPr>
        <w:t>We are currently developing additional and next generation technologies to support and improve Aquablation therapy to further satisfy the evolving needs of surgeons and their patients as well as to further enhance the usability and scalability of our robotic systems. We also plan to leverage our treatment data and software development capabilities to integrate artificial intelligence and machine learning to enable computer-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assisted anatomy recognition and improved treatment planning and personalization. Our future growth is dependent on these continuous improvements which require significant resources and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our revenue primarily from the sales and rentals of our robotic systems, sales of our single-use disposable handpieces that are used during each surgery performed with our system, and related accessories. Additionally, we also derive revenue from service and repair and extended service contracts with our existing customers. We expect our revenue to increase in absolute dollars for the foreseeable future as we continue to focus on driving adoption of Aquablation therapy, and increased system utilization, though it may fluctuate from quarter to quarter.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by significant geographical locations for the periods indicated:</w:t>
      </w:r>
    </w:p>
    <w:tbl>
      <w:tblPr>
        <w:tblW w:w="4943" w:type="dxa"/>
        <w:jc w:val="left"/>
        <w:tblInd w:w="0" w:type="dxa"/>
        <w:tblLayout w:type="fixed"/>
        <w:tblCellMar>
          <w:top w:w="28" w:type="dxa"/>
          <w:left w:w="28" w:type="dxa"/>
          <w:bottom w:w="28" w:type="dxa"/>
          <w:right w:w="28" w:type="dxa"/>
        </w:tblCellMar>
      </w:tblPr>
      <w:tblGrid>
        <w:gridCol w:w="789"/>
        <w:gridCol w:w="691"/>
        <w:gridCol w:w="695"/>
        <w:gridCol w:w="200"/>
        <w:gridCol w:w="200"/>
        <w:gridCol w:w="498"/>
        <w:gridCol w:w="200"/>
        <w:gridCol w:w="200"/>
        <w:gridCol w:w="200"/>
        <w:gridCol w:w="200"/>
        <w:gridCol w:w="200"/>
        <w:gridCol w:w="498"/>
        <w:gridCol w:w="109"/>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the United States</w:t>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that both our United States and international revenue will increase in the near term as we continue to expand the install base of our robotic systems and increase the related single-use disposable handpieces sold. We expect our increase in revenue in absolute dollars to be larger in the United States.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Cost of Sales and Gross Margin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consists primarily of manufacturing overhead costs, material costs, warranty and service costs, direct labor, scrap and other direct costs such as shipping costs. A significant portion of our cost of sales currently consists of manufacturing overhead costs. These overhead costs include compensation for personnel, including stock-based compensation, facilities, equipment and operations supervision, quality assurance and material procurement. We expect our cost of sales to increase in absolute dollars for the foreseeable future primarily as, and to the extent, our revenue grows, or we make additional investments in our manufacturing capabilities, though it may fluctuate from period to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calculate gross margin percentage as gross profit divided by revenue. Our gross margin has been and will continue to be affected by a variety of factors, primarily, product and geographic mix and the resulting average selling prices, production volumes, manufacturing costs and product yields, and to a lesser extent the implementation of cost reduction strategies. We expect our gross margin to increase over the long term as our production volume increases and as we spread the fixed portion of our manufacturing overhead costs over a larger number of units produced, thereby significantly reducing our per unit manufacturing costs, though it may fluctuate from quarter to quarter. Our gross margins can fluctuate due to geographic mix. To the extent we sell more systems and handpieces in the United States, we expect our margins will increase due to the higher average selling prices as compared to sales outside of the United States.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or R&amp;D, expenses consist primarily of engineering, product development, regulatory affairs, consulting services, clinical trial expenses, materials, depreciation and other costs associated with products and technologies being developed. These expenses include employee and non-employee compensation, including stock-based compensation, supplies, materials, quality assurance expenses, consulting, related travel expenses and facilities expenses. We expect our R&amp;D expenses to increase in absolute dollars for the foreseeable future as we make strategic investments in R&amp;D, continue to develop and enhance existing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technologies, though it may fluctuate from quarter to quarter. However, over time, we expect our R&amp;D expenses to decrease as a percentage of revenue.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or SG&amp;A, expenses consist primarily of compensation for personnel, including stock-based compensation, related to selling, marketing, clinical affairs, professional education, finance, information technology, and human resource functions. SG&amp;A expenses also include commissions, training, travel expenses, promotional activities, conferences, trade shows, professional services fees, audit fees, legal fees, insurance costs, bad debt expense and general corporate expenses including allocated facilities-related expenses. Post-market clinical study expenses include trial design, site reimbursement, data management and travel expenses. We expect our SG&amp;A expenses to increase in absolute dollars for the foreseeable future as we expand our commercial infrastructure in order for us to execute on our long-term growth plan, though it may fluctuate from quarter to quarter. However, over time, we expect our SG&amp;A expenses to decrease as a percentage of revenue.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Interest and Other Income, Net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interest expense from our long-term debt.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Interest and 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consists primarily of interest income from our cash and cash equivalents balances.</w:t>
      </w:r>
    </w:p>
    <w:p>
      <w:pPr>
        <w:pStyle w:val="TextBody"/>
        <w:bidi w:val="0"/>
        <w:spacing w:lineRule="auto" w:line="288" w:before="18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foreign income taxes, as the Company does not have U.S. federal or state taxable income for the periods presented.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show our results of operations for the periods indicated:</w:t>
      </w:r>
    </w:p>
    <w:tbl>
      <w:tblPr>
        <w:tblW w:w="8583" w:type="dxa"/>
        <w:jc w:val="left"/>
        <w:tblInd w:w="0" w:type="dxa"/>
        <w:tblLayout w:type="fixed"/>
        <w:tblCellMar>
          <w:top w:w="28" w:type="dxa"/>
          <w:left w:w="28" w:type="dxa"/>
          <w:bottom w:w="28" w:type="dxa"/>
          <w:right w:w="28" w:type="dxa"/>
        </w:tblCellMar>
      </w:tblPr>
      <w:tblGrid>
        <w:gridCol w:w="1176"/>
        <w:gridCol w:w="1037"/>
        <w:gridCol w:w="1041"/>
        <w:gridCol w:w="211"/>
        <w:gridCol w:w="796"/>
        <w:gridCol w:w="271"/>
        <w:gridCol w:w="109"/>
        <w:gridCol w:w="109"/>
        <w:gridCol w:w="109"/>
        <w:gridCol w:w="211"/>
        <w:gridCol w:w="796"/>
        <w:gridCol w:w="271"/>
        <w:gridCol w:w="109"/>
        <w:gridCol w:w="109"/>
        <w:gridCol w:w="109"/>
        <w:gridCol w:w="211"/>
        <w:gridCol w:w="721"/>
        <w:gridCol w:w="109"/>
        <w:gridCol w:w="109"/>
        <w:gridCol w:w="109"/>
        <w:gridCol w:w="109"/>
        <w:gridCol w:w="216"/>
        <w:gridCol w:w="219"/>
        <w:gridCol w:w="316"/>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051" w:type="dxa"/>
            <w:gridSpan w:val="18"/>
            <w:tcBorders/>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i/>
          <w:color w:val="000000"/>
          <w:sz w:val="20"/>
        </w:rPr>
        <w:t>Comparison of Three</w:t>
      </w:r>
      <w:r>
        <w:rPr>
          <w:color w:val="000000"/>
        </w:rPr>
        <w:t xml:space="preserve"> </w:t>
      </w:r>
      <w:r>
        <w:rPr>
          <w:rFonts w:ascii="Times New Roman;serif" w:hAnsi="Times New Roman;serif"/>
          <w:b/>
          <w:i/>
          <w:color w:val="000000"/>
          <w:sz w:val="20"/>
        </w:rPr>
        <w:t xml:space="preserve">Months Ended March 31, 2026 and 2025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w:t>
      </w:r>
    </w:p>
    <w:tbl>
      <w:tblPr>
        <w:tblW w:w="7705" w:type="dxa"/>
        <w:jc w:val="left"/>
        <w:tblInd w:w="0" w:type="dxa"/>
        <w:tblLayout w:type="fixed"/>
        <w:tblCellMar>
          <w:top w:w="28" w:type="dxa"/>
          <w:left w:w="28" w:type="dxa"/>
          <w:bottom w:w="28" w:type="dxa"/>
          <w:right w:w="28" w:type="dxa"/>
        </w:tblCellMar>
      </w:tblPr>
      <w:tblGrid>
        <w:gridCol w:w="1073"/>
        <w:gridCol w:w="946"/>
        <w:gridCol w:w="95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8"/>
        <w:gridCol w:w="158"/>
        <w:gridCol w:w="316"/>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695" w:type="dxa"/>
            <w:gridSpan w:val="18"/>
            <w:tcBorders/>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 sales and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Handpieces and other consumables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increased $14.0 million, or 20%, to $83.1 million during the three months ended March 31, 2026, compared to $69.2 million during the three months ended March 31, 2025. The growth in revenue was primarily attributable to $72.0 million in revenue derived from the United States for the three months ended March 31, 2026. The increase was due to higher sales volumes of system sales, handpieces, other consumables, and service contracts.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Sales and Gross Margin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sales increased $4.2 million, or 17%, to $29.2 million during the three months ended March 31, 2026, compared to $25.0 million during the three months ended March 31, 2025. The increase in cost of sales was primarily attributable to the growth in the number of units sold.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margin increased to 65% during the three months ended March 31, 2026, compared to 64% for the three months ended March 31, 2025. The increase in gross margin was primarily attributable to the growth in unit sales, which allowed us to spread the fixed portion of our manufacturing overhead costs over more production units, and to a lesser extent, an increase in average selling prices on both our system sales and handpieces.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increased $5.1 million, or 31%, to $21.5 million during the three months ended March 31, 2026, compared to $16.4 million during the three months ended March 31, 2025. The increase in R&amp;D expenses was primarily due to employee-related expenses of our R&amp;D organization such as salaries and wages and stock-based compensation. These expenses support ongoing product improvements and the development of additional and next generation technologies.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SG&amp;A expenses increased $9.9 million, or 18%, to $65.1 million during the three months ended March 31, 2026, compared to $55.2 million during the three months ended March 31, 2025. The increase in SG&amp;A expenses was primarily due to employee-related expenses of our sales and marketing organization such as salaries and wages and stock-based compensation expense primarily to expand the commercial organization, and employee-related expenses of our administrative organization such as salaries and wages and stock-based compensation expense, to drive and support our growth in revenue.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Expense </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approximately $0.1 million, or 7%, to $0.8 million during the three months ended March 31, 2026, compared to $0.9 million during the three months ended March 31, 2025. The decrease in interest expense was primarily due to a decrease in the interest rate as compared to the prior period.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and Other Income, Net </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decreased $1.8 million for the three months ended March 31, 2026. The decrease was primarily due to a decrease in interest income, which was due to our decreased cash balances.</w:t>
      </w:r>
    </w:p>
    <w:p>
      <w:pPr>
        <w:pStyle w:val="TextBody"/>
        <w:bidi w:val="0"/>
        <w:spacing w:lineRule="auto" w:line="288" w:before="18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was immaterial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cash and cash equivalents of $245.6 million, an accumulated deficit of $673.2 million, and $52.0 million outstanding on our loan facility. We expect our expenses will increase for the foreseeable future, as we continue to make substantial investments in sales and marketing, operations and research and development. Our future funding requirements will depend on many factors,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degree and rate of market acceptance of our products and Aquablation therapy;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and timing of investment in our sales force and expansion of our commercial organization;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rate of progress and cost of our current or future clinical trials and registries;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of our research and development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and timing of additional regulatory clearances or approvals;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associated with any product recall that may occur;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associated with a regulatory or government action or other litigation;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associated with the manufacturing of our products at increased production levels;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of attaining, defending and enforcing our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we acquire third-party companies, products or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and timing of any other collaborative, licensing and other arrangements that we may establish;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emergence of competing technologies or other adverse market developments;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at which we expand internationally.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operating plan, we currently believe that our existing cash and cash equivalents and anticipated revenue will be sufficient to meet our capital requirements and fund our operations through at least the next twelve months from the issuance date of the financial statements. We have based this estimate on assumptions that may prove to be wrong, and we may need to utilize additional available capital resources. If these sources are insufficient to satisfy our liquidity requirements, we may seek to sell additional public equity or debt securities or obtain an additional credit facility. The sale of equity and convertible debt securities may result in dilution to our stockholders and, in the case of preferred equity securities or convertible debt, those securities could provide for rights, preferences or privileges senior to those of our common stock.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 If we are unable to obtain additional financing, we may be required to delay the development, commercialization and marketing of our products.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2022, we entered into a loan and security agreement with Canadian Imperial Bank of Commerce. The agreement provides for a senior secured term loan facility in the aggregate principal amount of $52.0 million (the “Term Loan Facility”), which was borrowed in full.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 Loan Facility is scheduled to mature on October 6, 2027, the fifth anniversary of the closing date, or the Maturity Date. We have the option to prepay the Term Loan Facility without any prepayment charge or fee.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loan borrowed under the Term Loan Facility bears interest at an annual rate equal to the secured overnight financing rate ("SOFR") (calculated based on an adjustment of 0.10%, 0.15% and 0.25%, respectively, for one-month, three-month or six-month term SOFR as of a specified date, subject to a floor of 1.5%) plus an applicable margin of 2.25%.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obligations under the loan and security agreement are secured by substantially all of our assets, including its intellectual property and by a pledge of all of our equity interests in its U.S. subsidiaries and 65% of our equity interests in its non-U.S. subsidiaries that are directly owned by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2025, we entered into a second amendment to the loan and security agreement (the “Second Amendment”), which, among other things, modified the repayment terms such that the entire principal amount outstanding is now due on the Maturity Date, replacing the prior repayment schedule of interest-only payments followed by monthly principal amortization payments. After giving effect to the Second Amendment, we are obligated to maintain in collateral accounts held at the lender (a) if our cash and cash equivalents is less than $50.0 million, 100% of our cash and cash equivalents; or (b) if our cash and cash equivalents is greater than or equal to $50.0 million, the greater of (i) $50.0 million or (ii) 50% of our cash and cash equivalents, with amounts exceeding $50.0 million permitted to be held outside of the lender in collateral accounts managed by the lender.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loan and security agreement contains certain customary representations and warranties, affirmative and negative covenants, and events of default. Under the loan and security agreement, if we maintain less than $100.0 million in available cash, then we are required to meet either one of two financial covenants: a minimum unrestricted cash covenant or a minimum revenue and growth covenant. The minimum unrestricted cash covenant requires that we maintain cash reserve not less than the greater of (i) $20.0 million, (ii) the absolute value of EBITDA losses (if any) for the most recent consecutive four-month period then ended or (iii) the aggregate outstanding principal amount of $52.0 million. The minimum revenue and growth covenant requires our revenue, for the consecutive twelve-month period as of each measurement date, of not less than $50.0 million and of at least 115% as of the last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day of the consecutive twelve-month period of the immediately preceding year. If we maintain at least $100.0 million in available cash, then we are not required to meet such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9077" w:type="dxa"/>
        <w:jc w:val="left"/>
        <w:tblInd w:w="0" w:type="dxa"/>
        <w:tblLayout w:type="fixed"/>
        <w:tblCellMar>
          <w:top w:w="28" w:type="dxa"/>
          <w:left w:w="28" w:type="dxa"/>
          <w:bottom w:w="28" w:type="dxa"/>
          <w:right w:w="28" w:type="dxa"/>
        </w:tblCellMar>
      </w:tblPr>
      <w:tblGrid>
        <w:gridCol w:w="2061"/>
        <w:gridCol w:w="1814"/>
        <w:gridCol w:w="1825"/>
        <w:gridCol w:w="211"/>
        <w:gridCol w:w="796"/>
        <w:gridCol w:w="109"/>
        <w:gridCol w:w="109"/>
        <w:gridCol w:w="109"/>
        <w:gridCol w:w="109"/>
        <w:gridCol w:w="211"/>
        <w:gridCol w:w="796"/>
        <w:gridCol w:w="109"/>
        <w:gridCol w:w="109"/>
        <w:gridCol w:w="109"/>
        <w:gridCol w:w="109"/>
        <w:gridCol w:w="491"/>
      </w:tblGrid>
      <w:tr>
        <w:trPr/>
        <w:tc>
          <w:tcPr>
            <w:tcW w:w="206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18" w:type="dxa"/>
            <w:gridSpan w:val="4"/>
            <w:tcBorders/>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261" w:type="dxa"/>
            <w:gridSpan w:val="10"/>
            <w:tcBorders/>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Net Cash Used in Operating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net cash used in operating activities was $38.1 million, consisting primarily of a net loss of $31.6 million and an increase in net operating assets of $21.9 million, partially offset by non-cash charges of $15.4 million. The cash used in operations was primarily due to our net loss due to the increase in operating expenses to support our commercialization and development activities. The expansion of our commercialization activities resulted in an increase in accounts receivable, inventory, and accounts payable. Non-cash charges consisted primarily of stock-based compensation, depreciation, and reserves for excess and obsolete inventory.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net cash used in operating activities was $17.0 million, consisting primarily of a net loss of $24.7 million and an increase in net operating assets of $4.3 million, partially offset by non-cash charges of $12.1 million. The cash used in operations was primarily due to our net loss due to the increase in operating expenses to support our commercialization and development activities. The expansion of our commercialization activities resulted in an increase in inventory and accounts payable, partially offset by a decrease in accounts receivable, due to timing of cash receipts. Non-cash charges consisted primarily of stock-based compensation, depreciation, and reserves for excess and obsolete inventory.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Net Cash Used in Investing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net cash used in investing activities was $2.9 million, consisting of purchases of property and equipment. During the three months ended March 31, 2025, net cash used in investing activities was $1.8 million, consisting of purchases of property and equipment.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Net Cash Provided by Financing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provided by financing activities was $0.2 million, consisting of proceeds from exercises of stock options. During the three months ended March 31, 2025, net cash provided by financing activities was $1.3 million, consisting of proceeds from exercises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Contractual Commitments and 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Note 11 to the condensed consolidated financial statements included in Part I, Item 1 of this Quarterly Report on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have during the periods presented, and we do not currently have any off-balance sheet arrangements, such as structured finance, special purpose entities or variable interest entities.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accounting policies and estimates used in preparation of the unaudited condensed consolidated financial statements are described in our audited consolidated financial statements as of and for the year ended December 31, 2025, and the notes thereto, which are included in our Annual Report on Form 10-K dated February 26, 2026, or Annual Report, and in “Management’s Discussion and Analysis of Financial Condition and Results of Operations” included in our Annual Report. There have been no material changes to our significant accounting policies during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Note 2 to the condensed consolidated financial statements included in Part I, Item 1 of this Quarterly Report on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market risks related to interest rate, credit, foreign currency exchange rates, and effects of inflation are described in Part II Item 7A, “Quantitative and Qualitative Disclosures About Market Risk”, of our 2025 Annual Report on Form 10-K. Our exposure to market risks has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March 31, 2026, our disclosure controls and procedures were effective at the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Limitations on Effectiveness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financial condition and operating results are affected by a number of factors, whether currently known or unknown, including risks specific to us or the healthcare industry as well as risks that affect businesses in general. In addition to the information set forth in this Quarterly Report on Form 10-Q, you should consider carefully the factors discussed in Part I, Item 1A, “Risk Factors” in our Annual Report on Form 10-K for the fiscal year ended December 31, 2025, filed with the SEC on February 26, 2026. The risks and uncertainties disclosed in such Annual Report and in this Quarterly Report could materially adversely affect our business, financial condition, cash flows or results of operations and thus our stock price. During the three months ended March 31, 2026, there were no material changes to our previously disclosed risk factors. Besides risk factors disclosed in the Annual Report and this Quarterly Report, additional risks and uncertainties not currently known or we currently deem to be immaterial may also materially adversely affect our business, financial condition or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risk factors may be important to understanding other statements in this Quarterly Report and should be read in conjunction with the unaudited condensed consolidated financial statements and related notes in Part I, Item 1, “Financial Statements” and Part I, Item 2, “Management’s Discussion and Analysis of Financial Condition and Results of Operations” of this Quarterly Report. Because of such risk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 director or officer of the Company informed us of the adoption or termination of a “Rule 10b5-1 trading arrangement” or a “non-Rule 10b5-1 trading arrangement” (as each term is defined in Item 408 of Regulation S-K), except as follows: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18, 2026, Kevin Waters, the Company’s Chief Financial Officer, adopted a pre-arranged written stock sale plan in accordance with Rule 10b5-1 (the “Waters Rule 10b5-1 Plan”) under the Exchange Act, for the sale of shares of the Company’s common stock. The Waters Rule 10b5-1 Plan was entered into in accordance with the Company’s policies regarding transactions and is intended to satisfy the affirmative defense of Rule 10b5-1(c) under the Exchange Act. The Waters Rule 10b5-1 Plan provides for the potential sale of up to 59,127 shares of the Company’s common stock during various specified trading periods through June 17,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following exhibits are filed or furnished as a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86"/>
        <w:gridCol w:w="251"/>
        <w:gridCol w:w="253"/>
        <w:gridCol w:w="109"/>
        <w:gridCol w:w="109"/>
        <w:gridCol w:w="109"/>
        <w:gridCol w:w="3006"/>
        <w:gridCol w:w="2873"/>
        <w:gridCol w:w="2834"/>
        <w:gridCol w:w="109"/>
        <w:gridCol w:w="109"/>
        <w:gridCol w:w="157"/>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r>
              <w:rPr>
                <w:color w:val="000000"/>
              </w:rPr>
              <w:t xml:space="preserve"> </w:t>
            </w:r>
            <w:r>
              <w:rPr>
                <w:rFonts w:ascii="Times New Roman;serif" w:hAnsi="Times New Roman;serif"/>
                <w:b w:val="false"/>
                <w:color w:val="000000"/>
                <w:sz w:val="20"/>
              </w:rPr>
              <w:t>(incorporated by reference to Exhibit 3.1 to the registrant’s Current Report on Form 8-K filed on September 21,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000FF"/>
                  <w:sz w:val="20"/>
                  <w:u w:val="single"/>
                </w:rPr>
                <w:t>Amended and Restated Bylaws</w:t>
              </w:r>
            </w:hyperlink>
            <w:r>
              <w:rPr>
                <w:color w:val="000000"/>
              </w:rPr>
              <w:t xml:space="preserve"> </w:t>
            </w:r>
            <w:r>
              <w:rPr>
                <w:rFonts w:ascii="Times New Roman;serif" w:hAnsi="Times New Roman;serif"/>
                <w:b w:val="false"/>
                <w:color w:val="000000"/>
                <w:sz w:val="20"/>
              </w:rPr>
              <w:t>(incorporated by reference to Exhibit 3.2 to the registrant’s Current Report on Form 8-K filed on September 21,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mendedandrestated2021espp1.htm">
              <w:r>
                <w:rPr>
                  <w:rStyle w:val="InternetLink"/>
                  <w:rFonts w:ascii="Times New Roman;serif" w:hAnsi="Times New Roman;serif"/>
                  <w:b w:val="false"/>
                  <w:color w:val="0000FF"/>
                  <w:sz w:val="20"/>
                  <w:u w:val="single"/>
                </w:rPr>
                <w:t>Amended and Restated 2021 Employee Stock Purchase Plan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ct-ex311soxcertification.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ct-ex312soxcertification.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ct-ex321soxcertification.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ct-ex322soxcertification.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Furnished herewith.</w:t>
      </w:r>
    </w:p>
    <w:p>
      <w:pPr>
        <w:pStyle w:val="TextBody"/>
        <w:bidi w:val="0"/>
        <w:spacing w:lineRule="auto" w:line="288" w:before="0" w:after="0"/>
        <w:ind w:left="0" w:right="0" w:hanging="360"/>
        <w:jc w:val="left"/>
        <w:rPr>
          <w:color w:val="000000"/>
        </w:rPr>
      </w:pPr>
      <w:r>
        <w:rPr>
          <w:color w:val="000000"/>
        </w:rPr>
        <w:t>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Dated: April 30, 2026</w:t>
      </w:r>
    </w:p>
    <w:tbl>
      <w:tblPr>
        <w:tblW w:w="467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3"/>
        <w:gridCol w:w="623"/>
        <w:gridCol w:w="623"/>
        <w:gridCol w:w="623"/>
        <w:gridCol w:w="623"/>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PROCEPT BIOROBOTICS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Larry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Larry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EVP,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 xml:space="preserve">PROCEPT BIOROBOTICS CORPORATION </w:t>
        <w:br/>
        <w:t>2021 EMPLOYEE STOCK PURCHASE PLAN</w:t>
      </w:r>
      <w:r>
        <w:rPr>
          <w:rFonts w:ascii="Times New Roman;serif" w:hAnsi="Times New Roman;serif"/>
          <w:b w:val="false"/>
          <w:color w:val="000000"/>
          <w:sz w:val="16"/>
        </w:rPr>
        <w:t>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I.PURPOSE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purposes of this PROCEPT BioRobotics Corporation 2021 Employee Stock Purchase Plan (as it may be amended or restated from time to time,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are to assist Eligible Employees of PROCEPT BioRobotics Corporation, a California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w:t>
        <w:br/>
        <w:t>DEFINITIONS AND CONSTRUCTION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2.1    “</w:t>
      </w:r>
      <w:r>
        <w:rPr>
          <w:rFonts w:ascii="Times New Roman;serif" w:hAnsi="Times New Roman;serif"/>
          <w:b/>
          <w:i/>
          <w:color w:val="000000"/>
          <w:sz w:val="24"/>
        </w:rPr>
        <w:t>Administrator</w:t>
      </w:r>
      <w:r>
        <w:rPr>
          <w:color w:val="000000"/>
        </w:rPr>
        <w:t xml:space="preserve">” </w:t>
      </w:r>
      <w:r>
        <w:rPr>
          <w:rFonts w:ascii="Times New Roman;serif" w:hAnsi="Times New Roman;serif"/>
          <w:b w:val="false"/>
          <w:color w:val="000000"/>
          <w:sz w:val="24"/>
        </w:rPr>
        <w:t>shall mean the entity that conducts the general administration of the Plan as provided in Article XI. The term “Administrator” shall refer to the Committee unless the Board has assumed the authority for administration of the Plan as provided in Article XI.</w:t>
      </w:r>
    </w:p>
    <w:p>
      <w:pPr>
        <w:pStyle w:val="TextBody"/>
        <w:bidi w:val="0"/>
        <w:spacing w:lineRule="auto" w:line="288" w:before="0" w:after="240"/>
        <w:ind w:left="0" w:right="0" w:firstLine="720"/>
        <w:jc w:val="left"/>
        <w:rPr/>
      </w:pPr>
      <w:r>
        <w:rPr>
          <w:rFonts w:ascii="Times New Roman;serif" w:hAnsi="Times New Roman;serif"/>
          <w:b w:val="false"/>
          <w:color w:val="000000"/>
          <w:sz w:val="24"/>
        </w:rPr>
        <w:t>2.2    “</w:t>
      </w:r>
      <w:r>
        <w:rPr>
          <w:rFonts w:ascii="Times New Roman;serif" w:hAnsi="Times New Roman;serif"/>
          <w:b/>
          <w:i/>
          <w:color w:val="000000"/>
          <w:sz w:val="24"/>
        </w:rPr>
        <w:t>Applicable Law</w:t>
      </w:r>
      <w:r>
        <w:rPr>
          <w:color w:val="000000"/>
        </w:rPr>
        <w:t xml:space="preserve">” </w:t>
      </w:r>
      <w:r>
        <w:rPr>
          <w:rFonts w:ascii="Times New Roman;serif" w:hAnsi="Times New Roman;serif"/>
          <w:b w:val="false"/>
          <w:color w:val="000000"/>
          <w:sz w:val="24"/>
        </w:rPr>
        <w:t>shall mean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pStyle w:val="TextBody"/>
        <w:bidi w:val="0"/>
        <w:spacing w:lineRule="auto" w:line="288" w:before="0" w:after="240"/>
        <w:ind w:left="0" w:right="0" w:firstLine="720"/>
        <w:jc w:val="left"/>
        <w:rPr/>
      </w:pPr>
      <w:r>
        <w:rPr>
          <w:rFonts w:ascii="Times New Roman;serif" w:hAnsi="Times New Roman;serif"/>
          <w:b w:val="false"/>
          <w:color w:val="000000"/>
          <w:sz w:val="24"/>
        </w:rPr>
        <w:t>2.3    “</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shall mean the Board of Directors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2.4    “</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means and includes each of the following: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w:t>
      </w:r>
    </w:p>
    <w:p>
      <w:pPr>
        <w:pStyle w:val="TextBody"/>
        <w:bidi w:val="0"/>
        <w:spacing w:lineRule="auto" w:line="288" w:before="120" w:after="283"/>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As amended effective for the November 15, 2024 and subsequent Offering Periods.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possessing more than 50% of the total combined voting power of the Company’s securities outstanding immediately after such acquisition; 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serif" w:hAnsi="Times New Roman;serif"/>
          <w:b/>
          <w:i/>
          <w:color w:val="000000"/>
          <w:sz w:val="24"/>
        </w:rPr>
        <w:t>Successor Entity</w:t>
      </w:r>
      <w:r>
        <w:rPr>
          <w:color w:val="000000"/>
        </w:rPr>
        <w:t>”</w:t>
      </w:r>
      <w:r>
        <w:rPr>
          <w:rFonts w:ascii="Times New Roman;serif" w:hAnsi="Times New Roman;serif"/>
          <w:b w:val="false"/>
          <w:color w:val="000000"/>
          <w:sz w:val="24"/>
        </w:rPr>
        <w:t>)) directly or indirectly, at least a majority of the combined voting power of the Successor Entity’s outstanding voting securities immediately after the transaction, and</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(ii)    after which no person or group beneficially owns voting securities representing 50% or more of the combined voting power of the Successor Entity;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pStyle w:val="TextBody"/>
        <w:bidi w:val="0"/>
        <w:spacing w:lineRule="auto" w:line="288" w:before="0" w:after="240"/>
        <w:jc w:val="left"/>
        <w:rPr/>
      </w:pPr>
      <w:r>
        <w:rPr>
          <w:rFonts w:ascii="Times New Roman;serif" w:hAnsi="Times New Roman;serif"/>
          <w:b w:val="false"/>
          <w:color w:val="000000"/>
          <w:sz w:val="24"/>
        </w:rPr>
        <w:t xml:space="preserve">Notwithstanding the foregoing, if a Change in Control constitutes a payment event with respect to any portion of any right that constitutes “nonqualified deferred compensation,” the transaction or event constituting the Change in Control with respect to such right (or portion thereof) must also constitute a “change in control event” (as defined in Treasury Regulation §1.409A-3(i)(5)) to trigger the payment event for such right, to the extent required by Section 409A of the Code. 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any exercise of authority in conjunction with a determination of whether a Change in Control is a “change in control event” as defined in Treasury Regulation Section 1.409A-3(i)(5) shall be consistent with such regulation.</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2.5    “</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shall mean the Internal Revenue Code of 1986, as amended and the regulations issued thereunder.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2.6    “</w:t>
      </w:r>
      <w:r>
        <w:rPr>
          <w:rFonts w:ascii="Times New Roman;serif" w:hAnsi="Times New Roman;serif"/>
          <w:b/>
          <w:i/>
          <w:color w:val="000000"/>
          <w:sz w:val="24"/>
        </w:rPr>
        <w:t>Common Stock</w:t>
      </w:r>
      <w:r>
        <w:rPr>
          <w:color w:val="000000"/>
        </w:rPr>
        <w:t xml:space="preserve">” </w:t>
      </w:r>
      <w:r>
        <w:rPr>
          <w:rFonts w:ascii="Times New Roman;serif" w:hAnsi="Times New Roman;serif"/>
          <w:b w:val="false"/>
          <w:color w:val="000000"/>
          <w:sz w:val="24"/>
        </w:rPr>
        <w:t>shall mean the common stock of the Company, and such other securities of the Company that may be substituted therefor pursuant to Article VIII.</w:t>
      </w:r>
    </w:p>
    <w:p>
      <w:pPr>
        <w:pStyle w:val="TextBody"/>
        <w:bidi w:val="0"/>
        <w:spacing w:lineRule="auto" w:line="288" w:before="0" w:after="240"/>
        <w:ind w:left="0" w:right="0" w:firstLine="720"/>
        <w:jc w:val="left"/>
        <w:rPr/>
      </w:pPr>
      <w:r>
        <w:rPr>
          <w:rFonts w:ascii="Times New Roman;serif" w:hAnsi="Times New Roman;serif"/>
          <w:b w:val="false"/>
          <w:color w:val="000000"/>
          <w:sz w:val="24"/>
        </w:rPr>
        <w:t>2.7    “</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shall mean PROCEPT BioRobotics Corporation, a Delaware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2.8    “</w:t>
      </w:r>
      <w:r>
        <w:rPr>
          <w:rFonts w:ascii="Times New Roman;serif" w:hAnsi="Times New Roman;serif"/>
          <w:b/>
          <w:i/>
          <w:color w:val="000000"/>
          <w:sz w:val="24"/>
        </w:rPr>
        <w:t>Compensation</w:t>
      </w:r>
      <w:r>
        <w:rPr>
          <w:color w:val="000000"/>
        </w:rPr>
        <w:t xml:space="preserve">” </w:t>
      </w:r>
      <w:r>
        <w:rPr>
          <w:rFonts w:ascii="Times New Roman;serif" w:hAnsi="Times New Roman;serif"/>
          <w:b w:val="false"/>
          <w:color w:val="000000"/>
          <w:sz w:val="24"/>
        </w:rPr>
        <w:t>of an Eligible Employee shall mean gross cash compensation of regular earnings or base salary received by such Eligible Employee as compensation for services to the Company or any Designated Subsidiary, including payment received under the Company’s sales variable compensation plans, prior week adjustment, overtime payments, shift differentials, vacation pay, holiday pay, jury duty pay, paid time off, funeral leave pay and military leave pay, but excluding period bonuses,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or all contributions made by the Company or any Designated Subsidiary for the Employee’s benefit under any employee benefit plan now or hereafter established. The Administrator, in its discretion, may establish a different definition of Compensation for an Offering Period.</w:t>
      </w:r>
    </w:p>
    <w:p>
      <w:pPr>
        <w:pStyle w:val="TextBody"/>
        <w:bidi w:val="0"/>
        <w:spacing w:lineRule="auto" w:line="288" w:before="0" w:after="240"/>
        <w:ind w:left="0" w:right="0" w:firstLine="720"/>
        <w:jc w:val="left"/>
        <w:rPr/>
      </w:pPr>
      <w:r>
        <w:rPr>
          <w:rFonts w:ascii="Times New Roman;serif" w:hAnsi="Times New Roman;serif"/>
          <w:b w:val="false"/>
          <w:color w:val="000000"/>
          <w:sz w:val="24"/>
        </w:rPr>
        <w:t>2.9    “</w:t>
      </w:r>
      <w:r>
        <w:rPr>
          <w:rFonts w:ascii="Times New Roman;serif" w:hAnsi="Times New Roman;serif"/>
          <w:b/>
          <w:i/>
          <w:color w:val="000000"/>
          <w:sz w:val="24"/>
        </w:rPr>
        <w:t>Designated Subsidiary</w:t>
      </w:r>
      <w:r>
        <w:rPr>
          <w:color w:val="000000"/>
        </w:rPr>
        <w:t xml:space="preserve">” </w:t>
      </w:r>
      <w:r>
        <w:rPr>
          <w:rFonts w:ascii="Times New Roman;serif" w:hAnsi="Times New Roman;serif"/>
          <w:b w:val="false"/>
          <w:color w:val="000000"/>
          <w:sz w:val="24"/>
        </w:rPr>
        <w:t>shall mean any Subsidiary designated by the Administrator in accordance with Section 11.3(b).</w:t>
      </w:r>
    </w:p>
    <w:p>
      <w:pPr>
        <w:pStyle w:val="TextBody"/>
        <w:bidi w:val="0"/>
        <w:spacing w:lineRule="auto" w:line="288" w:before="0" w:after="240"/>
        <w:ind w:left="0" w:right="0" w:firstLine="720"/>
        <w:jc w:val="left"/>
        <w:rPr/>
      </w:pPr>
      <w:r>
        <w:rPr>
          <w:rFonts w:ascii="Times New Roman;serif" w:hAnsi="Times New Roman;serif"/>
          <w:b w:val="false"/>
          <w:color w:val="000000"/>
          <w:sz w:val="24"/>
        </w:rPr>
        <w:t>2.10    “</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 xml:space="preserve">shall mean the Pricing Date,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the Board has adopted the Plan prior to or on such date.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2.11    “</w:t>
      </w:r>
      <w:r>
        <w:rPr>
          <w:rFonts w:ascii="Times New Roman;serif" w:hAnsi="Times New Roman;serif"/>
          <w:b/>
          <w:i/>
          <w:color w:val="000000"/>
          <w:sz w:val="24"/>
        </w:rPr>
        <w:t>Eligible Employee</w:t>
      </w:r>
      <w:r>
        <w:rPr>
          <w:color w:val="000000"/>
        </w:rPr>
        <w:t xml:space="preserve">” </w:t>
      </w:r>
      <w:r>
        <w:rPr>
          <w:rFonts w:ascii="Times New Roman;serif" w:hAnsi="Times New Roman;serif"/>
          <w:b w:val="false"/>
          <w:color w:val="000000"/>
          <w:sz w:val="24"/>
        </w:rPr>
        <w:t xml:space="preserve">shall mean an Employee who does not, immediately after any rights under this Plan are granted, own (directly or through attribution) stock possessing 5% or more of the total combined voting power or value of all classes of Common Stock and other stock of the Company, a Parent or a Subsidiary (as determined under Section 423(b)(3) of the Code). For purposes of the foregoing sentence, the rules of Section 424(d) of the Code with regard to the attribution of stock ownership shall apply in determining the stock ownership of an individual, and stock that an Employee may purchase under outstanding options shall be treated as stock owned by the Employee;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 xml:space="preserve">that the Administrator may provide in an Offering Document that an Employee shall not be eligible to participate in an Offering Period if: (a) such Employee is a highly compensated employee within the meaning of Section 423(b)(4)(D) of the Code, (b) such Employee has not met a service requirement designated by the Administrator pursuant to Section 423(b)(4)(A) of the Code (which service requirement may not exceed two years), (c) such Employee’s customary employment is for 20 hours or less per week, (d) such Employee’s customary employment is for less than five months in any calendar year and/or (e) 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would cause the Plan to violate the requirements of Section 423 of the Code, as determined by the Administrator in its sole discretion;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any exclusion in clauses (a), (b), (c), (d) or (e) shall be applied in an identical manner under each Offering Period to all Employees, in accordance with Treasury Regulation Section 1.423-2(e).</w:t>
      </w:r>
    </w:p>
    <w:p>
      <w:pPr>
        <w:pStyle w:val="TextBody"/>
        <w:bidi w:val="0"/>
        <w:spacing w:lineRule="auto" w:line="288" w:before="0" w:after="240"/>
        <w:ind w:left="0" w:right="0" w:firstLine="720"/>
        <w:jc w:val="left"/>
        <w:rPr/>
      </w:pPr>
      <w:r>
        <w:rPr>
          <w:rFonts w:ascii="Times New Roman;serif" w:hAnsi="Times New Roman;serif"/>
          <w:b w:val="false"/>
          <w:color w:val="000000"/>
          <w:sz w:val="24"/>
        </w:rPr>
        <w:t>2.12    “</w:t>
      </w:r>
      <w:r>
        <w:rPr>
          <w:rFonts w:ascii="Times New Roman;serif" w:hAnsi="Times New Roman;serif"/>
          <w:b/>
          <w:i/>
          <w:color w:val="000000"/>
          <w:sz w:val="24"/>
        </w:rPr>
        <w:t>Employee</w:t>
      </w:r>
      <w:r>
        <w:rPr>
          <w:color w:val="000000"/>
        </w:rPr>
        <w:t xml:space="preserve">” </w:t>
      </w:r>
      <w:r>
        <w:rPr>
          <w:rFonts w:ascii="Times New Roman;serif" w:hAnsi="Times New Roman;serif"/>
          <w:b w:val="false"/>
          <w:color w:val="000000"/>
          <w:sz w:val="24"/>
        </w:rPr>
        <w:t>shall mean any officer or other employee (as defined in accordance with Section 3401(c) of the Code) of the Company or any Designated Subsidiary. “</w:t>
      </w:r>
      <w:r>
        <w:rPr>
          <w:rFonts w:ascii="Times New Roman;serif" w:hAnsi="Times New Roman;serif"/>
          <w:b/>
          <w:i/>
          <w:color w:val="000000"/>
          <w:sz w:val="24"/>
        </w:rPr>
        <w:t>Employee</w:t>
      </w:r>
      <w:r>
        <w:rPr>
          <w:color w:val="000000"/>
        </w:rPr>
        <w:t xml:space="preserve">” </w:t>
      </w:r>
      <w:r>
        <w:rPr>
          <w:rFonts w:ascii="Times New Roman;serif" w:hAnsi="Times New Roman;serif"/>
          <w:b w:val="false"/>
          <w:color w:val="000000"/>
          <w:sz w:val="24"/>
        </w:rPr>
        <w:t>shall not include any director of the Company or a Designated Subsidiary who does not render services to the Company or a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pStyle w:val="TextBody"/>
        <w:bidi w:val="0"/>
        <w:spacing w:lineRule="auto" w:line="288" w:before="0" w:after="240"/>
        <w:ind w:left="0" w:right="0" w:firstLine="720"/>
        <w:jc w:val="left"/>
        <w:rPr/>
      </w:pPr>
      <w:r>
        <w:rPr>
          <w:rFonts w:ascii="Times New Roman;serif" w:hAnsi="Times New Roman;serif"/>
          <w:b w:val="false"/>
          <w:color w:val="000000"/>
          <w:sz w:val="24"/>
        </w:rPr>
        <w:t>2.13    “</w:t>
      </w:r>
      <w:r>
        <w:rPr>
          <w:rFonts w:ascii="Times New Roman;serif" w:hAnsi="Times New Roman;serif"/>
          <w:b/>
          <w:i/>
          <w:color w:val="000000"/>
          <w:sz w:val="24"/>
        </w:rPr>
        <w:t>Enrollment Date</w:t>
      </w:r>
      <w:r>
        <w:rPr>
          <w:color w:val="000000"/>
        </w:rPr>
        <w:t xml:space="preserve">” </w:t>
      </w:r>
      <w:r>
        <w:rPr>
          <w:rFonts w:ascii="Times New Roman;serif" w:hAnsi="Times New Roman;serif"/>
          <w:b w:val="false"/>
          <w:color w:val="000000"/>
          <w:sz w:val="24"/>
        </w:rPr>
        <w:t xml:space="preserve">shall mean the first Trading Day of each Offering Period, unless otherwise specified in the Offering Document;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the Enrollment Date for the Initial Offering Period shall be the Pricing Date.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2.14    “</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shall mean the Securities Exchange Act of 1934, as amended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2.15    “</w:t>
      </w:r>
      <w:r>
        <w:rPr>
          <w:rFonts w:ascii="Times New Roman;serif" w:hAnsi="Times New Roman;serif"/>
          <w:b/>
          <w:i/>
          <w:color w:val="000000"/>
          <w:sz w:val="24"/>
        </w:rPr>
        <w:t>Fair Market Value</w:t>
      </w:r>
      <w:r>
        <w:rPr>
          <w:color w:val="000000"/>
        </w:rPr>
        <w:t xml:space="preserve">” </w:t>
      </w:r>
      <w:r>
        <w:rPr>
          <w:rFonts w:ascii="Times New Roman;serif" w:hAnsi="Times New Roman;serif"/>
          <w:b w:val="false"/>
          <w:color w:val="000000"/>
          <w:sz w:val="24"/>
        </w:rPr>
        <w:t xml:space="preserve">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serif" w:hAnsi="Times New Roman;serif"/>
          <w:b w:val="false"/>
          <w:i/>
          <w:color w:val="000000"/>
          <w:sz w:val="24"/>
        </w:rPr>
        <w:t xml:space="preserve">The Wall Street Journal </w:t>
      </w:r>
      <w:r>
        <w:rPr>
          <w:rFonts w:ascii="Times New Roman;serif" w:hAnsi="Times New Roman;serif"/>
          <w:b w:val="false"/>
          <w:color w:val="000000"/>
          <w:sz w:val="24"/>
        </w:rPr>
        <w:t xml:space="preserve">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serif" w:hAnsi="Times New Roman;serif"/>
          <w:b w:val="false"/>
          <w:i/>
          <w:color w:val="000000"/>
          <w:sz w:val="24"/>
        </w:rPr>
        <w:t xml:space="preserve">The Wall Street Journal </w:t>
      </w:r>
      <w:r>
        <w:rPr>
          <w:rFonts w:ascii="Times New Roman;serif" w:hAnsi="Times New Roman;serif"/>
          <w:b w:val="false"/>
          <w:color w:val="000000"/>
          <w:sz w:val="24"/>
        </w:rPr>
        <w:t>or another source the Administrator deems reliable; (c) without an established market for the Common Stock, the Administrator will determine the Fair Market Value in its discretion; or (d) with respect to the Initial Offering Period, the Fair Market Value as specified in the Offering Document approved by the Administrator with respect to the Initial Offering Period.</w:t>
      </w:r>
    </w:p>
    <w:p>
      <w:pPr>
        <w:pStyle w:val="TextBody"/>
        <w:bidi w:val="0"/>
        <w:spacing w:lineRule="auto" w:line="288" w:before="0" w:after="240"/>
        <w:ind w:left="0" w:right="0" w:firstLine="720"/>
        <w:jc w:val="left"/>
        <w:rPr/>
      </w:pPr>
      <w:r>
        <w:rPr>
          <w:rFonts w:ascii="Times New Roman;serif" w:hAnsi="Times New Roman;serif"/>
          <w:b w:val="false"/>
          <w:color w:val="000000"/>
          <w:sz w:val="24"/>
        </w:rPr>
        <w:t>2.16    “</w:t>
      </w:r>
      <w:r>
        <w:rPr>
          <w:rFonts w:ascii="Times New Roman;serif" w:hAnsi="Times New Roman;serif"/>
          <w:b/>
          <w:i/>
          <w:color w:val="000000"/>
          <w:sz w:val="24"/>
        </w:rPr>
        <w:t>Initial Offering Period</w:t>
      </w:r>
      <w:r>
        <w:rPr>
          <w:color w:val="000000"/>
        </w:rPr>
        <w:t xml:space="preserve">” </w:t>
      </w:r>
      <w:r>
        <w:rPr>
          <w:rFonts w:ascii="Times New Roman;serif" w:hAnsi="Times New Roman;serif"/>
          <w:b w:val="false"/>
          <w:color w:val="000000"/>
          <w:sz w:val="24"/>
        </w:rPr>
        <w:t>means the period commencing on the Pricing Date and ending on the date set forth in the Offering Document approved by the Administrator with respect to the Initial Offering Period.</w:t>
      </w:r>
    </w:p>
    <w:p>
      <w:pPr>
        <w:pStyle w:val="TextBody"/>
        <w:bidi w:val="0"/>
        <w:spacing w:lineRule="auto" w:line="288" w:before="0" w:after="240"/>
        <w:ind w:left="0" w:right="0" w:firstLine="720"/>
        <w:jc w:val="left"/>
        <w:rPr/>
      </w:pPr>
      <w:r>
        <w:rPr>
          <w:rFonts w:ascii="Times New Roman;serif" w:hAnsi="Times New Roman;serif"/>
          <w:b w:val="false"/>
          <w:color w:val="000000"/>
          <w:sz w:val="24"/>
        </w:rPr>
        <w:t>2.17    “</w:t>
      </w:r>
      <w:r>
        <w:rPr>
          <w:rFonts w:ascii="Times New Roman;serif" w:hAnsi="Times New Roman;serif"/>
          <w:b/>
          <w:i/>
          <w:color w:val="000000"/>
          <w:sz w:val="24"/>
        </w:rPr>
        <w:t>Offering Document</w:t>
      </w:r>
      <w:r>
        <w:rPr>
          <w:color w:val="000000"/>
        </w:rPr>
        <w:t xml:space="preserve">” </w:t>
      </w:r>
      <w:r>
        <w:rPr>
          <w:rFonts w:ascii="Times New Roman;serif" w:hAnsi="Times New Roman;serif"/>
          <w:b w:val="false"/>
          <w:color w:val="000000"/>
          <w:sz w:val="24"/>
        </w:rPr>
        <w:t>shall have the meaning given to such term in Section 4.1.</w:t>
      </w:r>
    </w:p>
    <w:p>
      <w:pPr>
        <w:pStyle w:val="TextBody"/>
        <w:bidi w:val="0"/>
        <w:spacing w:lineRule="auto" w:line="288" w:before="0" w:after="240"/>
        <w:ind w:left="0" w:right="0" w:firstLine="720"/>
        <w:jc w:val="left"/>
        <w:rPr/>
      </w:pPr>
      <w:r>
        <w:rPr>
          <w:rFonts w:ascii="Times New Roman;serif" w:hAnsi="Times New Roman;serif"/>
          <w:b w:val="false"/>
          <w:color w:val="000000"/>
          <w:sz w:val="24"/>
        </w:rPr>
        <w:t>2.18    “</w:t>
      </w:r>
      <w:r>
        <w:rPr>
          <w:rFonts w:ascii="Times New Roman;serif" w:hAnsi="Times New Roman;serif"/>
          <w:b/>
          <w:i/>
          <w:color w:val="000000"/>
          <w:sz w:val="24"/>
        </w:rPr>
        <w:t>Offering Period</w:t>
      </w:r>
      <w:r>
        <w:rPr>
          <w:color w:val="000000"/>
        </w:rPr>
        <w:t xml:space="preserve">” </w:t>
      </w:r>
      <w:r>
        <w:rPr>
          <w:rFonts w:ascii="Times New Roman;serif" w:hAnsi="Times New Roman;serif"/>
          <w:b w:val="false"/>
          <w:color w:val="000000"/>
          <w:sz w:val="24"/>
        </w:rPr>
        <w:t>shall have the meaning given to such term in Section 4.1.</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2.19    “</w:t>
      </w:r>
      <w:r>
        <w:rPr>
          <w:rFonts w:ascii="Times New Roman;serif" w:hAnsi="Times New Roman;serif"/>
          <w:b/>
          <w:i/>
          <w:color w:val="000000"/>
          <w:sz w:val="24"/>
        </w:rPr>
        <w:t>Parent</w:t>
      </w:r>
      <w:r>
        <w:rPr>
          <w:color w:val="000000"/>
        </w:rPr>
        <w:t xml:space="preserve">” </w:t>
      </w:r>
      <w:r>
        <w:rPr>
          <w:rFonts w:ascii="Times New Roman;serif" w:hAnsi="Times New Roman;serif"/>
          <w:b w:val="false"/>
          <w:color w:val="000000"/>
          <w:sz w:val="24"/>
        </w:rPr>
        <w:t>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pStyle w:val="TextBody"/>
        <w:bidi w:val="0"/>
        <w:spacing w:lineRule="auto" w:line="288" w:before="0" w:after="240"/>
        <w:ind w:left="0" w:right="0" w:firstLine="720"/>
        <w:jc w:val="left"/>
        <w:rPr/>
      </w:pPr>
      <w:r>
        <w:rPr>
          <w:rFonts w:ascii="Times New Roman;serif" w:hAnsi="Times New Roman;serif"/>
          <w:b w:val="false"/>
          <w:color w:val="000000"/>
          <w:sz w:val="24"/>
        </w:rPr>
        <w:t>2.20    “</w:t>
      </w:r>
      <w:r>
        <w:rPr>
          <w:rFonts w:ascii="Times New Roman;serif" w:hAnsi="Times New Roman;serif"/>
          <w:b/>
          <w:i/>
          <w:color w:val="000000"/>
          <w:sz w:val="24"/>
        </w:rPr>
        <w:t>Participant</w:t>
      </w:r>
      <w:r>
        <w:rPr>
          <w:color w:val="000000"/>
        </w:rPr>
        <w:t xml:space="preserve">” </w:t>
      </w:r>
      <w:r>
        <w:rPr>
          <w:rFonts w:ascii="Times New Roman;serif" w:hAnsi="Times New Roman;serif"/>
          <w:b w:val="false"/>
          <w:color w:val="000000"/>
          <w:sz w:val="24"/>
        </w:rPr>
        <w:t>shall mean any Eligible Employee who has executed a subscription agreement and been granted rights to purchase Common Stock pursuant to the Plan (or, with respect to the Initial Offering Period, those Participants specified in the Offering Document approved by the Administrator with respect to the Initial Offering Period).</w:t>
      </w:r>
    </w:p>
    <w:p>
      <w:pPr>
        <w:pStyle w:val="TextBody"/>
        <w:bidi w:val="0"/>
        <w:spacing w:lineRule="auto" w:line="288" w:before="0" w:after="240"/>
        <w:ind w:left="0" w:right="0" w:firstLine="720"/>
        <w:jc w:val="left"/>
        <w:rPr/>
      </w:pPr>
      <w:r>
        <w:rPr>
          <w:rFonts w:ascii="Times New Roman;serif" w:hAnsi="Times New Roman;serif"/>
          <w:b w:val="false"/>
          <w:color w:val="000000"/>
          <w:sz w:val="24"/>
        </w:rPr>
        <w:t>2.21    “</w:t>
      </w:r>
      <w:r>
        <w:rPr>
          <w:rFonts w:ascii="Times New Roman;serif" w:hAnsi="Times New Roman;serif"/>
          <w:b/>
          <w:i/>
          <w:color w:val="000000"/>
          <w:sz w:val="24"/>
        </w:rPr>
        <w:t>Payday</w:t>
      </w:r>
      <w:r>
        <w:rPr>
          <w:color w:val="000000"/>
        </w:rPr>
        <w:t xml:space="preserve">” </w:t>
      </w:r>
      <w:r>
        <w:rPr>
          <w:rFonts w:ascii="Times New Roman;serif" w:hAnsi="Times New Roman;serif"/>
          <w:b w:val="false"/>
          <w:color w:val="000000"/>
          <w:sz w:val="24"/>
        </w:rPr>
        <w:t>means the regular and recurring established day for payment of Compensation to an Employee of the Company or any Designated Subsidiary.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2.22    “</w:t>
      </w:r>
      <w:r>
        <w:rPr>
          <w:rFonts w:ascii="Times New Roman;serif" w:hAnsi="Times New Roman;serif"/>
          <w:b/>
          <w:i/>
          <w:color w:val="000000"/>
          <w:sz w:val="24"/>
        </w:rPr>
        <w:t>Plan</w:t>
      </w:r>
      <w:r>
        <w:rPr>
          <w:color w:val="000000"/>
        </w:rPr>
        <w:t xml:space="preserve">” </w:t>
      </w:r>
      <w:r>
        <w:rPr>
          <w:rFonts w:ascii="Times New Roman;serif" w:hAnsi="Times New Roman;serif"/>
          <w:b w:val="false"/>
          <w:color w:val="000000"/>
          <w:sz w:val="24"/>
        </w:rPr>
        <w:t>shall mean this PROCEPT BioRobotics Corporation 2021 Employee Stock Purchase Plan, as it may be amended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2.23    “</w:t>
      </w:r>
      <w:r>
        <w:rPr>
          <w:rFonts w:ascii="Times New Roman;serif" w:hAnsi="Times New Roman;serif"/>
          <w:b/>
          <w:i/>
          <w:color w:val="000000"/>
          <w:sz w:val="24"/>
        </w:rPr>
        <w:t>Pricing Date</w:t>
      </w:r>
      <w:r>
        <w:rPr>
          <w:color w:val="000000"/>
        </w:rPr>
        <w:t xml:space="preserve">” </w:t>
      </w:r>
      <w:r>
        <w:rPr>
          <w:rFonts w:ascii="Times New Roman;serif" w:hAnsi="Times New Roman;serif"/>
          <w:b w:val="false"/>
          <w:color w:val="000000"/>
          <w:sz w:val="24"/>
        </w:rPr>
        <w:t>means the date upon which the Company’s Registration Statement on Form S-1 filed with the Securities and Exchange Commission relating to the underwritten public offering of shares of Common Stock becomes effective.</w:t>
      </w:r>
    </w:p>
    <w:p>
      <w:pPr>
        <w:pStyle w:val="TextBody"/>
        <w:bidi w:val="0"/>
        <w:spacing w:lineRule="auto" w:line="288" w:before="0" w:after="240"/>
        <w:ind w:left="0" w:right="0" w:firstLine="720"/>
        <w:jc w:val="left"/>
        <w:rPr/>
      </w:pPr>
      <w:r>
        <w:rPr>
          <w:rFonts w:ascii="Times New Roman;serif" w:hAnsi="Times New Roman;serif"/>
          <w:b w:val="false"/>
          <w:color w:val="000000"/>
          <w:sz w:val="24"/>
        </w:rPr>
        <w:t>2.24    “</w:t>
      </w:r>
      <w:r>
        <w:rPr>
          <w:rFonts w:ascii="Times New Roman;serif" w:hAnsi="Times New Roman;serif"/>
          <w:b/>
          <w:i/>
          <w:color w:val="000000"/>
          <w:sz w:val="24"/>
        </w:rPr>
        <w:t>Public Trading Date</w:t>
      </w:r>
      <w:r>
        <w:rPr>
          <w:color w:val="000000"/>
        </w:rPr>
        <w:t xml:space="preserve">” </w:t>
      </w:r>
      <w:r>
        <w:rPr>
          <w:rFonts w:ascii="Times New Roman;serif" w:hAnsi="Times New Roman;serif"/>
          <w:b w:val="false"/>
          <w:color w:val="000000"/>
          <w:sz w:val="24"/>
        </w:rPr>
        <w:t>means the first date upon which the Common Stock is listed (or approved for listing) upon notice of issuance on any securities exchange or designated (or approved for designation) upon notice of issuance as a national market security on an interdealer quotation system.</w:t>
      </w:r>
    </w:p>
    <w:p>
      <w:pPr>
        <w:pStyle w:val="TextBody"/>
        <w:bidi w:val="0"/>
        <w:spacing w:lineRule="auto" w:line="288" w:before="0" w:after="240"/>
        <w:ind w:left="0" w:right="0" w:firstLine="720"/>
        <w:jc w:val="left"/>
        <w:rPr/>
      </w:pPr>
      <w:r>
        <w:rPr>
          <w:rFonts w:ascii="Times New Roman;serif" w:hAnsi="Times New Roman;serif"/>
          <w:b w:val="false"/>
          <w:color w:val="000000"/>
          <w:sz w:val="24"/>
        </w:rPr>
        <w:t>2.25    “</w:t>
      </w:r>
      <w:r>
        <w:rPr>
          <w:rFonts w:ascii="Times New Roman;serif" w:hAnsi="Times New Roman;serif"/>
          <w:b/>
          <w:i/>
          <w:color w:val="000000"/>
          <w:sz w:val="24"/>
        </w:rPr>
        <w:t>Purchase Date</w:t>
      </w:r>
      <w:r>
        <w:rPr>
          <w:color w:val="000000"/>
        </w:rPr>
        <w:t xml:space="preserve">” </w:t>
      </w:r>
      <w:r>
        <w:rPr>
          <w:rFonts w:ascii="Times New Roman;serif" w:hAnsi="Times New Roman;serif"/>
          <w:b w:val="false"/>
          <w:color w:val="000000"/>
          <w:sz w:val="24"/>
        </w:rPr>
        <w:t>shall mean the last Trading Day of each Purchase Period.</w:t>
      </w:r>
    </w:p>
    <w:p>
      <w:pPr>
        <w:pStyle w:val="TextBody"/>
        <w:bidi w:val="0"/>
        <w:spacing w:lineRule="auto" w:line="288" w:before="0" w:after="240"/>
        <w:ind w:left="0" w:right="0" w:firstLine="720"/>
        <w:jc w:val="left"/>
        <w:rPr/>
      </w:pPr>
      <w:r>
        <w:rPr>
          <w:rFonts w:ascii="Times New Roman;serif" w:hAnsi="Times New Roman;serif"/>
          <w:b w:val="false"/>
          <w:color w:val="000000"/>
          <w:sz w:val="24"/>
        </w:rPr>
        <w:t>2.26    “</w:t>
      </w:r>
      <w:r>
        <w:rPr>
          <w:rFonts w:ascii="Times New Roman;serif" w:hAnsi="Times New Roman;serif"/>
          <w:b/>
          <w:i/>
          <w:color w:val="000000"/>
          <w:sz w:val="24"/>
        </w:rPr>
        <w:t>Purchase Period</w:t>
      </w:r>
      <w:r>
        <w:rPr>
          <w:color w:val="000000"/>
        </w:rPr>
        <w:t xml:space="preserve">” </w:t>
      </w:r>
      <w:r>
        <w:rPr>
          <w:rFonts w:ascii="Times New Roman;serif" w:hAnsi="Times New Roman;serif"/>
          <w:b w:val="false"/>
          <w:color w:val="000000"/>
          <w:sz w:val="24"/>
        </w:rPr>
        <w:t xml:space="preserve">shall refer to one or more periods within an Offering Period, as designated in the applicable Offering Document;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in the event no Purchase Period is designated by the Administrator in the applicable Offering Document, the Purchase Period for each Offering Period covered by such Offering Document shall be the same as the applicable Offering Period.</w:t>
      </w:r>
    </w:p>
    <w:p>
      <w:pPr>
        <w:pStyle w:val="TextBody"/>
        <w:bidi w:val="0"/>
        <w:spacing w:lineRule="auto" w:line="288" w:before="0" w:after="240"/>
        <w:ind w:left="0" w:right="0" w:firstLine="720"/>
        <w:jc w:val="left"/>
        <w:rPr/>
      </w:pPr>
      <w:r>
        <w:rPr>
          <w:rFonts w:ascii="Times New Roman;serif" w:hAnsi="Times New Roman;serif"/>
          <w:b w:val="false"/>
          <w:color w:val="000000"/>
          <w:sz w:val="24"/>
        </w:rPr>
        <w:t>2.27    “</w:t>
      </w:r>
      <w:r>
        <w:rPr>
          <w:rFonts w:ascii="Times New Roman;serif" w:hAnsi="Times New Roman;serif"/>
          <w:b/>
          <w:i/>
          <w:color w:val="000000"/>
          <w:sz w:val="24"/>
        </w:rPr>
        <w:t>Purchase Price</w:t>
      </w:r>
      <w:r>
        <w:rPr>
          <w:color w:val="000000"/>
        </w:rPr>
        <w:t xml:space="preserve">” </w:t>
      </w:r>
      <w:r>
        <w:rPr>
          <w:rFonts w:ascii="Times New Roman;serif" w:hAnsi="Times New Roman;serif"/>
          <w:b w:val="false"/>
          <w:color w:val="000000"/>
          <w:sz w:val="24"/>
        </w:rPr>
        <w:t xml:space="preserve">shall mean the purchase price designated by the Administrator in the applicable Offering Document (which purchase price shall not be less than 85% of the Fair Market Value of a Share on the Enrollment Date or on the Purchase Date, whichever is lower);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 xml:space="preserve">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the Purchase Price may be adjusted by the Administrator pursuant to Article VIII and shall not be less than the par value of a Share.</w:t>
      </w:r>
    </w:p>
    <w:p>
      <w:pPr>
        <w:pStyle w:val="TextBody"/>
        <w:bidi w:val="0"/>
        <w:spacing w:lineRule="auto" w:line="288" w:before="0" w:after="240"/>
        <w:ind w:left="0" w:right="0" w:firstLine="720"/>
        <w:jc w:val="left"/>
        <w:rPr/>
      </w:pPr>
      <w:r>
        <w:rPr>
          <w:rFonts w:ascii="Times New Roman;serif" w:hAnsi="Times New Roman;serif"/>
          <w:b w:val="false"/>
          <w:color w:val="000000"/>
          <w:sz w:val="24"/>
        </w:rPr>
        <w:t>2.28    “</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shall mean the Securities Act of 1933, as amended.</w:t>
      </w:r>
    </w:p>
    <w:p>
      <w:pPr>
        <w:pStyle w:val="TextBody"/>
        <w:bidi w:val="0"/>
        <w:spacing w:lineRule="auto" w:line="288" w:before="0" w:after="240"/>
        <w:ind w:left="0" w:right="0" w:firstLine="720"/>
        <w:jc w:val="left"/>
        <w:rPr/>
      </w:pPr>
      <w:r>
        <w:rPr>
          <w:rFonts w:ascii="Times New Roman;serif" w:hAnsi="Times New Roman;serif"/>
          <w:b w:val="false"/>
          <w:color w:val="000000"/>
          <w:sz w:val="24"/>
        </w:rPr>
        <w:t>2.29    “</w:t>
      </w:r>
      <w:r>
        <w:rPr>
          <w:rFonts w:ascii="Times New Roman;serif" w:hAnsi="Times New Roman;serif"/>
          <w:b/>
          <w:i/>
          <w:color w:val="000000"/>
          <w:sz w:val="24"/>
        </w:rPr>
        <w:t>Share</w:t>
      </w:r>
      <w:r>
        <w:rPr>
          <w:color w:val="000000"/>
        </w:rPr>
        <w:t xml:space="preserve">” </w:t>
      </w:r>
      <w:r>
        <w:rPr>
          <w:rFonts w:ascii="Times New Roman;serif" w:hAnsi="Times New Roman;serif"/>
          <w:b w:val="false"/>
          <w:color w:val="000000"/>
          <w:sz w:val="24"/>
        </w:rPr>
        <w:t>shall mean a share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2.30    “</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 xml:space="preserve">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a limited liability company or partnership may be treated as a Subsidiary to the extent either (a) such entity is treated as a disregarded entity under Treasury Regulation 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2.31    “</w:t>
      </w:r>
      <w:r>
        <w:rPr>
          <w:rFonts w:ascii="Times New Roman;serif" w:hAnsi="Times New Roman;serif"/>
          <w:b/>
          <w:i/>
          <w:color w:val="000000"/>
          <w:sz w:val="24"/>
        </w:rPr>
        <w:t>Trading Day</w:t>
      </w:r>
      <w:r>
        <w:rPr>
          <w:color w:val="000000"/>
        </w:rPr>
        <w:t xml:space="preserve">” </w:t>
      </w:r>
      <w:r>
        <w:rPr>
          <w:rFonts w:ascii="Times New Roman;serif" w:hAnsi="Times New Roman;serif"/>
          <w:b w:val="false"/>
          <w:color w:val="000000"/>
          <w:sz w:val="24"/>
        </w:rPr>
        <w:t>shall mean a day on which national stock exchanges in the United States are open for trading.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III.</w:t>
        <w:br/>
        <w:t>SHARES SUBJECT TO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3.1    </w:t>
      </w:r>
      <w:r>
        <w:rPr>
          <w:rFonts w:ascii="Times New Roman;serif" w:hAnsi="Times New Roman;serif"/>
          <w:b w:val="false"/>
          <w:color w:val="000000"/>
          <w:sz w:val="24"/>
          <w:u w:val="single"/>
        </w:rPr>
        <w:t>Number of Shares</w:t>
      </w:r>
      <w:r>
        <w:rPr>
          <w:rFonts w:ascii="Times New Roman;serif" w:hAnsi="Times New Roman;serif"/>
          <w:b w:val="false"/>
          <w:color w:val="000000"/>
          <w:sz w:val="24"/>
        </w:rPr>
        <w:t>. Subject to Article VIII, the aggregate number of shares of Common Stock that may be issued pursuant to rights granted under the Plan shall be 412,988 Shares. In addition to the foregoing, subject to Article VIII, on the first day of each calendar year beginning on January 1, 2022 and ending on and including January 1, 2031, the number of Shares available for issuance under the Plan shall be increased by that number of Shares equal to the lesser of (a) 1% of the aggregate number of shares of Common Stock outstanding on the final day of the immediately preceding calendar year and (b) such smaller number of Shares as determined by the Board. If any right granted under the Plan shall for any reason terminate without having been exercised, the Common Stock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10,526,315 Shares, subject to Article VIII.</w:t>
      </w:r>
    </w:p>
    <w:p>
      <w:pPr>
        <w:pStyle w:val="TextBody"/>
        <w:bidi w:val="0"/>
        <w:spacing w:lineRule="auto" w:line="288" w:before="0" w:after="240"/>
        <w:ind w:left="0" w:right="0" w:firstLine="720"/>
        <w:jc w:val="left"/>
        <w:rPr/>
      </w:pPr>
      <w:r>
        <w:rPr>
          <w:rFonts w:ascii="Times New Roman;serif" w:hAnsi="Times New Roman;serif"/>
          <w:b w:val="false"/>
          <w:color w:val="000000"/>
          <w:sz w:val="24"/>
        </w:rPr>
        <w:t>3.2    </w:t>
      </w:r>
      <w:r>
        <w:rPr>
          <w:rFonts w:ascii="Times New Roman;serif" w:hAnsi="Times New Roman;serif"/>
          <w:b w:val="false"/>
          <w:color w:val="000000"/>
          <w:sz w:val="24"/>
          <w:u w:val="single"/>
        </w:rPr>
        <w:t>Stock Distributed</w:t>
      </w:r>
      <w:r>
        <w:rPr>
          <w:rFonts w:ascii="Times New Roman;serif" w:hAnsi="Times New Roman;serif"/>
          <w:b w:val="false"/>
          <w:color w:val="000000"/>
          <w:sz w:val="24"/>
        </w:rPr>
        <w:t>. Any Common Stock distributed pursuant to the Plan may consist, in whole or in part, of authorized and unissued Common Stock, treasury stock or Common Stock purchased on the open market.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IV.</w:t>
        <w:br/>
        <w:t>OFFERING PERIODS; OFFERING DOCUMENTS; PURCHASE DATES</w:t>
      </w:r>
    </w:p>
    <w:p>
      <w:pPr>
        <w:pStyle w:val="TextBody"/>
        <w:bidi w:val="0"/>
        <w:spacing w:lineRule="auto" w:line="288" w:before="0" w:after="240"/>
        <w:ind w:left="0" w:right="0" w:firstLine="720"/>
        <w:jc w:val="left"/>
        <w:rPr/>
      </w:pPr>
      <w:r>
        <w:rPr>
          <w:rFonts w:ascii="Times New Roman;serif" w:hAnsi="Times New Roman;serif"/>
          <w:b w:val="false"/>
          <w:color w:val="000000"/>
          <w:sz w:val="24"/>
        </w:rPr>
        <w:t>4.1    </w:t>
      </w:r>
      <w:r>
        <w:rPr>
          <w:rFonts w:ascii="Times New Roman;serif" w:hAnsi="Times New Roman;serif"/>
          <w:b w:val="false"/>
          <w:color w:val="000000"/>
          <w:sz w:val="24"/>
          <w:u w:val="single"/>
        </w:rPr>
        <w:t>Offering Periods</w:t>
      </w:r>
      <w:r>
        <w:rPr>
          <w:rFonts w:ascii="Times New Roman;serif" w:hAnsi="Times New Roman;serif"/>
          <w:b w:val="false"/>
          <w:color w:val="000000"/>
          <w:sz w:val="24"/>
        </w:rPr>
        <w:t>. The Administrator may from time to time grant or provide for the grant of rights to purchase Common Stock under the Plan to Eligible Employees during one or more periods (each, an “</w:t>
      </w:r>
      <w:r>
        <w:rPr>
          <w:rFonts w:ascii="Times New Roman;serif" w:hAnsi="Times New Roman;serif"/>
          <w:b/>
          <w:i/>
          <w:color w:val="000000"/>
          <w:sz w:val="24"/>
        </w:rPr>
        <w:t>Offering Period</w:t>
      </w:r>
      <w:r>
        <w:rPr>
          <w:color w:val="000000"/>
        </w:rPr>
        <w:t>”</w:t>
      </w:r>
      <w:r>
        <w:rPr>
          <w:rFonts w:ascii="Times New Roman;serif" w:hAnsi="Times New Roman;serif"/>
          <w:b w:val="false"/>
          <w:color w:val="000000"/>
          <w:sz w:val="24"/>
        </w:rPr>
        <w:t>) selected by the Administrator. The terms and conditions applicable to each Offering Period shall be set forth in an “</w:t>
      </w:r>
      <w:r>
        <w:rPr>
          <w:rFonts w:ascii="Times New Roman;serif" w:hAnsi="Times New Roman;serif"/>
          <w:b/>
          <w:i/>
          <w:color w:val="000000"/>
          <w:sz w:val="24"/>
        </w:rPr>
        <w:t>Offering Document</w:t>
      </w:r>
      <w:r>
        <w:rPr>
          <w:color w:val="000000"/>
        </w:rPr>
        <w:t xml:space="preserve">” </w:t>
      </w:r>
      <w:r>
        <w:rPr>
          <w:rFonts w:ascii="Times New Roman;serif" w:hAnsi="Times New Roman;serif"/>
          <w:b w:val="false"/>
          <w:color w:val="000000"/>
          <w:sz w:val="24"/>
        </w:rPr>
        <w:t xml:space="preserve">adopted by the Administrator, which Offering Document shall be in such form and shall contain such terms and conditions as the Administrator shall deem appropriate. The Administrator shall establish in each Offering Document one or more Purchase Periods during such Offering Period during which rights granted under the Plan shall be exercised and purchases of Shares carried out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during such Offering Period in accordance with such Offering Document and the Plan. The provisions of separate Offering Periods under the Plan need not be identical.</w:t>
      </w:r>
    </w:p>
    <w:p>
      <w:pPr>
        <w:pStyle w:val="TextBody"/>
        <w:bidi w:val="0"/>
        <w:spacing w:lineRule="auto" w:line="288" w:before="0" w:after="240"/>
        <w:ind w:left="0" w:right="0" w:firstLine="720"/>
        <w:jc w:val="left"/>
        <w:rPr/>
      </w:pPr>
      <w:r>
        <w:rPr>
          <w:rFonts w:ascii="Times New Roman;serif" w:hAnsi="Times New Roman;serif"/>
          <w:b w:val="false"/>
          <w:color w:val="000000"/>
          <w:sz w:val="24"/>
        </w:rPr>
        <w:t>4.2    </w:t>
      </w:r>
      <w:r>
        <w:rPr>
          <w:rFonts w:ascii="Times New Roman;serif" w:hAnsi="Times New Roman;serif"/>
          <w:b w:val="false"/>
          <w:color w:val="000000"/>
          <w:sz w:val="24"/>
          <w:u w:val="single"/>
        </w:rPr>
        <w:t>Offering Documents</w:t>
      </w:r>
      <w:r>
        <w:rPr>
          <w:rFonts w:ascii="Times New Roman;serif" w:hAnsi="Times New Roman;serif"/>
          <w:b w:val="false"/>
          <w:color w:val="000000"/>
          <w:sz w:val="24"/>
        </w:rPr>
        <w:t>. Each Offering Document with respect to an Offering Period shall specify (through incorporation of the provisions of this Plan by reference or otherwise):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 length of the Offering Period, which period shall not exceed 27 months;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length of the Purchase Period(s) within the Offering Period;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in connection with each Offering Period that contains only one Purchase Period the maximum number of Shares that may be purchased by any Eligible Employee during such Offering Period, which, in the absence of a contrary designation by the Administrator, shall be 100,000 Shares;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connection with each Offering Period that contains more than one Purchase Period, the maximum aggregate number of Shares which may be purchased by any Eligible Employee during each Purchase Period, which, in the absence of a contrary designation by the Administrator, shall be 100,000 Shares;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such other provisions as the Administrator determines are appropriate, subject to the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w:t>
        <w:br/>
        <w:t>ELIGIBILITY AND PARTICIPATION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5.1    </w:t>
      </w:r>
      <w:r>
        <w:rPr>
          <w:rFonts w:ascii="Times New Roman;serif" w:hAnsi="Times New Roman;serif"/>
          <w:b w:val="false"/>
          <w:color w:val="000000"/>
          <w:sz w:val="24"/>
          <w:u w:val="single"/>
        </w:rPr>
        <w:t>Eligibility</w:t>
      </w:r>
      <w:r>
        <w:rPr>
          <w:rFonts w:ascii="Times New Roman;serif" w:hAnsi="Times New Roman;serif"/>
          <w:b w:val="false"/>
          <w:color w:val="000000"/>
          <w:sz w:val="24"/>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5.2    </w:t>
      </w:r>
      <w:r>
        <w:rPr>
          <w:rFonts w:ascii="Times New Roman;serif" w:hAnsi="Times New Roman;serif"/>
          <w:b w:val="false"/>
          <w:color w:val="000000"/>
          <w:sz w:val="24"/>
          <w:u w:val="single"/>
        </w:rPr>
        <w:t>Enrollment in Plan.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Except as otherwise set forth herein or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Each subscription agreement shall designate a whole percentage of such Eligible Employee’s Compensation to be withheld by the Company or the Designated Subsidiary employing such Eligible Employee on each Payday during the Offering Period as payroll deductions under the Plan. The designated percentage may not be less than 1% and may not be more than the maximum percentage specified by the Administrator in the applicable Offering Document (which percentage shall be 15% in the absence of any such designation). The payroll deductions made for each Participant shall be credited to an account for such Participant under the Plan and shall be deposited with the general funds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A Participant may decrease the percentage of Compensation designated in his or her subscription agreement, subject to the limits of this Section 5.2, or may suspend his or her payroll deductions, at any time during an Offering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two decreases and one suspension (but no increases) to his or her payroll deduction elections during each Offering Period with respect to such Offering Period).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such change or suspension of payroll deductions shall be effective with the first full payroll period following ten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Except as otherwise set forth in Section 5.8 or in an Offering Document or determined by the Administrator, a Participant may participate in the Plan only by means of payroll deduction and may not make contributions by lump sum payment for any Offering Period.</w:t>
      </w:r>
    </w:p>
    <w:p>
      <w:pPr>
        <w:pStyle w:val="TextBody"/>
        <w:bidi w:val="0"/>
        <w:spacing w:lineRule="auto" w:line="288" w:before="0" w:after="240"/>
        <w:ind w:left="0" w:right="0" w:firstLine="720"/>
        <w:jc w:val="left"/>
        <w:rPr/>
      </w:pPr>
      <w:r>
        <w:rPr>
          <w:rFonts w:ascii="Times New Roman;serif" w:hAnsi="Times New Roman;serif"/>
          <w:b w:val="false"/>
          <w:color w:val="000000"/>
          <w:sz w:val="24"/>
        </w:rPr>
        <w:t>5.3    </w:t>
      </w:r>
      <w:r>
        <w:rPr>
          <w:rFonts w:ascii="Times New Roman;serif" w:hAnsi="Times New Roman;serif"/>
          <w:b w:val="false"/>
          <w:color w:val="000000"/>
          <w:sz w:val="24"/>
          <w:u w:val="single"/>
        </w:rPr>
        <w:t>Payroll Deductions</w:t>
      </w:r>
      <w:r>
        <w:rPr>
          <w:rFonts w:ascii="Times New Roman;serif" w:hAnsi="Times New Roman;serif"/>
          <w:b w:val="false"/>
          <w:color w:val="000000"/>
          <w:sz w:val="24"/>
        </w:rPr>
        <w:t>. Except as otherwise provided in the applicable Offering Document or Section 5.8,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Section 5.2 and Section 5.6, respectively.</w:t>
      </w:r>
    </w:p>
    <w:p>
      <w:pPr>
        <w:pStyle w:val="TextBody"/>
        <w:bidi w:val="0"/>
        <w:spacing w:lineRule="auto" w:line="288" w:before="0" w:after="240"/>
        <w:ind w:left="0" w:right="0" w:firstLine="720"/>
        <w:jc w:val="left"/>
        <w:rPr/>
      </w:pPr>
      <w:r>
        <w:rPr>
          <w:rFonts w:ascii="Times New Roman;serif" w:hAnsi="Times New Roman;serif"/>
          <w:b w:val="false"/>
          <w:color w:val="000000"/>
          <w:sz w:val="24"/>
        </w:rPr>
        <w:t>5.4    </w:t>
      </w:r>
      <w:r>
        <w:rPr>
          <w:rFonts w:ascii="Times New Roman;serif" w:hAnsi="Times New Roman;serif"/>
          <w:b w:val="false"/>
          <w:color w:val="000000"/>
          <w:sz w:val="24"/>
          <w:u w:val="single"/>
        </w:rPr>
        <w:t>Effect of Enrollment</w:t>
      </w:r>
      <w:r>
        <w:rPr>
          <w:rFonts w:ascii="Times New Roman;serif" w:hAnsi="Times New Roman;serif"/>
          <w:b w:val="false"/>
          <w:color w:val="000000"/>
          <w:sz w:val="24"/>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5.5    </w:t>
      </w:r>
      <w:r>
        <w:rPr>
          <w:rFonts w:ascii="Times New Roman;serif" w:hAnsi="Times New Roman;serif"/>
          <w:b w:val="false"/>
          <w:color w:val="000000"/>
          <w:sz w:val="24"/>
          <w:u w:val="single"/>
        </w:rPr>
        <w:t>Limitation on Purchase of Common Stock</w:t>
      </w:r>
      <w:r>
        <w:rPr>
          <w:rFonts w:ascii="Times New Roman;serif" w:hAnsi="Times New Roman;serif"/>
          <w:b w:val="false"/>
          <w:color w:val="000000"/>
          <w:sz w:val="24"/>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5.6    </w:t>
      </w:r>
      <w:r>
        <w:rPr>
          <w:rFonts w:ascii="Times New Roman;serif" w:hAnsi="Times New Roman;serif"/>
          <w:b w:val="false"/>
          <w:color w:val="000000"/>
          <w:sz w:val="24"/>
          <w:u w:val="single"/>
        </w:rPr>
        <w:t>Suspension of Payroll Deductions</w:t>
      </w:r>
      <w:r>
        <w:rPr>
          <w:rFonts w:ascii="Times New Roman;serif" w:hAnsi="Times New Roman;serif"/>
          <w:b w:val="false"/>
          <w:color w:val="000000"/>
          <w:sz w:val="24"/>
        </w:rPr>
        <w:t>. Notwithstanding the foregoing, to the extent necessary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5.7    </w:t>
      </w:r>
      <w:r>
        <w:rPr>
          <w:rFonts w:ascii="Times New Roman;serif" w:hAnsi="Times New Roman;serif"/>
          <w:b w:val="false"/>
          <w:color w:val="000000"/>
          <w:sz w:val="24"/>
          <w:u w:val="single"/>
        </w:rPr>
        <w:t>Foreign Employees</w:t>
      </w:r>
      <w:r>
        <w:rPr>
          <w:rFonts w:ascii="Times New Roman;serif" w:hAnsi="Times New Roman;serif"/>
          <w:b w:val="false"/>
          <w:color w:val="000000"/>
          <w:sz w:val="24"/>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5.8    </w:t>
      </w:r>
      <w:r>
        <w:rPr>
          <w:rFonts w:ascii="Times New Roman;serif" w:hAnsi="Times New Roman;serif"/>
          <w:b w:val="false"/>
          <w:color w:val="000000"/>
          <w:sz w:val="24"/>
          <w:u w:val="single"/>
        </w:rPr>
        <w:t>Leave of Absence</w:t>
      </w:r>
      <w:r>
        <w:rPr>
          <w:rFonts w:ascii="Times New Roman;serif" w:hAnsi="Times New Roman;serif"/>
          <w:b w:val="false"/>
          <w:color w:val="000000"/>
          <w:sz w:val="24"/>
        </w:rPr>
        <w:t>. During unpaid leaves of absence approved by the Company meeting the requirements of Treasury Regulation Section 1.421-1(h)(2) under the Code, such Participant’s contributions shall cease, and the contributions previously credited to the Participant for that Offering Period shall be used to exercise the Participant’s Purchase Option as of the applicable Purchase Date in accordance with Section 9 (unless the Participant makes a timely election to terminate Contributions and withdraw from the Plan in accordance with Section 7(c), in which case such Participant’s Account shall be paid to him or her in cash in accordance with Section 11(a)).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w:t>
        <w:br/>
        <w:t>GRANT AND EXERCISE OF RIGHTS</w:t>
      </w:r>
    </w:p>
    <w:p>
      <w:pPr>
        <w:pStyle w:val="TextBody"/>
        <w:bidi w:val="0"/>
        <w:spacing w:lineRule="auto" w:line="288" w:before="0" w:after="240"/>
        <w:ind w:left="0" w:right="0" w:firstLine="720"/>
        <w:jc w:val="left"/>
        <w:rPr/>
      </w:pPr>
      <w:r>
        <w:rPr>
          <w:rFonts w:ascii="Times New Roman;serif" w:hAnsi="Times New Roman;serif"/>
          <w:b w:val="false"/>
          <w:color w:val="000000"/>
          <w:sz w:val="24"/>
        </w:rPr>
        <w:t>6.1    </w:t>
      </w:r>
      <w:r>
        <w:rPr>
          <w:rFonts w:ascii="Times New Roman;serif" w:hAnsi="Times New Roman;serif"/>
          <w:b w:val="false"/>
          <w:color w:val="000000"/>
          <w:sz w:val="24"/>
          <w:u w:val="single"/>
        </w:rPr>
        <w:t>Grant of Rights</w:t>
      </w:r>
      <w:r>
        <w:rPr>
          <w:rFonts w:ascii="Times New Roman;serif" w:hAnsi="Times New Roman;serif"/>
          <w:b w:val="false"/>
          <w:color w:val="000000"/>
          <w:sz w:val="24"/>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Participant’s payroll deductions accumulated prior to such Purchase Date and retained in the Participant’s account as of the Purchase Date, by (b) the applicable Purchase Price (rounded down to the nearest Share). The right shall expire on the earlier of: (x) the last Purchase Date of such Offering Period, (y) last day of such Offering Period and (z) the date on which such Participant withdraws in accordance with Section 7.1 or Section 7.3.</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6.2    </w:t>
      </w:r>
      <w:r>
        <w:rPr>
          <w:rFonts w:ascii="Times New Roman;serif" w:hAnsi="Times New Roman;serif"/>
          <w:b w:val="false"/>
          <w:color w:val="000000"/>
          <w:sz w:val="24"/>
          <w:u w:val="single"/>
        </w:rPr>
        <w:t>Exercise of Rights</w:t>
      </w:r>
      <w:r>
        <w:rPr>
          <w:rFonts w:ascii="Times New Roman;serif" w:hAnsi="Times New Roman;serif"/>
          <w:b w:val="false"/>
          <w:color w:val="000000"/>
          <w:sz w:val="24"/>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carried forward and applied toward the purchase of whole Shares for the following Offering Period. Shares issued pursuant to the Plan may be evidenced in such manner as the Administrator may determine and may be issued in certificated form or issued pursuant to book-entry procedures.</w:t>
      </w:r>
    </w:p>
    <w:p>
      <w:pPr>
        <w:pStyle w:val="TextBody"/>
        <w:bidi w:val="0"/>
        <w:spacing w:lineRule="auto" w:line="288" w:before="0" w:after="240"/>
        <w:ind w:left="0" w:right="0" w:firstLine="720"/>
        <w:jc w:val="left"/>
        <w:rPr/>
      </w:pPr>
      <w:r>
        <w:rPr>
          <w:rFonts w:ascii="Times New Roman;serif" w:hAnsi="Times New Roman;serif"/>
          <w:b w:val="false"/>
          <w:color w:val="000000"/>
          <w:sz w:val="24"/>
        </w:rPr>
        <w:t>6.3    </w:t>
      </w:r>
      <w:r>
        <w:rPr>
          <w:rFonts w:ascii="Times New Roman;serif" w:hAnsi="Times New Roman;serif"/>
          <w:b w:val="false"/>
          <w:color w:val="000000"/>
          <w:sz w:val="24"/>
          <w:u w:val="single"/>
        </w:rPr>
        <w:t>Pro Rata Allocation of Shares</w:t>
      </w:r>
      <w:r>
        <w:rPr>
          <w:rFonts w:ascii="Times New Roman;serif" w:hAnsi="Times New Roman;serif"/>
          <w:b w:val="false"/>
          <w:color w:val="000000"/>
          <w:sz w:val="24"/>
        </w:rPr>
        <w:t xml:space="preserve">.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w:t>
      </w:r>
      <w:r>
        <w:rPr>
          <w:rFonts w:ascii="Times New Roman;serif" w:hAnsi="Times New Roman;serif"/>
          <w:b w:val="false"/>
          <w:color w:val="000000"/>
          <w:sz w:val="22"/>
        </w:rPr>
        <w:t xml:space="preserve">in lieu </w:t>
      </w:r>
      <w:r>
        <w:rPr>
          <w:rFonts w:ascii="Times New Roman;serif" w:hAnsi="Times New Roman;serif"/>
          <w:b w:val="false"/>
          <w:color w:val="000000"/>
          <w:sz w:val="24"/>
        </w:rPr>
        <w:t>in cash as soon as reasonably practicable after the Purchase Date.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6.4    </w:t>
      </w:r>
      <w:r>
        <w:rPr>
          <w:rFonts w:ascii="Times New Roman;serif" w:hAnsi="Times New Roman;serif"/>
          <w:b w:val="false"/>
          <w:color w:val="000000"/>
          <w:sz w:val="24"/>
          <w:u w:val="single"/>
        </w:rPr>
        <w:t>Withholding</w:t>
      </w:r>
      <w:r>
        <w:rPr>
          <w:rFonts w:ascii="Times New Roman;serif" w:hAnsi="Times New Roman;serif"/>
          <w:b w:val="false"/>
          <w:color w:val="000000"/>
          <w:sz w:val="24"/>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Shares by the Participant.</w:t>
      </w:r>
    </w:p>
    <w:p>
      <w:pPr>
        <w:pStyle w:val="TextBody"/>
        <w:bidi w:val="0"/>
        <w:spacing w:lineRule="auto" w:line="288" w:before="0" w:after="240"/>
        <w:ind w:left="0" w:right="0" w:firstLine="720"/>
        <w:jc w:val="left"/>
        <w:rPr/>
      </w:pPr>
      <w:r>
        <w:rPr>
          <w:rFonts w:ascii="Times New Roman;serif" w:hAnsi="Times New Roman;serif"/>
          <w:b w:val="false"/>
          <w:color w:val="000000"/>
          <w:sz w:val="24"/>
        </w:rPr>
        <w:t>6.5    </w:t>
      </w:r>
      <w:r>
        <w:rPr>
          <w:rFonts w:ascii="Times New Roman;serif" w:hAnsi="Times New Roman;serif"/>
          <w:b w:val="false"/>
          <w:color w:val="000000"/>
          <w:sz w:val="24"/>
          <w:u w:val="single"/>
        </w:rPr>
        <w:t>Conditions to Issuance of Common Stock</w:t>
      </w:r>
      <w:r>
        <w:rPr>
          <w:rFonts w:ascii="Times New Roman;serif" w:hAnsi="Times New Roman;serif"/>
          <w:b w:val="false"/>
          <w:color w:val="000000"/>
          <w:sz w:val="24"/>
        </w:rPr>
        <w:t>. The Company shall not be required to issue or deliver any certificate or certificates for, or make any book entries evidencing, Shares purchased upon the exercise of rights under the Plan prior to fulfillment of all of the following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 admission of such Shares to listing on all stock exchanges, if any, on which the Common Stock is then listed;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The obtaining of any approval or other clearance from any state or federal governmental agency that the Administrator shall, in its absolute discretion, determine to be necessary or advisable;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The payment to the Company of all amounts that it is required to withhold under federal, state or local law upon exercise of the rights, if any;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The lapse of such reasonable period of time following the exercise of the rights as the Administrator may from time to time establish for reasons of administrative convenience.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w:t>
        <w:br/>
        <w:t>WITHDRAWAL; CESSATION OF ELIGIBILITY</w:t>
      </w:r>
    </w:p>
    <w:p>
      <w:pPr>
        <w:pStyle w:val="TextBody"/>
        <w:bidi w:val="0"/>
        <w:spacing w:lineRule="auto" w:line="288" w:before="0" w:after="240"/>
        <w:ind w:left="0" w:right="0" w:firstLine="720"/>
        <w:jc w:val="left"/>
        <w:rPr/>
      </w:pPr>
      <w:r>
        <w:rPr>
          <w:rFonts w:ascii="Times New Roman;serif" w:hAnsi="Times New Roman;serif"/>
          <w:b w:val="false"/>
          <w:color w:val="000000"/>
          <w:sz w:val="24"/>
        </w:rPr>
        <w:t>7.1    </w:t>
      </w:r>
      <w:r>
        <w:rPr>
          <w:rFonts w:ascii="Times New Roman;serif" w:hAnsi="Times New Roman;serif"/>
          <w:b w:val="false"/>
          <w:color w:val="000000"/>
          <w:sz w:val="24"/>
          <w:u w:val="single"/>
        </w:rPr>
        <w:t>Withdrawal</w:t>
      </w:r>
      <w:r>
        <w:rPr>
          <w:rFonts w:ascii="Times New Roman;serif" w:hAnsi="Times New Roman;serif"/>
          <w:b w:val="false"/>
          <w:color w:val="000000"/>
          <w:sz w:val="24"/>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two weeks prior to the end of the Offering Period or, if earlier, the end of the Purchase Period (or such shorter or longer period as may be specified by the Administrator in the Offering Document). All of the Participant’s payroll deductions credited to his or her account during the Offering Period not yet used to exercise his or her rights under the Plan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7.2    </w:t>
      </w:r>
      <w:r>
        <w:rPr>
          <w:rFonts w:ascii="Times New Roman;serif" w:hAnsi="Times New Roman;serif"/>
          <w:b w:val="false"/>
          <w:color w:val="000000"/>
          <w:sz w:val="24"/>
          <w:u w:val="single"/>
        </w:rPr>
        <w:t>Future Participation</w:t>
      </w:r>
      <w:r>
        <w:rPr>
          <w:rFonts w:ascii="Times New Roman;serif" w:hAnsi="Times New Roman;serif"/>
          <w:b w:val="false"/>
          <w:color w:val="000000"/>
          <w:sz w:val="24"/>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pStyle w:val="TextBody"/>
        <w:bidi w:val="0"/>
        <w:spacing w:lineRule="auto" w:line="288" w:before="0" w:after="240"/>
        <w:ind w:left="0" w:right="0" w:firstLine="720"/>
        <w:jc w:val="left"/>
        <w:rPr/>
      </w:pPr>
      <w:r>
        <w:rPr>
          <w:rFonts w:ascii="Times New Roman;serif" w:hAnsi="Times New Roman;serif"/>
          <w:b w:val="false"/>
          <w:color w:val="000000"/>
          <w:sz w:val="24"/>
        </w:rPr>
        <w:t>7.3    </w:t>
      </w:r>
      <w:r>
        <w:rPr>
          <w:rFonts w:ascii="Times New Roman;serif" w:hAnsi="Times New Roman;serif"/>
          <w:b w:val="false"/>
          <w:color w:val="000000"/>
          <w:sz w:val="24"/>
          <w:u w:val="single"/>
        </w:rPr>
        <w:t>Cessation of Eligibility</w:t>
      </w:r>
      <w:r>
        <w:rPr>
          <w:rFonts w:ascii="Times New Roman;serif" w:hAnsi="Times New Roman;serif"/>
          <w:b w:val="false"/>
          <w:color w:val="000000"/>
          <w:sz w:val="24"/>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VIII.</w:t>
        <w:br/>
        <w:t>ADJUSTMENTS UPON CHANGES IN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8.1    </w:t>
      </w:r>
      <w:r>
        <w:rPr>
          <w:rFonts w:ascii="Times New Roman;serif" w:hAnsi="Times New Roman;serif"/>
          <w:b w:val="false"/>
          <w:color w:val="000000"/>
          <w:sz w:val="24"/>
          <w:u w:val="single"/>
        </w:rPr>
        <w:t>Changes in Capitalization</w:t>
      </w:r>
      <w:r>
        <w:rPr>
          <w:rFonts w:ascii="Times New Roman;serif" w:hAnsi="Times New Roman;serif"/>
          <w:b w:val="false"/>
          <w:color w:val="000000"/>
          <w:sz w:val="24"/>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pStyle w:val="TextBody"/>
        <w:bidi w:val="0"/>
        <w:spacing w:lineRule="auto" w:line="288" w:before="0" w:after="240"/>
        <w:ind w:left="0" w:right="0" w:firstLine="720"/>
        <w:jc w:val="left"/>
        <w:rPr/>
      </w:pPr>
      <w:r>
        <w:rPr>
          <w:rFonts w:ascii="Times New Roman;serif" w:hAnsi="Times New Roman;serif"/>
          <w:b w:val="false"/>
          <w:color w:val="000000"/>
          <w:sz w:val="24"/>
        </w:rPr>
        <w:t>8.2    </w:t>
      </w:r>
      <w:r>
        <w:rPr>
          <w:rFonts w:ascii="Times New Roman;serif" w:hAnsi="Times New Roman;serif"/>
          <w:b w:val="false"/>
          <w:color w:val="000000"/>
          <w:sz w:val="24"/>
          <w:u w:val="single"/>
        </w:rPr>
        <w:t>Other Adjustments</w:t>
      </w:r>
      <w:r>
        <w:rPr>
          <w:rFonts w:ascii="Times New Roman;serif" w:hAnsi="Times New Roman;serif"/>
          <w:b w:val="false"/>
          <w:color w:val="000000"/>
          <w:sz w:val="24"/>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To make adjustments in the number and type of Shares (or other securities or property) subject to outstanding rights under the Plan and/or in the terms and conditions of outstanding rights and rights that may be granted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To provide that Participants’ accumulated payroll deductions may be used to purchase Common Stock prior to the next occurring Purchase Date on such date as the Administrator determines in its sole discretion and the Participants’ rights under the ongoing Offering Period(s) shall be terminated;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To provide that all outstanding rights shall terminate without being exercised.</w:t>
      </w:r>
    </w:p>
    <w:p>
      <w:pPr>
        <w:pStyle w:val="TextBody"/>
        <w:bidi w:val="0"/>
        <w:spacing w:lineRule="auto" w:line="288" w:before="0" w:after="240"/>
        <w:ind w:left="0" w:right="0" w:firstLine="720"/>
        <w:jc w:val="left"/>
        <w:rPr/>
      </w:pPr>
      <w:r>
        <w:rPr>
          <w:rFonts w:ascii="Times New Roman;serif" w:hAnsi="Times New Roman;serif"/>
          <w:b w:val="false"/>
          <w:color w:val="000000"/>
          <w:sz w:val="24"/>
        </w:rPr>
        <w:t>8.3    </w:t>
      </w:r>
      <w:r>
        <w:rPr>
          <w:rFonts w:ascii="Times New Roman;serif" w:hAnsi="Times New Roman;serif"/>
          <w:b w:val="false"/>
          <w:color w:val="000000"/>
          <w:sz w:val="24"/>
          <w:u w:val="single"/>
        </w:rPr>
        <w:t>No Adjustment Under Certain Circumstances</w:t>
      </w:r>
      <w:r>
        <w:rPr>
          <w:rFonts w:ascii="Times New Roman;serif" w:hAnsi="Times New Roman;serif"/>
          <w:b w:val="false"/>
          <w:color w:val="000000"/>
          <w:sz w:val="24"/>
        </w:rPr>
        <w:t>. No adjustment or action described in this Article VIII or in any other provision of the Plan shall be authorized to the extent that such adjustment or action would cause the Plan to fail to satisfy the requirements of Section 423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8.4    </w:t>
      </w:r>
      <w:r>
        <w:rPr>
          <w:rFonts w:ascii="Times New Roman;serif" w:hAnsi="Times New Roman;serif"/>
          <w:b w:val="false"/>
          <w:color w:val="000000"/>
          <w:sz w:val="24"/>
          <w:u w:val="single"/>
        </w:rPr>
        <w:t>No Other Rights</w:t>
      </w:r>
      <w:r>
        <w:rPr>
          <w:rFonts w:ascii="Times New Roman;serif" w:hAnsi="Times New Roman;serif"/>
          <w:b w:val="false"/>
          <w:color w:val="000000"/>
          <w:sz w:val="24"/>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IX.</w:t>
        <w:br/>
        <w:t>AMENDMENT, MODIFICATION AND TERMINATION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9.1    </w:t>
      </w:r>
      <w:r>
        <w:rPr>
          <w:rFonts w:ascii="Times New Roman;serif" w:hAnsi="Times New Roman;serif"/>
          <w:b w:val="false"/>
          <w:color w:val="000000"/>
          <w:sz w:val="24"/>
          <w:u w:val="single"/>
        </w:rPr>
        <w:t>Amendment, Modification and Termination</w:t>
      </w:r>
      <w:r>
        <w:rPr>
          <w:rFonts w:ascii="Times New Roman;serif" w:hAnsi="Times New Roman;serif"/>
          <w:b w:val="false"/>
          <w:color w:val="000000"/>
          <w:sz w:val="24"/>
        </w:rPr>
        <w:t xml:space="preserve">. The Administrator may amend, suspend or terminate the Plan at any time and from time to time;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approval of the Company’s stockholders shall be required to amend the Plan to: (a) increase the aggregate number, or change the type, of shares that may be sold pursuant to rights under the Plan under Section 3.1 (other than an adjustment as provided by Article VIII); (b) change the Plan in any manner that would be considered the adoption of a new plan within the meaning of Treasury regulation Section 1.423-2(c)(4); or (c) change the Plan in any manner that would cause the Plan to no longer be an “employee stock purchase plan” within the meaning of Section 423(b)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9.2    </w:t>
      </w:r>
      <w:r>
        <w:rPr>
          <w:rFonts w:ascii="Times New Roman;serif" w:hAnsi="Times New Roman;serif"/>
          <w:b w:val="false"/>
          <w:color w:val="000000"/>
          <w:sz w:val="24"/>
          <w:u w:val="single"/>
        </w:rPr>
        <w:t>Certain Changes to Plan</w:t>
      </w:r>
      <w:r>
        <w:rPr>
          <w:rFonts w:ascii="Times New Roman;serif" w:hAnsi="Times New Roman;serif"/>
          <w:b w:val="false"/>
          <w:color w:val="000000"/>
          <w:sz w:val="24"/>
        </w:rPr>
        <w:t xml:space="preserve">.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Participant’s Compensation, and establish such other limitations or procedures as the Administrator determines in its sole discretion to be advisable that are consistent with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9.3    </w:t>
      </w:r>
      <w:r>
        <w:rPr>
          <w:rFonts w:ascii="Times New Roman;serif" w:hAnsi="Times New Roman;serif"/>
          <w:b w:val="false"/>
          <w:color w:val="000000"/>
          <w:sz w:val="24"/>
          <w:u w:val="single"/>
        </w:rPr>
        <w:t>Actions In the Event of Unfavorable Financial Accounting Consequences</w:t>
      </w:r>
      <w:r>
        <w:rPr>
          <w:rFonts w:ascii="Times New Roman;serif" w:hAnsi="Times New Roman;serif"/>
          <w:b w:val="false"/>
          <w:color w:val="000000"/>
          <w:sz w:val="24"/>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altering the Purchase Price for any Offering Period, including an Offering Period underway at the time of the change in Purchase Price;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shortening any Offering Period so that the Offering Period ends on a new Purchase Date, including an Offering Period underway at the time of the Administrator action;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allocating Shares.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Such modifications or amendments shall not require stockholder approval or the consent of any Participant.</w:t>
      </w:r>
    </w:p>
    <w:p>
      <w:pPr>
        <w:pStyle w:val="TextBody"/>
        <w:bidi w:val="0"/>
        <w:spacing w:lineRule="auto" w:line="288" w:before="0" w:after="240"/>
        <w:ind w:left="0" w:right="0" w:firstLine="720"/>
        <w:jc w:val="left"/>
        <w:rPr/>
      </w:pPr>
      <w:r>
        <w:rPr>
          <w:rFonts w:ascii="Times New Roman;serif" w:hAnsi="Times New Roman;serif"/>
          <w:b w:val="false"/>
          <w:color w:val="000000"/>
          <w:sz w:val="24"/>
        </w:rPr>
        <w:t>9.4    </w:t>
      </w:r>
      <w:r>
        <w:rPr>
          <w:rFonts w:ascii="Times New Roman;serif" w:hAnsi="Times New Roman;serif"/>
          <w:b w:val="false"/>
          <w:color w:val="000000"/>
          <w:sz w:val="24"/>
          <w:u w:val="single"/>
        </w:rPr>
        <w:t>Payments Upon Termination of Plan</w:t>
      </w:r>
      <w:r>
        <w:rPr>
          <w:rFonts w:ascii="Times New Roman;serif" w:hAnsi="Times New Roman;serif"/>
          <w:b w:val="false"/>
          <w:color w:val="000000"/>
          <w:sz w:val="24"/>
        </w:rPr>
        <w:t>. Upon termination of the Plan, the balance in each Participant’s Plan account shall be refunded as soon as practicable after such termination, without any interest thereon.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w:t>
        <w:br/>
        <w:t>TERM OF PLAN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Plan shall be effective on the Effective Date. The effectiveness of the Plan shall be subject to approval of the Plan by the stockholders of the Company within 12 months following the date the Plan is first approved by the Board. No right may be granted under the Plan prior to such stockholder approval. No rights may be granted under the Plan during any period of suspension of the Plan or after termination of the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XI.</w:t>
        <w:br/>
        <w:t>ADMINISTRATION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11.1    </w:t>
      </w:r>
      <w:r>
        <w:rPr>
          <w:rFonts w:ascii="Times New Roman;serif" w:hAnsi="Times New Roman;serif"/>
          <w:b w:val="false"/>
          <w:color w:val="000000"/>
          <w:sz w:val="24"/>
          <w:u w:val="single"/>
        </w:rPr>
        <w:t>Administrator</w:t>
      </w:r>
      <w:r>
        <w:rPr>
          <w:rFonts w:ascii="Times New Roman;serif" w:hAnsi="Times New Roman;serif"/>
          <w:b w:val="false"/>
          <w:color w:val="000000"/>
          <w:sz w:val="24"/>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Times New Roman;serif" w:hAnsi="Times New Roman;serif"/>
          <w:b/>
          <w:i/>
          <w:color w:val="000000"/>
          <w:sz w:val="24"/>
        </w:rPr>
        <w:t>Committee</w:t>
      </w:r>
      <w:r>
        <w:rPr>
          <w:color w:val="000000"/>
        </w:rPr>
        <w:t>”</w:t>
      </w:r>
      <w:r>
        <w:rPr>
          <w:rFonts w:ascii="Times New Roman;serif" w:hAnsi="Times New Roman;serif"/>
          <w:b w:val="false"/>
          <w:color w:val="000000"/>
          <w:sz w:val="24"/>
        </w:rPr>
        <w:t>). The Board may at any time vest in the Board any authority or duties for administration of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11.2    </w:t>
      </w:r>
      <w:r>
        <w:rPr>
          <w:rFonts w:ascii="Times New Roman;serif" w:hAnsi="Times New Roman;serif"/>
          <w:b w:val="false"/>
          <w:color w:val="000000"/>
          <w:sz w:val="24"/>
          <w:u w:val="single"/>
        </w:rPr>
        <w:t>Action by the Administrator</w:t>
      </w:r>
      <w:r>
        <w:rPr>
          <w:rFonts w:ascii="Times New Roman;serif" w:hAnsi="Times New Roman;serif"/>
          <w:b w:val="false"/>
          <w:color w:val="000000"/>
          <w:sz w:val="24"/>
        </w:rPr>
        <w:t xml:space="preserve">. Unless otherwise established by the Board or in any charter of the Administrator, a majority of the Administrator shall constitute a quorum. The acts of a majority of the members present at any meeting at which a quorum is present and, subject to Applicable Law and the Bylaws of the Company, acts approved in writing by a majority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Administrator in lieu of a meeting, shall be deemed the acts of the Administrator. Each member of the Administrator is entitled to, in good faith, rely or act upon any report or other information furnished to that member by any officer or other employee of the Company or any Designated Subsidiary, the Company’s independent certified public accountants, or any executive compensation consultant or other professional retained by the Company to assist in the administration of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11.3    </w:t>
      </w:r>
      <w:r>
        <w:rPr>
          <w:rFonts w:ascii="Times New Roman;serif" w:hAnsi="Times New Roman;serif"/>
          <w:b w:val="false"/>
          <w:color w:val="000000"/>
          <w:sz w:val="24"/>
          <w:u w:val="single"/>
        </w:rPr>
        <w:t>Authority of Administrator</w:t>
      </w:r>
      <w:r>
        <w:rPr>
          <w:rFonts w:ascii="Times New Roman;serif" w:hAnsi="Times New Roman;serif"/>
          <w:b w:val="false"/>
          <w:color w:val="000000"/>
          <w:sz w:val="24"/>
        </w:rPr>
        <w:t>. The Administrator shall have the power, subject to, and within the limitations of, the express provisions of the Plan: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To determine when and how rights to purchase Common Stock shall be granted and the provisions of each offering of such rights (which need not be identical).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To designate from time to time which Subsidiaries of the Company shall be Designated Subsidiaries, which designation may be made without the approval of the stockholders of the Company.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To amend, suspend or terminate the Plan as provided in Article IX.</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11.4    </w:t>
      </w:r>
      <w:r>
        <w:rPr>
          <w:rFonts w:ascii="Times New Roman;serif" w:hAnsi="Times New Roman;serif"/>
          <w:b w:val="false"/>
          <w:color w:val="000000"/>
          <w:sz w:val="24"/>
          <w:u w:val="single"/>
        </w:rPr>
        <w:t>Decisions Binding</w:t>
      </w:r>
      <w:r>
        <w:rPr>
          <w:rFonts w:ascii="Times New Roman;serif" w:hAnsi="Times New Roman;serif"/>
          <w:b w:val="false"/>
          <w:color w:val="000000"/>
          <w:sz w:val="24"/>
        </w:rPr>
        <w:t>. The Administrator’s interpretation of the Plan, any rights granted pursuant to the Plan, any subscription agreement and all decisions and determinations by the Administrator with respect to the Plan are final, binding, and conclusive on all parties.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XII.</w:t>
        <w:br/>
        <w:t>MISCELLANEOUS</w:t>
      </w:r>
    </w:p>
    <w:p>
      <w:pPr>
        <w:pStyle w:val="TextBody"/>
        <w:bidi w:val="0"/>
        <w:spacing w:lineRule="auto" w:line="288" w:before="0" w:after="240"/>
        <w:ind w:left="0" w:right="0" w:firstLine="720"/>
        <w:jc w:val="left"/>
        <w:rPr/>
      </w:pPr>
      <w:r>
        <w:rPr>
          <w:rFonts w:ascii="Times New Roman;serif" w:hAnsi="Times New Roman;serif"/>
          <w:b w:val="false"/>
          <w:color w:val="000000"/>
          <w:sz w:val="24"/>
        </w:rPr>
        <w:t>12.1    </w:t>
      </w:r>
      <w:r>
        <w:rPr>
          <w:rFonts w:ascii="Times New Roman;serif" w:hAnsi="Times New Roman;serif"/>
          <w:b w:val="false"/>
          <w:color w:val="000000"/>
          <w:sz w:val="24"/>
          <w:u w:val="single"/>
        </w:rPr>
        <w:t>Restriction upon Assignment</w:t>
      </w:r>
      <w:r>
        <w:rPr>
          <w:rFonts w:ascii="Times New Roman;serif" w:hAnsi="Times New Roman;serif"/>
          <w:b w:val="false"/>
          <w:color w:val="000000"/>
          <w:sz w:val="24"/>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12.2    </w:t>
      </w:r>
      <w:r>
        <w:rPr>
          <w:rFonts w:ascii="Times New Roman;serif" w:hAnsi="Times New Roman;serif"/>
          <w:b w:val="false"/>
          <w:color w:val="000000"/>
          <w:sz w:val="24"/>
          <w:u w:val="single"/>
        </w:rPr>
        <w:t>Rights as a Stockholder</w:t>
      </w:r>
      <w:r>
        <w:rPr>
          <w:rFonts w:ascii="Times New Roman;serif" w:hAnsi="Times New Roman;serif"/>
          <w:b w:val="false"/>
          <w:color w:val="000000"/>
          <w:sz w:val="24"/>
        </w:rPr>
        <w:t xml:space="preserve">. With respect to Shares subject to a right granted under the Plan, a Participant shall not be deemed to be a stockholder of the Company,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pStyle w:val="TextBody"/>
        <w:bidi w:val="0"/>
        <w:spacing w:lineRule="auto" w:line="288" w:before="0" w:after="240"/>
        <w:ind w:left="0" w:right="0" w:firstLine="720"/>
        <w:jc w:val="left"/>
        <w:rPr/>
      </w:pPr>
      <w:r>
        <w:rPr>
          <w:rFonts w:ascii="Times New Roman;serif" w:hAnsi="Times New Roman;serif"/>
          <w:b w:val="false"/>
          <w:color w:val="000000"/>
          <w:sz w:val="24"/>
        </w:rPr>
        <w:t>12.3    </w:t>
      </w:r>
      <w:r>
        <w:rPr>
          <w:rFonts w:ascii="Times New Roman;serif" w:hAnsi="Times New Roman;serif"/>
          <w:b w:val="false"/>
          <w:color w:val="000000"/>
          <w:sz w:val="24"/>
          <w:u w:val="single"/>
        </w:rPr>
        <w:t>Interest</w:t>
      </w:r>
      <w:r>
        <w:rPr>
          <w:rFonts w:ascii="Times New Roman;serif" w:hAnsi="Times New Roman;serif"/>
          <w:b w:val="false"/>
          <w:color w:val="000000"/>
          <w:sz w:val="24"/>
        </w:rPr>
        <w:t>. No interest shall accrue on the payroll deductions or contributions of a Participant under the Plan.</w:t>
      </w:r>
    </w:p>
    <w:p>
      <w:pPr>
        <w:pStyle w:val="TextBody"/>
        <w:bidi w:val="0"/>
        <w:spacing w:lineRule="auto" w:line="288" w:before="0" w:after="240"/>
        <w:ind w:left="0" w:right="0" w:firstLine="720"/>
        <w:jc w:val="left"/>
        <w:rPr/>
      </w:pPr>
      <w:r>
        <w:rPr>
          <w:rFonts w:ascii="Times New Roman;serif" w:hAnsi="Times New Roman;serif"/>
          <w:b w:val="false"/>
          <w:color w:val="000000"/>
          <w:sz w:val="24"/>
        </w:rPr>
        <w:t>12.4    </w:t>
      </w:r>
      <w:r>
        <w:rPr>
          <w:rFonts w:ascii="Times New Roman;serif" w:hAnsi="Times New Roman;serif"/>
          <w:b w:val="false"/>
          <w:color w:val="000000"/>
          <w:sz w:val="24"/>
          <w:u w:val="single"/>
        </w:rPr>
        <w:t>Designation of Beneficiary</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12.5    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12.6    </w:t>
      </w:r>
      <w:r>
        <w:rPr>
          <w:rFonts w:ascii="Times New Roman;serif" w:hAnsi="Times New Roman;serif"/>
          <w:b w:val="false"/>
          <w:color w:val="000000"/>
          <w:sz w:val="24"/>
          <w:u w:val="single"/>
        </w:rPr>
        <w:t>Equal Rights and Privileges</w:t>
      </w:r>
      <w:r>
        <w:rPr>
          <w:rFonts w:ascii="Times New Roman;serif" w:hAnsi="Times New Roman;serif"/>
          <w:b w:val="false"/>
          <w:color w:val="000000"/>
          <w:sz w:val="24"/>
        </w:rPr>
        <w:t>.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12.7    </w:t>
      </w:r>
      <w:r>
        <w:rPr>
          <w:rFonts w:ascii="Times New Roman;serif" w:hAnsi="Times New Roman;serif"/>
          <w:b w:val="false"/>
          <w:color w:val="000000"/>
          <w:sz w:val="24"/>
          <w:u w:val="single"/>
        </w:rPr>
        <w:t>Use of Funds</w:t>
      </w:r>
      <w:r>
        <w:rPr>
          <w:rFonts w:ascii="Times New Roman;serif" w:hAnsi="Times New Roman;serif"/>
          <w:b w:val="false"/>
          <w:color w:val="000000"/>
          <w:sz w:val="24"/>
        </w:rPr>
        <w:t>. All payroll deductions received or held by the Company under the Plan may be used by the Company for any corporate purpose, and the Company shall not be obligated to segregate such payroll deductions.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12.8    </w:t>
      </w:r>
      <w:r>
        <w:rPr>
          <w:rFonts w:ascii="Times New Roman;serif" w:hAnsi="Times New Roman;serif"/>
          <w:b w:val="false"/>
          <w:color w:val="000000"/>
          <w:sz w:val="24"/>
          <w:u w:val="single"/>
        </w:rPr>
        <w:t>Reports</w:t>
      </w:r>
      <w:r>
        <w:rPr>
          <w:rFonts w:ascii="Times New Roman;serif" w:hAnsi="Times New Roman;serif"/>
          <w:b w:val="false"/>
          <w:color w:val="000000"/>
          <w:sz w:val="24"/>
        </w:rPr>
        <w:t>. Statements of account shall be given to Participants at least annually, which statements shall set forth the amounts of payroll deductions, the Purchase Price, the number of Shares purchased and the remaining cash balance, if 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12.9    </w:t>
      </w:r>
      <w:r>
        <w:rPr>
          <w:rFonts w:ascii="Times New Roman;serif" w:hAnsi="Times New Roman;serif"/>
          <w:b w:val="false"/>
          <w:color w:val="000000"/>
          <w:sz w:val="24"/>
          <w:u w:val="single"/>
        </w:rPr>
        <w:t>No Employment Rights</w:t>
      </w:r>
      <w:r>
        <w:rPr>
          <w:rFonts w:ascii="Times New Roman;serif" w:hAnsi="Times New Roman;serif"/>
          <w:b w:val="false"/>
          <w:color w:val="000000"/>
          <w:sz w:val="24"/>
        </w:rPr>
        <w:t>. Nothing in the Plan shall be construed to give any person (including any Eligible Employee or Participant) the right to employment or service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pStyle w:val="TextBody"/>
        <w:bidi w:val="0"/>
        <w:spacing w:lineRule="auto" w:line="288" w:before="0" w:after="240"/>
        <w:ind w:left="0" w:right="0" w:firstLine="720"/>
        <w:jc w:val="left"/>
        <w:rPr/>
      </w:pPr>
      <w:r>
        <w:rPr>
          <w:rFonts w:ascii="Times New Roman;serif" w:hAnsi="Times New Roman;serif"/>
          <w:b w:val="false"/>
          <w:color w:val="000000"/>
          <w:sz w:val="24"/>
        </w:rPr>
        <w:t>12.10    </w:t>
      </w:r>
      <w:r>
        <w:rPr>
          <w:rFonts w:ascii="Times New Roman;serif" w:hAnsi="Times New Roman;serif"/>
          <w:b w:val="false"/>
          <w:color w:val="000000"/>
          <w:sz w:val="24"/>
          <w:u w:val="single"/>
        </w:rPr>
        <w:t>Notice of Disposition of Shares</w:t>
      </w:r>
      <w:r>
        <w:rPr>
          <w:rFonts w:ascii="Times New Roman;serif" w:hAnsi="Times New Roman;serif"/>
          <w:b w:val="false"/>
          <w:color w:val="000000"/>
          <w:sz w:val="24"/>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pStyle w:val="TextBody"/>
        <w:bidi w:val="0"/>
        <w:spacing w:lineRule="auto" w:line="288" w:before="0" w:after="240"/>
        <w:ind w:left="0" w:right="0" w:firstLine="720"/>
        <w:jc w:val="left"/>
        <w:rPr/>
      </w:pPr>
      <w:r>
        <w:rPr>
          <w:rFonts w:ascii="Times New Roman;serif" w:hAnsi="Times New Roman;serif"/>
          <w:b w:val="false"/>
          <w:color w:val="000000"/>
          <w:sz w:val="24"/>
        </w:rPr>
        <w:t>12.11    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Plan and any agreements hereunder shall be administered, interpreted and enforced under the internal laws of the State of Delaware without regard to conflicts of laws thereof or of any other jurisdiction.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12.12    </w:t>
      </w:r>
      <w:r>
        <w:rPr>
          <w:rFonts w:ascii="Times New Roman;serif" w:hAnsi="Times New Roman;serif"/>
          <w:b w:val="false"/>
          <w:color w:val="000000"/>
          <w:sz w:val="24"/>
          <w:u w:val="single"/>
        </w:rPr>
        <w:t>Electronic Forms</w:t>
      </w:r>
      <w:r>
        <w:rPr>
          <w:rFonts w:ascii="Times New Roman;serif" w:hAnsi="Times New Roman;serif"/>
          <w:b w:val="false"/>
          <w:color w:val="000000"/>
          <w:sz w:val="24"/>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319"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319" w:before="240" w:after="283"/>
        <w:jc w:val="left"/>
        <w:rPr>
          <w:rFonts w:ascii="Times New Roman;serif" w:hAnsi="Times New Roman;serif"/>
          <w:b w:val="false"/>
          <w:color w:val="000000"/>
          <w:sz w:val="20"/>
        </w:rPr>
      </w:pPr>
      <w:r>
        <w:rPr>
          <w:rFonts w:ascii="Times New Roman;serif" w:hAnsi="Times New Roman;serif"/>
          <w:b w:val="false"/>
          <w:color w:val="000000"/>
          <w:sz w:val="20"/>
        </w:rPr>
        <w:t>I, Larry Wood, Ph.D., certify that: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PROCEPT BioRobotics Corporation;</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110"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759"/>
        <w:gridCol w:w="759"/>
        <w:gridCol w:w="107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Larry Wood</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Larry Wood</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Chief Executive Officer </w:t>
            </w:r>
          </w:p>
          <w:p>
            <w:pPr>
              <w:pStyle w:val="TableContents"/>
              <w:bidi w:val="0"/>
              <w:spacing w:lineRule="auto" w:line="319" w:before="0" w:after="3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(Principal Executive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319"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319" w:before="240" w:after="283"/>
        <w:jc w:val="left"/>
        <w:rPr>
          <w:rFonts w:ascii="Times New Roman;serif" w:hAnsi="Times New Roman;serif"/>
          <w:b w:val="false"/>
          <w:color w:val="000000"/>
          <w:sz w:val="20"/>
        </w:rPr>
      </w:pPr>
      <w:r>
        <w:rPr>
          <w:rFonts w:ascii="Times New Roman;serif" w:hAnsi="Times New Roman;serif"/>
          <w:b w:val="false"/>
          <w:color w:val="000000"/>
          <w:sz w:val="20"/>
        </w:rPr>
        <w:t>I, Kevin Waters, certify that: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PROCEPT BioRobotics Corporation;</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425"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849"/>
        <w:gridCol w:w="849"/>
        <w:gridCol w:w="121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Waters</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Kevin Waters</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 xml:space="preserve">(Principal Financial Officer and </w:t>
            </w:r>
          </w:p>
          <w:p>
            <w:pPr>
              <w:pStyle w:val="TableContents"/>
              <w:bidi w:val="0"/>
              <w:spacing w:lineRule="auto" w:line="319" w:before="0" w:after="30"/>
              <w:jc w:val="center"/>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319"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PROCEPT BioRobotics Corporation (the “Company”) on Form 10-Q for the period ending March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110"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759"/>
        <w:gridCol w:w="759"/>
        <w:gridCol w:w="107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Larry Wood</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Larry Wood</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Chief Executive Officer </w:t>
            </w:r>
          </w:p>
          <w:p>
            <w:pPr>
              <w:pStyle w:val="TableContents"/>
              <w:bidi w:val="0"/>
              <w:spacing w:lineRule="auto" w:line="319" w:before="0" w:after="3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(Principal Executive Officer)</w:t>
            </w:r>
          </w:p>
        </w:tc>
      </w:tr>
    </w:tbl>
    <w:p>
      <w:pPr>
        <w:pStyle w:val="TextBody"/>
        <w:bidi w:val="0"/>
        <w:spacing w:lineRule="auto" w:line="319"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319"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PROCEPT BioRobotics Corporation (the “Company”) on Form 10-Q for the period ending March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425"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4"/>
        <w:gridCol w:w="134"/>
        <w:gridCol w:w="136"/>
        <w:gridCol w:w="849"/>
        <w:gridCol w:w="849"/>
        <w:gridCol w:w="121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Waters</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Kevin Waters</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 xml:space="preserve">(Principal Financial Officer and </w:t>
            </w:r>
          </w:p>
          <w:p>
            <w:pPr>
              <w:pStyle w:val="TableContents"/>
              <w:bidi w:val="0"/>
              <w:spacing w:lineRule="auto" w:line="319" w:before="0" w:after="30"/>
              <w:jc w:val="center"/>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spacing w:lineRule="auto" w:line="319"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588978/000162828021018923/exhibit31-closing8xk.htm" TargetMode="External"/><Relationship Id="rId3" Type="http://schemas.openxmlformats.org/officeDocument/2006/relationships/hyperlink" Target="https://www.sec.gov/Archives/edgar/data/0001588978/000162828021018923/exhibit32-closing8xk.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20967</Words>
  <Characters>114295</Characters>
  <CharactersWithSpaces>134651</CharactersWithSpaces>
  <Paragraphs>1627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