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Harris Taylor C.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PROCEPT BioRobotics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PROCEPT BIOROBOTICS CORPORATION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 BAYTECH DRIVE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3,315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102,491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28.78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Common Stock. The securities shall vest in full on the earlier to occur of (i) the one-year anniversary of the grant date, or (ii) the date of the next annual meeting following the grant date, subject to continued service through the applicable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was granted on June 9, 2026, and vests in full on the earlier to occur of (i) the one-year anniversary of the grant date, or (ii) the date of the next annual meeting following the grant date, subject to continued service through the applicable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Stone,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Taylor C. Harris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60168" TargetMode="External"/><Relationship Id="rId14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2026-06-10T15:52:27Z</dcterms:created>
  <dcterms:modified xsi:type="dcterms:W3CDTF">2026-06-10T15:52:27Z</dcterms:modified>
</cp:coreProperties>
</file>