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PROCEPT BIOROBOTICS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001-40797</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8"/>
                <w:szCs w:val="18"/>
                <w:b w:val="1"/>
                <w:bCs w:val="1"/>
                <w:color w:val="auto"/>
                <w:w w:val="98"/>
              </w:rPr>
              <w:t>26-0199180</w:t>
            </w:r>
          </w:p>
        </w:tc>
      </w:tr>
      <w:tr>
        <w:trPr>
          <w:trHeight w:val="205"/>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0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0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501"/>
        </w:trPr>
        <w:tc>
          <w:tcPr>
            <w:tcW w:w="28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150 Baytech Drive</w:t>
            </w:r>
          </w:p>
        </w:tc>
        <w:tc>
          <w:tcPr>
            <w:tcW w:w="2800" w:type="dxa"/>
            <w:vAlign w:val="bottom"/>
          </w:tcPr>
          <w:p>
            <w:pPr>
              <w:spacing w:after="0"/>
              <w:rPr>
                <w:sz w:val="24"/>
                <w:szCs w:val="24"/>
                <w:color w:val="auto"/>
              </w:rPr>
            </w:pPr>
          </w:p>
        </w:tc>
      </w:tr>
      <w:tr>
        <w:trPr>
          <w:trHeight w:val="214"/>
        </w:trPr>
        <w:tc>
          <w:tcPr>
            <w:tcW w:w="284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2800" w:type="dxa"/>
            <w:vAlign w:val="bottom"/>
          </w:tcPr>
          <w:p>
            <w:pPr>
              <w:spacing w:after="0"/>
              <w:rPr>
                <w:sz w:val="18"/>
                <w:szCs w:val="18"/>
                <w:color w:val="auto"/>
              </w:rPr>
            </w:pPr>
          </w:p>
        </w:tc>
      </w:tr>
      <w:tr>
        <w:trPr>
          <w:trHeight w:val="190"/>
        </w:trPr>
        <w:tc>
          <w:tcPr>
            <w:tcW w:w="284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800" w:type="dxa"/>
            <w:vAlign w:val="bottom"/>
          </w:tcPr>
          <w:p>
            <w:pPr>
              <w:spacing w:after="0"/>
              <w:rPr>
                <w:sz w:val="16"/>
                <w:szCs w:val="16"/>
                <w:color w:val="auto"/>
              </w:rPr>
            </w:pPr>
          </w:p>
        </w:tc>
      </w:tr>
      <w:tr>
        <w:trPr>
          <w:trHeight w:val="375"/>
        </w:trPr>
        <w:tc>
          <w:tcPr>
            <w:tcW w:w="28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232-7200</w:t>
            </w:r>
          </w:p>
        </w:tc>
        <w:tc>
          <w:tcPr>
            <w:tcW w:w="2800" w:type="dxa"/>
            <w:vAlign w:val="bottom"/>
          </w:tcPr>
          <w:p>
            <w:pPr>
              <w:spacing w:after="0"/>
              <w:rPr>
                <w:sz w:val="24"/>
                <w:szCs w:val="24"/>
                <w:color w:val="auto"/>
              </w:rPr>
            </w:pPr>
          </w:p>
        </w:tc>
      </w:tr>
      <w:tr>
        <w:trPr>
          <w:trHeight w:val="81"/>
        </w:trPr>
        <w:tc>
          <w:tcPr>
            <w:tcW w:w="284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r>
    </w:tbl>
    <w:p>
      <w:pPr>
        <w:spacing w:after="0" w:line="1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r>
      <w:tr>
        <w:trPr>
          <w:trHeight w:val="237"/>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 per share</w:t>
            </w: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PRCT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tabs>
          <w:tab w:leader="none" w:pos="2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February 25, 2025, PROCEPT BioRobotics Corporation (the "Company") issued a press release announcing its financial results for the quarter ended December 31, 2024. The full text of the press release is furnished as Exhibit 99.1 to this Current Report on Form 8-K and is incorporated herein by reference.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0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196"/>
        </w:trPr>
        <w:tc>
          <w:tcPr>
            <w:tcW w:w="1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7"/>
                <w:szCs w:val="17"/>
                <w:color w:val="auto"/>
              </w:rPr>
            </w:pPr>
          </w:p>
        </w:tc>
        <w:tc>
          <w:tcPr>
            <w:tcW w:w="57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of PROCEPT BioRobotics Corporation, dated February 25, 2025</w:t>
            </w:r>
          </w:p>
        </w:tc>
        <w:tc>
          <w:tcPr>
            <w:tcW w:w="4120" w:type="dxa"/>
            <w:vAlign w:val="bottom"/>
          </w:tcPr>
          <w:p>
            <w:pPr>
              <w:spacing w:after="0"/>
              <w:rPr>
                <w:sz w:val="17"/>
                <w:szCs w:val="17"/>
                <w:color w:val="auto"/>
              </w:rPr>
            </w:pPr>
          </w:p>
        </w:tc>
      </w:tr>
      <w:tr>
        <w:trPr>
          <w:trHeight w:val="2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748"/>
        </w:trPr>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PROCEPT BIOROBOTICS CORPORATION</w:t>
      </w:r>
    </w:p>
    <w:p>
      <w:pPr>
        <w:spacing w:after="0" w:line="324" w:lineRule="exact"/>
        <w:rPr>
          <w:sz w:val="20"/>
          <w:szCs w:val="20"/>
          <w:color w:val="auto"/>
        </w:rPr>
      </w:pPr>
    </w:p>
    <w:p>
      <w:pPr>
        <w:ind w:left="20"/>
        <w:spacing w:after="0"/>
        <w:tabs>
          <w:tab w:leader="none" w:pos="6120" w:val="left"/>
          <w:tab w:leader="none" w:pos="66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Alaleh 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34290</wp:posOffset>
            </wp:positionV>
            <wp:extent cx="2940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Alaleh Nouri</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Legal Officer and Secretary</w:t>
      </w:r>
    </w:p>
    <w:p>
      <w:pPr>
        <w:sectPr>
          <w:pgSz w:w="11900" w:h="16838" w:orient="portrait"/>
          <w:cols w:equalWidth="0" w:num="1">
            <w:col w:w="11220"/>
          </w:cols>
          <w:pgMar w:left="320" w:top="1413" w:right="359" w:bottom="1440" w:gutter="0" w:footer="0" w:header="0"/>
        </w:sectPr>
      </w:pPr>
    </w:p>
    <w:bookmarkStart w:id="3" w:name="page4"/>
    <w:bookmarkEnd w:id="3"/>
    <w:p>
      <w:pPr>
        <w:spacing w:after="0" w:line="3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646430</wp:posOffset>
            </wp:positionV>
            <wp:extent cx="176593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65935" cy="471805"/>
                    </a:xfrm>
                    <a:prstGeom prst="rect">
                      <a:avLst/>
                    </a:prstGeom>
                    <a:noFill/>
                  </pic:spPr>
                </pic:pic>
              </a:graphicData>
            </a:graphic>
          </wp:anchor>
        </w:drawing>
      </w:r>
    </w:p>
    <w:p>
      <w:pPr>
        <w:jc w:val="center"/>
        <w:ind w:right="-59"/>
        <w:spacing w:after="0"/>
        <w:rPr>
          <w:sz w:val="20"/>
          <w:szCs w:val="20"/>
          <w:color w:val="auto"/>
        </w:rPr>
      </w:pPr>
      <w:r>
        <w:rPr>
          <w:rFonts w:ascii="Calibri" w:cs="Calibri" w:eastAsia="Calibri" w:hAnsi="Calibri"/>
          <w:sz w:val="20"/>
          <w:szCs w:val="20"/>
          <w:b w:val="1"/>
          <w:bCs w:val="1"/>
          <w:color w:val="auto"/>
        </w:rPr>
        <w:t>PROCEPT BioRobotcs</w:t>
      </w:r>
      <w:r>
        <w:rPr>
          <w:rFonts w:ascii="Calibri" w:cs="Calibri" w:eastAsia="Calibri" w:hAnsi="Calibri"/>
          <w:sz w:val="17"/>
          <w:szCs w:val="17"/>
          <w:b w:val="1"/>
          <w:bCs w:val="1"/>
          <w:color w:val="auto"/>
        </w:rPr>
        <w:t>®</w:t>
      </w:r>
      <w:r>
        <w:rPr>
          <w:rFonts w:ascii="Calibri" w:cs="Calibri" w:eastAsia="Calibri" w:hAnsi="Calibri"/>
          <w:sz w:val="20"/>
          <w:szCs w:val="20"/>
          <w:b w:val="1"/>
          <w:bCs w:val="1"/>
          <w:color w:val="auto"/>
        </w:rPr>
        <w:t xml:space="preserve"> Reports Fourth Quarter and Full Year 2024 Results</w:t>
      </w:r>
    </w:p>
    <w:p>
      <w:pPr>
        <w:ind w:right="80"/>
        <w:spacing w:after="0" w:line="231" w:lineRule="auto"/>
        <w:rPr>
          <w:sz w:val="20"/>
          <w:szCs w:val="20"/>
          <w:color w:val="auto"/>
        </w:rPr>
      </w:pPr>
      <w:r>
        <w:rPr>
          <w:rFonts w:ascii="Calibri" w:cs="Calibri" w:eastAsia="Calibri" w:hAnsi="Calibri"/>
          <w:sz w:val="17"/>
          <w:szCs w:val="17"/>
          <w:color w:val="auto"/>
        </w:rPr>
        <w:t>SAN JOSE, Calif., February 25, 2025 -- PROCEPT BioRobotcs Corporaton (Nasdaq: PRCT) (the “Company”), a surgical robotcs company focused on advancing patent care by developing transformatve solutons in urology, today reported fnancial results for the fourth quarter and year ended December 31, 2024.</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Highlights</w:t>
      </w:r>
    </w:p>
    <w:p>
      <w:pPr>
        <w:spacing w:after="0" w:line="228" w:lineRule="exact"/>
        <w:rPr>
          <w:sz w:val="20"/>
          <w:szCs w:val="20"/>
          <w:color w:val="auto"/>
        </w:rPr>
      </w:pPr>
    </w:p>
    <w:p>
      <w:pPr>
        <w:ind w:left="320" w:hanging="312"/>
        <w:spacing w:after="0"/>
        <w:tabs>
          <w:tab w:leader="none" w:pos="320" w:val="left"/>
        </w:tabs>
        <w:numPr>
          <w:ilvl w:val="0"/>
          <w:numId w:val="2"/>
        </w:numPr>
        <w:rPr>
          <w:rFonts w:ascii="Calibri" w:cs="Calibri" w:eastAsia="Calibri" w:hAnsi="Calibri"/>
          <w:sz w:val="20"/>
          <w:szCs w:val="20"/>
          <w:color w:val="auto"/>
        </w:rPr>
      </w:pPr>
      <w:r>
        <w:rPr>
          <w:rFonts w:ascii="Calibri" w:cs="Calibri" w:eastAsia="Calibri" w:hAnsi="Calibri"/>
          <w:sz w:val="18"/>
          <w:szCs w:val="18"/>
          <w:color w:val="auto"/>
        </w:rPr>
        <w:t>Total revenue of approximately $68.2 million for the fourth quarter of 2024, an increase of 57% compared to the prior year period</w:t>
      </w:r>
    </w:p>
    <w:p>
      <w:pPr>
        <w:spacing w:after="0" w:line="9" w:lineRule="exact"/>
        <w:rPr>
          <w:rFonts w:ascii="Calibri" w:cs="Calibri" w:eastAsia="Calibri" w:hAnsi="Calibri"/>
          <w:sz w:val="20"/>
          <w:szCs w:val="20"/>
          <w:color w:val="auto"/>
        </w:rPr>
      </w:pPr>
    </w:p>
    <w:p>
      <w:pPr>
        <w:ind w:left="320" w:hanging="312"/>
        <w:spacing w:after="0"/>
        <w:tabs>
          <w:tab w:leader="none" w:pos="32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U.S. system revenue of $27.6 million for the fourth quarter of 2024, an increase of 67% compared to the prior year period</w:t>
      </w:r>
    </w:p>
    <w:p>
      <w:pPr>
        <w:ind w:left="340" w:hanging="332"/>
        <w:spacing w:after="0" w:line="217" w:lineRule="auto"/>
        <w:tabs>
          <w:tab w:leader="none" w:pos="340" w:val="left"/>
        </w:tabs>
        <w:numPr>
          <w:ilvl w:val="0"/>
          <w:numId w:val="2"/>
        </w:numPr>
        <w:rPr>
          <w:rFonts w:ascii="Calibri" w:cs="Calibri" w:eastAsia="Calibri" w:hAnsi="Calibri"/>
          <w:sz w:val="22"/>
          <w:szCs w:val="22"/>
          <w:color w:val="auto"/>
        </w:rPr>
      </w:pPr>
      <w:r>
        <w:rPr>
          <w:rFonts w:ascii="Calibri" w:cs="Calibri" w:eastAsia="Calibri" w:hAnsi="Calibri"/>
          <w:sz w:val="18"/>
          <w:szCs w:val="18"/>
          <w:color w:val="auto"/>
        </w:rPr>
        <w:t>Sold 60 new robotc systems in the U.S. in the fourth quarter of 2024 at an blended average selling price of approximately $460,000</w:t>
      </w:r>
    </w:p>
    <w:p>
      <w:pPr>
        <w:spacing w:after="0" w:line="10" w:lineRule="exact"/>
        <w:rPr>
          <w:rFonts w:ascii="Calibri" w:cs="Calibri" w:eastAsia="Calibri" w:hAnsi="Calibri"/>
          <w:sz w:val="22"/>
          <w:szCs w:val="22"/>
          <w:color w:val="auto"/>
        </w:rPr>
      </w:pPr>
    </w:p>
    <w:p>
      <w:pPr>
        <w:ind w:left="320" w:hanging="312"/>
        <w:spacing w:after="0"/>
        <w:tabs>
          <w:tab w:leader="none" w:pos="32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U.S. handpiece and consumables revenue of $29.3 million for the fourth quarter of 2024, an increase of 36% compared to the prior year period</w:t>
      </w:r>
    </w:p>
    <w:p>
      <w:pPr>
        <w:ind w:left="320" w:hanging="312"/>
        <w:spacing w:after="0" w:line="235" w:lineRule="auto"/>
        <w:tabs>
          <w:tab w:leader="none" w:pos="32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Total revenue of $224.5 million for full year 2024, an increase of 65% compared to 2023</w:t>
      </w:r>
    </w:p>
    <w:p>
      <w:pPr>
        <w:spacing w:after="0" w:line="1" w:lineRule="exact"/>
        <w:rPr>
          <w:rFonts w:ascii="Calibri" w:cs="Calibri" w:eastAsia="Calibri" w:hAnsi="Calibri"/>
          <w:sz w:val="18"/>
          <w:szCs w:val="18"/>
          <w:color w:val="auto"/>
        </w:rPr>
      </w:pPr>
    </w:p>
    <w:p>
      <w:pPr>
        <w:ind w:left="320" w:hanging="312"/>
        <w:spacing w:after="0"/>
        <w:tabs>
          <w:tab w:leader="none" w:pos="320" w:val="left"/>
        </w:tabs>
        <w:numPr>
          <w:ilvl w:val="0"/>
          <w:numId w:val="2"/>
        </w:numPr>
        <w:rPr>
          <w:rFonts w:ascii="Calibri" w:cs="Calibri" w:eastAsia="Calibri" w:hAnsi="Calibri"/>
          <w:sz w:val="17"/>
          <w:szCs w:val="17"/>
          <w:color w:val="auto"/>
        </w:rPr>
      </w:pPr>
      <w:r>
        <w:rPr>
          <w:rFonts w:ascii="Calibri" w:cs="Calibri" w:eastAsia="Calibri" w:hAnsi="Calibri"/>
          <w:sz w:val="17"/>
          <w:szCs w:val="17"/>
          <w:color w:val="auto"/>
        </w:rPr>
        <w:t>Issued 2025 total revenue guidance of approximately $320 million, which would represent an increase of 42% compared to actual full year 2024 revenue</w:t>
      </w:r>
    </w:p>
    <w:p>
      <w:pPr>
        <w:spacing w:after="0" w:line="238" w:lineRule="exact"/>
        <w:rPr>
          <w:sz w:val="20"/>
          <w:szCs w:val="20"/>
          <w:color w:val="auto"/>
        </w:rPr>
      </w:pPr>
    </w:p>
    <w:p>
      <w:pPr>
        <w:spacing w:after="0" w:line="223" w:lineRule="auto"/>
        <w:rPr>
          <w:sz w:val="20"/>
          <w:szCs w:val="20"/>
          <w:color w:val="auto"/>
        </w:rPr>
      </w:pPr>
      <w:r>
        <w:rPr>
          <w:rFonts w:ascii="Calibri" w:cs="Calibri" w:eastAsia="Calibri" w:hAnsi="Calibri"/>
          <w:sz w:val="18"/>
          <w:szCs w:val="18"/>
          <w:color w:val="auto"/>
        </w:rPr>
        <w:t>“In pursuit of our long-term vision to transform the global treatment of BPH and ultmately build a global urology company, 2024 was a productve year for PROCEPT in two key areas," said Reza Zadno, Chief Executve Ofcer. “First, in August, we received FDA 510(k) clearance of our next-generaton platorm – the HYDROS™ Robotc System. This was a pivotal moment for the Company as HYDROS represents the frst signifcant technological advancement compared to the AquaBeam® system. Second, we received FDA-IDE approval to initate WATER IV PCa, a pivotal randomized clinical study for prostate cancer. As we enter 2025, we believe there are several positve factors that will enable us to contnue to pursue our long-term growth strategy while contnuing a disciplined approach on our path to proftability.”</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Fourth Quarter 2024 Financial Results</w:t>
      </w:r>
    </w:p>
    <w:p>
      <w:pPr>
        <w:spacing w:after="0" w:line="231" w:lineRule="exact"/>
        <w:rPr>
          <w:sz w:val="20"/>
          <w:szCs w:val="20"/>
          <w:color w:val="auto"/>
        </w:rPr>
      </w:pPr>
    </w:p>
    <w:p>
      <w:pPr>
        <w:ind w:right="60"/>
        <w:spacing w:after="0" w:line="223" w:lineRule="auto"/>
        <w:rPr>
          <w:sz w:val="20"/>
          <w:szCs w:val="20"/>
          <w:color w:val="auto"/>
        </w:rPr>
      </w:pPr>
      <w:r>
        <w:rPr>
          <w:rFonts w:ascii="Calibri" w:cs="Calibri" w:eastAsia="Calibri" w:hAnsi="Calibri"/>
          <w:sz w:val="18"/>
          <w:szCs w:val="18"/>
          <w:color w:val="auto"/>
        </w:rPr>
        <w:t>Total revenue for the fourth quarter of 2024 was $68.2 million, an increase of 57% compared to the prior year period. The increase was primarily driven by increased system and handpiece sales, higher system average selling prices, and increased internatonal revenue. U.S. system revenue was $27.6 million, an increase of 67% compared to the prior year period. As of December 31, 2024, the install base of AquaBeam and Hydros Robotc Systems in the U.S. was 505 systems. U.S. handpiece and consumable revenue for the quarter was $29.3 million, an increase of 36% compared to the prior year period. Due to an acute saline shortage in the fourth quarter of 2024, partcularly in November 2024, the company estmates reduced saline supply to hospital accounts resulted in a delay or cancellaton of between 10 to 20 percent of Aquablaton procedures - which ultmately impacted handpiece order paterns. Internatonal revenue was $7.8 million for the quarter, an increase of approximately 137% compared to the prior year period.</w:t>
      </w:r>
    </w:p>
    <w:p>
      <w:pPr>
        <w:spacing w:after="0" w:line="245" w:lineRule="exact"/>
        <w:rPr>
          <w:sz w:val="20"/>
          <w:szCs w:val="20"/>
          <w:color w:val="auto"/>
        </w:rPr>
      </w:pPr>
    </w:p>
    <w:p>
      <w:pPr>
        <w:ind w:right="400"/>
        <w:spacing w:after="0" w:line="245" w:lineRule="auto"/>
        <w:rPr>
          <w:sz w:val="20"/>
          <w:szCs w:val="20"/>
          <w:color w:val="auto"/>
        </w:rPr>
      </w:pPr>
      <w:r>
        <w:rPr>
          <w:rFonts w:ascii="Calibri" w:cs="Calibri" w:eastAsia="Calibri" w:hAnsi="Calibri"/>
          <w:sz w:val="18"/>
          <w:szCs w:val="18"/>
          <w:color w:val="auto"/>
        </w:rPr>
        <w:t>Gross margin for the fourth quarter 2024 was 64% compared to 49% in the prior year period. Gross margin improvement was primarily due to improved overhead absorpton, increased revenues and increased U.S. robotc system average selling prices.</w:t>
      </w:r>
    </w:p>
    <w:p>
      <w:pPr>
        <w:spacing w:after="0" w:line="226" w:lineRule="exact"/>
        <w:rPr>
          <w:sz w:val="20"/>
          <w:szCs w:val="20"/>
          <w:color w:val="auto"/>
        </w:rPr>
      </w:pPr>
    </w:p>
    <w:p>
      <w:pPr>
        <w:jc w:val="both"/>
        <w:ind w:right="560"/>
        <w:spacing w:after="0" w:line="225" w:lineRule="auto"/>
        <w:rPr>
          <w:sz w:val="20"/>
          <w:szCs w:val="20"/>
          <w:color w:val="auto"/>
        </w:rPr>
      </w:pPr>
      <w:r>
        <w:rPr>
          <w:rFonts w:ascii="Calibri" w:cs="Calibri" w:eastAsia="Calibri" w:hAnsi="Calibri"/>
          <w:sz w:val="18"/>
          <w:szCs w:val="18"/>
          <w:color w:val="auto"/>
        </w:rPr>
        <w:t>Operatng expenses in the fourth quarter of 2024 were $63.4 million, compared with $50.8 million in the prior year period. The increase in operatng expenses was primarily due to expenses to expand the commercial organizaton, increased variable compensaton expense and increased general and administratve expenses.</w:t>
      </w:r>
    </w:p>
    <w:p>
      <w:pPr>
        <w:spacing w:after="0" w:line="233" w:lineRule="exact"/>
        <w:rPr>
          <w:sz w:val="20"/>
          <w:szCs w:val="20"/>
          <w:color w:val="auto"/>
        </w:rPr>
      </w:pPr>
    </w:p>
    <w:p>
      <w:pPr>
        <w:ind w:right="120"/>
        <w:spacing w:after="0" w:line="227" w:lineRule="auto"/>
        <w:rPr>
          <w:sz w:val="20"/>
          <w:szCs w:val="20"/>
          <w:color w:val="auto"/>
        </w:rPr>
      </w:pPr>
      <w:r>
        <w:rPr>
          <w:rFonts w:ascii="Calibri" w:cs="Calibri" w:eastAsia="Calibri" w:hAnsi="Calibri"/>
          <w:sz w:val="18"/>
          <w:szCs w:val="18"/>
          <w:color w:val="auto"/>
        </w:rPr>
        <w:t>Interest expense in the fourth quarter of 2024 was $1.0 million. Interest and other income in the fourth quarter of 2024 was $1.8 million. Interest and other income in the quarter was ofset by foreign exchange loss headwinds.</w:t>
      </w:r>
    </w:p>
    <w:p>
      <w:pPr>
        <w:spacing w:after="0" w:line="232"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color w:val="auto"/>
        </w:rPr>
        <w:t>Net loss was $18.9 million for the fourth quarter of 2024, compared to a loss of $27.5 million in the prior year period. Adjusted EBITDA was a loss of $10.3 million for the fourth quarter of 2024, compared to a loss of $23.3 million in the prior year period.</w:t>
      </w:r>
    </w:p>
    <w:p>
      <w:pPr>
        <w:spacing w:after="0" w:line="22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Cash and cash equivalents as of December 31, 2024 totaled $333.7 million, while long-term borrowings totaled $52.0 million.</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Full Year 2024 Financial Results</w:t>
      </w:r>
    </w:p>
    <w:p>
      <w:pPr>
        <w:spacing w:after="0" w:line="231"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Revenue for the full year 2024 was $224.5 million, compared to $136.2 million for the full year 2023. The growth was primarily driven by increases in U.S.</w:t>
      </w:r>
    </w:p>
    <w:p>
      <w:pPr>
        <w:ind w:left="20"/>
        <w:spacing w:after="0" w:line="229" w:lineRule="auto"/>
        <w:rPr>
          <w:sz w:val="20"/>
          <w:szCs w:val="20"/>
          <w:color w:val="auto"/>
        </w:rPr>
      </w:pPr>
      <w:r>
        <w:rPr>
          <w:rFonts w:ascii="Calibri" w:cs="Calibri" w:eastAsia="Calibri" w:hAnsi="Calibri"/>
          <w:sz w:val="18"/>
          <w:szCs w:val="18"/>
          <w:color w:val="auto"/>
        </w:rPr>
        <w:t>revenues atributable to system placements and increased handpieces sold.</w:t>
      </w:r>
    </w:p>
    <w:p>
      <w:pPr>
        <w:sectPr>
          <w:pgSz w:w="11900" w:h="16838" w:orient="portrait"/>
          <w:cols w:equalWidth="0" w:num="1">
            <w:col w:w="11200"/>
          </w:cols>
          <w:pgMar w:left="320" w:top="1440" w:right="379" w:bottom="1440" w:gutter="0" w:footer="0" w:header="0"/>
        </w:sectPr>
      </w:pPr>
    </w:p>
    <w:bookmarkStart w:id="4" w:name="page5"/>
    <w:bookmarkEnd w:id="4"/>
    <w:p>
      <w:pPr>
        <w:ind w:left="20" w:right="500"/>
        <w:spacing w:after="0" w:line="227" w:lineRule="auto"/>
        <w:rPr>
          <w:sz w:val="20"/>
          <w:szCs w:val="20"/>
          <w:color w:val="auto"/>
        </w:rPr>
      </w:pPr>
      <w:r>
        <w:rPr>
          <w:rFonts w:ascii="Calibri" w:cs="Calibri" w:eastAsia="Calibri" w:hAnsi="Calibri"/>
          <w:sz w:val="18"/>
          <w:szCs w:val="18"/>
          <w:color w:val="auto"/>
        </w:rPr>
        <w:t>Gross margin for full year 2024 was 61%, compared to 52% for the full year 2023. Gross margin improvement was primarily due to improved overhead absorpton, increased revenues, and increased U.S. robotc system average selling prices.</w:t>
      </w:r>
    </w:p>
    <w:p>
      <w:pPr>
        <w:spacing w:after="0" w:line="232" w:lineRule="exact"/>
        <w:rPr>
          <w:sz w:val="20"/>
          <w:szCs w:val="20"/>
          <w:color w:val="auto"/>
        </w:rPr>
      </w:pPr>
    </w:p>
    <w:p>
      <w:pPr>
        <w:spacing w:after="0" w:line="220" w:lineRule="auto"/>
        <w:rPr>
          <w:sz w:val="20"/>
          <w:szCs w:val="20"/>
          <w:color w:val="auto"/>
        </w:rPr>
      </w:pPr>
      <w:r>
        <w:rPr>
          <w:rFonts w:ascii="Calibri" w:cs="Calibri" w:eastAsia="Calibri" w:hAnsi="Calibri"/>
          <w:sz w:val="18"/>
          <w:szCs w:val="18"/>
          <w:color w:val="auto"/>
        </w:rPr>
        <w:t>Operatng expenses were $233.7 million for the full year 2024, compared to $180.2 million for the full year 2023, an increase of 30%. The increase was driven by increased sales and marketng expenses primarily to expand the commercial organizaton, and increased research and development and general and administratve expenses.</w:t>
      </w:r>
    </w:p>
    <w:p>
      <w:pPr>
        <w:spacing w:after="0" w:line="219" w:lineRule="exact"/>
        <w:rPr>
          <w:sz w:val="20"/>
          <w:szCs w:val="20"/>
          <w:color w:val="auto"/>
        </w:rPr>
      </w:pPr>
    </w:p>
    <w:p>
      <w:pPr>
        <w:ind w:right="180"/>
        <w:spacing w:after="0" w:line="227" w:lineRule="auto"/>
        <w:rPr>
          <w:sz w:val="20"/>
          <w:szCs w:val="20"/>
          <w:color w:val="auto"/>
        </w:rPr>
      </w:pPr>
      <w:r>
        <w:rPr>
          <w:rFonts w:ascii="Calibri" w:cs="Calibri" w:eastAsia="Calibri" w:hAnsi="Calibri"/>
          <w:sz w:val="18"/>
          <w:szCs w:val="18"/>
          <w:color w:val="auto"/>
        </w:rPr>
        <w:t>Net loss was $91.4 million for the full year 2024, compared to $105.9 million for the full year 2023. Adjusted EBITDA was a loss of $61.1 million for full year 2024, compared to a loss of $86.5 million for the full year 2023.</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First Quarter of 2025 Financial Guidance</w:t>
      </w:r>
    </w:p>
    <w:p>
      <w:pPr>
        <w:spacing w:after="0" w:line="239" w:lineRule="exact"/>
        <w:rPr>
          <w:sz w:val="20"/>
          <w:szCs w:val="20"/>
          <w:color w:val="auto"/>
        </w:rPr>
      </w:pPr>
    </w:p>
    <w:p>
      <w:pPr>
        <w:ind w:left="320" w:hanging="312"/>
        <w:spacing w:after="0"/>
        <w:tabs>
          <w:tab w:leader="none" w:pos="32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Company projects revenue for the frst quarter of 2025 to be approximately $65.5 million</w:t>
      </w:r>
    </w:p>
    <w:p>
      <w:pPr>
        <w:spacing w:after="0" w:line="15" w:lineRule="exact"/>
        <w:rPr>
          <w:rFonts w:ascii="Calibri" w:cs="Calibri" w:eastAsia="Calibri" w:hAnsi="Calibri"/>
          <w:sz w:val="18"/>
          <w:szCs w:val="18"/>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The Company projects U.S. system revenue for the frst quarter of 2025 to be approximately $18.7 million</w:t>
      </w:r>
    </w:p>
    <w:p>
      <w:pPr>
        <w:spacing w:after="0" w:line="24" w:lineRule="exact"/>
        <w:rPr>
          <w:rFonts w:ascii="Arial" w:cs="Arial" w:eastAsia="Arial" w:hAnsi="Arial"/>
          <w:sz w:val="22"/>
          <w:szCs w:val="22"/>
          <w:color w:val="auto"/>
        </w:rPr>
      </w:pPr>
    </w:p>
    <w:p>
      <w:pPr>
        <w:ind w:left="320" w:hanging="312"/>
        <w:spacing w:after="0" w:line="231" w:lineRule="auto"/>
        <w:tabs>
          <w:tab w:leader="none" w:pos="32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The Company projects U.S. handpieces sold for the frst quarter of 2025 to be approximately 10,750</w:t>
      </w:r>
    </w:p>
    <w:p>
      <w:pPr>
        <w:spacing w:after="0" w:line="24" w:lineRule="exact"/>
        <w:rPr>
          <w:rFonts w:ascii="Arial" w:cs="Arial" w:eastAsia="Arial" w:hAnsi="Arial"/>
          <w:sz w:val="22"/>
          <w:szCs w:val="22"/>
          <w:color w:val="auto"/>
        </w:rPr>
      </w:pPr>
    </w:p>
    <w:p>
      <w:pPr>
        <w:ind w:left="320" w:hanging="312"/>
        <w:spacing w:after="0" w:line="231" w:lineRule="auto"/>
        <w:tabs>
          <w:tab w:leader="none" w:pos="32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The Company projects frst quarter of 2025 gross margin to be approximately 64%</w:t>
      </w:r>
    </w:p>
    <w:p>
      <w:pPr>
        <w:spacing w:after="0" w:line="24" w:lineRule="exact"/>
        <w:rPr>
          <w:rFonts w:ascii="Arial" w:cs="Arial" w:eastAsia="Arial" w:hAnsi="Arial"/>
          <w:sz w:val="22"/>
          <w:szCs w:val="22"/>
          <w:color w:val="auto"/>
        </w:rPr>
      </w:pPr>
    </w:p>
    <w:p>
      <w:pPr>
        <w:ind w:left="320" w:hanging="312"/>
        <w:spacing w:after="0" w:line="231" w:lineRule="auto"/>
        <w:tabs>
          <w:tab w:leader="none" w:pos="320" w:val="left"/>
        </w:tabs>
        <w:numPr>
          <w:ilvl w:val="0"/>
          <w:numId w:val="3"/>
        </w:numPr>
        <w:rPr>
          <w:rFonts w:ascii="Arial" w:cs="Arial" w:eastAsia="Arial" w:hAnsi="Arial"/>
          <w:sz w:val="22"/>
          <w:szCs w:val="22"/>
          <w:color w:val="auto"/>
        </w:rPr>
      </w:pPr>
      <w:r>
        <w:rPr>
          <w:rFonts w:ascii="Calibri" w:cs="Calibri" w:eastAsia="Calibri" w:hAnsi="Calibri"/>
          <w:sz w:val="18"/>
          <w:szCs w:val="18"/>
          <w:color w:val="auto"/>
        </w:rPr>
        <w:t>The Company projects frst quarter of 2025 total operatng expense of approximately $71.0 million</w:t>
      </w:r>
    </w:p>
    <w:p>
      <w:pPr>
        <w:spacing w:after="0" w:line="226"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Calibri" w:cs="Calibri" w:eastAsia="Calibri" w:hAnsi="Calibri"/>
          <w:sz w:val="18"/>
          <w:szCs w:val="18"/>
          <w:b w:val="1"/>
          <w:bCs w:val="1"/>
          <w:color w:val="auto"/>
        </w:rPr>
        <w:t>2025 Financial Guidance</w:t>
      </w:r>
    </w:p>
    <w:p>
      <w:pPr>
        <w:spacing w:after="0" w:line="271" w:lineRule="exact"/>
        <w:rPr>
          <w:rFonts w:ascii="Arial" w:cs="Arial" w:eastAsia="Arial" w:hAnsi="Arial"/>
          <w:sz w:val="22"/>
          <w:szCs w:val="22"/>
          <w:color w:val="auto"/>
        </w:rPr>
      </w:pPr>
    </w:p>
    <w:p>
      <w:pPr>
        <w:ind w:left="340" w:right="280" w:hanging="332"/>
        <w:spacing w:after="0" w:line="226" w:lineRule="auto"/>
        <w:tabs>
          <w:tab w:leader="none" w:pos="328" w:val="left"/>
        </w:tabs>
        <w:numPr>
          <w:ilvl w:val="0"/>
          <w:numId w:val="3"/>
        </w:numPr>
        <w:rPr>
          <w:rFonts w:ascii="Arial" w:cs="Arial" w:eastAsia="Arial" w:hAnsi="Arial"/>
          <w:sz w:val="20"/>
          <w:szCs w:val="20"/>
          <w:color w:val="auto"/>
        </w:rPr>
      </w:pPr>
      <w:r>
        <w:rPr>
          <w:rFonts w:ascii="Calibri" w:cs="Calibri" w:eastAsia="Calibri" w:hAnsi="Calibri"/>
          <w:sz w:val="18"/>
          <w:szCs w:val="18"/>
          <w:color w:val="auto"/>
        </w:rPr>
        <w:t>The Company projects revenue for the full year 2025 to be approximately $320 million, which would represent 42% growth over the Company’s prior year revenue</w:t>
      </w:r>
    </w:p>
    <w:p>
      <w:pPr>
        <w:spacing w:after="0" w:line="8" w:lineRule="exact"/>
        <w:rPr>
          <w:rFonts w:ascii="Arial" w:cs="Arial" w:eastAsia="Arial" w:hAnsi="Arial"/>
          <w:sz w:val="20"/>
          <w:szCs w:val="20"/>
          <w:color w:val="auto"/>
        </w:rPr>
      </w:pPr>
    </w:p>
    <w:p>
      <w:pPr>
        <w:ind w:left="320" w:hanging="312"/>
        <w:spacing w:after="0"/>
        <w:tabs>
          <w:tab w:leader="none" w:pos="320" w:val="left"/>
        </w:tabs>
        <w:numPr>
          <w:ilvl w:val="0"/>
          <w:numId w:val="3"/>
        </w:numPr>
        <w:rPr>
          <w:rFonts w:ascii="Arial" w:cs="Arial" w:eastAsia="Arial" w:hAnsi="Arial"/>
          <w:sz w:val="20"/>
          <w:szCs w:val="20"/>
          <w:color w:val="auto"/>
        </w:rPr>
      </w:pPr>
      <w:r>
        <w:rPr>
          <w:rFonts w:ascii="Calibri" w:cs="Calibri" w:eastAsia="Calibri" w:hAnsi="Calibri"/>
          <w:sz w:val="18"/>
          <w:szCs w:val="18"/>
          <w:color w:val="auto"/>
        </w:rPr>
        <w:t>The Company projects full year 2025 gross margin to be approximately 64.5%</w:t>
      </w:r>
    </w:p>
    <w:p>
      <w:pPr>
        <w:spacing w:after="0" w:line="20" w:lineRule="exact"/>
        <w:rPr>
          <w:rFonts w:ascii="Arial" w:cs="Arial" w:eastAsia="Arial" w:hAnsi="Arial"/>
          <w:sz w:val="20"/>
          <w:szCs w:val="20"/>
          <w:color w:val="auto"/>
        </w:rPr>
      </w:pPr>
    </w:p>
    <w:p>
      <w:pPr>
        <w:ind w:left="320" w:hanging="312"/>
        <w:spacing w:after="0" w:line="226" w:lineRule="auto"/>
        <w:tabs>
          <w:tab w:leader="none" w:pos="320" w:val="left"/>
        </w:tabs>
        <w:numPr>
          <w:ilvl w:val="0"/>
          <w:numId w:val="3"/>
        </w:numPr>
        <w:rPr>
          <w:rFonts w:ascii="Arial" w:cs="Arial" w:eastAsia="Arial" w:hAnsi="Arial"/>
          <w:sz w:val="20"/>
          <w:szCs w:val="20"/>
          <w:color w:val="auto"/>
        </w:rPr>
      </w:pPr>
      <w:r>
        <w:rPr>
          <w:rFonts w:ascii="Calibri" w:cs="Calibri" w:eastAsia="Calibri" w:hAnsi="Calibri"/>
          <w:sz w:val="18"/>
          <w:szCs w:val="18"/>
          <w:color w:val="auto"/>
        </w:rPr>
        <w:t>The Company projects full year 2025 total operatng expense of approximately $300 million</w:t>
      </w:r>
    </w:p>
    <w:p>
      <w:pPr>
        <w:spacing w:after="0" w:line="20" w:lineRule="exact"/>
        <w:rPr>
          <w:rFonts w:ascii="Arial" w:cs="Arial" w:eastAsia="Arial" w:hAnsi="Arial"/>
          <w:sz w:val="20"/>
          <w:szCs w:val="20"/>
          <w:color w:val="auto"/>
        </w:rPr>
      </w:pPr>
    </w:p>
    <w:p>
      <w:pPr>
        <w:ind w:left="320" w:hanging="312"/>
        <w:spacing w:after="0" w:line="226" w:lineRule="auto"/>
        <w:tabs>
          <w:tab w:leader="none" w:pos="320" w:val="left"/>
        </w:tabs>
        <w:numPr>
          <w:ilvl w:val="0"/>
          <w:numId w:val="3"/>
        </w:numPr>
        <w:rPr>
          <w:rFonts w:ascii="Arial" w:cs="Arial" w:eastAsia="Arial" w:hAnsi="Arial"/>
          <w:sz w:val="20"/>
          <w:szCs w:val="20"/>
          <w:color w:val="auto"/>
        </w:rPr>
      </w:pPr>
      <w:r>
        <w:rPr>
          <w:rFonts w:ascii="Calibri" w:cs="Calibri" w:eastAsia="Calibri" w:hAnsi="Calibri"/>
          <w:sz w:val="18"/>
          <w:szCs w:val="18"/>
          <w:color w:val="auto"/>
        </w:rPr>
        <w:t>The Company projects full year 2025 Adjusted EBITDA loss to be approximately $35 million</w:t>
      </w:r>
    </w:p>
    <w:p>
      <w:pPr>
        <w:spacing w:after="0" w:line="231" w:lineRule="exact"/>
        <w:rPr>
          <w:sz w:val="20"/>
          <w:szCs w:val="20"/>
          <w:color w:val="auto"/>
        </w:rPr>
      </w:pPr>
    </w:p>
    <w:p>
      <w:pPr>
        <w:jc w:val="both"/>
        <w:ind w:right="340"/>
        <w:spacing w:after="0" w:line="225" w:lineRule="auto"/>
        <w:rPr>
          <w:sz w:val="20"/>
          <w:szCs w:val="20"/>
          <w:color w:val="auto"/>
        </w:rPr>
      </w:pPr>
      <w:r>
        <w:rPr>
          <w:rFonts w:ascii="Calibri" w:cs="Calibri" w:eastAsia="Calibri" w:hAnsi="Calibri"/>
          <w:sz w:val="18"/>
          <w:szCs w:val="18"/>
          <w:color w:val="auto"/>
        </w:rPr>
        <w:t>Adjusted EBITDA is a fnancial measure that is not prepared in accordance with generally accepted accountng principles in the United States (GAAP). For more informaton about the Company’s use of non-GAAP fnancial measures, please see the secton below ttled “Use of Non-GAAP Financial Measures (Unaudited).”</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Webcast and Conference Call Informaton</w:t>
      </w:r>
    </w:p>
    <w:p>
      <w:pPr>
        <w:spacing w:after="0" w:line="231" w:lineRule="exact"/>
        <w:rPr>
          <w:sz w:val="20"/>
          <w:szCs w:val="20"/>
          <w:color w:val="auto"/>
        </w:rPr>
      </w:pPr>
    </w:p>
    <w:p>
      <w:pPr>
        <w:ind w:right="120"/>
        <w:spacing w:after="0" w:line="227" w:lineRule="auto"/>
        <w:rPr>
          <w:sz w:val="20"/>
          <w:szCs w:val="20"/>
          <w:color w:val="auto"/>
        </w:rPr>
      </w:pPr>
      <w:r>
        <w:rPr>
          <w:rFonts w:ascii="Calibri" w:cs="Calibri" w:eastAsia="Calibri" w:hAnsi="Calibri"/>
          <w:sz w:val="18"/>
          <w:szCs w:val="18"/>
          <w:color w:val="auto"/>
        </w:rPr>
        <w:t>PROCEPT BioRobotcs will host a conference call to discuss the fourth quarter 2024 fnancial results afer the market close on Tuesday, February 25, 2025, at 1:30 p.m. Pacifc Time / 4:30 p.m. Eastern Time</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color w:val="auto"/>
        </w:rPr>
        <w:t>Investors interested in listening to the conference call may do so by following one of the below links:</w:t>
      </w:r>
    </w:p>
    <w:p>
      <w:pPr>
        <w:spacing w:after="0" w:line="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Calibri" w:cs="Calibri" w:eastAsia="Calibri" w:hAnsi="Calibri"/>
          <w:sz w:val="18"/>
          <w:szCs w:val="18"/>
          <w:color w:val="auto"/>
        </w:rPr>
        <w:t>Webcast link for interested listeners:</w:t>
      </w:r>
    </w:p>
    <w:p>
      <w:pPr>
        <w:spacing w:after="0" w:line="20"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18"/>
          <w:szCs w:val="18"/>
          <w:color w:val="auto"/>
        </w:rPr>
        <w:t>htps://edge.media-server.com/mmc/p/q33jvv92</w:t>
      </w:r>
    </w:p>
    <w:p>
      <w:pPr>
        <w:spacing w:after="0" w:line="22" w:lineRule="exact"/>
        <w:rPr>
          <w:rFonts w:ascii="Times New Roman" w:cs="Times New Roman" w:eastAsia="Times New Roman" w:hAnsi="Times New Roman"/>
          <w:sz w:val="22"/>
          <w:szCs w:val="22"/>
          <w:color w:val="auto"/>
        </w:rPr>
      </w:pPr>
    </w:p>
    <w:p>
      <w:pPr>
        <w:ind w:left="640" w:hanging="308"/>
        <w:spacing w:after="0" w:line="224" w:lineRule="auto"/>
        <w:tabs>
          <w:tab w:leader="none" w:pos="640" w:val="left"/>
        </w:tabs>
        <w:numPr>
          <w:ilvl w:val="0"/>
          <w:numId w:val="4"/>
        </w:numPr>
        <w:rPr>
          <w:rFonts w:ascii="Arial" w:cs="Arial" w:eastAsia="Arial" w:hAnsi="Arial"/>
          <w:sz w:val="20"/>
          <w:szCs w:val="20"/>
          <w:color w:val="auto"/>
        </w:rPr>
      </w:pPr>
      <w:r>
        <w:rPr>
          <w:rFonts w:ascii="Calibri" w:cs="Calibri" w:eastAsia="Calibri" w:hAnsi="Calibri"/>
          <w:sz w:val="18"/>
          <w:szCs w:val="18"/>
          <w:color w:val="auto"/>
        </w:rPr>
        <w:t>Dial-in registraton for sell-side research analysts:</w:t>
      </w:r>
    </w:p>
    <w:p>
      <w:pPr>
        <w:spacing w:after="0" w:line="20"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18"/>
          <w:szCs w:val="18"/>
          <w:color w:val="auto"/>
        </w:rPr>
        <w:t>htps://register.vevent.com/register/BI96427501b8ee48bdb09e18cb484392b0</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Live audio of the webcast will be available on the “Investors” secton of the company’s website at: htps://ir.procept-biorobotcs.com.</w:t>
      </w:r>
    </w:p>
    <w:p>
      <w:pPr>
        <w:spacing w:after="0" w:line="231" w:lineRule="exact"/>
        <w:rPr>
          <w:sz w:val="20"/>
          <w:szCs w:val="20"/>
          <w:color w:val="auto"/>
        </w:rPr>
      </w:pPr>
    </w:p>
    <w:p>
      <w:pPr>
        <w:ind w:right="460"/>
        <w:spacing w:after="0" w:line="227" w:lineRule="auto"/>
        <w:rPr>
          <w:sz w:val="20"/>
          <w:szCs w:val="20"/>
          <w:color w:val="auto"/>
        </w:rPr>
      </w:pPr>
      <w:r>
        <w:rPr>
          <w:rFonts w:ascii="Calibri" w:cs="Calibri" w:eastAsia="Calibri" w:hAnsi="Calibri"/>
          <w:sz w:val="18"/>
          <w:szCs w:val="18"/>
          <w:color w:val="auto"/>
        </w:rPr>
        <w:t>An archived recording will be available on the “Investors” secton of the company’s website at: htps://ir.procept-biorobotcs.com. The webcasts will be available for replay for at least 90 days afer the event.</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PROCEPT BioRobotcs Corporaton</w:t>
      </w:r>
    </w:p>
    <w:p>
      <w:pPr>
        <w:spacing w:after="0" w:line="1" w:lineRule="exact"/>
        <w:rPr>
          <w:sz w:val="20"/>
          <w:szCs w:val="20"/>
          <w:color w:val="auto"/>
        </w:rPr>
      </w:pPr>
    </w:p>
    <w:p>
      <w:pPr>
        <w:ind w:right="20"/>
        <w:spacing w:after="0" w:line="246" w:lineRule="auto"/>
        <w:rPr>
          <w:sz w:val="20"/>
          <w:szCs w:val="20"/>
          <w:color w:val="auto"/>
        </w:rPr>
      </w:pPr>
      <w:r>
        <w:rPr>
          <w:rFonts w:ascii="Calibri" w:cs="Calibri" w:eastAsia="Calibri" w:hAnsi="Calibri"/>
          <w:sz w:val="18"/>
          <w:szCs w:val="18"/>
          <w:color w:val="auto"/>
        </w:rPr>
        <w:t>PROCEPT BioRobotcs is a surgical robotcs company focused on advancing patent care by developing transformatve solutons in urology. PROCEPT BioRobotcs manufactures the AQUABEAM® and HYDROS™ Robotc Systems. The HYDROS Robotc System is the only AI-Powered, robotc technology that delivers Aquablaton therapy. PROCEPT BioRobotcs designed Aquablaton therapy to deliver efectve, safe, and durable outcomes for males sufering from lower urinary tract symptoms or LUTS, due to BPH that are independent of prostate size and shape or surgeon experience. BPH is the most common prostate disease and impacts approximately 40 million men in the United States. The Company has developed a signifcant and growing body of clinical evidence with over 150 peer-reviewed publicatons, supportng the benefts and clinical advantages of Aquablaton therapy.</w:t>
      </w:r>
    </w:p>
    <w:p>
      <w:pPr>
        <w:spacing w:after="0" w:line="2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Non-GAAP Financial Measures (Unaudited)</w:t>
      </w:r>
    </w:p>
    <w:p>
      <w:pPr>
        <w:sectPr>
          <w:pgSz w:w="11900" w:h="16838" w:orient="portrait"/>
          <w:cols w:equalWidth="0" w:num="1">
            <w:col w:w="11180"/>
          </w:cols>
          <w:pgMar w:left="320" w:top="1224" w:right="399" w:bottom="1440" w:gutter="0" w:footer="0" w:header="0"/>
        </w:sectPr>
      </w:pPr>
    </w:p>
    <w:bookmarkStart w:id="5" w:name="page6"/>
    <w:bookmarkEnd w:id="5"/>
    <w:p>
      <w:pPr>
        <w:spacing w:after="0" w:line="244" w:lineRule="auto"/>
        <w:rPr>
          <w:sz w:val="20"/>
          <w:szCs w:val="20"/>
          <w:color w:val="auto"/>
        </w:rPr>
      </w:pPr>
      <w:r>
        <w:rPr>
          <w:rFonts w:ascii="Calibri" w:cs="Calibri" w:eastAsia="Calibri" w:hAnsi="Calibri"/>
          <w:sz w:val="18"/>
          <w:szCs w:val="18"/>
          <w:color w:val="auto"/>
        </w:rPr>
        <w:t>This press release references Adjusted EBITDA, a fnancial measure that is not prepared in accordance with generally accepted accountng principles in the United States (GAAP). The Company defnes Adjusted EBITDA as net income (loss) before interest expense, taxes, depreciaton and amortzaton and stock-based compensaton expense. Non-GAAP fnancial measures are not a substtute for or superior to measures of fnancial performance prepared in accordance with GAAP and should not be considered as an alternatve to any other performance measures derived in accordance with GAAP.</w:t>
      </w:r>
    </w:p>
    <w:p>
      <w:pPr>
        <w:spacing w:after="0" w:line="254" w:lineRule="exact"/>
        <w:rPr>
          <w:sz w:val="20"/>
          <w:szCs w:val="20"/>
          <w:color w:val="auto"/>
        </w:rPr>
      </w:pPr>
    </w:p>
    <w:p>
      <w:pPr>
        <w:ind w:right="40"/>
        <w:spacing w:after="0" w:line="243" w:lineRule="auto"/>
        <w:rPr>
          <w:sz w:val="20"/>
          <w:szCs w:val="20"/>
          <w:color w:val="auto"/>
        </w:rPr>
      </w:pPr>
      <w:r>
        <w:rPr>
          <w:rFonts w:ascii="Calibri" w:cs="Calibri" w:eastAsia="Calibri" w:hAnsi="Calibri"/>
          <w:sz w:val="18"/>
          <w:szCs w:val="18"/>
          <w:color w:val="auto"/>
        </w:rPr>
        <w:t>The Company believes that presentng Adjusted EBITDA provides useful supplemental informaton to investors about the Company in understanding and evaluatng its operatng results, enhancing the overall understanding of its past performance and future prospects, and allowing for greater transparency with respect to key fnancial metrics used by its management in fnancial and operatonal decision making. However, there are a number of limitatons related to the use of non-GAAP measures and their nearest GAAP equivalents. For example, other companies may calculate non-GAAP measures diferently, or may use other measures to calculate their fnancial performance, and therefore any non-GAAP measures the Company uses may not be directly comparable to similarly ttled measures of other companies.</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 Looking Statements</w:t>
      </w:r>
    </w:p>
    <w:p>
      <w:pPr>
        <w:ind w:right="20"/>
        <w:spacing w:after="0" w:line="225" w:lineRule="auto"/>
        <w:rPr>
          <w:sz w:val="20"/>
          <w:szCs w:val="20"/>
          <w:color w:val="auto"/>
        </w:rPr>
      </w:pPr>
      <w:r>
        <w:rPr>
          <w:rFonts w:ascii="Calibri" w:cs="Calibri" w:eastAsia="Calibri" w:hAnsi="Calibri"/>
          <w:sz w:val="18"/>
          <w:szCs w:val="18"/>
          <w:color w:val="auto"/>
        </w:rPr>
        <w:t>This release contains forward‐looking statements within the meaning of federal securites laws, including with respect to the Company’s projected fnancial performance for full year 2024, statements regarding the potental utlites, values, benefts and advantages of Aquablaton® therapy performed using PROCEPT BioRobotcs’ products, including AquaBeam® Robotc System, which involve risks and uncertaintes that could cause the actual results to difer materially from the antcipated results and expectatons expressed in these forward-looking statements. You are cautoned not to place undue reliance on these forward-looking statements. Forward-looking statements are only predictons based on the Company's current expectatons, estmates, and assumptons, valid only as of the date they are made, and subject to risks and uncertaintes, some of which the Company is not currently aware. Forward-looking statements may include statements regarding fnancial guidance, market opportunity and penetraton, clinical trial outcomes, the Company’s possible or assumed future results of operatons, including descriptons of the Company’s revenues, gross margin, proftability, operatng expenses, installed base growth, commercial momentum and overall business strategy. Forward‐looking statements should not be read as a guarantee of future performance or results and may not necessarily be accurate indicatons of the tmes at, or by, which such performance or results will be achieved. These forward‐looking statements are based on the Company’s current expectatons and inherently involve signifcant risks and uncertaintes. Actual results and the tming of events could difer materially from those antcipated in such forward‐looking statements as a result of these risks and uncertaintes. These risks and uncertaintes are described more fully in the secton ttled “Risk Factors” in the Company’s flings with the Securites and Exchange Commission (the “SEC”), including the Company’s annual report on Form 10-K fled with the SEC on February 28, 2024, and subsequent quarterly reports on Form 10-Q and, when available, the Company’s annual report on Form 10-K for the year ended December 31, 2024. PROCEPT BioRobotcs does not undertake any obligaton to update forward‐ looking statements and expressly disclaims any obligaton or undertaking to release publicly any updates or revisions to any forward‐looking statements contained herein. These forward-looking statements should not be relied upon as representng PROCEPT BioRobotcs’ views as of any date subsequent to the date of this press release.</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Important Safety Informaton</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All surgical treatments have inherent and associated side efects. For a list of potental side efects visit htps://aquablaton.com/safety-informaton/</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Investor Contact:</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Mat Bacso</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VP, Investor Relatons and Business Operatons</w:t>
      </w:r>
    </w:p>
    <w:p>
      <w:pPr>
        <w:spacing w:after="0" w:line="221" w:lineRule="auto"/>
        <w:rPr>
          <w:sz w:val="20"/>
          <w:szCs w:val="20"/>
          <w:color w:val="auto"/>
        </w:rPr>
      </w:pPr>
      <w:r>
        <w:rPr>
          <w:rFonts w:ascii="Calibri" w:cs="Calibri" w:eastAsia="Calibri" w:hAnsi="Calibri"/>
          <w:sz w:val="18"/>
          <w:szCs w:val="18"/>
          <w:color w:val="auto"/>
        </w:rPr>
        <w:t>m.bacso@procept-biorobotcs.com</w:t>
      </w:r>
    </w:p>
    <w:p>
      <w:pPr>
        <w:sectPr>
          <w:pgSz w:w="11900" w:h="16838" w:orient="portrait"/>
          <w:cols w:equalWidth="0" w:num="1">
            <w:col w:w="11240"/>
          </w:cols>
          <w:pgMar w:left="320" w:top="995" w:right="339" w:bottom="1440" w:gutter="0" w:footer="0" w:header="0"/>
        </w:sectPr>
      </w:pPr>
    </w:p>
    <w:bookmarkStart w:id="6" w:name="page7"/>
    <w:bookmarkEnd w:id="6"/>
    <w:p>
      <w:pPr>
        <w:ind w:left="4320"/>
        <w:spacing w:after="0"/>
        <w:rPr>
          <w:sz w:val="20"/>
          <w:szCs w:val="20"/>
          <w:color w:val="auto"/>
        </w:rPr>
      </w:pPr>
      <w:r>
        <w:rPr>
          <w:rFonts w:ascii="Calibri" w:cs="Calibri" w:eastAsia="Calibri" w:hAnsi="Calibri"/>
          <w:sz w:val="18"/>
          <w:szCs w:val="18"/>
          <w:b w:val="1"/>
          <w:bCs w:val="1"/>
          <w:color w:val="auto"/>
        </w:rPr>
        <w:t>PROCEPT BioRobotcs Corporaton</w:t>
      </w:r>
    </w:p>
    <w:p>
      <w:pPr>
        <w:ind w:left="3420"/>
        <w:spacing w:after="0" w:line="202" w:lineRule="auto"/>
        <w:rPr>
          <w:sz w:val="20"/>
          <w:szCs w:val="20"/>
          <w:color w:val="auto"/>
        </w:rPr>
      </w:pPr>
      <w:r>
        <w:rPr>
          <w:rFonts w:ascii="Calibri" w:cs="Calibri" w:eastAsia="Calibri" w:hAnsi="Calibri"/>
          <w:sz w:val="18"/>
          <w:szCs w:val="18"/>
          <w:b w:val="1"/>
          <w:bCs w:val="1"/>
          <w:color w:val="auto"/>
        </w:rPr>
        <w:t>CONDENSED CONSOLIDATED STATEMENTS OF OPERATIONS</w:t>
      </w:r>
    </w:p>
    <w:p>
      <w:pPr>
        <w:jc w:val="center"/>
        <w:ind w:right="20"/>
        <w:spacing w:after="0" w:line="196" w:lineRule="auto"/>
        <w:rPr>
          <w:sz w:val="20"/>
          <w:szCs w:val="20"/>
          <w:color w:val="auto"/>
        </w:rPr>
      </w:pPr>
      <w:r>
        <w:rPr>
          <w:rFonts w:ascii="Calibri" w:cs="Calibri" w:eastAsia="Calibri" w:hAnsi="Calibri"/>
          <w:sz w:val="18"/>
          <w:szCs w:val="18"/>
          <w:b w:val="1"/>
          <w:bCs w:val="1"/>
          <w:color w:val="auto"/>
        </w:rPr>
        <w:t>(Unaudited, 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5"/>
          </w:tcPr>
          <w:p>
            <w:pPr>
              <w:ind w:left="220"/>
              <w:spacing w:after="0"/>
              <w:rPr>
                <w:sz w:val="20"/>
                <w:szCs w:val="20"/>
                <w:color w:val="auto"/>
              </w:rPr>
            </w:pPr>
            <w:r>
              <w:rPr>
                <w:rFonts w:ascii="Calibri" w:cs="Calibri" w:eastAsia="Calibri" w:hAnsi="Calibri"/>
                <w:sz w:val="18"/>
                <w:szCs w:val="18"/>
                <w:b w:val="1"/>
                <w:bCs w:val="1"/>
                <w:color w:val="auto"/>
              </w:rPr>
              <w:t>Three Months Ended December 31,</w:t>
            </w:r>
          </w:p>
        </w:tc>
        <w:tc>
          <w:tcPr>
            <w:tcW w:w="3320" w:type="dxa"/>
            <w:vAlign w:val="bottom"/>
            <w:gridSpan w:val="5"/>
          </w:tcPr>
          <w:p>
            <w:pPr>
              <w:spacing w:after="0"/>
              <w:rPr>
                <w:sz w:val="20"/>
                <w:szCs w:val="20"/>
                <w:color w:val="auto"/>
              </w:rPr>
            </w:pPr>
            <w:r>
              <w:rPr>
                <w:rFonts w:ascii="Calibri" w:cs="Calibri" w:eastAsia="Calibri" w:hAnsi="Calibri"/>
                <w:sz w:val="18"/>
                <w:szCs w:val="18"/>
                <w:b w:val="1"/>
                <w:bCs w:val="1"/>
                <w:color w:val="auto"/>
              </w:rPr>
              <w:t>Twelve Months Ended December 31,</w:t>
            </w:r>
          </w:p>
        </w:tc>
        <w:tc>
          <w:tcPr>
            <w:tcW w:w="0" w:type="dxa"/>
            <w:vAlign w:val="bottom"/>
          </w:tcPr>
          <w:p>
            <w:pPr>
              <w:spacing w:after="0"/>
              <w:rPr>
                <w:sz w:val="1"/>
                <w:szCs w:val="1"/>
                <w:color w:val="auto"/>
              </w:rPr>
            </w:pPr>
          </w:p>
        </w:tc>
      </w:tr>
      <w:tr>
        <w:trPr>
          <w:trHeight w:val="64"/>
        </w:trPr>
        <w:tc>
          <w:tcPr>
            <w:tcW w:w="3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2023</w:t>
            </w:r>
          </w:p>
        </w:tc>
        <w:tc>
          <w:tcPr>
            <w:tcW w:w="0" w:type="dxa"/>
            <w:vAlign w:val="bottom"/>
          </w:tcPr>
          <w:p>
            <w:pPr>
              <w:spacing w:after="0"/>
              <w:rPr>
                <w:sz w:val="1"/>
                <w:szCs w:val="1"/>
                <w:color w:val="auto"/>
              </w:rPr>
            </w:pPr>
          </w:p>
        </w:tc>
      </w:tr>
      <w:tr>
        <w:trPr>
          <w:trHeight w:val="64"/>
        </w:trPr>
        <w:tc>
          <w:tcPr>
            <w:tcW w:w="334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Revenue</w:t>
            </w:r>
          </w:p>
        </w:tc>
        <w:tc>
          <w:tcPr>
            <w:tcW w:w="1220" w:type="dxa"/>
            <w:vAlign w:val="bottom"/>
            <w:gridSpan w:val="3"/>
            <w:shd w:val="clear" w:color="auto" w:fill="CCEEFF"/>
          </w:tcPr>
          <w:p>
            <w:pPr>
              <w:jc w:val="right"/>
              <w:ind w:right="40"/>
              <w:spacing w:after="0" w:line="213"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68,236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line="213"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43,581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224,498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line="213"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136,191</w:t>
            </w: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Calibri" w:cs="Calibri" w:eastAsia="Calibri" w:hAnsi="Calibri"/>
                <w:sz w:val="18"/>
                <w:szCs w:val="18"/>
                <w:color w:val="auto"/>
              </w:rPr>
              <w:t>Cost of sales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24,564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22,326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87,399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65,142</w:t>
            </w:r>
          </w:p>
        </w:tc>
        <w:tc>
          <w:tcPr>
            <w:tcW w:w="0" w:type="dxa"/>
            <w:vAlign w:val="bottom"/>
          </w:tcPr>
          <w:p>
            <w:pPr>
              <w:spacing w:after="0"/>
              <w:rPr>
                <w:sz w:val="1"/>
                <w:szCs w:val="1"/>
                <w:color w:val="auto"/>
              </w:rPr>
            </w:pPr>
          </w:p>
        </w:tc>
      </w:tr>
      <w:tr>
        <w:trPr>
          <w:trHeight w:val="64"/>
        </w:trPr>
        <w:tc>
          <w:tcPr>
            <w:tcW w:w="334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20"/>
              <w:spacing w:after="0" w:line="213" w:lineRule="exact"/>
              <w:rPr>
                <w:sz w:val="20"/>
                <w:szCs w:val="20"/>
                <w:color w:val="auto"/>
              </w:rPr>
            </w:pPr>
            <w:r>
              <w:rPr>
                <w:rFonts w:ascii="Calibri" w:cs="Calibri" w:eastAsia="Calibri" w:hAnsi="Calibri"/>
                <w:sz w:val="18"/>
                <w:szCs w:val="18"/>
                <w:color w:val="auto"/>
              </w:rPr>
              <w:t>Gross proft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43,672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21,255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137,099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71,049</w:t>
            </w: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Calibri" w:cs="Calibri" w:eastAsia="Calibri" w:hAnsi="Calibri"/>
                <w:sz w:val="18"/>
                <w:szCs w:val="18"/>
                <w:color w:val="auto"/>
              </w:rPr>
              <w:t>Operatng expenses: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3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Research and development</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15,066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14,496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62,298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48,446</w:t>
            </w: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220"/>
              <w:spacing w:after="0"/>
              <w:rPr>
                <w:sz w:val="20"/>
                <w:szCs w:val="20"/>
                <w:color w:val="auto"/>
              </w:rPr>
            </w:pPr>
            <w:r>
              <w:rPr>
                <w:rFonts w:ascii="Calibri" w:cs="Calibri" w:eastAsia="Calibri" w:hAnsi="Calibri"/>
                <w:sz w:val="18"/>
                <w:szCs w:val="18"/>
                <w:color w:val="auto"/>
              </w:rPr>
              <w:t>Selling, general and administratve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48,316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36,316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171,415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131,773</w:t>
            </w:r>
          </w:p>
        </w:tc>
        <w:tc>
          <w:tcPr>
            <w:tcW w:w="0" w:type="dxa"/>
            <w:vAlign w:val="bottom"/>
          </w:tcPr>
          <w:p>
            <w:pPr>
              <w:spacing w:after="0"/>
              <w:rPr>
                <w:sz w:val="1"/>
                <w:szCs w:val="1"/>
                <w:color w:val="auto"/>
              </w:rPr>
            </w:pPr>
          </w:p>
        </w:tc>
      </w:tr>
      <w:tr>
        <w:trPr>
          <w:trHeight w:val="64"/>
        </w:trPr>
        <w:tc>
          <w:tcPr>
            <w:tcW w:w="334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440"/>
              <w:spacing w:after="0" w:line="213" w:lineRule="exact"/>
              <w:rPr>
                <w:sz w:val="20"/>
                <w:szCs w:val="20"/>
                <w:color w:val="auto"/>
              </w:rPr>
            </w:pPr>
            <w:r>
              <w:rPr>
                <w:rFonts w:ascii="Calibri" w:cs="Calibri" w:eastAsia="Calibri" w:hAnsi="Calibri"/>
                <w:sz w:val="18"/>
                <w:szCs w:val="18"/>
                <w:color w:val="auto"/>
              </w:rPr>
              <w:t>Total operatng expenses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63,382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50,812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233,713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180,219</w:t>
            </w: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line="213" w:lineRule="exact"/>
              <w:rPr>
                <w:sz w:val="20"/>
                <w:szCs w:val="20"/>
                <w:color w:val="auto"/>
              </w:rPr>
            </w:pPr>
            <w:r>
              <w:rPr>
                <w:rFonts w:ascii="Calibri" w:cs="Calibri" w:eastAsia="Calibri" w:hAnsi="Calibri"/>
                <w:sz w:val="18"/>
                <w:szCs w:val="18"/>
                <w:color w:val="auto"/>
              </w:rPr>
              <w:t>Loss from operatons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line="213" w:lineRule="exact"/>
              <w:rPr>
                <w:sz w:val="20"/>
                <w:szCs w:val="20"/>
                <w:color w:val="auto"/>
              </w:rPr>
            </w:pPr>
            <w:r>
              <w:rPr>
                <w:rFonts w:ascii="Calibri" w:cs="Calibri" w:eastAsia="Calibri" w:hAnsi="Calibri"/>
                <w:sz w:val="18"/>
                <w:szCs w:val="18"/>
                <w:color w:val="auto"/>
              </w:rPr>
              <w:t>(19,710)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Calibri" w:cs="Calibri" w:eastAsia="Calibri" w:hAnsi="Calibri"/>
                <w:sz w:val="18"/>
                <w:szCs w:val="18"/>
                <w:color w:val="auto"/>
              </w:rPr>
              <w:t>(29,557)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Calibri" w:cs="Calibri" w:eastAsia="Calibri" w:hAnsi="Calibri"/>
                <w:sz w:val="18"/>
                <w:szCs w:val="18"/>
                <w:color w:val="auto"/>
              </w:rPr>
              <w:t>(96,614)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Calibri" w:cs="Calibri" w:eastAsia="Calibri" w:hAnsi="Calibri"/>
                <w:sz w:val="18"/>
                <w:szCs w:val="18"/>
                <w:color w:val="auto"/>
              </w:rPr>
              <w:t>(109,170)</w:t>
            </w:r>
          </w:p>
        </w:tc>
        <w:tc>
          <w:tcPr>
            <w:tcW w:w="0" w:type="dxa"/>
            <w:vAlign w:val="bottom"/>
          </w:tcPr>
          <w:p>
            <w:pPr>
              <w:spacing w:after="0"/>
              <w:rPr>
                <w:sz w:val="1"/>
                <w:szCs w:val="1"/>
                <w:color w:val="auto"/>
              </w:rPr>
            </w:pPr>
          </w:p>
        </w:tc>
      </w:tr>
      <w:tr>
        <w:trPr>
          <w:trHeight w:val="64"/>
        </w:trPr>
        <w:tc>
          <w:tcPr>
            <w:tcW w:w="3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expense</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(969)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(4,184)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(3,995)</w:t>
            </w: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20"/>
              <w:spacing w:after="0"/>
              <w:rPr>
                <w:sz w:val="20"/>
                <w:szCs w:val="20"/>
                <w:color w:val="auto"/>
              </w:rPr>
            </w:pPr>
            <w:r>
              <w:rPr>
                <w:rFonts w:ascii="Calibri" w:cs="Calibri" w:eastAsia="Calibri" w:hAnsi="Calibri"/>
                <w:sz w:val="18"/>
                <w:szCs w:val="18"/>
                <w:color w:val="auto"/>
              </w:rPr>
              <w:t>Interest and other income, net</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1,823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3,178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9,385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7,268</w:t>
            </w:r>
          </w:p>
        </w:tc>
        <w:tc>
          <w:tcPr>
            <w:tcW w:w="0" w:type="dxa"/>
            <w:vAlign w:val="bottom"/>
          </w:tcPr>
          <w:p>
            <w:pPr>
              <w:spacing w:after="0"/>
              <w:rPr>
                <w:sz w:val="1"/>
                <w:szCs w:val="1"/>
                <w:color w:val="auto"/>
              </w:rPr>
            </w:pPr>
          </w:p>
        </w:tc>
      </w:tr>
      <w:tr>
        <w:trPr>
          <w:trHeight w:val="64"/>
        </w:trPr>
        <w:tc>
          <w:tcPr>
            <w:tcW w:w="3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Loss on loan extnguishment</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340" w:type="dxa"/>
            <w:vAlign w:val="bottom"/>
          </w:tcPr>
          <w:p>
            <w:pPr>
              <w:ind w:left="220"/>
              <w:spacing w:after="0"/>
              <w:rPr>
                <w:sz w:val="20"/>
                <w:szCs w:val="20"/>
                <w:color w:val="auto"/>
              </w:rPr>
            </w:pPr>
            <w:r>
              <w:rPr>
                <w:rFonts w:ascii="Calibri" w:cs="Calibri" w:eastAsia="Calibri" w:hAnsi="Calibri"/>
                <w:sz w:val="18"/>
                <w:szCs w:val="18"/>
                <w:color w:val="auto"/>
              </w:rPr>
              <w:t>Net loss</w:t>
            </w:r>
          </w:p>
        </w:tc>
        <w:tc>
          <w:tcPr>
            <w:tcW w:w="1220" w:type="dxa"/>
            <w:vAlign w:val="bottom"/>
            <w:gridSpan w:val="3"/>
          </w:tcPr>
          <w:p>
            <w:pPr>
              <w:jc w:val="right"/>
              <w:ind w:right="40"/>
              <w:spacing w:after="0"/>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rPr>
                <w:sz w:val="20"/>
                <w:szCs w:val="20"/>
                <w:color w:val="auto"/>
              </w:rPr>
            </w:pPr>
            <w:r>
              <w:rPr>
                <w:rFonts w:ascii="Calibri" w:cs="Calibri" w:eastAsia="Calibri" w:hAnsi="Calibri"/>
                <w:sz w:val="18"/>
                <w:szCs w:val="18"/>
                <w:color w:val="auto"/>
              </w:rPr>
              <w:t>(18,856)</w:t>
            </w:r>
          </w:p>
        </w:tc>
        <w:tc>
          <w:tcPr>
            <w:tcW w:w="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(27,504)</w:t>
            </w:r>
          </w:p>
        </w:tc>
        <w:tc>
          <w:tcPr>
            <w:tcW w:w="80" w:type="dxa"/>
            <w:vAlign w:val="bottom"/>
          </w:tcPr>
          <w:p>
            <w:pPr>
              <w:spacing w:after="0"/>
              <w:rPr>
                <w:sz w:val="20"/>
                <w:szCs w:val="20"/>
                <w:color w:val="auto"/>
              </w:rPr>
            </w:pPr>
          </w:p>
        </w:tc>
        <w:tc>
          <w:tcPr>
            <w:tcW w:w="360" w:type="dxa"/>
            <w:vAlign w:val="bottom"/>
          </w:tcPr>
          <w:p>
            <w:pPr>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(91,413)</w:t>
            </w:r>
          </w:p>
        </w:tc>
        <w:tc>
          <w:tcPr>
            <w:tcW w:w="80" w:type="dxa"/>
            <w:vAlign w:val="bottom"/>
          </w:tcPr>
          <w:p>
            <w:pPr>
              <w:spacing w:after="0"/>
              <w:rPr>
                <w:sz w:val="20"/>
                <w:szCs w:val="20"/>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(105,897)</w:t>
            </w:r>
          </w:p>
        </w:tc>
        <w:tc>
          <w:tcPr>
            <w:tcW w:w="0" w:type="dxa"/>
            <w:vAlign w:val="bottom"/>
          </w:tcPr>
          <w:p>
            <w:pPr>
              <w:spacing w:after="0"/>
              <w:rPr>
                <w:sz w:val="1"/>
                <w:szCs w:val="1"/>
                <w:color w:val="auto"/>
              </w:rPr>
            </w:pPr>
          </w:p>
        </w:tc>
      </w:tr>
      <w:tr>
        <w:trPr>
          <w:trHeight w:val="97"/>
        </w:trPr>
        <w:tc>
          <w:tcPr>
            <w:tcW w:w="3340" w:type="dxa"/>
            <w:vAlign w:val="bottom"/>
            <w:tcBorders>
              <w:bottom w:val="single" w:sz="8" w:color="CCEEFF"/>
            </w:tcBorders>
          </w:tcPr>
          <w:p>
            <w:pPr>
              <w:spacing w:after="0"/>
              <w:rPr>
                <w:sz w:val="8"/>
                <w:szCs w:val="8"/>
                <w:color w:val="auto"/>
              </w:rPr>
            </w:pPr>
          </w:p>
        </w:tc>
        <w:tc>
          <w:tcPr>
            <w:tcW w:w="10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loss per share, basic and diluted</w:t>
            </w:r>
          </w:p>
        </w:tc>
        <w:tc>
          <w:tcPr>
            <w:tcW w:w="1220" w:type="dxa"/>
            <w:vAlign w:val="bottom"/>
            <w:tcBorders>
              <w:bottom w:val="single" w:sz="8" w:color="CCEEFF"/>
            </w:tcBorders>
            <w:gridSpan w:val="3"/>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(0.35)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(0.54)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line="206" w:lineRule="exact"/>
              <w:rPr>
                <w:sz w:val="20"/>
                <w:szCs w:val="20"/>
                <w:color w:val="auto"/>
              </w:rPr>
            </w:pPr>
            <w:r>
              <w:rPr>
                <w:rFonts w:ascii="Calibri" w:cs="Calibri" w:eastAsia="Calibri" w:hAnsi="Calibri"/>
                <w:sz w:val="18"/>
                <w:szCs w:val="18"/>
                <w:color w:val="auto"/>
              </w:rPr>
              <w:t>Weighted-average common shares used to</w:t>
            </w: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Compute net loss per share atributable to</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340" w:type="dxa"/>
            <w:vAlign w:val="bottom"/>
          </w:tcPr>
          <w:p>
            <w:pPr>
              <w:ind w:left="220"/>
              <w:spacing w:after="0"/>
              <w:rPr>
                <w:sz w:val="20"/>
                <w:szCs w:val="20"/>
                <w:color w:val="auto"/>
              </w:rPr>
            </w:pPr>
            <w:r>
              <w:rPr>
                <w:rFonts w:ascii="Calibri" w:cs="Calibri" w:eastAsia="Calibri" w:hAnsi="Calibri"/>
                <w:sz w:val="18"/>
                <w:szCs w:val="18"/>
                <w:color w:val="auto"/>
              </w:rPr>
              <w:t>Common shareholders, basic and diluted</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53,838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50,589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52,125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47,255</w:t>
            </w:r>
          </w:p>
        </w:tc>
        <w:tc>
          <w:tcPr>
            <w:tcW w:w="0" w:type="dxa"/>
            <w:vAlign w:val="bottom"/>
          </w:tcPr>
          <w:p>
            <w:pPr>
              <w:spacing w:after="0"/>
              <w:rPr>
                <w:sz w:val="1"/>
                <w:szCs w:val="1"/>
                <w:color w:val="auto"/>
              </w:rPr>
            </w:pPr>
          </w:p>
        </w:tc>
      </w:tr>
      <w:tr>
        <w:trPr>
          <w:trHeight w:val="57"/>
        </w:trPr>
        <w:tc>
          <w:tcPr>
            <w:tcW w:w="3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tcPr>
          <w:p>
            <w:pPr>
              <w:spacing w:after="0"/>
              <w:rPr>
                <w:sz w:val="4"/>
                <w:szCs w:val="4"/>
                <w:color w:val="auto"/>
              </w:rPr>
            </w:pPr>
          </w:p>
        </w:tc>
        <w:tc>
          <w:tcPr>
            <w:tcW w:w="170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340" w:type="dxa"/>
            <w:vAlign w:val="bottom"/>
          </w:tcPr>
          <w:p>
            <w:pPr>
              <w:spacing w:after="0"/>
              <w:rPr>
                <w:sz w:val="24"/>
                <w:szCs w:val="24"/>
                <w:color w:val="auto"/>
              </w:rPr>
            </w:pPr>
          </w:p>
        </w:tc>
        <w:tc>
          <w:tcPr>
            <w:tcW w:w="4480" w:type="dxa"/>
            <w:vAlign w:val="bottom"/>
            <w:gridSpan w:val="8"/>
          </w:tcPr>
          <w:p>
            <w:pPr>
              <w:jc w:val="center"/>
              <w:ind w:right="40"/>
              <w:spacing w:after="0"/>
              <w:rPr>
                <w:sz w:val="20"/>
                <w:szCs w:val="20"/>
                <w:color w:val="auto"/>
              </w:rPr>
            </w:pPr>
            <w:r>
              <w:rPr>
                <w:rFonts w:ascii="Calibri" w:cs="Calibri" w:eastAsia="Calibri" w:hAnsi="Calibri"/>
                <w:sz w:val="18"/>
                <w:szCs w:val="18"/>
                <w:b w:val="1"/>
                <w:bCs w:val="1"/>
                <w:color w:val="auto"/>
              </w:rPr>
              <w:t>PROCEPT BioRobotcs Corporaton</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4480" w:type="dxa"/>
            <w:vAlign w:val="bottom"/>
            <w:gridSpan w:val="8"/>
          </w:tcPr>
          <w:p>
            <w:pPr>
              <w:jc w:val="center"/>
              <w:ind w:right="20"/>
              <w:spacing w:after="0"/>
              <w:rPr>
                <w:sz w:val="20"/>
                <w:szCs w:val="20"/>
                <w:color w:val="auto"/>
              </w:rPr>
            </w:pPr>
            <w:r>
              <w:rPr>
                <w:rFonts w:ascii="Calibri" w:cs="Calibri" w:eastAsia="Calibri" w:hAnsi="Calibri"/>
                <w:sz w:val="18"/>
                <w:szCs w:val="18"/>
                <w:b w:val="1"/>
                <w:bCs w:val="1"/>
                <w:color w:val="auto"/>
                <w:w w:val="96"/>
              </w:rPr>
              <w:t>RECONCILIATION OF GAAP NET LOSS TO ADJUSTED EBITDA</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7"/>
              </w:rPr>
              <w:t>(Unaudited, in thousands)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5"/>
          </w:tcPr>
          <w:p>
            <w:pPr>
              <w:ind w:left="220"/>
              <w:spacing w:after="0"/>
              <w:rPr>
                <w:sz w:val="20"/>
                <w:szCs w:val="20"/>
                <w:color w:val="auto"/>
              </w:rPr>
            </w:pPr>
            <w:r>
              <w:rPr>
                <w:rFonts w:ascii="Calibri" w:cs="Calibri" w:eastAsia="Calibri" w:hAnsi="Calibri"/>
                <w:sz w:val="18"/>
                <w:szCs w:val="18"/>
                <w:b w:val="1"/>
                <w:bCs w:val="1"/>
                <w:color w:val="auto"/>
              </w:rPr>
              <w:t>Three Months Ended December 31,</w:t>
            </w:r>
          </w:p>
        </w:tc>
        <w:tc>
          <w:tcPr>
            <w:tcW w:w="3320" w:type="dxa"/>
            <w:vAlign w:val="bottom"/>
            <w:gridSpan w:val="5"/>
          </w:tcPr>
          <w:p>
            <w:pPr>
              <w:spacing w:after="0"/>
              <w:rPr>
                <w:sz w:val="20"/>
                <w:szCs w:val="20"/>
                <w:color w:val="auto"/>
              </w:rPr>
            </w:pPr>
            <w:r>
              <w:rPr>
                <w:rFonts w:ascii="Calibri" w:cs="Calibri" w:eastAsia="Calibri" w:hAnsi="Calibri"/>
                <w:sz w:val="18"/>
                <w:szCs w:val="18"/>
                <w:b w:val="1"/>
                <w:bCs w:val="1"/>
                <w:color w:val="auto"/>
              </w:rPr>
              <w:t>Twelve Months Ended December 31,</w:t>
            </w:r>
          </w:p>
        </w:tc>
        <w:tc>
          <w:tcPr>
            <w:tcW w:w="0" w:type="dxa"/>
            <w:vAlign w:val="bottom"/>
          </w:tcPr>
          <w:p>
            <w:pPr>
              <w:spacing w:after="0"/>
              <w:rPr>
                <w:sz w:val="1"/>
                <w:szCs w:val="1"/>
                <w:color w:val="auto"/>
              </w:rPr>
            </w:pPr>
          </w:p>
        </w:tc>
      </w:tr>
      <w:tr>
        <w:trPr>
          <w:trHeight w:val="64"/>
        </w:trPr>
        <w:tc>
          <w:tcPr>
            <w:tcW w:w="3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0"/>
              <w:spacing w:after="0" w:line="213" w:lineRule="exact"/>
              <w:rPr>
                <w:sz w:val="20"/>
                <w:szCs w:val="20"/>
                <w:color w:val="auto"/>
              </w:rPr>
            </w:pPr>
            <w:r>
              <w:rPr>
                <w:rFonts w:ascii="Calibri" w:cs="Calibri" w:eastAsia="Calibri" w:hAnsi="Calibri"/>
                <w:sz w:val="18"/>
                <w:szCs w:val="18"/>
                <w:b w:val="1"/>
                <w:bCs w:val="1"/>
                <w:color w:val="auto"/>
              </w:rPr>
              <w:t>2023</w:t>
            </w:r>
          </w:p>
        </w:tc>
        <w:tc>
          <w:tcPr>
            <w:tcW w:w="0" w:type="dxa"/>
            <w:vAlign w:val="bottom"/>
          </w:tcPr>
          <w:p>
            <w:pPr>
              <w:spacing w:after="0"/>
              <w:rPr>
                <w:sz w:val="1"/>
                <w:szCs w:val="1"/>
                <w:color w:val="auto"/>
              </w:rPr>
            </w:pPr>
          </w:p>
        </w:tc>
      </w:tr>
      <w:tr>
        <w:trPr>
          <w:trHeight w:val="64"/>
        </w:trPr>
        <w:tc>
          <w:tcPr>
            <w:tcW w:w="33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Net loss</w:t>
            </w:r>
          </w:p>
        </w:tc>
        <w:tc>
          <w:tcPr>
            <w:tcW w:w="1220" w:type="dxa"/>
            <w:vAlign w:val="bottom"/>
            <w:gridSpan w:val="3"/>
            <w:shd w:val="clear" w:color="auto" w:fill="CCEEFF"/>
          </w:tcPr>
          <w:p>
            <w:pPr>
              <w:jc w:val="right"/>
              <w:ind w:right="40"/>
              <w:spacing w:after="0" w:line="213" w:lineRule="exact"/>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(18,856)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line="213"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(27,504)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(91,413)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line="213"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(105,897)</w:t>
            </w: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Calibri" w:cs="Calibri" w:eastAsia="Calibri" w:hAnsi="Calibri"/>
                <w:sz w:val="18"/>
                <w:szCs w:val="18"/>
                <w:color w:val="auto"/>
              </w:rPr>
              <w:t>Depreciaton and amortzaton expense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1,453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1,318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5,234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3,807</w:t>
            </w:r>
          </w:p>
        </w:tc>
        <w:tc>
          <w:tcPr>
            <w:tcW w:w="0" w:type="dxa"/>
            <w:vAlign w:val="bottom"/>
          </w:tcPr>
          <w:p>
            <w:pPr>
              <w:spacing w:after="0"/>
              <w:rPr>
                <w:sz w:val="1"/>
                <w:szCs w:val="1"/>
                <w:color w:val="auto"/>
              </w:rPr>
            </w:pPr>
          </w:p>
        </w:tc>
      </w:tr>
      <w:tr>
        <w:trPr>
          <w:trHeight w:val="64"/>
        </w:trPr>
        <w:tc>
          <w:tcPr>
            <w:tcW w:w="3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Stock-based compensaton expense</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9,085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4,981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31,840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19,134</w:t>
            </w:r>
          </w:p>
        </w:tc>
        <w:tc>
          <w:tcPr>
            <w:tcW w:w="0" w:type="dxa"/>
            <w:vAlign w:val="bottom"/>
          </w:tcPr>
          <w:p>
            <w:pPr>
              <w:spacing w:after="0"/>
              <w:rPr>
                <w:sz w:val="1"/>
                <w:szCs w:val="1"/>
                <w:color w:val="auto"/>
              </w:rPr>
            </w:pPr>
          </w:p>
        </w:tc>
      </w:tr>
      <w:tr>
        <w:trPr>
          <w:trHeight w:val="64"/>
        </w:trPr>
        <w:tc>
          <w:tcPr>
            <w:tcW w:w="33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Calibri" w:cs="Calibri" w:eastAsia="Calibri" w:hAnsi="Calibri"/>
                <w:sz w:val="18"/>
                <w:szCs w:val="18"/>
                <w:color w:val="auto"/>
              </w:rPr>
              <w:t>Interest (income) and interest expense, net</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(2,017)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(2,079)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(6,711)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auto"/>
              </w:rPr>
              <w:t>(3,556)</w:t>
            </w:r>
          </w:p>
        </w:tc>
        <w:tc>
          <w:tcPr>
            <w:tcW w:w="0" w:type="dxa"/>
            <w:vAlign w:val="bottom"/>
          </w:tcPr>
          <w:p>
            <w:pPr>
              <w:spacing w:after="0"/>
              <w:rPr>
                <w:sz w:val="1"/>
                <w:szCs w:val="1"/>
                <w:color w:val="auto"/>
              </w:rPr>
            </w:pPr>
          </w:p>
        </w:tc>
      </w:tr>
      <w:tr>
        <w:trPr>
          <w:trHeight w:val="64"/>
        </w:trPr>
        <w:tc>
          <w:tcPr>
            <w:tcW w:w="33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33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Adjusted EBITDA</w:t>
            </w:r>
          </w:p>
        </w:tc>
        <w:tc>
          <w:tcPr>
            <w:tcW w:w="1220" w:type="dxa"/>
            <w:vAlign w:val="bottom"/>
            <w:tcBorders>
              <w:bottom w:val="single" w:sz="8" w:color="CCEEFF"/>
            </w:tcBorders>
            <w:gridSpan w:val="3"/>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(10,335)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(23,284)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(61,050)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(86,512)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80" w:top="976" w:right="37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PROCEPT BioRobotcs Corporaton</w:t>
      </w:r>
    </w:p>
    <w:p>
      <w:pPr>
        <w:spacing w:after="0" w:line="1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RECONCILIATION OF GAAP NET LOSS TO ADJUSTED 2025 EBITDA Guidance</w:t>
      </w:r>
    </w:p>
    <w:p>
      <w:pPr>
        <w:spacing w:after="0" w:line="10" w:lineRule="exact"/>
        <w:rPr>
          <w:sz w:val="20"/>
          <w:szCs w:val="20"/>
          <w:color w:val="auto"/>
        </w:rPr>
      </w:pPr>
    </w:p>
    <w:tbl>
      <w:tblPr>
        <w:tblLayout w:type="fixed"/>
        <w:tblInd w:w="1460" w:type="dxa"/>
        <w:tblCellMar>
          <w:top w:w="0" w:type="dxa"/>
          <w:left w:w="0" w:type="dxa"/>
          <w:bottom w:w="0" w:type="dxa"/>
          <w:right w:w="0" w:type="dxa"/>
        </w:tblCellMar>
      </w:tblPr>
      <w:tr>
        <w:trPr>
          <w:trHeight w:val="220"/>
        </w:trPr>
        <w:tc>
          <w:tcPr>
            <w:tcW w:w="4640" w:type="dxa"/>
            <w:vAlign w:val="bottom"/>
            <w:gridSpan w:val="2"/>
          </w:tcPr>
          <w:p>
            <w:pPr>
              <w:ind w:left="2100"/>
              <w:spacing w:after="0"/>
              <w:rPr>
                <w:sz w:val="20"/>
                <w:szCs w:val="20"/>
                <w:color w:val="auto"/>
              </w:rPr>
            </w:pPr>
            <w:r>
              <w:rPr>
                <w:rFonts w:ascii="Calibri" w:cs="Calibri" w:eastAsia="Calibri" w:hAnsi="Calibri"/>
                <w:sz w:val="18"/>
                <w:szCs w:val="18"/>
                <w:b w:val="1"/>
                <w:bCs w:val="1"/>
                <w:color w:val="auto"/>
              </w:rPr>
              <w:t>(Unaudited, 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20"/>
        </w:trPr>
        <w:tc>
          <w:tcPr>
            <w:tcW w:w="4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3"/>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0"/>
              <w:spacing w:after="0" w:line="213" w:lineRule="exact"/>
              <w:rPr>
                <w:sz w:val="20"/>
                <w:szCs w:val="20"/>
                <w:color w:val="auto"/>
              </w:rPr>
            </w:pPr>
            <w:r>
              <w:rPr>
                <w:rFonts w:ascii="Calibri" w:cs="Calibri" w:eastAsia="Calibri" w:hAnsi="Calibri"/>
                <w:sz w:val="18"/>
                <w:szCs w:val="18"/>
                <w:b w:val="1"/>
                <w:bCs w:val="1"/>
                <w:color w:val="auto"/>
              </w:rPr>
              <w:t>2025</w:t>
            </w:r>
          </w:p>
        </w:tc>
      </w:tr>
      <w:tr>
        <w:trPr>
          <w:trHeight w:val="64"/>
        </w:trPr>
        <w:tc>
          <w:tcPr>
            <w:tcW w:w="4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13"/>
        </w:trPr>
        <w:tc>
          <w:tcPr>
            <w:tcW w:w="4640" w:type="dxa"/>
            <w:vAlign w:val="bottom"/>
            <w:gridSpan w:val="2"/>
            <w:shd w:val="clear" w:color="auto" w:fill="CCEEFF"/>
          </w:tcPr>
          <w:p>
            <w:pPr>
              <w:ind w:left="20"/>
              <w:spacing w:after="0" w:line="213" w:lineRule="exact"/>
              <w:rPr>
                <w:sz w:val="20"/>
                <w:szCs w:val="20"/>
                <w:color w:val="auto"/>
              </w:rPr>
            </w:pPr>
            <w:r>
              <w:rPr>
                <w:rFonts w:ascii="Calibri" w:cs="Calibri" w:eastAsia="Calibri" w:hAnsi="Calibri"/>
                <w:sz w:val="18"/>
                <w:szCs w:val="18"/>
                <w:color w:val="auto"/>
              </w:rPr>
              <w:t>Net loss</w:t>
            </w:r>
          </w:p>
        </w:tc>
        <w:tc>
          <w:tcPr>
            <w:tcW w:w="320" w:type="dxa"/>
            <w:vAlign w:val="bottom"/>
            <w:shd w:val="clear" w:color="auto" w:fill="CCEEFF"/>
          </w:tcPr>
          <w:p>
            <w:pPr>
              <w:jc w:val="right"/>
              <w:ind w:right="130"/>
              <w:spacing w:after="0" w:line="213"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(80,000)</w:t>
            </w:r>
          </w:p>
        </w:tc>
      </w:tr>
      <w:tr>
        <w:trPr>
          <w:trHeight w:val="64"/>
        </w:trPr>
        <w:tc>
          <w:tcPr>
            <w:tcW w:w="4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20"/>
        </w:trPr>
        <w:tc>
          <w:tcPr>
            <w:tcW w:w="4640" w:type="dxa"/>
            <w:vAlign w:val="bottom"/>
            <w:gridSpan w:val="2"/>
          </w:tcPr>
          <w:p>
            <w:pPr>
              <w:ind w:left="20"/>
              <w:spacing w:after="0"/>
              <w:rPr>
                <w:sz w:val="20"/>
                <w:szCs w:val="20"/>
                <w:color w:val="auto"/>
              </w:rPr>
            </w:pPr>
            <w:r>
              <w:rPr>
                <w:rFonts w:ascii="Calibri" w:cs="Calibri" w:eastAsia="Calibri" w:hAnsi="Calibri"/>
                <w:sz w:val="18"/>
                <w:szCs w:val="18"/>
                <w:color w:val="auto"/>
              </w:rPr>
              <w:t>Depreciaton and amortzaton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6,800</w:t>
            </w:r>
          </w:p>
        </w:tc>
      </w:tr>
      <w:tr>
        <w:trPr>
          <w:trHeight w:val="64"/>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Stock-based compensaton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51,200</w:t>
            </w:r>
          </w:p>
        </w:tc>
      </w:tr>
      <w:tr>
        <w:trPr>
          <w:trHeight w:val="64"/>
        </w:trPr>
        <w:tc>
          <w:tcPr>
            <w:tcW w:w="4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20"/>
        </w:trPr>
        <w:tc>
          <w:tcPr>
            <w:tcW w:w="4640" w:type="dxa"/>
            <w:vAlign w:val="bottom"/>
            <w:gridSpan w:val="2"/>
          </w:tcPr>
          <w:p>
            <w:pPr>
              <w:ind w:left="20"/>
              <w:spacing w:after="0"/>
              <w:rPr>
                <w:sz w:val="20"/>
                <w:szCs w:val="20"/>
                <w:color w:val="auto"/>
              </w:rPr>
            </w:pPr>
            <w:r>
              <w:rPr>
                <w:rFonts w:ascii="Calibri" w:cs="Calibri" w:eastAsia="Calibri" w:hAnsi="Calibri"/>
                <w:sz w:val="18"/>
                <w:szCs w:val="18"/>
                <w:color w:val="auto"/>
              </w:rPr>
              <w:t>Interest (income) expense and other (income) expense,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(13,000)</w:t>
            </w:r>
          </w:p>
        </w:tc>
      </w:tr>
      <w:tr>
        <w:trPr>
          <w:trHeight w:val="64"/>
        </w:trPr>
        <w:tc>
          <w:tcPr>
            <w:tcW w:w="4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302"/>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8"/>
                <w:szCs w:val="18"/>
                <w:color w:val="auto"/>
              </w:rPr>
              <w:t>Adjusted EBITDA</w:t>
            </w:r>
          </w:p>
        </w:tc>
        <w:tc>
          <w:tcPr>
            <w:tcW w:w="320" w:type="dxa"/>
            <w:vAlign w:val="bottom"/>
            <w:tcBorders>
              <w:bottom w:val="single" w:sz="8" w:color="CCEEFF"/>
            </w:tcBorders>
            <w:shd w:val="clear" w:color="auto" w:fill="CCEEFF"/>
          </w:tcPr>
          <w:p>
            <w:pPr>
              <w:jc w:val="right"/>
              <w:ind w:right="13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(35,000)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1233" w:right="1440"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PROCEPT BioRobotcs Corporaton</w:t>
      </w:r>
    </w:p>
    <w:p>
      <w:pPr>
        <w:jc w:val="center"/>
        <w:spacing w:after="0" w:line="221" w:lineRule="auto"/>
        <w:rPr>
          <w:sz w:val="20"/>
          <w:szCs w:val="20"/>
          <w:color w:val="auto"/>
        </w:rPr>
      </w:pPr>
      <w:r>
        <w:rPr>
          <w:rFonts w:ascii="Calibri" w:cs="Calibri" w:eastAsia="Calibri" w:hAnsi="Calibri"/>
          <w:sz w:val="18"/>
          <w:szCs w:val="18"/>
          <w:b w:val="1"/>
          <w:bCs w:val="1"/>
          <w:color w:val="auto"/>
        </w:rPr>
        <w:t>CONDENSED CONSOLIDATED BALANCE SHEETS</w:t>
      </w:r>
    </w:p>
    <w:p>
      <w:pPr>
        <w:jc w:val="center"/>
        <w:ind w:right="20"/>
        <w:spacing w:after="0" w:line="236" w:lineRule="auto"/>
        <w:rPr>
          <w:sz w:val="20"/>
          <w:szCs w:val="20"/>
          <w:color w:val="auto"/>
        </w:rPr>
      </w:pPr>
      <w:r>
        <w:rPr>
          <w:rFonts w:ascii="Calibri" w:cs="Calibri" w:eastAsia="Calibri" w:hAnsi="Calibri"/>
          <w:sz w:val="18"/>
          <w:szCs w:val="18"/>
          <w:b w:val="1"/>
          <w:bCs w:val="1"/>
          <w:color w:val="auto"/>
        </w:rPr>
        <w:t>(Unaudited,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Calibri" w:cs="Calibri" w:eastAsia="Calibri" w:hAnsi="Calibri"/>
                <w:sz w:val="18"/>
                <w:szCs w:val="18"/>
                <w:b w:val="1"/>
                <w:bCs w:val="1"/>
                <w:color w:val="auto"/>
              </w:rPr>
              <w:t>December 31,</w:t>
            </w:r>
          </w:p>
        </w:tc>
        <w:tc>
          <w:tcPr>
            <w:tcW w:w="22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Calibri" w:cs="Calibri" w:eastAsia="Calibri" w:hAnsi="Calibri"/>
                <w:sz w:val="18"/>
                <w:szCs w:val="18"/>
                <w:b w:val="1"/>
                <w:bCs w:val="1"/>
                <w:color w:val="auto"/>
              </w:rPr>
              <w:t>December 31,</w:t>
            </w:r>
          </w:p>
        </w:tc>
      </w:tr>
      <w:tr>
        <w:trPr>
          <w:trHeight w:val="283"/>
        </w:trPr>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2024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570"/>
              <w:spacing w:after="0"/>
              <w:rPr>
                <w:sz w:val="20"/>
                <w:szCs w:val="20"/>
                <w:color w:val="auto"/>
              </w:rPr>
            </w:pPr>
            <w:r>
              <w:rPr>
                <w:rFonts w:ascii="Calibri" w:cs="Calibri" w:eastAsia="Calibri" w:hAnsi="Calibri"/>
                <w:sz w:val="18"/>
                <w:szCs w:val="18"/>
                <w:b w:val="1"/>
                <w:bCs w:val="1"/>
                <w:color w:val="auto"/>
              </w:rPr>
              <w:t>2023</w:t>
            </w:r>
          </w:p>
        </w:tc>
      </w:tr>
      <w:tr>
        <w:trPr>
          <w:trHeight w:val="64"/>
        </w:trPr>
        <w:tc>
          <w:tcPr>
            <w:tcW w:w="6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00"/>
        </w:trPr>
        <w:tc>
          <w:tcPr>
            <w:tcW w:w="6200" w:type="dxa"/>
            <w:vAlign w:val="bottom"/>
            <w:shd w:val="clear" w:color="auto" w:fill="CCEEFF"/>
          </w:tcPr>
          <w:p>
            <w:pPr>
              <w:spacing w:after="0" w:line="199" w:lineRule="exact"/>
              <w:rPr>
                <w:sz w:val="20"/>
                <w:szCs w:val="20"/>
                <w:color w:val="auto"/>
              </w:rPr>
            </w:pPr>
            <w:r>
              <w:rPr>
                <w:rFonts w:ascii="Calibri" w:cs="Calibri" w:eastAsia="Calibri" w:hAnsi="Calibri"/>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19"/>
        </w:trPr>
        <w:tc>
          <w:tcPr>
            <w:tcW w:w="6200" w:type="dxa"/>
            <w:vAlign w:val="bottom"/>
          </w:tcPr>
          <w:p>
            <w:pPr>
              <w:spacing w:after="0"/>
              <w:rPr>
                <w:sz w:val="20"/>
                <w:szCs w:val="20"/>
                <w:color w:val="auto"/>
              </w:rPr>
            </w:pPr>
            <w:r>
              <w:rPr>
                <w:rFonts w:ascii="Calibri" w:cs="Calibri" w:eastAsia="Calibri" w:hAnsi="Calibri"/>
                <w:sz w:val="18"/>
                <w:szCs w:val="18"/>
                <w:color w:val="auto"/>
              </w:rPr>
              <w:t>Current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19"/>
        </w:trPr>
        <w:tc>
          <w:tcPr>
            <w:tcW w:w="62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333,725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257,222</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19"/>
        </w:trPr>
        <w:tc>
          <w:tcPr>
            <w:tcW w:w="6200" w:type="dxa"/>
            <w:vAlign w:val="bottom"/>
          </w:tcPr>
          <w:p>
            <w:pPr>
              <w:ind w:left="220"/>
              <w:spacing w:after="0"/>
              <w:rPr>
                <w:sz w:val="20"/>
                <w:szCs w:val="20"/>
                <w:color w:val="auto"/>
              </w:rPr>
            </w:pPr>
            <w:r>
              <w:rPr>
                <w:rFonts w:ascii="Calibri" w:cs="Calibri" w:eastAsia="Calibri" w:hAnsi="Calibri"/>
                <w:sz w:val="18"/>
                <w:szCs w:val="18"/>
                <w:color w:val="auto"/>
              </w:rPr>
              <w:t>Accounts receivable,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83,496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48,376</w:t>
            </w: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62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Inventory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56,168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39,756</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ind w:left="220"/>
              <w:spacing w:after="0"/>
              <w:rPr>
                <w:sz w:val="20"/>
                <w:szCs w:val="20"/>
                <w:color w:val="auto"/>
              </w:rPr>
            </w:pPr>
            <w:r>
              <w:rPr>
                <w:rFonts w:ascii="Calibri" w:cs="Calibri" w:eastAsia="Calibri" w:hAnsi="Calibri"/>
                <w:sz w:val="18"/>
                <w:szCs w:val="18"/>
                <w:color w:val="auto"/>
              </w:rPr>
              <w:t>Prepaid expenses and other current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8,453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5,213</w:t>
            </w:r>
          </w:p>
        </w:tc>
      </w:tr>
      <w:tr>
        <w:trPr>
          <w:trHeight w:val="64"/>
        </w:trPr>
        <w:tc>
          <w:tcPr>
            <w:tcW w:w="6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13"/>
        </w:trPr>
        <w:tc>
          <w:tcPr>
            <w:tcW w:w="6200" w:type="dxa"/>
            <w:vAlign w:val="bottom"/>
            <w:shd w:val="clear" w:color="auto" w:fill="CCEEFF"/>
          </w:tcPr>
          <w:p>
            <w:pPr>
              <w:ind w:left="440"/>
              <w:spacing w:after="0" w:line="213" w:lineRule="exact"/>
              <w:rPr>
                <w:sz w:val="20"/>
                <w:szCs w:val="20"/>
                <w:color w:val="auto"/>
              </w:rPr>
            </w:pPr>
            <w:r>
              <w:rPr>
                <w:rFonts w:ascii="Calibri" w:cs="Calibri" w:eastAsia="Calibri" w:hAnsi="Calibri"/>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481,842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350,567</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19"/>
        </w:trPr>
        <w:tc>
          <w:tcPr>
            <w:tcW w:w="6200" w:type="dxa"/>
            <w:vAlign w:val="bottom"/>
          </w:tcPr>
          <w:p>
            <w:pPr>
              <w:spacing w:after="0"/>
              <w:rPr>
                <w:sz w:val="20"/>
                <w:szCs w:val="20"/>
                <w:color w:val="auto"/>
              </w:rPr>
            </w:pPr>
            <w:r>
              <w:rPr>
                <w:rFonts w:ascii="Calibri" w:cs="Calibri" w:eastAsia="Calibri" w:hAnsi="Calibri"/>
                <w:sz w:val="18"/>
                <w:szCs w:val="18"/>
                <w:color w:val="auto"/>
              </w:rPr>
              <w:t>Restricted cash, non-current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3,038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3,038</w:t>
            </w: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6200" w:type="dxa"/>
            <w:vAlign w:val="bottom"/>
            <w:shd w:val="clear" w:color="auto" w:fill="CCEEFF"/>
          </w:tcPr>
          <w:p>
            <w:pPr>
              <w:spacing w:after="0"/>
              <w:rPr>
                <w:sz w:val="20"/>
                <w:szCs w:val="20"/>
                <w:color w:val="auto"/>
              </w:rPr>
            </w:pPr>
            <w:r>
              <w:rPr>
                <w:rFonts w:ascii="Calibri" w:cs="Calibri" w:eastAsia="Calibri" w:hAnsi="Calibri"/>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26,709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28,748</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spacing w:after="0"/>
              <w:rPr>
                <w:sz w:val="20"/>
                <w:szCs w:val="20"/>
                <w:color w:val="auto"/>
              </w:rPr>
            </w:pPr>
            <w:r>
              <w:rPr>
                <w:rFonts w:ascii="Calibri" w:cs="Calibri" w:eastAsia="Calibri" w:hAnsi="Calibri"/>
                <w:sz w:val="18"/>
                <w:szCs w:val="18"/>
                <w:color w:val="auto"/>
              </w:rPr>
              <w:t>Operatng lease right-of-use assets,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18,941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20,241</w:t>
            </w: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6200" w:type="dxa"/>
            <w:vAlign w:val="bottom"/>
            <w:shd w:val="clear" w:color="auto" w:fill="CCEEFF"/>
          </w:tcPr>
          <w:p>
            <w:pPr>
              <w:spacing w:after="0"/>
              <w:rPr>
                <w:sz w:val="20"/>
                <w:szCs w:val="20"/>
                <w:color w:val="auto"/>
              </w:rPr>
            </w:pPr>
            <w:r>
              <w:rPr>
                <w:rFonts w:ascii="Calibri" w:cs="Calibri" w:eastAsia="Calibri" w:hAnsi="Calibri"/>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932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1,204</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spacing w:after="0"/>
              <w:rPr>
                <w:sz w:val="20"/>
                <w:szCs w:val="20"/>
                <w:color w:val="auto"/>
              </w:rPr>
            </w:pPr>
            <w:r>
              <w:rPr>
                <w:rFonts w:ascii="Calibri" w:cs="Calibri" w:eastAsia="Calibri" w:hAnsi="Calibri"/>
                <w:sz w:val="18"/>
                <w:szCs w:val="18"/>
                <w:color w:val="auto"/>
              </w:rPr>
              <w:t>Other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2,555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919</w:t>
            </w:r>
          </w:p>
        </w:tc>
      </w:tr>
      <w:tr>
        <w:trPr>
          <w:trHeight w:val="64"/>
        </w:trPr>
        <w:tc>
          <w:tcPr>
            <w:tcW w:w="6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302"/>
        </w:trPr>
        <w:tc>
          <w:tcPr>
            <w:tcW w:w="620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Total assets</w:t>
            </w:r>
          </w:p>
        </w:tc>
        <w:tc>
          <w:tcPr>
            <w:tcW w:w="1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534,017</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404,717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6200" w:type="dxa"/>
            <w:vAlign w:val="bottom"/>
            <w:shd w:val="clear" w:color="auto" w:fill="CCEEFF"/>
          </w:tcPr>
          <w:p>
            <w:pPr>
              <w:spacing w:after="0"/>
              <w:rPr>
                <w:sz w:val="20"/>
                <w:szCs w:val="20"/>
                <w:color w:val="auto"/>
              </w:rPr>
            </w:pPr>
            <w:r>
              <w:rPr>
                <w:rFonts w:ascii="Calibri" w:cs="Calibri" w:eastAsia="Calibri" w:hAnsi="Calibri"/>
                <w:sz w:val="18"/>
                <w:szCs w:val="18"/>
                <w:b w:val="1"/>
                <w:bCs w:val="1"/>
                <w:color w:val="auto"/>
              </w:rPr>
              <w:t>Liabilites and 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spacing w:after="0"/>
              <w:rPr>
                <w:sz w:val="20"/>
                <w:szCs w:val="20"/>
                <w:color w:val="auto"/>
              </w:rPr>
            </w:pPr>
            <w:r>
              <w:rPr>
                <w:rFonts w:ascii="Calibri" w:cs="Calibri" w:eastAsia="Calibri" w:hAnsi="Calibri"/>
                <w:sz w:val="18"/>
                <w:szCs w:val="18"/>
                <w:color w:val="auto"/>
              </w:rPr>
              <w:t>Current liabilites: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62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10,032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rPr>
              <w:t>$</w:t>
            </w: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13,499</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ind w:left="220"/>
              <w:spacing w:after="0"/>
              <w:rPr>
                <w:sz w:val="20"/>
                <w:szCs w:val="20"/>
                <w:color w:val="auto"/>
              </w:rPr>
            </w:pPr>
            <w:r>
              <w:rPr>
                <w:rFonts w:ascii="Calibri" w:cs="Calibri" w:eastAsia="Calibri" w:hAnsi="Calibri"/>
                <w:sz w:val="18"/>
                <w:szCs w:val="18"/>
                <w:color w:val="auto"/>
              </w:rPr>
              <w:t>Accrued compensaton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21,537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16,885</w:t>
            </w: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62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Deferred revenue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9,565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5,656</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ind w:left="220"/>
              <w:spacing w:after="0"/>
              <w:rPr>
                <w:sz w:val="20"/>
                <w:szCs w:val="20"/>
                <w:color w:val="auto"/>
              </w:rPr>
            </w:pPr>
            <w:r>
              <w:rPr>
                <w:rFonts w:ascii="Calibri" w:cs="Calibri" w:eastAsia="Calibri" w:hAnsi="Calibri"/>
                <w:sz w:val="18"/>
                <w:szCs w:val="18"/>
                <w:color w:val="auto"/>
              </w:rPr>
              <w:t>Operatng leases, current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1,910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1,683</w:t>
            </w: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62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Loan facility derivatve liability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1,886</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ind w:left="220"/>
              <w:spacing w:after="0"/>
              <w:rPr>
                <w:sz w:val="20"/>
                <w:szCs w:val="20"/>
                <w:color w:val="auto"/>
              </w:rPr>
            </w:pPr>
            <w:r>
              <w:rPr>
                <w:rFonts w:ascii="Calibri" w:cs="Calibri" w:eastAsia="Calibri" w:hAnsi="Calibri"/>
                <w:sz w:val="18"/>
                <w:szCs w:val="18"/>
                <w:color w:val="auto"/>
              </w:rPr>
              <w:t>Other current liabilites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8,089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6,318</w:t>
            </w:r>
          </w:p>
        </w:tc>
      </w:tr>
      <w:tr>
        <w:trPr>
          <w:trHeight w:val="64"/>
        </w:trPr>
        <w:tc>
          <w:tcPr>
            <w:tcW w:w="6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13"/>
        </w:trPr>
        <w:tc>
          <w:tcPr>
            <w:tcW w:w="6200" w:type="dxa"/>
            <w:vAlign w:val="bottom"/>
            <w:shd w:val="clear" w:color="auto" w:fill="CCEEFF"/>
          </w:tcPr>
          <w:p>
            <w:pPr>
              <w:ind w:left="440"/>
              <w:spacing w:after="0" w:line="213" w:lineRule="exact"/>
              <w:rPr>
                <w:sz w:val="20"/>
                <w:szCs w:val="20"/>
                <w:color w:val="auto"/>
              </w:rPr>
            </w:pPr>
            <w:r>
              <w:rPr>
                <w:rFonts w:ascii="Calibri" w:cs="Calibri" w:eastAsia="Calibri" w:hAnsi="Calibri"/>
                <w:sz w:val="18"/>
                <w:szCs w:val="18"/>
                <w:color w:val="auto"/>
              </w:rPr>
              <w:t>Total current liabilites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53,133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45,927</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ind w:left="220"/>
              <w:spacing w:after="0"/>
              <w:rPr>
                <w:sz w:val="20"/>
                <w:szCs w:val="20"/>
                <w:color w:val="auto"/>
              </w:rPr>
            </w:pPr>
            <w:r>
              <w:rPr>
                <w:rFonts w:ascii="Calibri" w:cs="Calibri" w:eastAsia="Calibri" w:hAnsi="Calibri"/>
                <w:sz w:val="18"/>
                <w:szCs w:val="18"/>
                <w:color w:val="auto"/>
              </w:rPr>
              <w:t>Long-term debt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51,472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51,339</w:t>
            </w: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62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Operatng lease, non-current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26,868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26,182</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ind w:left="220"/>
              <w:spacing w:after="0"/>
              <w:rPr>
                <w:sz w:val="20"/>
                <w:szCs w:val="20"/>
                <w:color w:val="auto"/>
              </w:rPr>
            </w:pPr>
            <w:r>
              <w:rPr>
                <w:rFonts w:ascii="Calibri" w:cs="Calibri" w:eastAsia="Calibri" w:hAnsi="Calibri"/>
                <w:sz w:val="18"/>
                <w:szCs w:val="18"/>
                <w:color w:val="auto"/>
              </w:rPr>
              <w:t>Other non-current liabilites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324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517</w:t>
            </w:r>
          </w:p>
        </w:tc>
      </w:tr>
      <w:tr>
        <w:trPr>
          <w:trHeight w:val="64"/>
        </w:trPr>
        <w:tc>
          <w:tcPr>
            <w:tcW w:w="6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13"/>
        </w:trPr>
        <w:tc>
          <w:tcPr>
            <w:tcW w:w="6200" w:type="dxa"/>
            <w:vAlign w:val="bottom"/>
            <w:shd w:val="clear" w:color="auto" w:fill="CCEEFF"/>
          </w:tcPr>
          <w:p>
            <w:pPr>
              <w:ind w:left="320"/>
              <w:spacing w:after="0" w:line="213" w:lineRule="exact"/>
              <w:rPr>
                <w:sz w:val="20"/>
                <w:szCs w:val="20"/>
                <w:color w:val="auto"/>
              </w:rPr>
            </w:pPr>
            <w:r>
              <w:rPr>
                <w:rFonts w:ascii="Calibri" w:cs="Calibri" w:eastAsia="Calibri" w:hAnsi="Calibri"/>
                <w:sz w:val="18"/>
                <w:szCs w:val="18"/>
                <w:color w:val="auto"/>
              </w:rPr>
              <w:t>Total liabilites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131,797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123,965</w:t>
            </w:r>
          </w:p>
        </w:tc>
      </w:tr>
      <w:tr>
        <w:trPr>
          <w:trHeight w:val="64"/>
        </w:trPr>
        <w:tc>
          <w:tcPr>
            <w:tcW w:w="62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shd w:val="clear" w:color="auto" w:fill="CCEEFF"/>
          </w:tcPr>
          <w:p>
            <w:pPr>
              <w:spacing w:after="0"/>
              <w:rPr>
                <w:sz w:val="5"/>
                <w:szCs w:val="5"/>
                <w:color w:val="auto"/>
              </w:rPr>
            </w:pPr>
          </w:p>
        </w:tc>
      </w:tr>
      <w:tr>
        <w:trPr>
          <w:trHeight w:val="250"/>
        </w:trPr>
        <w:tc>
          <w:tcPr>
            <w:tcW w:w="6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0"/>
        </w:trPr>
        <w:tc>
          <w:tcPr>
            <w:tcW w:w="6200" w:type="dxa"/>
            <w:vAlign w:val="bottom"/>
            <w:shd w:val="clear" w:color="auto" w:fill="CCEEFF"/>
          </w:tcPr>
          <w:p>
            <w:pPr>
              <w:spacing w:after="0"/>
              <w:rPr>
                <w:sz w:val="20"/>
                <w:szCs w:val="20"/>
                <w:color w:val="auto"/>
              </w:rPr>
            </w:pPr>
            <w:r>
              <w:rPr>
                <w:rFonts w:ascii="Calibri" w:cs="Calibri" w:eastAsia="Calibri" w:hAnsi="Calibri"/>
                <w:sz w:val="18"/>
                <w:szCs w:val="18"/>
                <w:color w:val="auto"/>
              </w:rPr>
              <w:t>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20"/>
        </w:trPr>
        <w:tc>
          <w:tcPr>
            <w:tcW w:w="6200" w:type="dxa"/>
            <w:vAlign w:val="bottom"/>
          </w:tcPr>
          <w:p>
            <w:pPr>
              <w:ind w:left="220"/>
              <w:spacing w:after="0"/>
              <w:rPr>
                <w:sz w:val="20"/>
                <w:szCs w:val="20"/>
                <w:color w:val="auto"/>
              </w:rPr>
            </w:pPr>
            <w:r>
              <w:rPr>
                <w:rFonts w:ascii="Calibri" w:cs="Calibri" w:eastAsia="Calibri" w:hAnsi="Calibri"/>
                <w:sz w:val="18"/>
                <w:szCs w:val="18"/>
                <w:color w:val="auto"/>
              </w:rPr>
              <w:t>Additonal paid-in capital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948,091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735,240</w:t>
            </w:r>
          </w:p>
        </w:tc>
      </w:tr>
      <w:tr>
        <w:trPr>
          <w:trHeight w:val="64"/>
        </w:trPr>
        <w:tc>
          <w:tcPr>
            <w:tcW w:w="6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20"/>
        </w:trPr>
        <w:tc>
          <w:tcPr>
            <w:tcW w:w="6200" w:type="dxa"/>
            <w:vAlign w:val="bottom"/>
            <w:shd w:val="clear" w:color="auto" w:fill="CCEEFF"/>
          </w:tcPr>
          <w:p>
            <w:pPr>
              <w:ind w:left="220"/>
              <w:spacing w:after="0"/>
              <w:rPr>
                <w:sz w:val="20"/>
                <w:szCs w:val="20"/>
                <w:color w:val="auto"/>
              </w:rPr>
            </w:pPr>
            <w:r>
              <w:rPr>
                <w:rFonts w:ascii="Calibri" w:cs="Calibri" w:eastAsia="Calibri" w:hAnsi="Calibri"/>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84</w:t>
            </w:r>
          </w:p>
        </w:tc>
      </w:tr>
      <w:tr>
        <w:trPr>
          <w:trHeight w:val="64"/>
        </w:trPr>
        <w:tc>
          <w:tcPr>
            <w:tcW w:w="6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19"/>
        </w:trPr>
        <w:tc>
          <w:tcPr>
            <w:tcW w:w="6200" w:type="dxa"/>
            <w:vAlign w:val="bottom"/>
          </w:tcPr>
          <w:p>
            <w:pPr>
              <w:ind w:left="220"/>
              <w:spacing w:after="0"/>
              <w:rPr>
                <w:sz w:val="20"/>
                <w:szCs w:val="20"/>
                <w:color w:val="auto"/>
              </w:rPr>
            </w:pPr>
            <w:r>
              <w:rPr>
                <w:rFonts w:ascii="Calibri" w:cs="Calibri" w:eastAsia="Calibri" w:hAnsi="Calibri"/>
                <w:sz w:val="18"/>
                <w:szCs w:val="18"/>
                <w:color w:val="auto"/>
              </w:rPr>
              <w:t>Accumulated defcit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(545,985)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Calibri" w:cs="Calibri" w:eastAsia="Calibri" w:hAnsi="Calibri"/>
                <w:sz w:val="18"/>
                <w:szCs w:val="18"/>
                <w:color w:val="auto"/>
              </w:rPr>
              <w:t>(454,572)</w:t>
            </w:r>
          </w:p>
        </w:tc>
      </w:tr>
      <w:tr>
        <w:trPr>
          <w:trHeight w:val="64"/>
        </w:trPr>
        <w:tc>
          <w:tcPr>
            <w:tcW w:w="6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13"/>
        </w:trPr>
        <w:tc>
          <w:tcPr>
            <w:tcW w:w="6200" w:type="dxa"/>
            <w:vAlign w:val="bottom"/>
            <w:shd w:val="clear" w:color="auto" w:fill="CCEEFF"/>
          </w:tcPr>
          <w:p>
            <w:pPr>
              <w:spacing w:after="0" w:line="213" w:lineRule="exact"/>
              <w:rPr>
                <w:sz w:val="20"/>
                <w:szCs w:val="20"/>
                <w:color w:val="auto"/>
              </w:rPr>
            </w:pPr>
            <w:r>
              <w:rPr>
                <w:rFonts w:ascii="Calibri" w:cs="Calibri" w:eastAsia="Calibri" w:hAnsi="Calibri"/>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402,220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280,752</w:t>
            </w:r>
          </w:p>
        </w:tc>
      </w:tr>
      <w:tr>
        <w:trPr>
          <w:trHeight w:val="64"/>
        </w:trPr>
        <w:tc>
          <w:tcPr>
            <w:tcW w:w="62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shd w:val="clear" w:color="auto" w:fill="CCEEFF"/>
          </w:tcPr>
          <w:p>
            <w:pPr>
              <w:spacing w:after="0"/>
              <w:rPr>
                <w:sz w:val="5"/>
                <w:szCs w:val="5"/>
                <w:color w:val="auto"/>
              </w:rPr>
            </w:pPr>
          </w:p>
        </w:tc>
      </w:tr>
      <w:tr>
        <w:trPr>
          <w:trHeight w:val="240"/>
        </w:trPr>
        <w:tc>
          <w:tcPr>
            <w:tcW w:w="6200" w:type="dxa"/>
            <w:vAlign w:val="bottom"/>
          </w:tcPr>
          <w:p>
            <w:pPr>
              <w:spacing w:after="0"/>
              <w:rPr>
                <w:sz w:val="20"/>
                <w:szCs w:val="20"/>
                <w:color w:val="auto"/>
              </w:rPr>
            </w:pPr>
            <w:r>
              <w:rPr>
                <w:rFonts w:ascii="Calibri" w:cs="Calibri" w:eastAsia="Calibri" w:hAnsi="Calibri"/>
                <w:sz w:val="18"/>
                <w:szCs w:val="18"/>
                <w:color w:val="auto"/>
              </w:rPr>
              <w:t>Total liabilites and stockholders’ equity</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534,017</w:t>
            </w:r>
          </w:p>
        </w:tc>
        <w:tc>
          <w:tcPr>
            <w:tcW w:w="160" w:type="dxa"/>
            <w:vAlign w:val="bottom"/>
          </w:tcPr>
          <w:p>
            <w:pPr>
              <w:spacing w:after="0"/>
              <w:rPr>
                <w:sz w:val="20"/>
                <w:szCs w:val="20"/>
                <w:color w:val="auto"/>
              </w:rPr>
            </w:pP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color w:val="auto"/>
              </w:rPr>
              <w:t>404,717</w:t>
            </w:r>
          </w:p>
        </w:tc>
      </w:tr>
      <w:tr>
        <w:trPr>
          <w:trHeight w:val="37"/>
        </w:trPr>
        <w:tc>
          <w:tcPr>
            <w:tcW w:w="6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580"/>
          </w:cols>
          <w:pgMar w:left="1160" w:top="1219" w:right="115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0"/>
        <w:spacing w:after="0"/>
        <w:rPr>
          <w:sz w:val="20"/>
          <w:szCs w:val="20"/>
          <w:color w:val="auto"/>
        </w:rPr>
      </w:pPr>
      <w:r>
        <w:rPr>
          <w:rFonts w:ascii="Calibri" w:cs="Calibri" w:eastAsia="Calibri" w:hAnsi="Calibri"/>
          <w:sz w:val="18"/>
          <w:szCs w:val="18"/>
          <w:b w:val="1"/>
          <w:bCs w:val="1"/>
          <w:color w:val="auto"/>
        </w:rPr>
        <w:t>PROCEPT BioRobotcs Corporaton</w:t>
      </w:r>
    </w:p>
    <w:p>
      <w:pPr>
        <w:ind w:left="3920"/>
        <w:spacing w:after="0" w:line="235" w:lineRule="auto"/>
        <w:rPr>
          <w:sz w:val="20"/>
          <w:szCs w:val="20"/>
          <w:color w:val="auto"/>
        </w:rPr>
      </w:pPr>
      <w:r>
        <w:rPr>
          <w:rFonts w:ascii="Calibri" w:cs="Calibri" w:eastAsia="Calibri" w:hAnsi="Calibri"/>
          <w:sz w:val="18"/>
          <w:szCs w:val="18"/>
          <w:b w:val="1"/>
          <w:bCs w:val="1"/>
          <w:color w:val="auto"/>
        </w:rPr>
        <w:t>REVENUE BY TYPE AND GEOGRAPHY</w:t>
      </w:r>
    </w:p>
    <w:p>
      <w:pPr>
        <w:jc w:val="center"/>
        <w:spacing w:after="0" w:line="207" w:lineRule="auto"/>
        <w:rPr>
          <w:sz w:val="20"/>
          <w:szCs w:val="20"/>
          <w:color w:val="auto"/>
        </w:rPr>
      </w:pPr>
      <w:r>
        <w:rPr>
          <w:rFonts w:ascii="Calibri" w:cs="Calibri" w:eastAsia="Calibri" w:hAnsi="Calibri"/>
          <w:sz w:val="18"/>
          <w:szCs w:val="18"/>
          <w:b w:val="1"/>
          <w:bCs w:val="1"/>
          <w:color w:val="auto"/>
        </w:rPr>
        <w:t>(Unaudited,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ind w:left="380"/>
              <w:spacing w:after="0"/>
              <w:rPr>
                <w:sz w:val="20"/>
                <w:szCs w:val="20"/>
                <w:color w:val="auto"/>
              </w:rPr>
            </w:pPr>
            <w:r>
              <w:rPr>
                <w:rFonts w:ascii="Calibri" w:cs="Calibri" w:eastAsia="Calibri" w:hAnsi="Calibri"/>
                <w:sz w:val="18"/>
                <w:szCs w:val="18"/>
                <w:b w:val="1"/>
                <w:bCs w:val="1"/>
                <w:color w:val="auto"/>
              </w:rPr>
              <w:t>Three Months Ended</w:t>
            </w:r>
          </w:p>
        </w:tc>
        <w:tc>
          <w:tcPr>
            <w:tcW w:w="300" w:type="dxa"/>
            <w:vAlign w:val="bottom"/>
          </w:tcPr>
          <w:p>
            <w:pPr>
              <w:spacing w:after="0"/>
              <w:rPr>
                <w:sz w:val="19"/>
                <w:szCs w:val="19"/>
                <w:color w:val="auto"/>
              </w:rPr>
            </w:pPr>
          </w:p>
        </w:tc>
        <w:tc>
          <w:tcPr>
            <w:tcW w:w="2600" w:type="dxa"/>
            <w:vAlign w:val="bottom"/>
            <w:gridSpan w:val="4"/>
          </w:tcPr>
          <w:p>
            <w:pPr>
              <w:jc w:val="right"/>
              <w:ind w:right="550"/>
              <w:spacing w:after="0"/>
              <w:rPr>
                <w:sz w:val="20"/>
                <w:szCs w:val="20"/>
                <w:color w:val="auto"/>
              </w:rPr>
            </w:pPr>
            <w:r>
              <w:rPr>
                <w:rFonts w:ascii="Calibri" w:cs="Calibri" w:eastAsia="Calibri" w:hAnsi="Calibri"/>
                <w:sz w:val="18"/>
                <w:szCs w:val="18"/>
                <w:b w:val="1"/>
                <w:bCs w:val="1"/>
                <w:color w:val="auto"/>
              </w:rPr>
              <w:t>Twelve Months Ended</w:t>
            </w:r>
          </w:p>
        </w:tc>
      </w:tr>
      <w:tr>
        <w:trPr>
          <w:trHeight w:val="283"/>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900" w:type="dxa"/>
            <w:vAlign w:val="bottom"/>
          </w:tcPr>
          <w:p>
            <w:pPr>
              <w:spacing w:after="0"/>
              <w:rPr>
                <w:sz w:val="24"/>
                <w:szCs w:val="24"/>
                <w:color w:val="auto"/>
              </w:rPr>
            </w:pPr>
          </w:p>
        </w:tc>
      </w:tr>
      <w:tr>
        <w:trPr>
          <w:trHeight w:val="283"/>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2024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2023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2023</w:t>
            </w:r>
          </w:p>
        </w:tc>
      </w:tr>
      <w:tr>
        <w:trPr>
          <w:trHeight w:val="64"/>
        </w:trPr>
        <w:tc>
          <w:tcPr>
            <w:tcW w:w="44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99"/>
        </w:trPr>
        <w:tc>
          <w:tcPr>
            <w:tcW w:w="44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U.S.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64"/>
        </w:trPr>
        <w:tc>
          <w:tcPr>
            <w:tcW w:w="44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19"/>
        </w:trPr>
        <w:tc>
          <w:tcPr>
            <w:tcW w:w="4480" w:type="dxa"/>
            <w:vAlign w:val="bottom"/>
          </w:tcPr>
          <w:p>
            <w:pPr>
              <w:ind w:left="240"/>
              <w:spacing w:after="0"/>
              <w:rPr>
                <w:sz w:val="20"/>
                <w:szCs w:val="20"/>
                <w:color w:val="auto"/>
              </w:rPr>
            </w:pPr>
            <w:r>
              <w:rPr>
                <w:rFonts w:ascii="Calibri" w:cs="Calibri" w:eastAsia="Calibri" w:hAnsi="Calibri"/>
                <w:sz w:val="18"/>
                <w:szCs w:val="18"/>
                <w:color w:val="auto"/>
              </w:rPr>
              <w:t>System sales and rentals</w:t>
            </w: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rPr>
                <w:sz w:val="20"/>
                <w:szCs w:val="20"/>
                <w:color w:val="auto"/>
              </w:rPr>
            </w:pPr>
            <w:r>
              <w:rPr>
                <w:rFonts w:ascii="Calibri" w:cs="Calibri" w:eastAsia="Calibri" w:hAnsi="Calibri"/>
                <w:sz w:val="18"/>
                <w:szCs w:val="18"/>
                <w:color w:val="auto"/>
              </w:rPr>
              <w:t>27,636</w:t>
            </w:r>
          </w:p>
        </w:tc>
        <w:tc>
          <w:tcPr>
            <w:tcW w:w="2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16,561</w:t>
            </w:r>
          </w:p>
        </w:tc>
        <w:tc>
          <w:tcPr>
            <w:tcW w:w="2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rPr>
                <w:sz w:val="20"/>
                <w:szCs w:val="20"/>
                <w:color w:val="auto"/>
              </w:rPr>
            </w:pPr>
            <w:r>
              <w:rPr>
                <w:rFonts w:ascii="Calibri" w:cs="Calibri" w:eastAsia="Calibri" w:hAnsi="Calibri"/>
                <w:sz w:val="18"/>
                <w:szCs w:val="18"/>
                <w:color w:val="auto"/>
              </w:rPr>
              <w:t>78,614</w:t>
            </w:r>
          </w:p>
        </w:tc>
        <w:tc>
          <w:tcPr>
            <w:tcW w:w="2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53,626</w:t>
            </w:r>
          </w:p>
        </w:tc>
      </w:tr>
      <w:tr>
        <w:trPr>
          <w:trHeight w:val="64"/>
        </w:trPr>
        <w:tc>
          <w:tcPr>
            <w:tcW w:w="4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19"/>
        </w:trPr>
        <w:tc>
          <w:tcPr>
            <w:tcW w:w="44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Handpieces and other consumables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29,325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21,633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110,542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64,051</w:t>
            </w:r>
          </w:p>
        </w:tc>
      </w:tr>
      <w:tr>
        <w:trPr>
          <w:trHeight w:val="64"/>
        </w:trPr>
        <w:tc>
          <w:tcPr>
            <w:tcW w:w="44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20"/>
        </w:trPr>
        <w:tc>
          <w:tcPr>
            <w:tcW w:w="4480" w:type="dxa"/>
            <w:vAlign w:val="bottom"/>
          </w:tcPr>
          <w:p>
            <w:pPr>
              <w:ind w:left="240"/>
              <w:spacing w:after="0"/>
              <w:rPr>
                <w:sz w:val="20"/>
                <w:szCs w:val="20"/>
                <w:color w:val="auto"/>
              </w:rPr>
            </w:pPr>
            <w:r>
              <w:rPr>
                <w:rFonts w:ascii="Calibri" w:cs="Calibri" w:eastAsia="Calibri" w:hAnsi="Calibri"/>
                <w:sz w:val="18"/>
                <w:szCs w:val="18"/>
                <w:color w:val="auto"/>
              </w:rPr>
              <w:t>Service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3,428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2,075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11,316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6,620</w:t>
            </w:r>
          </w:p>
        </w:tc>
      </w:tr>
      <w:tr>
        <w:trPr>
          <w:trHeight w:val="64"/>
        </w:trPr>
        <w:tc>
          <w:tcPr>
            <w:tcW w:w="44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13"/>
        </w:trPr>
        <w:tc>
          <w:tcPr>
            <w:tcW w:w="4480" w:type="dxa"/>
            <w:vAlign w:val="bottom"/>
            <w:shd w:val="clear" w:color="auto" w:fill="CCEEFF"/>
          </w:tcPr>
          <w:p>
            <w:pPr>
              <w:ind w:left="460"/>
              <w:spacing w:after="0" w:line="213" w:lineRule="exact"/>
              <w:rPr>
                <w:sz w:val="20"/>
                <w:szCs w:val="20"/>
                <w:color w:val="auto"/>
              </w:rPr>
            </w:pPr>
            <w:r>
              <w:rPr>
                <w:rFonts w:ascii="Calibri" w:cs="Calibri" w:eastAsia="Calibri" w:hAnsi="Calibri"/>
                <w:sz w:val="18"/>
                <w:szCs w:val="18"/>
                <w:color w:val="auto"/>
              </w:rPr>
              <w:t>Total U.S. revenue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60,389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40,269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200,472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124,297</w:t>
            </w:r>
          </w:p>
        </w:tc>
      </w:tr>
      <w:tr>
        <w:trPr>
          <w:trHeight w:val="64"/>
        </w:trPr>
        <w:tc>
          <w:tcPr>
            <w:tcW w:w="44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19"/>
        </w:trPr>
        <w:tc>
          <w:tcPr>
            <w:tcW w:w="4480" w:type="dxa"/>
            <w:vAlign w:val="bottom"/>
          </w:tcPr>
          <w:p>
            <w:pPr>
              <w:ind w:left="20"/>
              <w:spacing w:after="0"/>
              <w:rPr>
                <w:sz w:val="20"/>
                <w:szCs w:val="20"/>
                <w:color w:val="auto"/>
              </w:rPr>
            </w:pPr>
            <w:r>
              <w:rPr>
                <w:rFonts w:ascii="Calibri" w:cs="Calibri" w:eastAsia="Calibri" w:hAnsi="Calibri"/>
                <w:sz w:val="18"/>
                <w:szCs w:val="18"/>
                <w:color w:val="auto"/>
              </w:rPr>
              <w:t>Outside of U.S.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64"/>
        </w:trPr>
        <w:tc>
          <w:tcPr>
            <w:tcW w:w="4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19"/>
        </w:trPr>
        <w:tc>
          <w:tcPr>
            <w:tcW w:w="44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System sales and rentals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3,711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1,398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11,685</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5,294</w:t>
            </w:r>
          </w:p>
        </w:tc>
      </w:tr>
      <w:tr>
        <w:trPr>
          <w:trHeight w:val="64"/>
        </w:trPr>
        <w:tc>
          <w:tcPr>
            <w:tcW w:w="44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20"/>
        </w:trPr>
        <w:tc>
          <w:tcPr>
            <w:tcW w:w="4480" w:type="dxa"/>
            <w:vAlign w:val="bottom"/>
          </w:tcPr>
          <w:p>
            <w:pPr>
              <w:ind w:left="240"/>
              <w:spacing w:after="0"/>
              <w:rPr>
                <w:sz w:val="20"/>
                <w:szCs w:val="20"/>
                <w:color w:val="auto"/>
              </w:rPr>
            </w:pPr>
            <w:r>
              <w:rPr>
                <w:rFonts w:ascii="Calibri" w:cs="Calibri" w:eastAsia="Calibri" w:hAnsi="Calibri"/>
                <w:sz w:val="18"/>
                <w:szCs w:val="18"/>
                <w:color w:val="auto"/>
              </w:rPr>
              <w:t>Handpieces and other consumables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3,689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1,645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auto"/>
              </w:rPr>
              <w:t>10,914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5,471</w:t>
            </w:r>
          </w:p>
        </w:tc>
      </w:tr>
      <w:tr>
        <w:trPr>
          <w:trHeight w:val="64"/>
        </w:trPr>
        <w:tc>
          <w:tcPr>
            <w:tcW w:w="4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20"/>
        </w:trPr>
        <w:tc>
          <w:tcPr>
            <w:tcW w:w="4480" w:type="dxa"/>
            <w:vAlign w:val="bottom"/>
            <w:shd w:val="clear" w:color="auto" w:fill="CCEEFF"/>
          </w:tcPr>
          <w:p>
            <w:pPr>
              <w:ind w:left="240"/>
              <w:spacing w:after="0"/>
              <w:rPr>
                <w:sz w:val="20"/>
                <w:szCs w:val="20"/>
                <w:color w:val="auto"/>
              </w:rPr>
            </w:pPr>
            <w:r>
              <w:rPr>
                <w:rFonts w:ascii="Calibri" w:cs="Calibri" w:eastAsia="Calibri" w:hAnsi="Calibri"/>
                <w:sz w:val="18"/>
                <w:szCs w:val="18"/>
                <w:color w:val="auto"/>
              </w:rPr>
              <w:t>Service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447</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1,427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1,129</w:t>
            </w:r>
          </w:p>
        </w:tc>
      </w:tr>
      <w:tr>
        <w:trPr>
          <w:trHeight w:val="64"/>
        </w:trPr>
        <w:tc>
          <w:tcPr>
            <w:tcW w:w="448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r>
      <w:tr>
        <w:trPr>
          <w:trHeight w:val="213"/>
        </w:trPr>
        <w:tc>
          <w:tcPr>
            <w:tcW w:w="4480" w:type="dxa"/>
            <w:vAlign w:val="bottom"/>
          </w:tcPr>
          <w:p>
            <w:pPr>
              <w:ind w:left="460"/>
              <w:spacing w:after="0" w:line="213" w:lineRule="exact"/>
              <w:rPr>
                <w:sz w:val="20"/>
                <w:szCs w:val="20"/>
                <w:color w:val="auto"/>
              </w:rPr>
            </w:pPr>
            <w:r>
              <w:rPr>
                <w:rFonts w:ascii="Calibri" w:cs="Calibri" w:eastAsia="Calibri" w:hAnsi="Calibri"/>
                <w:sz w:val="18"/>
                <w:szCs w:val="18"/>
                <w:color w:val="auto"/>
              </w:rPr>
              <w:t>Total outside of U.S. revenue</w:t>
            </w:r>
          </w:p>
        </w:tc>
        <w:tc>
          <w:tcPr>
            <w:tcW w:w="300" w:type="dxa"/>
            <w:vAlign w:val="bottom"/>
          </w:tcPr>
          <w:p>
            <w:pPr>
              <w:spacing w:after="0"/>
              <w:rPr>
                <w:sz w:val="18"/>
                <w:szCs w:val="18"/>
                <w:color w:val="auto"/>
              </w:rPr>
            </w:pPr>
          </w:p>
        </w:tc>
        <w:tc>
          <w:tcPr>
            <w:tcW w:w="1040" w:type="dxa"/>
            <w:vAlign w:val="bottom"/>
          </w:tcPr>
          <w:p>
            <w:pPr>
              <w:jc w:val="right"/>
              <w:spacing w:after="0" w:line="213" w:lineRule="exact"/>
              <w:rPr>
                <w:sz w:val="20"/>
                <w:szCs w:val="20"/>
                <w:color w:val="auto"/>
              </w:rPr>
            </w:pPr>
            <w:r>
              <w:rPr>
                <w:rFonts w:ascii="Calibri" w:cs="Calibri" w:eastAsia="Calibri" w:hAnsi="Calibri"/>
                <w:sz w:val="18"/>
                <w:szCs w:val="18"/>
                <w:color w:val="auto"/>
              </w:rPr>
              <w:t>7,847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line="213" w:lineRule="exact"/>
              <w:rPr>
                <w:sz w:val="20"/>
                <w:szCs w:val="20"/>
                <w:color w:val="auto"/>
              </w:rPr>
            </w:pPr>
            <w:r>
              <w:rPr>
                <w:rFonts w:ascii="Calibri" w:cs="Calibri" w:eastAsia="Calibri" w:hAnsi="Calibri"/>
                <w:sz w:val="18"/>
                <w:szCs w:val="18"/>
                <w:color w:val="auto"/>
              </w:rPr>
              <w:t>3,312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line="213" w:lineRule="exact"/>
              <w:rPr>
                <w:sz w:val="20"/>
                <w:szCs w:val="20"/>
                <w:color w:val="auto"/>
              </w:rPr>
            </w:pPr>
            <w:r>
              <w:rPr>
                <w:rFonts w:ascii="Calibri" w:cs="Calibri" w:eastAsia="Calibri" w:hAnsi="Calibri"/>
                <w:sz w:val="18"/>
                <w:szCs w:val="18"/>
                <w:color w:val="auto"/>
              </w:rPr>
              <w:t>24,026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line="213" w:lineRule="exact"/>
              <w:rPr>
                <w:sz w:val="20"/>
                <w:szCs w:val="20"/>
                <w:color w:val="auto"/>
              </w:rPr>
            </w:pPr>
            <w:r>
              <w:rPr>
                <w:rFonts w:ascii="Calibri" w:cs="Calibri" w:eastAsia="Calibri" w:hAnsi="Calibri"/>
                <w:sz w:val="18"/>
                <w:szCs w:val="18"/>
                <w:color w:val="auto"/>
              </w:rPr>
              <w:t>11,894</w:t>
            </w:r>
          </w:p>
        </w:tc>
      </w:tr>
      <w:tr>
        <w:trPr>
          <w:trHeight w:val="64"/>
        </w:trPr>
        <w:tc>
          <w:tcPr>
            <w:tcW w:w="44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02"/>
        </w:trPr>
        <w:tc>
          <w:tcPr>
            <w:tcW w:w="4480" w:type="dxa"/>
            <w:vAlign w:val="bottom"/>
            <w:tcBorders>
              <w:bottom w:val="single" w:sz="8" w:color="CCEEFF"/>
            </w:tcBorders>
            <w:shd w:val="clear" w:color="auto" w:fill="CCEEFF"/>
          </w:tcPr>
          <w:p>
            <w:pPr>
              <w:ind w:left="680"/>
              <w:spacing w:after="0"/>
              <w:rPr>
                <w:sz w:val="20"/>
                <w:szCs w:val="20"/>
                <w:color w:val="auto"/>
              </w:rPr>
            </w:pPr>
            <w:r>
              <w:rPr>
                <w:rFonts w:ascii="Calibri" w:cs="Calibri" w:eastAsia="Calibri" w:hAnsi="Calibri"/>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68,236</w:t>
            </w:r>
          </w:p>
        </w:tc>
        <w:tc>
          <w:tcPr>
            <w:tcW w:w="2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Calibri" w:cs="Calibri" w:eastAsia="Calibri" w:hAnsi="Calibri"/>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43,581</w:t>
            </w: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224,498</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136,191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480"/>
      </w:cols>
      <w:pgMar w:left="700"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2025-02-25T15:24:45Z</dcterms:created>
  <dcterms:modified xsi:type="dcterms:W3CDTF">2025-02-25T15:24:45Z</dcterms:modified>
</cp:coreProperties>
</file>